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5E" w:rsidRPr="00C4485E" w:rsidRDefault="00783BEB" w:rsidP="006F1355">
      <w:pPr>
        <w:jc w:val="center"/>
        <w:rPr>
          <w:b/>
          <w:sz w:val="26"/>
          <w:szCs w:val="26"/>
        </w:rPr>
      </w:pPr>
      <w:r>
        <w:rPr>
          <w:b/>
          <w:sz w:val="26"/>
          <w:szCs w:val="26"/>
        </w:rPr>
        <w:t xml:space="preserve">Receiving the gift of teaching: </w:t>
      </w:r>
      <w:r w:rsidR="003A160A" w:rsidRPr="00C4485E">
        <w:rPr>
          <w:b/>
          <w:sz w:val="26"/>
          <w:szCs w:val="26"/>
        </w:rPr>
        <w:t>From 'learning from' to 'being taught by'</w:t>
      </w:r>
      <w:r w:rsidR="00C4485E" w:rsidRPr="00C4485E">
        <w:rPr>
          <w:rStyle w:val="FootnoteReference"/>
          <w:b/>
          <w:sz w:val="26"/>
          <w:szCs w:val="26"/>
        </w:rPr>
        <w:footnoteReference w:id="1"/>
      </w:r>
    </w:p>
    <w:p w:rsidR="00C4485E" w:rsidRDefault="00C4485E" w:rsidP="006F1355">
      <w:pPr>
        <w:jc w:val="center"/>
        <w:rPr>
          <w:sz w:val="26"/>
          <w:szCs w:val="26"/>
        </w:rPr>
      </w:pPr>
      <w:r w:rsidRPr="00C4485E">
        <w:rPr>
          <w:sz w:val="26"/>
          <w:szCs w:val="26"/>
        </w:rPr>
        <w:t>Gert Biesta</w:t>
      </w:r>
    </w:p>
    <w:p w:rsidR="00C14D29" w:rsidRDefault="00C14D29" w:rsidP="006F1355">
      <w:pPr>
        <w:jc w:val="center"/>
        <w:rPr>
          <w:sz w:val="26"/>
          <w:szCs w:val="26"/>
        </w:rPr>
      </w:pPr>
      <w:r>
        <w:rPr>
          <w:sz w:val="26"/>
          <w:szCs w:val="26"/>
        </w:rPr>
        <w:t>University of Luxembourg</w:t>
      </w:r>
    </w:p>
    <w:p w:rsidR="00C14D29" w:rsidRDefault="00C14D29" w:rsidP="006F1355">
      <w:pPr>
        <w:jc w:val="center"/>
        <w:rPr>
          <w:sz w:val="26"/>
          <w:szCs w:val="26"/>
        </w:rPr>
      </w:pPr>
      <w:hyperlink r:id="rId7" w:history="1">
        <w:r w:rsidRPr="00B77809">
          <w:rPr>
            <w:rStyle w:val="Hyperlink"/>
            <w:sz w:val="26"/>
            <w:szCs w:val="26"/>
          </w:rPr>
          <w:t>www.gertbiesta.com</w:t>
        </w:r>
      </w:hyperlink>
    </w:p>
    <w:p w:rsidR="00C4485E" w:rsidRDefault="00C14D29" w:rsidP="00C14D29">
      <w:pPr>
        <w:jc w:val="center"/>
        <w:rPr>
          <w:sz w:val="26"/>
          <w:szCs w:val="26"/>
        </w:rPr>
      </w:pPr>
      <w:hyperlink r:id="rId8" w:history="1">
        <w:r w:rsidRPr="00B77809">
          <w:rPr>
            <w:rStyle w:val="Hyperlink"/>
            <w:sz w:val="26"/>
            <w:szCs w:val="26"/>
          </w:rPr>
          <w:t>gert.biesta@uni.lu</w:t>
        </w:r>
      </w:hyperlink>
    </w:p>
    <w:p w:rsidR="006F1355" w:rsidRPr="00607F19" w:rsidRDefault="006F1355" w:rsidP="006F1355">
      <w:pPr>
        <w:rPr>
          <w:sz w:val="24"/>
          <w:szCs w:val="24"/>
        </w:rPr>
      </w:pPr>
      <w:bookmarkStart w:id="0" w:name="_GoBack"/>
      <w:bookmarkEnd w:id="0"/>
    </w:p>
    <w:p w:rsidR="00607F19" w:rsidRPr="00607F19" w:rsidRDefault="00C4485E" w:rsidP="006F1355">
      <w:pPr>
        <w:jc w:val="both"/>
        <w:rPr>
          <w:rFonts w:cstheme="minorHAnsi"/>
          <w:sz w:val="24"/>
          <w:szCs w:val="24"/>
        </w:rPr>
      </w:pPr>
      <w:r w:rsidRPr="00607F19">
        <w:rPr>
          <w:rFonts w:cstheme="minorHAnsi"/>
          <w:sz w:val="24"/>
          <w:szCs w:val="24"/>
        </w:rPr>
        <w:t>abstract</w:t>
      </w:r>
    </w:p>
    <w:p w:rsidR="00C4485E" w:rsidRPr="00607F19" w:rsidRDefault="00607F19" w:rsidP="006F1355">
      <w:pPr>
        <w:jc w:val="both"/>
        <w:rPr>
          <w:rFonts w:cstheme="minorHAnsi"/>
          <w:sz w:val="24"/>
          <w:szCs w:val="24"/>
        </w:rPr>
      </w:pPr>
      <w:r w:rsidRPr="00607F19">
        <w:rPr>
          <w:sz w:val="24"/>
          <w:szCs w:val="24"/>
        </w:rPr>
        <w:t>This paper is an enquiry into the meaning of teaching. I argue that as a result of the influence of constructivist ideas about learning on education, teaching has become increasingly understood as the facilitation of learning rather than as a process where teachers have something to give to their students. The idea that teaching is immanent to learning goes back to the Socratic idea of teaching as a maieutic process, that is, as bringing out what is already there. Against the maieutic conception of teaching I argue for an understanding of teaching in terms of transcendence, where teaching brings something radically new to the student. I explore the meaning of the idea of transcendence to a discussion of Kierkegaard and Levinas, who both criticise a maieutic understanding of teaching and, instead, argue for a transcendent understanding of teaching – an understanding of teaching which they refer to with the idea of revelation. Whereas Kierkegaard argues that revelation – which he understand as a process of 'double truth giving' – lies beyond the power of the teacher, Levinas interprets revelation as the experience of 'being taught.' I use Levinas's suggestion in order to explore the distinction between 'learning from' and 'being taught by' and argue that teaching has to be understood in the latter sense, that is, in terms of the experience of 'being taught.' To connect the idea of teaching to the experience of 'being taught' highlights that teaching can be understood as a process of 'truth giving' albeit that (1) this 'gift' lies beyond the powers of the teacher, and (2) the truth that is given has to be understood as what Kierkegaard calls 'subjective truth' – which is not relativistic truth but existential truth, that is, truth that matters for one's life. Understanding teaching in these terms also opens up new possibilities for understanding the role of authority in teaching. While my argument implies that teachers cannot simply and straightforward 'produce' the experience of 'being taught' – so that what matters has to do with the conditions under which the gift of teaching can be received – their actions and activities nonetheless matter. In the final section of the paper I therefore argue that if we want to give teaching back to education, we need to resist the depiction of the teachers as a disposable and dispensable 'resource' that students can learn from or not, and need to articulate and enact a different story about the teacher, the student and the school.</w:t>
      </w:r>
    </w:p>
    <w:p w:rsidR="00C4485E" w:rsidRPr="00607F19" w:rsidRDefault="00C4485E" w:rsidP="006F1355">
      <w:pPr>
        <w:rPr>
          <w:rFonts w:cstheme="minorHAnsi"/>
          <w:sz w:val="24"/>
          <w:szCs w:val="24"/>
        </w:rPr>
      </w:pPr>
    </w:p>
    <w:p w:rsidR="006F1355" w:rsidRDefault="00C4485E" w:rsidP="006F1355">
      <w:pPr>
        <w:rPr>
          <w:rFonts w:cstheme="minorHAnsi"/>
          <w:sz w:val="24"/>
          <w:szCs w:val="24"/>
        </w:rPr>
      </w:pPr>
      <w:r w:rsidRPr="00607F19">
        <w:rPr>
          <w:rFonts w:cstheme="minorHAnsi"/>
          <w:sz w:val="24"/>
          <w:szCs w:val="24"/>
        </w:rPr>
        <w:t>keywords</w:t>
      </w:r>
    </w:p>
    <w:p w:rsidR="00C4485E" w:rsidRPr="00607F19" w:rsidRDefault="00C4485E" w:rsidP="006F1355">
      <w:pPr>
        <w:rPr>
          <w:rFonts w:cstheme="minorHAnsi"/>
          <w:sz w:val="24"/>
          <w:szCs w:val="24"/>
        </w:rPr>
      </w:pPr>
      <w:r w:rsidRPr="00607F19">
        <w:rPr>
          <w:rFonts w:cstheme="minorHAnsi"/>
          <w:sz w:val="24"/>
          <w:szCs w:val="24"/>
        </w:rPr>
        <w:t>teaching; the gift; constructivism; Kierkegaard; Levinas; Derrida</w:t>
      </w:r>
    </w:p>
    <w:p w:rsidR="00C4485E" w:rsidRPr="00607F19" w:rsidRDefault="00C4485E" w:rsidP="006F1355">
      <w:pPr>
        <w:rPr>
          <w:rFonts w:cstheme="minorHAnsi"/>
          <w:sz w:val="24"/>
          <w:szCs w:val="24"/>
        </w:rPr>
      </w:pPr>
    </w:p>
    <w:p w:rsidR="006F1355" w:rsidRDefault="006F1355">
      <w:pPr>
        <w:rPr>
          <w:rFonts w:cstheme="minorHAnsi"/>
          <w:sz w:val="24"/>
          <w:szCs w:val="24"/>
        </w:rPr>
      </w:pPr>
      <w:r>
        <w:rPr>
          <w:rFonts w:cstheme="minorHAnsi"/>
          <w:sz w:val="24"/>
          <w:szCs w:val="24"/>
        </w:rPr>
        <w:br w:type="page"/>
      </w:r>
    </w:p>
    <w:p w:rsidR="00C4485E" w:rsidRPr="00607F19" w:rsidRDefault="00C4485E" w:rsidP="006F1355">
      <w:pPr>
        <w:jc w:val="right"/>
        <w:rPr>
          <w:rFonts w:cstheme="minorHAnsi"/>
          <w:sz w:val="24"/>
          <w:szCs w:val="24"/>
        </w:rPr>
      </w:pPr>
      <w:r w:rsidRPr="00607F19">
        <w:rPr>
          <w:rFonts w:cstheme="minorHAnsi"/>
          <w:sz w:val="24"/>
          <w:szCs w:val="24"/>
        </w:rPr>
        <w:lastRenderedPageBreak/>
        <w:t xml:space="preserve">"To give a gift is to give something that you don't have." </w:t>
      </w:r>
    </w:p>
    <w:p w:rsidR="00C4485E" w:rsidRPr="00607F19" w:rsidRDefault="00C4485E" w:rsidP="006F1355">
      <w:pPr>
        <w:jc w:val="right"/>
        <w:rPr>
          <w:rFonts w:cstheme="minorHAnsi"/>
          <w:sz w:val="24"/>
          <w:szCs w:val="24"/>
        </w:rPr>
      </w:pPr>
      <w:r w:rsidRPr="00607F19">
        <w:rPr>
          <w:rFonts w:cstheme="minorHAnsi"/>
          <w:sz w:val="24"/>
          <w:szCs w:val="24"/>
        </w:rPr>
        <w:t>(Derrida, quoted in Caputo &amp; Vattimo 2007, p. 135)</w:t>
      </w:r>
    </w:p>
    <w:p w:rsidR="00C4485E" w:rsidRPr="00607F19" w:rsidRDefault="00C4485E" w:rsidP="006F1355">
      <w:pPr>
        <w:jc w:val="right"/>
        <w:rPr>
          <w:rFonts w:cstheme="minorHAnsi"/>
          <w:sz w:val="24"/>
          <w:szCs w:val="24"/>
        </w:rPr>
      </w:pPr>
    </w:p>
    <w:p w:rsidR="00C4485E" w:rsidRPr="00607F19" w:rsidRDefault="00C4485E" w:rsidP="006F1355">
      <w:pPr>
        <w:jc w:val="right"/>
        <w:rPr>
          <w:rStyle w:val="woj"/>
          <w:sz w:val="24"/>
          <w:szCs w:val="24"/>
        </w:rPr>
      </w:pPr>
      <w:r w:rsidRPr="00607F19">
        <w:rPr>
          <w:rStyle w:val="woj"/>
          <w:sz w:val="24"/>
          <w:szCs w:val="24"/>
        </w:rPr>
        <w:t>“Therefore keep watch, because you do not know on what day your Lord will come."</w:t>
      </w:r>
    </w:p>
    <w:p w:rsidR="00C4485E" w:rsidRPr="00607F19" w:rsidRDefault="00C4485E" w:rsidP="006F1355">
      <w:pPr>
        <w:jc w:val="right"/>
        <w:rPr>
          <w:rFonts w:cstheme="minorHAnsi"/>
          <w:sz w:val="24"/>
          <w:szCs w:val="24"/>
        </w:rPr>
      </w:pPr>
      <w:r w:rsidRPr="00607F19">
        <w:rPr>
          <w:rStyle w:val="woj"/>
          <w:sz w:val="24"/>
          <w:szCs w:val="24"/>
        </w:rPr>
        <w:t>(Matthew 24:42)</w:t>
      </w:r>
    </w:p>
    <w:p w:rsidR="00C4485E" w:rsidRPr="00607F19" w:rsidRDefault="00C4485E" w:rsidP="006F1355">
      <w:pPr>
        <w:jc w:val="right"/>
        <w:rPr>
          <w:rFonts w:cstheme="minorHAnsi"/>
          <w:sz w:val="24"/>
          <w:szCs w:val="24"/>
        </w:rPr>
      </w:pPr>
    </w:p>
    <w:p w:rsidR="00C4485E" w:rsidRPr="00607F19" w:rsidRDefault="00C4485E" w:rsidP="006F1355">
      <w:pPr>
        <w:jc w:val="right"/>
        <w:rPr>
          <w:rFonts w:cstheme="minorHAnsi"/>
          <w:sz w:val="24"/>
          <w:szCs w:val="24"/>
        </w:rPr>
      </w:pPr>
      <w:r w:rsidRPr="00607F19">
        <w:rPr>
          <w:rFonts w:cstheme="minorHAnsi"/>
          <w:sz w:val="24"/>
          <w:szCs w:val="24"/>
        </w:rPr>
        <w:t xml:space="preserve">"I just can't get you out of my head." </w:t>
      </w:r>
    </w:p>
    <w:p w:rsidR="00C4485E" w:rsidRPr="00607F19" w:rsidRDefault="00C4485E" w:rsidP="006F1355">
      <w:pPr>
        <w:jc w:val="right"/>
        <w:rPr>
          <w:rFonts w:cstheme="minorHAnsi"/>
          <w:sz w:val="24"/>
          <w:szCs w:val="24"/>
        </w:rPr>
      </w:pPr>
      <w:r w:rsidRPr="00607F19">
        <w:rPr>
          <w:rFonts w:cstheme="minorHAnsi"/>
          <w:sz w:val="24"/>
          <w:szCs w:val="24"/>
        </w:rPr>
        <w:t>(Kylie Minogue)</w:t>
      </w:r>
    </w:p>
    <w:p w:rsidR="00C4485E" w:rsidRPr="00607F19" w:rsidRDefault="00C4485E" w:rsidP="006F1355">
      <w:pPr>
        <w:jc w:val="both"/>
        <w:rPr>
          <w:rFonts w:cstheme="minorHAnsi"/>
          <w:sz w:val="24"/>
          <w:szCs w:val="24"/>
        </w:rPr>
      </w:pPr>
    </w:p>
    <w:p w:rsidR="00C4485E" w:rsidRPr="00607F19" w:rsidRDefault="00C4485E" w:rsidP="006F1355">
      <w:pPr>
        <w:outlineLvl w:val="0"/>
        <w:rPr>
          <w:rFonts w:cstheme="minorHAnsi"/>
          <w:b/>
          <w:sz w:val="24"/>
          <w:szCs w:val="24"/>
        </w:rPr>
      </w:pPr>
      <w:r w:rsidRPr="00607F19">
        <w:rPr>
          <w:rFonts w:cstheme="minorHAnsi"/>
          <w:b/>
          <w:sz w:val="24"/>
          <w:szCs w:val="24"/>
        </w:rPr>
        <w:t>Constructivism and the end of teaching</w:t>
      </w:r>
    </w:p>
    <w:p w:rsidR="00C4485E" w:rsidRPr="00C4485E" w:rsidRDefault="00C4485E" w:rsidP="006F1355">
      <w:pPr>
        <w:jc w:val="both"/>
        <w:rPr>
          <w:rFonts w:cstheme="minorHAnsi"/>
          <w:sz w:val="24"/>
          <w:szCs w:val="24"/>
        </w:rPr>
      </w:pPr>
      <w:r w:rsidRPr="00607F19">
        <w:rPr>
          <w:rFonts w:cstheme="minorHAnsi"/>
          <w:sz w:val="24"/>
          <w:szCs w:val="24"/>
        </w:rPr>
        <w:t xml:space="preserve">If there is one idea that has significantly changed classroom practice in many countries around the world in recent decades, it has to be constructivism. For constructivism to have had such an impact, it necessarily had to become theoretically multiple and open. Thus the constructivist classroom takes inspiration from a range of different, and to a certain extent </w:t>
      </w:r>
      <w:r w:rsidRPr="00C4485E">
        <w:rPr>
          <w:rFonts w:cstheme="minorHAnsi"/>
          <w:sz w:val="24"/>
          <w:szCs w:val="24"/>
        </w:rPr>
        <w:t xml:space="preserve">even conflicting theories and ideas, such as the radical constructivism of Ernst von Glasersfeld, the cognitive constructivism of Jean Piaget, the social constructivism of Lev Vygotsky and the transactional constructivism of John Dewey. What unites these approaches – at least at a superficial level – and thus generally characterizes the constructivist classroom, is an emphasis on student activity. This is based on the assumption that students have to construct their own insights, understandings and knowledge, and that teachers cannot do this for them. In the constructivist classroom, therefore, constructivism not just operates as a learning theory or an epistemology, but also, and first and foremost, as a </w:t>
      </w:r>
      <w:r w:rsidRPr="00C4485E">
        <w:rPr>
          <w:rFonts w:cstheme="minorHAnsi"/>
          <w:i/>
          <w:sz w:val="24"/>
          <w:szCs w:val="24"/>
        </w:rPr>
        <w:t>pedagogy</w:t>
      </w:r>
      <w:r w:rsidRPr="00C4485E">
        <w:rPr>
          <w:rFonts w:cstheme="minorHAnsi"/>
          <w:sz w:val="24"/>
          <w:szCs w:val="24"/>
        </w:rPr>
        <w:t>. Virginia Richardson has correctly pointed out that “constructivism is a theory of learning and not a theory of teaching” (Richardson 2003, p. 1629). This not only means that constructivist pedagogy is not simply the application of constructivist learning theory – Richardson goes even further by arguing that “the elements of effective constructivist teaching are not known” (ibid.) – but also implies that a belief in constructivist learning theory does not necessarily require that one adopts a constructivist pedagogy. After all, “students also make meaning from activities encountered in a transmission model of teaching" (ibid., p. 1628).</w:t>
      </w:r>
    </w:p>
    <w:p w:rsidR="00C4485E" w:rsidRPr="00C4485E" w:rsidRDefault="00C4485E" w:rsidP="006F1355">
      <w:pPr>
        <w:jc w:val="both"/>
        <w:rPr>
          <w:rFonts w:cstheme="minorHAnsi"/>
          <w:sz w:val="24"/>
          <w:szCs w:val="24"/>
        </w:rPr>
      </w:pPr>
    </w:p>
    <w:p w:rsidR="00C4485E" w:rsidRPr="00C4485E" w:rsidRDefault="00C4485E" w:rsidP="006F1355">
      <w:pPr>
        <w:jc w:val="both"/>
        <w:rPr>
          <w:rFonts w:cstheme="minorHAnsi"/>
          <w:sz w:val="24"/>
          <w:szCs w:val="24"/>
        </w:rPr>
      </w:pPr>
      <w:r w:rsidRPr="00C4485E">
        <w:rPr>
          <w:rFonts w:cstheme="minorHAnsi"/>
          <w:sz w:val="24"/>
          <w:szCs w:val="24"/>
        </w:rPr>
        <w:t>Although constructivism is first of all a theory of learning, the uptake of this theory in schools, colleges and universities has led to a change in practice that is often characterized as a shift 'from teaching to learning.' Barr and Tagg (1995) have made the even stronger claim that what is at stake here is a Kuhnian paradigm shift from what they refer to as the ‘Instruction Paradigm’ to the ‘Learning Paradigm.’ The point of using these phrases is not to suggest that under the instruction paradigm there was no interest in student learning whereas under the learning paradigm there is. The point for Barr and Tagg – and for the many others who have made similar observations so as to create a present day ‘common sense’ about education – is that in the instruction paradigm the focus is on the transmission of content from the teacher to the student, whereas in the learning paradigm the focus is on the ways in which teachers can support and facilitate student learning. This is in line with Richardson’s description of constructivist pedagogy as involving “the creation of classroom environments, activities, and methods that are grounded in a constructivist theory of learning, with goals that focus on individual students developing deep understandings in the subject matter of interest and habits of mind that aid in future learning” (Richardson 2003, p. 1627).</w:t>
      </w:r>
    </w:p>
    <w:p w:rsidR="00C4485E" w:rsidRPr="00C4485E" w:rsidRDefault="00C4485E" w:rsidP="006F1355">
      <w:pPr>
        <w:jc w:val="both"/>
        <w:rPr>
          <w:rFonts w:cstheme="minorHAnsi"/>
          <w:sz w:val="24"/>
          <w:szCs w:val="24"/>
        </w:rPr>
      </w:pPr>
    </w:p>
    <w:p w:rsidR="00C4485E" w:rsidRPr="00C4485E" w:rsidRDefault="00C4485E" w:rsidP="006F1355">
      <w:pPr>
        <w:jc w:val="both"/>
        <w:rPr>
          <w:rFonts w:cstheme="minorHAnsi"/>
          <w:sz w:val="24"/>
          <w:szCs w:val="24"/>
        </w:rPr>
      </w:pPr>
      <w:r w:rsidRPr="00C4485E">
        <w:rPr>
          <w:rFonts w:cstheme="minorHAnsi"/>
          <w:sz w:val="24"/>
          <w:szCs w:val="24"/>
        </w:rPr>
        <w:t>The shift from teaching to learning – a shift which is part of a wider 'learnification' of educational discourse and practice (see Biesta 2010) – has radically changed common perceptions of what teaching entails and of what a teacher is. Constructivist thinking has, on the one hand, promoted the idea of teaching as the creation of learning environments and as facilitating, supporting or scaffolding student learning. On the other hand it has, in one and the same move, discredited the ‘transmission model of teaching’ and thus has given lecturing and so-called ‘didactic teaching’ a really bad name.</w:t>
      </w:r>
      <w:r w:rsidRPr="00C4485E">
        <w:rPr>
          <w:rStyle w:val="FootnoteReference"/>
          <w:rFonts w:cstheme="minorHAnsi"/>
          <w:sz w:val="24"/>
          <w:szCs w:val="24"/>
        </w:rPr>
        <w:footnoteReference w:id="2"/>
      </w:r>
      <w:r w:rsidRPr="00C4485E">
        <w:rPr>
          <w:rFonts w:cstheme="minorHAnsi"/>
          <w:sz w:val="24"/>
          <w:szCs w:val="24"/>
        </w:rPr>
        <w:t xml:space="preserve"> Constructivism seems, in other words, to have given up on the idea that teachers have something to teach and that students have something to learn from their teachers. If I see it correctly this has even led to a certain embarrassment amongst teachers about the very idea of teaching and about their identity as a teacher. This is, perhaps, what concerns me most, because if we give up on the idea that teachers have something to teach and make them into facilitators of learning, we do, in a sense, give up on the very idea of education.</w:t>
      </w:r>
      <w:r w:rsidR="00993A0D">
        <w:rPr>
          <w:rStyle w:val="FootnoteReference"/>
          <w:sz w:val="24"/>
          <w:szCs w:val="24"/>
        </w:rPr>
        <w:footnoteReference w:id="3"/>
      </w:r>
      <w:r w:rsidRPr="00C4485E">
        <w:rPr>
          <w:rFonts w:cstheme="minorHAnsi"/>
          <w:sz w:val="24"/>
          <w:szCs w:val="24"/>
        </w:rPr>
        <w:t xml:space="preserve"> </w:t>
      </w:r>
    </w:p>
    <w:p w:rsidR="00C4485E" w:rsidRPr="00C4485E" w:rsidRDefault="00C4485E" w:rsidP="006F1355">
      <w:pPr>
        <w:jc w:val="both"/>
        <w:rPr>
          <w:rFonts w:cstheme="minorHAnsi"/>
          <w:sz w:val="24"/>
          <w:szCs w:val="24"/>
        </w:rPr>
      </w:pPr>
    </w:p>
    <w:p w:rsidR="00C4485E" w:rsidRPr="00C4485E" w:rsidRDefault="00C4485E" w:rsidP="006F1355">
      <w:pPr>
        <w:jc w:val="both"/>
        <w:rPr>
          <w:rFonts w:cstheme="minorHAnsi"/>
          <w:sz w:val="24"/>
          <w:szCs w:val="24"/>
        </w:rPr>
      </w:pPr>
      <w:r w:rsidRPr="00C4485E">
        <w:rPr>
          <w:rFonts w:cstheme="minorHAnsi"/>
          <w:sz w:val="24"/>
          <w:szCs w:val="24"/>
        </w:rPr>
        <w:t xml:space="preserve">The issue that interests me in this paper, therefore, has to do with the impact of constructivist thinking (conceived in the broad sense outlined above) on teaching. I am not only interested in its impact on the practice of teaching, but also its impact on the role of the teacher, the identity of the teacher, the justification of the teacher ‘position,’ and even on the very idea of teaching and the very idea of the teacher. The question I wish to address is what it might take to give teaching a place again in our understanding of education, that is, to give teaching 'back' to education. And the thesis I wish to explore is whether it might be that case that the idea of teaching only has meaning if it carries with it a certain idea of 'transcendence,' that is, if we understand teaching as something that comes radically from the outside, as something that transcends the self of the 'learner,' transcends the one who is being taught. </w:t>
      </w:r>
    </w:p>
    <w:p w:rsidR="00C4485E" w:rsidRPr="00C4485E" w:rsidRDefault="00C4485E" w:rsidP="006F1355">
      <w:pPr>
        <w:jc w:val="both"/>
        <w:rPr>
          <w:rFonts w:cstheme="minorHAnsi"/>
          <w:sz w:val="24"/>
          <w:szCs w:val="24"/>
        </w:rPr>
      </w:pPr>
    </w:p>
    <w:p w:rsidR="00C4485E" w:rsidRPr="00C4485E" w:rsidRDefault="00C4485E" w:rsidP="006F1355">
      <w:pPr>
        <w:jc w:val="both"/>
        <w:rPr>
          <w:rFonts w:cstheme="minorHAnsi"/>
          <w:sz w:val="24"/>
          <w:szCs w:val="24"/>
        </w:rPr>
      </w:pPr>
      <w:r w:rsidRPr="00C4485E">
        <w:rPr>
          <w:rFonts w:cstheme="minorHAnsi"/>
          <w:sz w:val="24"/>
          <w:szCs w:val="24"/>
        </w:rPr>
        <w:t xml:space="preserve">My ambition with this paper is not only to explore the role of the idea of ‘transcendence’ in thinking about teaching and education. I also intend to make some room for the idea of 'transcendence' within the conversation of educational philosophy and theory itself. In my view a certain notion of 'transcendence' has been lurking behind the scene in many recent discussions in the field. Most of this, however, has been couched in secular language, </w:t>
      </w:r>
      <w:r w:rsidRPr="00C4485E">
        <w:rPr>
          <w:rFonts w:cstheme="minorHAnsi"/>
          <w:sz w:val="24"/>
          <w:szCs w:val="24"/>
        </w:rPr>
        <w:lastRenderedPageBreak/>
        <w:t xml:space="preserve">particularly though references to 'the other' and 'the otherness of the other,' and also through more abstract notions such as 'hospitality,' 'the trace' and 'différance' (see, for example, Biesta &amp; </w:t>
      </w:r>
      <w:r w:rsidRPr="00C4485E">
        <w:rPr>
          <w:rFonts w:eastAsia="Calibri" w:cstheme="minorHAnsi"/>
          <w:spacing w:val="-2"/>
          <w:sz w:val="24"/>
          <w:szCs w:val="24"/>
        </w:rPr>
        <w:t>Egéa-Kuehne</w:t>
      </w:r>
      <w:r w:rsidRPr="00C4485E">
        <w:rPr>
          <w:rFonts w:cstheme="minorHAnsi"/>
          <w:spacing w:val="-2"/>
          <w:sz w:val="24"/>
          <w:szCs w:val="24"/>
        </w:rPr>
        <w:t xml:space="preserve">  2001; </w:t>
      </w:r>
      <w:r w:rsidRPr="00C4485E">
        <w:rPr>
          <w:rFonts w:cstheme="minorHAnsi"/>
          <w:sz w:val="24"/>
          <w:szCs w:val="24"/>
        </w:rPr>
        <w:t xml:space="preserve">Todd 2003; Miedema &amp; Biesta 2004; O'Bryne 2005; </w:t>
      </w:r>
      <w:r w:rsidRPr="00C4485E">
        <w:rPr>
          <w:rFonts w:eastAsia="Calibri" w:cstheme="minorHAnsi"/>
          <w:spacing w:val="-2"/>
          <w:sz w:val="24"/>
          <w:szCs w:val="24"/>
        </w:rPr>
        <w:t>Egéa-Kuehne</w:t>
      </w:r>
      <w:r w:rsidRPr="00C4485E">
        <w:rPr>
          <w:rFonts w:cstheme="minorHAnsi"/>
          <w:spacing w:val="-2"/>
          <w:sz w:val="24"/>
          <w:szCs w:val="24"/>
        </w:rPr>
        <w:t xml:space="preserve"> 2008; </w:t>
      </w:r>
      <w:r w:rsidRPr="00C4485E">
        <w:rPr>
          <w:rFonts w:cstheme="minorHAnsi"/>
          <w:sz w:val="24"/>
          <w:szCs w:val="24"/>
        </w:rPr>
        <w:t xml:space="preserve">Ruitenberg 2011; </w:t>
      </w:r>
      <w:r w:rsidRPr="00C4485E">
        <w:rPr>
          <w:rFonts w:cstheme="minorHAnsi"/>
          <w:spacing w:val="-2"/>
          <w:sz w:val="24"/>
          <w:szCs w:val="24"/>
        </w:rPr>
        <w:t>Papastephanou 2012</w:t>
      </w:r>
      <w:r w:rsidRPr="00C4485E">
        <w:rPr>
          <w:rFonts w:cstheme="minorHAnsi"/>
          <w:sz w:val="24"/>
          <w:szCs w:val="24"/>
        </w:rPr>
        <w:t xml:space="preserve">). While the other does indeed transcend the self, and while hospitality does indeed open the door for the event of the arrival of what Derrida would call 'the impossible' – understood as that which cannot be </w:t>
      </w:r>
      <w:r w:rsidRPr="00C4485E">
        <w:rPr>
          <w:rFonts w:cstheme="minorHAnsi"/>
          <w:i/>
          <w:sz w:val="24"/>
          <w:szCs w:val="24"/>
        </w:rPr>
        <w:t>foreseen</w:t>
      </w:r>
      <w:r w:rsidRPr="00C4485E">
        <w:rPr>
          <w:rFonts w:cstheme="minorHAnsi"/>
          <w:sz w:val="24"/>
          <w:szCs w:val="24"/>
        </w:rPr>
        <w:t xml:space="preserve"> as a possibility – there is perhaps more to the idea of transcendence than meets the eye, and it is this 'excess' that I am interested in for this paper as well.</w:t>
      </w:r>
      <w:r w:rsidRPr="00C4485E">
        <w:rPr>
          <w:rStyle w:val="FootnoteReference"/>
          <w:rFonts w:cstheme="minorHAnsi"/>
          <w:sz w:val="24"/>
          <w:szCs w:val="24"/>
        </w:rPr>
        <w:footnoteReference w:id="4"/>
      </w:r>
    </w:p>
    <w:p w:rsidR="00C4485E" w:rsidRPr="00C4485E" w:rsidRDefault="00C4485E" w:rsidP="006F1355">
      <w:pPr>
        <w:jc w:val="both"/>
        <w:rPr>
          <w:rFonts w:cstheme="minorHAnsi"/>
          <w:sz w:val="24"/>
          <w:szCs w:val="24"/>
        </w:rPr>
      </w:pPr>
    </w:p>
    <w:p w:rsidR="00C4485E" w:rsidRPr="00C4485E" w:rsidRDefault="00C4485E" w:rsidP="006F1355">
      <w:pPr>
        <w:outlineLvl w:val="0"/>
        <w:rPr>
          <w:rFonts w:cstheme="minorHAnsi"/>
          <w:b/>
          <w:sz w:val="24"/>
          <w:szCs w:val="24"/>
        </w:rPr>
      </w:pPr>
      <w:r w:rsidRPr="00C4485E">
        <w:rPr>
          <w:rFonts w:cstheme="minorHAnsi"/>
          <w:b/>
          <w:sz w:val="24"/>
          <w:szCs w:val="24"/>
        </w:rPr>
        <w:t>Constructivist pedagogy, immanence, and the learning paradox</w:t>
      </w:r>
    </w:p>
    <w:p w:rsidR="00C4485E" w:rsidRPr="00C4485E" w:rsidRDefault="00C4485E" w:rsidP="006F1355">
      <w:pPr>
        <w:jc w:val="both"/>
        <w:rPr>
          <w:rFonts w:cstheme="minorHAnsi"/>
          <w:sz w:val="24"/>
          <w:szCs w:val="24"/>
        </w:rPr>
      </w:pPr>
      <w:r w:rsidRPr="00C4485E">
        <w:rPr>
          <w:rFonts w:cstheme="minorHAnsi"/>
          <w:sz w:val="24"/>
          <w:szCs w:val="24"/>
        </w:rPr>
        <w:t xml:space="preserve">The reason why teaching – or a certain conception of teaching that is not about the facilitation of learning – seems to have dropped out of the equation, has to do with the fact that constructivism sees the process of learning as </w:t>
      </w:r>
      <w:r w:rsidRPr="00C4485E">
        <w:rPr>
          <w:rFonts w:cstheme="minorHAnsi"/>
          <w:i/>
          <w:sz w:val="24"/>
          <w:szCs w:val="24"/>
        </w:rPr>
        <w:t>immanent</w:t>
      </w:r>
      <w:r w:rsidRPr="00C4485E">
        <w:rPr>
          <w:rFonts w:cstheme="minorHAnsi"/>
          <w:sz w:val="24"/>
          <w:szCs w:val="24"/>
        </w:rPr>
        <w:t xml:space="preserve">. Although this already creates problems for constructivism as a theory of learning (see below), it becomes even more of a problem when constructivism gets translated into a pedagogy and becomes part of a theory of education, as one could argue that the very point of education is precisely </w:t>
      </w:r>
      <w:r w:rsidRPr="00C4485E">
        <w:rPr>
          <w:rFonts w:cstheme="minorHAnsi"/>
          <w:i/>
          <w:sz w:val="24"/>
          <w:szCs w:val="24"/>
        </w:rPr>
        <w:t>not</w:t>
      </w:r>
      <w:r w:rsidRPr="00C4485E">
        <w:rPr>
          <w:rFonts w:cstheme="minorHAnsi"/>
          <w:sz w:val="24"/>
          <w:szCs w:val="24"/>
        </w:rPr>
        <w:t xml:space="preserve"> to repeat what is already there but to bring something new to the scene. This is, of course, an old discussion in the educational literature, one that goes straight back to Plato’s </w:t>
      </w:r>
      <w:r w:rsidRPr="00C4485E">
        <w:rPr>
          <w:rFonts w:cstheme="minorHAnsi"/>
          <w:i/>
          <w:sz w:val="24"/>
          <w:szCs w:val="24"/>
        </w:rPr>
        <w:t>Meno</w:t>
      </w:r>
      <w:r w:rsidRPr="00C4485E">
        <w:rPr>
          <w:rFonts w:cstheme="minorHAnsi"/>
          <w:sz w:val="24"/>
          <w:szCs w:val="24"/>
        </w:rPr>
        <w:t>, to Socrates and to the learning paradox</w:t>
      </w:r>
      <w:r w:rsidRPr="00C4485E">
        <w:rPr>
          <w:rStyle w:val="FootnoteReference"/>
          <w:rFonts w:cstheme="minorHAnsi"/>
          <w:sz w:val="24"/>
          <w:szCs w:val="24"/>
        </w:rPr>
        <w:footnoteReference w:id="5"/>
      </w:r>
      <w:r w:rsidRPr="00C4485E">
        <w:rPr>
          <w:rFonts w:cstheme="minorHAnsi"/>
          <w:sz w:val="24"/>
          <w:szCs w:val="24"/>
        </w:rPr>
        <w:t xml:space="preserve"> – and many authors do indeed conceive of Socrates and Plato as “the first constructivists in education” (Nola &amp; Irzik 2005, p. 105) or, to be more </w:t>
      </w:r>
      <w:r w:rsidRPr="00C4485E">
        <w:rPr>
          <w:rFonts w:cstheme="minorHAnsi"/>
          <w:sz w:val="24"/>
          <w:szCs w:val="24"/>
        </w:rPr>
        <w:lastRenderedPageBreak/>
        <w:t xml:space="preserve">precise, as the first ones enacting a constructivist </w:t>
      </w:r>
      <w:r w:rsidRPr="00C4485E">
        <w:rPr>
          <w:rFonts w:cstheme="minorHAnsi"/>
          <w:i/>
          <w:sz w:val="24"/>
          <w:szCs w:val="24"/>
        </w:rPr>
        <w:t>pedagogy</w:t>
      </w:r>
      <w:r w:rsidRPr="00C4485E">
        <w:rPr>
          <w:rFonts w:cstheme="minorHAnsi"/>
          <w:sz w:val="24"/>
          <w:szCs w:val="24"/>
        </w:rPr>
        <w:t>.</w:t>
      </w:r>
      <w:r w:rsidRPr="00C4485E">
        <w:rPr>
          <w:rStyle w:val="FootnoteReference"/>
          <w:rFonts w:cstheme="minorHAnsi"/>
          <w:sz w:val="24"/>
          <w:szCs w:val="24"/>
        </w:rPr>
        <w:footnoteReference w:id="6"/>
      </w:r>
      <w:r w:rsidRPr="00C4485E">
        <w:rPr>
          <w:rFonts w:cstheme="minorHAnsi"/>
          <w:sz w:val="24"/>
          <w:szCs w:val="24"/>
        </w:rPr>
        <w:t xml:space="preserve"> Socrates’s way out of the learning paradox is to argue that all learning is a matter of </w:t>
      </w:r>
      <w:r w:rsidRPr="00C4485E">
        <w:rPr>
          <w:rFonts w:cstheme="minorHAnsi"/>
          <w:i/>
          <w:sz w:val="24"/>
          <w:szCs w:val="24"/>
        </w:rPr>
        <w:t>recollection</w:t>
      </w:r>
      <w:r w:rsidRPr="00C4485E">
        <w:rPr>
          <w:rFonts w:cstheme="minorHAnsi"/>
          <w:sz w:val="24"/>
          <w:szCs w:val="24"/>
        </w:rPr>
        <w:t xml:space="preserve">. This is why he can deny that he has anything to teach and is involved in teaching. It is also why he represents his educational efforts as entirely </w:t>
      </w:r>
      <w:r w:rsidRPr="00C4485E">
        <w:rPr>
          <w:rFonts w:cstheme="minorHAnsi"/>
          <w:i/>
          <w:sz w:val="24"/>
          <w:szCs w:val="24"/>
        </w:rPr>
        <w:t>maieutic</w:t>
      </w:r>
      <w:r w:rsidRPr="00C4485E">
        <w:rPr>
          <w:rFonts w:cstheme="minorHAnsi"/>
          <w:sz w:val="24"/>
          <w:szCs w:val="24"/>
        </w:rPr>
        <w:t>: bringing out what is already there.</w:t>
      </w:r>
    </w:p>
    <w:p w:rsidR="00C4485E" w:rsidRPr="00C4485E" w:rsidRDefault="00C4485E" w:rsidP="006F1355">
      <w:pPr>
        <w:jc w:val="both"/>
        <w:rPr>
          <w:rFonts w:cstheme="minorHAnsi"/>
          <w:sz w:val="24"/>
          <w:szCs w:val="24"/>
        </w:rPr>
      </w:pPr>
    </w:p>
    <w:p w:rsidR="00C4485E" w:rsidRPr="00C4485E" w:rsidRDefault="00C4485E" w:rsidP="006F1355">
      <w:pPr>
        <w:jc w:val="both"/>
        <w:rPr>
          <w:rStyle w:val="hw"/>
          <w:rFonts w:cstheme="minorHAnsi"/>
          <w:b/>
          <w:bCs/>
          <w:sz w:val="24"/>
          <w:szCs w:val="24"/>
        </w:rPr>
      </w:pPr>
      <w:r w:rsidRPr="00C4485E">
        <w:rPr>
          <w:rStyle w:val="hw"/>
          <w:rFonts w:cstheme="minorHAnsi"/>
          <w:bCs/>
          <w:sz w:val="24"/>
          <w:szCs w:val="24"/>
        </w:rPr>
        <w:t xml:space="preserve">It is not too difficult to see the connection with constructivism, not only in terms of the theory of learning but also with regard to the vanishing role of the teacher. But whereas Socrates </w:t>
      </w:r>
      <w:r w:rsidRPr="00C4485E">
        <w:rPr>
          <w:rStyle w:val="hw"/>
          <w:rFonts w:cstheme="minorHAnsi"/>
          <w:bCs/>
          <w:i/>
          <w:sz w:val="24"/>
          <w:szCs w:val="24"/>
        </w:rPr>
        <w:t>says</w:t>
      </w:r>
      <w:r w:rsidRPr="00C4485E">
        <w:rPr>
          <w:rStyle w:val="hw"/>
          <w:rFonts w:cstheme="minorHAnsi"/>
          <w:bCs/>
          <w:sz w:val="24"/>
          <w:szCs w:val="24"/>
        </w:rPr>
        <w:t xml:space="preserve"> that he is not involved in any teaching and, by doing so even wishes to deny the very possibility of teaching, this is not consistent with what he actually </w:t>
      </w:r>
      <w:r w:rsidRPr="00C4485E">
        <w:rPr>
          <w:rStyle w:val="hw"/>
          <w:rFonts w:cstheme="minorHAnsi"/>
          <w:bCs/>
          <w:i/>
          <w:sz w:val="24"/>
          <w:szCs w:val="24"/>
        </w:rPr>
        <w:t>does</w:t>
      </w:r>
      <w:r w:rsidRPr="00C4485E">
        <w:rPr>
          <w:rStyle w:val="hw"/>
          <w:rFonts w:cstheme="minorHAnsi"/>
          <w:bCs/>
          <w:sz w:val="24"/>
          <w:szCs w:val="24"/>
        </w:rPr>
        <w:t xml:space="preserve">. Sharon Todd, whose argument I follow here, argues in her book </w:t>
      </w:r>
      <w:r w:rsidRPr="00C4485E">
        <w:rPr>
          <w:rStyle w:val="hw"/>
          <w:rFonts w:cstheme="minorHAnsi"/>
          <w:bCs/>
          <w:i/>
          <w:sz w:val="24"/>
          <w:szCs w:val="24"/>
        </w:rPr>
        <w:t>Learning from the other</w:t>
      </w:r>
      <w:r w:rsidRPr="00C4485E">
        <w:rPr>
          <w:rStyle w:val="hw"/>
          <w:rFonts w:cstheme="minorHAnsi"/>
          <w:bCs/>
          <w:sz w:val="24"/>
          <w:szCs w:val="24"/>
        </w:rPr>
        <w:t>, that Socrates “cannot simply be taken at his word” (Todd 2003, p. 23) and shows, through a subtle reading of the Meno, that there is actually quite a lot of teaching going on in the way in which Socrates tries to convince Meno’s slave boy that he already possesses the knowledge he did not realize he possessed. Todd particularly highlights the teaching performed by Socrates that has an impact on the slave boy’s identity, a process through which the slave boy is being taught that he is indeed a slave boy, and also the process through which the slave boy is being taught that he is a learner, that is, a “subject of pedagogy” (ibid., p. 24). Todd thus presents Socrates as “the teacher, who, like the perfect murderer, makes it appear that teaching has not taken place, who leaves the scene without a trace, and who, moreover, is convinced of his own innocence” (ibid.). She adds, however, that by proclaiming his questions to be innocent, Socrates actually “obscures the fundamental structures of alteration and asymmetry that are present between teacher and student” (ibid., p. 25).</w:t>
      </w:r>
    </w:p>
    <w:p w:rsidR="00C4485E" w:rsidRPr="00C4485E" w:rsidRDefault="00C4485E" w:rsidP="006F1355">
      <w:pPr>
        <w:jc w:val="both"/>
        <w:rPr>
          <w:rStyle w:val="hw"/>
          <w:rFonts w:cstheme="minorHAnsi"/>
          <w:bCs/>
          <w:sz w:val="24"/>
          <w:szCs w:val="24"/>
        </w:rPr>
      </w:pPr>
    </w:p>
    <w:p w:rsidR="00C4485E" w:rsidRPr="00C4485E" w:rsidRDefault="00C4485E" w:rsidP="006F1355">
      <w:pPr>
        <w:jc w:val="both"/>
        <w:rPr>
          <w:rStyle w:val="hw"/>
          <w:rFonts w:cstheme="minorHAnsi"/>
          <w:bCs/>
          <w:sz w:val="24"/>
          <w:szCs w:val="24"/>
        </w:rPr>
      </w:pPr>
      <w:r w:rsidRPr="00C4485E">
        <w:rPr>
          <w:rStyle w:val="hw"/>
          <w:rFonts w:cstheme="minorHAnsi"/>
          <w:bCs/>
          <w:sz w:val="24"/>
          <w:szCs w:val="24"/>
        </w:rPr>
        <w:t xml:space="preserve">Todd’s reading provides support for the suggestion that the idea of teaching only has meaning if it carries with it a notion of ‘transcendence,’ that is, if it is understood as something that comes from the outside and </w:t>
      </w:r>
      <w:r w:rsidRPr="00C4485E">
        <w:rPr>
          <w:rStyle w:val="hw"/>
          <w:rFonts w:cstheme="minorHAnsi"/>
          <w:bCs/>
          <w:i/>
          <w:sz w:val="24"/>
          <w:szCs w:val="24"/>
        </w:rPr>
        <w:t>adds</w:t>
      </w:r>
      <w:r w:rsidRPr="00C4485E">
        <w:rPr>
          <w:rStyle w:val="hw"/>
          <w:rFonts w:cstheme="minorHAnsi"/>
          <w:bCs/>
          <w:sz w:val="24"/>
          <w:szCs w:val="24"/>
        </w:rPr>
        <w:t xml:space="preserve"> rather than that it just confirms what is already there. Her argument also shows that the shift from teaching to learning is in a sense ideological, in that it hides the teaching that goes on under the name of Socratic questioning. To highlight what I see as the transcendent dimension of teaching, Todd turns to Levinas who indeed makes the claim that “(t)eaching is not reducible to maieutics [but] comes from the exterior and brings me more than I contain” (Levinas 1969, p.51). Todd explains that the view of teaching as bringing more than I contain “is antithetical to the Socratic method that so predominates dialogical approaches to educational practice, where teaching is viewed as ‘bringing out of the I that which it already contains’” (Todd 2003, p. 30)</w:t>
      </w:r>
      <w:r w:rsidRPr="00C4485E">
        <w:rPr>
          <w:rStyle w:val="FootnoteReference"/>
          <w:rFonts w:cstheme="minorHAnsi"/>
          <w:bCs/>
          <w:sz w:val="24"/>
          <w:szCs w:val="24"/>
        </w:rPr>
        <w:t>.</w:t>
      </w:r>
      <w:r w:rsidRPr="00C4485E">
        <w:rPr>
          <w:rStyle w:val="hw"/>
          <w:rFonts w:cstheme="minorHAnsi"/>
          <w:bCs/>
          <w:sz w:val="24"/>
          <w:szCs w:val="24"/>
        </w:rPr>
        <w:t xml:space="preserve"> This is why she concludes that “(t)he maieutic model erases the significance of the Other and claims that learning is a recovery contained within the I, rather than a disruption of the I provoked by the Other in a moment of sociality” (ibid.; see also Biesta 2009).</w:t>
      </w:r>
    </w:p>
    <w:p w:rsidR="00C4485E" w:rsidRPr="00C4485E" w:rsidRDefault="00C4485E" w:rsidP="006F1355">
      <w:pPr>
        <w:jc w:val="both"/>
        <w:rPr>
          <w:rStyle w:val="hw"/>
          <w:rFonts w:cstheme="minorHAnsi"/>
          <w:bCs/>
          <w:sz w:val="24"/>
          <w:szCs w:val="24"/>
        </w:rPr>
      </w:pPr>
    </w:p>
    <w:p w:rsidR="00C4485E" w:rsidRPr="00C4485E" w:rsidRDefault="00C4485E" w:rsidP="006F1355">
      <w:pPr>
        <w:jc w:val="both"/>
        <w:rPr>
          <w:rStyle w:val="hw"/>
          <w:rFonts w:cstheme="minorHAnsi"/>
          <w:bCs/>
          <w:sz w:val="24"/>
          <w:szCs w:val="24"/>
        </w:rPr>
      </w:pPr>
      <w:r w:rsidRPr="00C4485E">
        <w:rPr>
          <w:rStyle w:val="hw"/>
          <w:rFonts w:cstheme="minorHAnsi"/>
          <w:bCs/>
          <w:sz w:val="24"/>
          <w:szCs w:val="24"/>
        </w:rPr>
        <w:t>Todd’s argumentation makes a</w:t>
      </w:r>
      <w:r w:rsidR="004C08C4">
        <w:rPr>
          <w:rStyle w:val="hw"/>
          <w:rFonts w:cstheme="minorHAnsi"/>
          <w:bCs/>
          <w:sz w:val="24"/>
          <w:szCs w:val="24"/>
        </w:rPr>
        <w:t xml:space="preserve">n important </w:t>
      </w:r>
      <w:r w:rsidRPr="00C4485E">
        <w:rPr>
          <w:rStyle w:val="hw"/>
          <w:rFonts w:cstheme="minorHAnsi"/>
          <w:bCs/>
          <w:sz w:val="24"/>
          <w:szCs w:val="24"/>
        </w:rPr>
        <w:t xml:space="preserve">contribution to understanding the significance of the idea of transcendence in teaching. Yet there are two aspects that, in my view, need expansion. One is relatively minor. Todd focuses her argument strongly on the idea of ‘learning to become’ – a notion inspired by Sigmund Freud and Cornelius Castoriadis. While 'becoming' may be part of what happens as a result of learning, I do not think that it is the </w:t>
      </w:r>
      <w:r w:rsidRPr="00C4485E">
        <w:rPr>
          <w:rStyle w:val="hw"/>
          <w:rFonts w:cstheme="minorHAnsi"/>
          <w:bCs/>
          <w:sz w:val="24"/>
          <w:szCs w:val="24"/>
        </w:rPr>
        <w:lastRenderedPageBreak/>
        <w:t>only thing that matters in education – and to a certain extent I would even want to question the suggestion that we need to learn in order to become (see also Biesta in press). This is why I would disagree with the statement from Castoriadis, quoted by Todd, in which he argues that “(t)he point of pedagogy is not to teach particular things, but to develop in the subject the capacity to learn” (Todd 2003, p. 19). I would like to place a stronger emphasis on the ‘act’ of teaching and take a broader view of what the purposes of teaching can be (see also Biesta 2010, chapter 1), which for me would include the teaching of ‘particular things.’</w:t>
      </w:r>
    </w:p>
    <w:p w:rsidR="00C4485E" w:rsidRPr="00C4485E" w:rsidRDefault="00C4485E" w:rsidP="006F1355">
      <w:pPr>
        <w:jc w:val="both"/>
        <w:rPr>
          <w:rStyle w:val="hw"/>
          <w:rFonts w:cstheme="minorHAnsi"/>
          <w:bCs/>
          <w:sz w:val="24"/>
          <w:szCs w:val="24"/>
        </w:rPr>
      </w:pPr>
    </w:p>
    <w:p w:rsidR="00C4485E" w:rsidRPr="00C4485E" w:rsidRDefault="00C4485E" w:rsidP="006F1355">
      <w:pPr>
        <w:jc w:val="both"/>
        <w:rPr>
          <w:rStyle w:val="hw"/>
          <w:rFonts w:cstheme="minorHAnsi"/>
          <w:bCs/>
          <w:sz w:val="24"/>
          <w:szCs w:val="24"/>
        </w:rPr>
      </w:pPr>
      <w:r w:rsidRPr="00C4485E">
        <w:rPr>
          <w:rStyle w:val="hw"/>
          <w:rFonts w:cstheme="minorHAnsi"/>
          <w:bCs/>
          <w:sz w:val="24"/>
          <w:szCs w:val="24"/>
        </w:rPr>
        <w:t xml:space="preserve">The more important issue, however, has to do with the way in which the notion of ‘transcendence’ figures in the discussion – and my point here is not to criticize Todd but to notice the particular use of this notion and then make a suggestion to take this a step further. What is interesting about Todd’s discussion is that, with Levinas, she does indeed engage explicitly with the idea of ‘transcendence.’ Yet this transcendence is always brought back to – or perhaps we could say contained within – the idea of the Other, understood as “a specific, embodied individual” (Todd 2003, p. 47, note 1). While Todd emphasizes that what Levinas means by the Other is not simply “a sociological ‘Other’ who is marginalized or maligned,” nor “another person who, as a subject, resembles myself,” and while she quotes Levinas in saying that “the Other is what I myself am not” (ibid., p. 29), the Other that transcends the self, either as teacher or as another from whom we can 'learn to become,' only seems to figure in the discussion as a </w:t>
      </w:r>
      <w:r w:rsidRPr="00C4485E">
        <w:rPr>
          <w:rStyle w:val="hw"/>
          <w:rFonts w:cstheme="minorHAnsi"/>
          <w:bCs/>
          <w:i/>
          <w:sz w:val="24"/>
          <w:szCs w:val="24"/>
        </w:rPr>
        <w:t>human</w:t>
      </w:r>
      <w:r w:rsidRPr="00C4485E">
        <w:rPr>
          <w:rStyle w:val="hw"/>
          <w:rFonts w:cstheme="minorHAnsi"/>
          <w:bCs/>
          <w:sz w:val="24"/>
          <w:szCs w:val="24"/>
        </w:rPr>
        <w:t xml:space="preserve"> other. The issue I wish to raise here is not whether this, in itself, poses a problem – one could even argue that this is precisely what is distinctive about Levinas’s notion of transcendence (see below). The issue is rather whether, when we say that the other is what I myself am not, this otherness can be contained to concrete and identifiable other human beings, or whether we should be open to the possibility that something more radically different might break through. The question here is, therefore, how we might think transcendence which, as I will suggest, also raises the question how we might transcend thinking – particularly the thinking of what ‘is’ transcendent. It is to this question that I now turn.</w:t>
      </w:r>
    </w:p>
    <w:p w:rsidR="00C4485E" w:rsidRPr="00C4485E" w:rsidRDefault="00C4485E" w:rsidP="006F1355">
      <w:pPr>
        <w:outlineLvl w:val="0"/>
        <w:rPr>
          <w:rStyle w:val="hw"/>
          <w:rFonts w:cstheme="minorHAnsi"/>
          <w:b/>
          <w:bCs/>
          <w:sz w:val="24"/>
          <w:szCs w:val="24"/>
        </w:rPr>
      </w:pPr>
    </w:p>
    <w:p w:rsidR="00C4485E" w:rsidRPr="00C4485E" w:rsidRDefault="00C4485E" w:rsidP="006F1355">
      <w:pPr>
        <w:outlineLvl w:val="0"/>
        <w:rPr>
          <w:rStyle w:val="hw"/>
          <w:rFonts w:cstheme="minorHAnsi"/>
          <w:b/>
          <w:bCs/>
          <w:sz w:val="24"/>
          <w:szCs w:val="24"/>
        </w:rPr>
      </w:pPr>
      <w:r w:rsidRPr="00C4485E">
        <w:rPr>
          <w:rStyle w:val="hw"/>
          <w:rFonts w:cstheme="minorHAnsi"/>
          <w:b/>
          <w:bCs/>
          <w:sz w:val="24"/>
          <w:szCs w:val="24"/>
        </w:rPr>
        <w:t>Thinking transcendence, transcending thinking</w:t>
      </w:r>
    </w:p>
    <w:p w:rsidR="00C4485E" w:rsidRPr="00C4485E" w:rsidRDefault="00C4485E" w:rsidP="006F1355">
      <w:pPr>
        <w:jc w:val="both"/>
        <w:rPr>
          <w:rStyle w:val="hw"/>
          <w:rFonts w:cstheme="minorHAnsi"/>
          <w:bCs/>
          <w:sz w:val="24"/>
          <w:szCs w:val="24"/>
        </w:rPr>
      </w:pPr>
      <w:r w:rsidRPr="00C4485E">
        <w:rPr>
          <w:rStyle w:val="hw"/>
          <w:rFonts w:cstheme="minorHAnsi"/>
          <w:bCs/>
          <w:sz w:val="24"/>
          <w:szCs w:val="24"/>
        </w:rPr>
        <w:t xml:space="preserve">My guide in extending the idea of transcendence a little is a recent book by Merold Westphal called </w:t>
      </w:r>
      <w:r w:rsidRPr="00C4485E">
        <w:rPr>
          <w:rStyle w:val="hw"/>
          <w:rFonts w:cstheme="minorHAnsi"/>
          <w:bCs/>
          <w:i/>
          <w:sz w:val="24"/>
          <w:szCs w:val="24"/>
        </w:rPr>
        <w:t xml:space="preserve">Levinas and Kierkegaard in Dialogue </w:t>
      </w:r>
      <w:r w:rsidRPr="00C4485E">
        <w:rPr>
          <w:rStyle w:val="hw"/>
          <w:rFonts w:cstheme="minorHAnsi"/>
          <w:bCs/>
          <w:sz w:val="24"/>
          <w:szCs w:val="24"/>
        </w:rPr>
        <w:t xml:space="preserve">(Westphal 2008). In the book Westphal brings the ideas of these two thinkers ‘in conversation’ precisely around the theme of transcendence (see also Henriksen 2010). One of the central claims of the book is that both for Levinas and for Kierkegaard transcendence involves more than only the otherness of other human beings. Yet while Levinas and Kierkegaard agree “that the transcendence and alterity that deserve to be called divine are not to be found in the realm of theoretical knowledge [but] occur in the decentering of the cognitive self by a command that comes from on high” they disagree “in that Levinas insists that the neighbor is always the middle term between me and God, while Kierkegaard insists that it is God who is always the middle term between me and my neighbor” (ibid., p. 5). </w:t>
      </w:r>
    </w:p>
    <w:p w:rsidR="00C4485E" w:rsidRPr="00C4485E" w:rsidRDefault="00C4485E" w:rsidP="006F1355">
      <w:pPr>
        <w:jc w:val="both"/>
        <w:rPr>
          <w:rStyle w:val="hw"/>
          <w:rFonts w:cstheme="minorHAnsi"/>
          <w:bCs/>
          <w:sz w:val="24"/>
          <w:szCs w:val="24"/>
        </w:rPr>
      </w:pPr>
    </w:p>
    <w:p w:rsidR="00C4485E" w:rsidRPr="00C4485E" w:rsidRDefault="00C4485E" w:rsidP="006F1355">
      <w:pPr>
        <w:jc w:val="both"/>
        <w:rPr>
          <w:rStyle w:val="hw"/>
          <w:rFonts w:cstheme="minorHAnsi"/>
          <w:bCs/>
          <w:sz w:val="24"/>
          <w:szCs w:val="24"/>
        </w:rPr>
      </w:pPr>
      <w:r w:rsidRPr="00C4485E">
        <w:rPr>
          <w:rStyle w:val="hw"/>
          <w:rFonts w:cstheme="minorHAnsi"/>
          <w:bCs/>
          <w:sz w:val="24"/>
          <w:szCs w:val="24"/>
        </w:rPr>
        <w:t xml:space="preserve">In the first two chapters of his book Westphal discusses this through the notion of ‘revelation.’ What is interesting for our discussion is that Kierkegaard, under the pseudonym of Johannes Climacus, explores the idea of revelation through a discussion of the Meno, focusing on the question whether it is possible to think of teaching outside of, and different </w:t>
      </w:r>
      <w:r w:rsidRPr="00C4485E">
        <w:rPr>
          <w:rStyle w:val="hw"/>
          <w:rFonts w:cstheme="minorHAnsi"/>
          <w:bCs/>
          <w:sz w:val="24"/>
          <w:szCs w:val="24"/>
        </w:rPr>
        <w:lastRenderedPageBreak/>
        <w:t xml:space="preserve">from, the idea of maieutics (see </w:t>
      </w:r>
      <w:r w:rsidR="004C08C4">
        <w:rPr>
          <w:rStyle w:val="hw"/>
          <w:rFonts w:cstheme="minorHAnsi"/>
          <w:bCs/>
          <w:sz w:val="24"/>
          <w:szCs w:val="24"/>
        </w:rPr>
        <w:t>Kierkegaard</w:t>
      </w:r>
      <w:r w:rsidRPr="00C4485E">
        <w:rPr>
          <w:rStyle w:val="hw"/>
          <w:rFonts w:cstheme="minorHAnsi"/>
          <w:bCs/>
          <w:sz w:val="24"/>
          <w:szCs w:val="24"/>
        </w:rPr>
        <w:t xml:space="preserve"> 1985). Whereas the maieutic conception of teaching sees teaching as </w:t>
      </w:r>
      <w:r w:rsidRPr="00C4485E">
        <w:rPr>
          <w:rStyle w:val="hw"/>
          <w:rFonts w:cstheme="minorHAnsi"/>
          <w:bCs/>
          <w:i/>
          <w:sz w:val="24"/>
          <w:szCs w:val="24"/>
        </w:rPr>
        <w:t>accidental</w:t>
      </w:r>
      <w:r w:rsidRPr="00C4485E">
        <w:rPr>
          <w:rStyle w:val="hw"/>
          <w:rFonts w:cstheme="minorHAnsi"/>
          <w:bCs/>
          <w:sz w:val="24"/>
          <w:szCs w:val="24"/>
        </w:rPr>
        <w:t xml:space="preserve"> to learning, Climacus asks, by way of a 'thought-project' (ibid., p. 9), “(w)hat would have to be true </w:t>
      </w:r>
      <w:r w:rsidRPr="00C4485E">
        <w:rPr>
          <w:rStyle w:val="hw"/>
          <w:rFonts w:cstheme="minorHAnsi"/>
          <w:bCs/>
          <w:i/>
          <w:sz w:val="24"/>
          <w:szCs w:val="24"/>
        </w:rPr>
        <w:t>if</w:t>
      </w:r>
      <w:r w:rsidRPr="00C4485E">
        <w:rPr>
          <w:rStyle w:val="hw"/>
          <w:rFonts w:cstheme="minorHAnsi"/>
          <w:bCs/>
          <w:sz w:val="24"/>
          <w:szCs w:val="24"/>
        </w:rPr>
        <w:t xml:space="preserve"> there were to be an alternative to Socrates’s account of knowledge as recollection, </w:t>
      </w:r>
      <w:r w:rsidRPr="00C4485E">
        <w:rPr>
          <w:rStyle w:val="hw"/>
          <w:rFonts w:cstheme="minorHAnsi"/>
          <w:bCs/>
          <w:i/>
          <w:sz w:val="24"/>
          <w:szCs w:val="24"/>
        </w:rPr>
        <w:t>if</w:t>
      </w:r>
      <w:r w:rsidRPr="00C4485E">
        <w:rPr>
          <w:rStyle w:val="hw"/>
          <w:rFonts w:cstheme="minorHAnsi"/>
          <w:bCs/>
          <w:sz w:val="24"/>
          <w:szCs w:val="24"/>
        </w:rPr>
        <w:t xml:space="preserve"> the teacher were really to teach so that the relation to the teacher would be essential rather than accidental” (Westphal 2008, p. 25). The answer Kierkegaard develo</w:t>
      </w:r>
      <w:r w:rsidR="00C77C47">
        <w:rPr>
          <w:rStyle w:val="hw"/>
          <w:rFonts w:cstheme="minorHAnsi"/>
          <w:bCs/>
          <w:sz w:val="24"/>
          <w:szCs w:val="24"/>
        </w:rPr>
        <w:t>p</w:t>
      </w:r>
      <w:r w:rsidRPr="00C4485E">
        <w:rPr>
          <w:rStyle w:val="hw"/>
          <w:rFonts w:cstheme="minorHAnsi"/>
          <w:bCs/>
          <w:sz w:val="24"/>
          <w:szCs w:val="24"/>
        </w:rPr>
        <w:t xml:space="preserve">s is that the teacher not only needs to give the learner the truth but also needs to give the learner “the condition of recognizing it as truth,” because “if the learner were himself the condition for understanding the truth, then he merely needs to recollect” (ibid., p. 25; see also </w:t>
      </w:r>
      <w:r w:rsidR="004C08C4">
        <w:rPr>
          <w:rStyle w:val="hw"/>
          <w:rFonts w:cstheme="minorHAnsi"/>
          <w:bCs/>
          <w:sz w:val="24"/>
          <w:szCs w:val="24"/>
        </w:rPr>
        <w:t>Kierkegaard</w:t>
      </w:r>
      <w:r w:rsidRPr="00C4485E">
        <w:rPr>
          <w:rStyle w:val="hw"/>
          <w:rFonts w:cstheme="minorHAnsi"/>
          <w:bCs/>
          <w:sz w:val="24"/>
          <w:szCs w:val="24"/>
        </w:rPr>
        <w:t xml:space="preserve"> 1985, p. 14). This ‘double truth giving’ is what Climacus characterizes as </w:t>
      </w:r>
      <w:r w:rsidRPr="00C4485E">
        <w:rPr>
          <w:rStyle w:val="hw"/>
          <w:rFonts w:cstheme="minorHAnsi"/>
          <w:bCs/>
          <w:i/>
          <w:sz w:val="24"/>
          <w:szCs w:val="24"/>
        </w:rPr>
        <w:t>revelation</w:t>
      </w:r>
      <w:r w:rsidRPr="00C4485E">
        <w:rPr>
          <w:rStyle w:val="hw"/>
          <w:rFonts w:cstheme="minorHAnsi"/>
          <w:bCs/>
          <w:sz w:val="24"/>
          <w:szCs w:val="24"/>
        </w:rPr>
        <w:t xml:space="preserve">. Revelation therefore means not merely “that the teacher presents the learner with some knowledge not already possessed, but more importantly, also [with] the condition for recognizing it as truth” as it is only in the latter case that “the relation to the teacher becomes </w:t>
      </w:r>
      <w:r w:rsidRPr="00C4485E">
        <w:rPr>
          <w:rStyle w:val="hw"/>
          <w:rFonts w:cstheme="minorHAnsi"/>
          <w:bCs/>
          <w:i/>
          <w:sz w:val="24"/>
          <w:szCs w:val="24"/>
        </w:rPr>
        <w:t xml:space="preserve">essential” </w:t>
      </w:r>
      <w:r w:rsidRPr="00C4485E">
        <w:rPr>
          <w:rStyle w:val="hw"/>
          <w:rFonts w:cstheme="minorHAnsi"/>
          <w:bCs/>
          <w:sz w:val="24"/>
          <w:szCs w:val="24"/>
        </w:rPr>
        <w:t>(Westphal 2008, p. 25; emphasis added).</w:t>
      </w:r>
    </w:p>
    <w:p w:rsidR="00C4485E" w:rsidRPr="00C4485E" w:rsidRDefault="00C4485E" w:rsidP="006F1355">
      <w:pPr>
        <w:jc w:val="both"/>
        <w:rPr>
          <w:rStyle w:val="hw"/>
          <w:rFonts w:cstheme="minorHAnsi"/>
          <w:bCs/>
          <w:sz w:val="24"/>
          <w:szCs w:val="24"/>
        </w:rPr>
      </w:pPr>
    </w:p>
    <w:p w:rsidR="00C4485E" w:rsidRPr="00C4485E" w:rsidRDefault="00C4485E" w:rsidP="006F1355">
      <w:pPr>
        <w:jc w:val="both"/>
        <w:rPr>
          <w:rStyle w:val="hw"/>
          <w:rFonts w:cstheme="minorHAnsi"/>
          <w:bCs/>
          <w:sz w:val="24"/>
          <w:szCs w:val="24"/>
        </w:rPr>
      </w:pPr>
      <w:r w:rsidRPr="00C4485E">
        <w:rPr>
          <w:rStyle w:val="hw"/>
          <w:rFonts w:cstheme="minorHAnsi"/>
          <w:bCs/>
          <w:sz w:val="24"/>
          <w:szCs w:val="24"/>
        </w:rPr>
        <w:t xml:space="preserve">Climacus helps us see that a notion of teaching that is essential rather than accidental to learning, is not simply about presenting students with something they do not yet know. It rather is about presenting students with something that “is neither derivable from nor validated by what [they] already know" (ibid., p.26), but that truly transcends what they already know. As Westphal explains: “For both Kierkegaard and Levinas the knowledge that deserves to be called revelation is independent of the ‘already saids’ that are the condition for our recognition of the truth as such” (ibid.). This is why Levinas writes that Socratic teaching is characterized by the “primacy of the same,” that is, “to receive nothing of the Other but what is in me, as though from all eternity I was in possession of what comes to me from the outside.” (Levinas 1969, p. 43). In contrast to this, Levinas is after a relationship in which I receive from the other “beyond the capacity of the I” – which not only means “to have an idea of infinity” but also means “to be taught” (ibid., p. 51). And it is this teaching which can be called </w:t>
      </w:r>
      <w:r w:rsidRPr="00C4485E">
        <w:rPr>
          <w:rStyle w:val="hw"/>
          <w:rFonts w:cstheme="minorHAnsi"/>
          <w:bCs/>
          <w:i/>
          <w:sz w:val="24"/>
          <w:szCs w:val="24"/>
        </w:rPr>
        <w:t>revelation</w:t>
      </w:r>
      <w:r w:rsidRPr="00C4485E">
        <w:rPr>
          <w:rStyle w:val="hw"/>
          <w:rFonts w:cstheme="minorHAnsi"/>
          <w:bCs/>
          <w:sz w:val="24"/>
          <w:szCs w:val="24"/>
        </w:rPr>
        <w:t xml:space="preserve"> (ibid., p. 67). </w:t>
      </w:r>
    </w:p>
    <w:p w:rsidR="00C4485E" w:rsidRPr="00C4485E" w:rsidRDefault="00C4485E" w:rsidP="006F1355">
      <w:pPr>
        <w:jc w:val="both"/>
        <w:rPr>
          <w:rStyle w:val="hw"/>
          <w:rFonts w:cstheme="minorHAnsi"/>
          <w:bCs/>
          <w:sz w:val="24"/>
          <w:szCs w:val="24"/>
        </w:rPr>
      </w:pPr>
    </w:p>
    <w:p w:rsidR="00C4485E" w:rsidRPr="00C4485E" w:rsidRDefault="00C4485E" w:rsidP="006F1355">
      <w:pPr>
        <w:jc w:val="both"/>
        <w:rPr>
          <w:rStyle w:val="hw"/>
          <w:rFonts w:cstheme="minorHAnsi"/>
          <w:bCs/>
          <w:sz w:val="24"/>
          <w:szCs w:val="24"/>
        </w:rPr>
      </w:pPr>
      <w:r w:rsidRPr="00C4485E">
        <w:rPr>
          <w:rStyle w:val="hw"/>
          <w:rFonts w:cstheme="minorHAnsi"/>
          <w:bCs/>
          <w:sz w:val="24"/>
          <w:szCs w:val="24"/>
        </w:rPr>
        <w:t xml:space="preserve">Westphal notes that both Levinas and Kierkegaard link the notion of revelation to that of </w:t>
      </w:r>
      <w:r w:rsidRPr="00C4485E">
        <w:rPr>
          <w:rStyle w:val="hw"/>
          <w:rFonts w:cstheme="minorHAnsi"/>
          <w:bCs/>
          <w:i/>
          <w:sz w:val="24"/>
          <w:szCs w:val="24"/>
        </w:rPr>
        <w:t>authority</w:t>
      </w:r>
      <w:r w:rsidRPr="00C4485E">
        <w:rPr>
          <w:rStyle w:val="hw"/>
          <w:rFonts w:cstheme="minorHAnsi"/>
          <w:bCs/>
          <w:sz w:val="24"/>
          <w:szCs w:val="24"/>
        </w:rPr>
        <w:t>. After all, if teaching is about presenting students with something that is ‘neither derivable from nor validated by’ what they already know, then they have to take it on the authority of the teacher. The wider significance of this insight lies in the fact that, as Westphal puts it, “for both Levinas and Kierkegaard the basis of the ethical and religious life lies in an authoritative revelation that in its immediacy comes to us from beyond our own powers of recollection” (ibid., p. 26). In the 1965 essay “Phenomenon and Enigma” (Levinas 1987), Levinas refers to this revelation as ‘enigma’ in order to highlight that what is revealed is not a phenomenon, not something that is comprehensible and can be comprehended by me, but rather something that is ‘beyond’ my cognition and comprehension – and therefore even “beyond being” (ibid., p. 62) and “beyond reason.” (ibid., p. 61)</w:t>
      </w:r>
      <w:r w:rsidRPr="00C4485E">
        <w:rPr>
          <w:rStyle w:val="FootnoteReference"/>
          <w:rFonts w:cstheme="minorHAnsi"/>
          <w:bCs/>
          <w:sz w:val="24"/>
          <w:szCs w:val="24"/>
        </w:rPr>
        <w:t>.</w:t>
      </w:r>
      <w:r w:rsidRPr="00C4485E">
        <w:rPr>
          <w:rStyle w:val="hw"/>
          <w:rFonts w:cstheme="minorHAnsi"/>
          <w:bCs/>
          <w:sz w:val="24"/>
          <w:szCs w:val="24"/>
        </w:rPr>
        <w:t xml:space="preserve"> Enigma is about a way of ‘manifesting oneself without manifesting oneself,’ as Levinas puts it. It stands for that which “signifies itself without revealing itself” (ibid., p. 73). It is about God who literally “comes to mind” (Levinas 1998), rather than a mind trying to comprehend God.</w:t>
      </w:r>
    </w:p>
    <w:p w:rsidR="00C4485E" w:rsidRPr="00C4485E" w:rsidRDefault="00C4485E" w:rsidP="006F1355">
      <w:pPr>
        <w:jc w:val="both"/>
        <w:rPr>
          <w:rStyle w:val="hw"/>
          <w:rFonts w:cstheme="minorHAnsi"/>
          <w:bCs/>
          <w:sz w:val="24"/>
          <w:szCs w:val="24"/>
        </w:rPr>
      </w:pPr>
    </w:p>
    <w:p w:rsidR="00C4485E" w:rsidRPr="00C4485E" w:rsidRDefault="00C4485E" w:rsidP="006F1355">
      <w:pPr>
        <w:jc w:val="both"/>
        <w:rPr>
          <w:rStyle w:val="hw"/>
          <w:rFonts w:cstheme="minorHAnsi"/>
          <w:bCs/>
          <w:sz w:val="24"/>
          <w:szCs w:val="24"/>
        </w:rPr>
      </w:pPr>
      <w:r w:rsidRPr="00C4485E">
        <w:rPr>
          <w:rStyle w:val="hw"/>
          <w:rFonts w:cstheme="minorHAnsi"/>
          <w:bCs/>
          <w:sz w:val="24"/>
          <w:szCs w:val="24"/>
        </w:rPr>
        <w:t xml:space="preserve">Westphal shows that with the idea of ‘enigma’ Levinas is both arguing against a logocentric reason that “arbitrarily excludes God from its world” and thus is “dogmatically atheistic” and a logocentric reason that “domesticates God by transforming the divine into a (visible or </w:t>
      </w:r>
      <w:r w:rsidRPr="00C4485E">
        <w:rPr>
          <w:rStyle w:val="hw"/>
          <w:rFonts w:cstheme="minorHAnsi"/>
          <w:bCs/>
          <w:sz w:val="24"/>
          <w:szCs w:val="24"/>
        </w:rPr>
        <w:lastRenderedPageBreak/>
        <w:t xml:space="preserve">intelligible) phenomenon” – a process in which “the divinity of God dissipates” (Westphal 2008, p. 31). The latter point explains why Levinas’s emphasis on the other – on what, above, I have referred to as the </w:t>
      </w:r>
      <w:r w:rsidRPr="00C4485E">
        <w:rPr>
          <w:rStyle w:val="hw"/>
          <w:rFonts w:cstheme="minorHAnsi"/>
          <w:bCs/>
          <w:i/>
          <w:sz w:val="24"/>
          <w:szCs w:val="24"/>
        </w:rPr>
        <w:t>human</w:t>
      </w:r>
      <w:r w:rsidRPr="00C4485E">
        <w:rPr>
          <w:rStyle w:val="hw"/>
          <w:rFonts w:cstheme="minorHAnsi"/>
          <w:bCs/>
          <w:sz w:val="24"/>
          <w:szCs w:val="24"/>
        </w:rPr>
        <w:t xml:space="preserve"> other – does not exclude the possibility of ‘further’ or ‘other’ transcendence, so to speak. What Levinas wants to prevent, is the situation in which (knowledge of) God gets in the way of my hearing the other – which, unlike Kierkegaard, he sees as a bigger problem than the option where the other would get in the way of my seeing God (see ibid., p. 53). This is what Westphal refers to as the idea of the ethical as “the teleological suspension of the religious” (ibid., p. 47). Suspension here is not to be understood as a reduction of the religious to the ethical, but as a negation of its claim to autonomy and self-sufficiency. That is why Westphal writes that “(t)eleological suspension does not eliminate; it relativizes” (ibid.).</w:t>
      </w:r>
    </w:p>
    <w:p w:rsidR="00C4485E" w:rsidRPr="00C4485E" w:rsidRDefault="00C4485E" w:rsidP="006F1355">
      <w:pPr>
        <w:jc w:val="both"/>
        <w:rPr>
          <w:rFonts w:cstheme="minorHAnsi"/>
          <w:sz w:val="24"/>
          <w:szCs w:val="24"/>
        </w:rPr>
      </w:pPr>
    </w:p>
    <w:p w:rsidR="00C4485E" w:rsidRPr="00C4485E" w:rsidRDefault="00C4485E" w:rsidP="006F1355">
      <w:pPr>
        <w:jc w:val="both"/>
        <w:rPr>
          <w:rFonts w:cstheme="minorHAnsi"/>
          <w:sz w:val="24"/>
          <w:szCs w:val="24"/>
        </w:rPr>
      </w:pPr>
      <w:r w:rsidRPr="00C4485E">
        <w:rPr>
          <w:rFonts w:cstheme="minorHAnsi"/>
          <w:sz w:val="24"/>
          <w:szCs w:val="24"/>
        </w:rPr>
        <w:t xml:space="preserve">Westphal provides a strong argument, based on his reading of Levinas’s essay “God and Philosophy” (Levinas 1998, pp. 55-78), why transcendence matters for </w:t>
      </w:r>
      <w:r w:rsidRPr="00C4485E">
        <w:rPr>
          <w:rFonts w:cstheme="minorHAnsi"/>
          <w:i/>
          <w:sz w:val="24"/>
          <w:szCs w:val="24"/>
        </w:rPr>
        <w:t>philosophy</w:t>
      </w:r>
      <w:r w:rsidRPr="00C4485E">
        <w:rPr>
          <w:rFonts w:cstheme="minorHAnsi"/>
          <w:sz w:val="24"/>
          <w:szCs w:val="24"/>
        </w:rPr>
        <w:t xml:space="preserve">. Central to the argument is Levinas’s critique of the idea that philosophy “has a monopoly on meaning and intelligibility” (Westphal 2008, p. 59). To make this point, Levinas stages a distinction between the God of the Bible – who he positions as a God who transcends philosophical thought – and the God of the philosophers. While philosophy, for example in the form of what Levinas calls ‘rational theology,’ tries to capture the meaning of God by pulling God into the domain of being – thus denying and even destroying the very possibility of transcendence (see Levinas 1998, p. 56)  – Levinas tries to keep a place for a meaning “beyond being” (ibid., p. 57). This does </w:t>
      </w:r>
      <w:r w:rsidRPr="00C4485E">
        <w:rPr>
          <w:rFonts w:cstheme="minorHAnsi"/>
          <w:i/>
          <w:sz w:val="24"/>
          <w:szCs w:val="24"/>
        </w:rPr>
        <w:t>not</w:t>
      </w:r>
      <w:r w:rsidRPr="00C4485E">
        <w:rPr>
          <w:rFonts w:cstheme="minorHAnsi"/>
          <w:sz w:val="24"/>
          <w:szCs w:val="24"/>
        </w:rPr>
        <w:t xml:space="preserve"> require that philosophy brings the idea of transcendence within its thought – because by doing that, transcendence would be pulled back into a confined domain of meaning as being – but rather requires that philosophy is transcended, that it is interrupted, that its fundamental </w:t>
      </w:r>
      <w:r w:rsidRPr="00C4485E">
        <w:rPr>
          <w:rFonts w:cstheme="minorHAnsi"/>
          <w:i/>
          <w:sz w:val="24"/>
          <w:szCs w:val="24"/>
        </w:rPr>
        <w:t>in</w:t>
      </w:r>
      <w:r w:rsidRPr="00C4485E">
        <w:rPr>
          <w:rFonts w:cstheme="minorHAnsi"/>
          <w:sz w:val="24"/>
          <w:szCs w:val="24"/>
        </w:rPr>
        <w:t xml:space="preserve">completeness is exposed. Philosophy might try to open itself for such an interruption, although there cannot be any guarantee of success of course, as an interruption that really interrupts always arrives unexpected, as a thief in the night. Philosophy might, of course, also deny the need for transcendence and shield itself off for any possible interruption, thus trying to maintain its self-chosen self-sufficiency. While philosophy might perhaps be forgiven for such a strategy, I do not think that this is viable option for philosophy </w:t>
      </w:r>
      <w:r w:rsidRPr="00C4485E">
        <w:rPr>
          <w:rFonts w:cstheme="minorHAnsi"/>
          <w:i/>
          <w:sz w:val="24"/>
          <w:szCs w:val="24"/>
        </w:rPr>
        <w:t>of education</w:t>
      </w:r>
      <w:r w:rsidRPr="00C4485E">
        <w:rPr>
          <w:rFonts w:cstheme="minorHAnsi"/>
          <w:sz w:val="24"/>
          <w:szCs w:val="24"/>
        </w:rPr>
        <w:t xml:space="preserve"> – if, that is, philosophy of education does not wish to collapse into a philosophy of learning in which teaching has no place. The educational interest, after all, is precisely an interest </w:t>
      </w:r>
      <w:r w:rsidR="005B69F8">
        <w:rPr>
          <w:rFonts w:cstheme="minorHAnsi"/>
          <w:sz w:val="24"/>
          <w:szCs w:val="24"/>
        </w:rPr>
        <w:t xml:space="preserve">into </w:t>
      </w:r>
      <w:r w:rsidRPr="00C4485E">
        <w:rPr>
          <w:rFonts w:cstheme="minorHAnsi"/>
          <w:sz w:val="24"/>
          <w:szCs w:val="24"/>
        </w:rPr>
        <w:t>the coming into the world of what is uniquely and radically new (see Biesta 2010, chapter 4; Winter 2011), which means that philosophy of education must always make place for that which cannot be foreseen as a possibility, that which transcends the realm of the possible.</w:t>
      </w:r>
    </w:p>
    <w:p w:rsidR="00C4485E" w:rsidRPr="00C4485E" w:rsidRDefault="00C4485E" w:rsidP="006F1355">
      <w:pPr>
        <w:jc w:val="both"/>
        <w:rPr>
          <w:rFonts w:cstheme="minorHAnsi"/>
          <w:sz w:val="24"/>
          <w:szCs w:val="24"/>
        </w:rPr>
      </w:pPr>
    </w:p>
    <w:p w:rsidR="00C4485E" w:rsidRPr="00C4485E" w:rsidRDefault="00C4485E" w:rsidP="006F1355">
      <w:pPr>
        <w:jc w:val="both"/>
        <w:rPr>
          <w:rFonts w:cstheme="minorHAnsi"/>
          <w:b/>
          <w:sz w:val="24"/>
          <w:szCs w:val="24"/>
        </w:rPr>
      </w:pPr>
      <w:r w:rsidRPr="00C4485E">
        <w:rPr>
          <w:rFonts w:cstheme="minorHAnsi"/>
          <w:b/>
          <w:sz w:val="24"/>
          <w:szCs w:val="24"/>
        </w:rPr>
        <w:t>Receiving the gift of teaching</w:t>
      </w:r>
    </w:p>
    <w:p w:rsidR="00C4485E" w:rsidRPr="00C4485E" w:rsidRDefault="00C4485E" w:rsidP="006F1355">
      <w:pPr>
        <w:jc w:val="both"/>
        <w:rPr>
          <w:rStyle w:val="hw"/>
          <w:rFonts w:cstheme="minorHAnsi"/>
          <w:bCs/>
          <w:sz w:val="24"/>
          <w:szCs w:val="24"/>
        </w:rPr>
      </w:pPr>
      <w:r w:rsidRPr="00C4485E">
        <w:rPr>
          <w:rFonts w:cstheme="minorHAnsi"/>
          <w:sz w:val="24"/>
          <w:szCs w:val="24"/>
        </w:rPr>
        <w:t xml:space="preserve">The argument so far suggests that if teaching is to have a meaning </w:t>
      </w:r>
      <w:r w:rsidRPr="00C4485E">
        <w:rPr>
          <w:rFonts w:cstheme="minorHAnsi"/>
          <w:i/>
          <w:sz w:val="24"/>
          <w:szCs w:val="24"/>
        </w:rPr>
        <w:t>beyond</w:t>
      </w:r>
      <w:r w:rsidRPr="00C4485E">
        <w:rPr>
          <w:rFonts w:cstheme="minorHAnsi"/>
          <w:sz w:val="24"/>
          <w:szCs w:val="24"/>
        </w:rPr>
        <w:t xml:space="preserve"> the facilitation of learning, if it is </w:t>
      </w:r>
      <w:r w:rsidRPr="00C4485E">
        <w:rPr>
          <w:rFonts w:cstheme="minorHAnsi"/>
          <w:i/>
          <w:sz w:val="24"/>
          <w:szCs w:val="24"/>
        </w:rPr>
        <w:t>essential</w:t>
      </w:r>
      <w:r w:rsidRPr="00C4485E">
        <w:rPr>
          <w:rFonts w:cstheme="minorHAnsi"/>
          <w:sz w:val="24"/>
          <w:szCs w:val="24"/>
        </w:rPr>
        <w:t xml:space="preserve"> rather than </w:t>
      </w:r>
      <w:r w:rsidRPr="00C4485E">
        <w:rPr>
          <w:rFonts w:cstheme="minorHAnsi"/>
          <w:i/>
          <w:sz w:val="24"/>
          <w:szCs w:val="24"/>
        </w:rPr>
        <w:t>accidental</w:t>
      </w:r>
      <w:r w:rsidRPr="00C4485E">
        <w:rPr>
          <w:rFonts w:cstheme="minorHAnsi"/>
          <w:sz w:val="24"/>
          <w:szCs w:val="24"/>
        </w:rPr>
        <w:t xml:space="preserve"> to learning, then it has to come with a notion of 'transcendence.' It has to be understood as something that comes from the </w:t>
      </w:r>
      <w:r w:rsidRPr="00C4485E">
        <w:rPr>
          <w:rFonts w:cstheme="minorHAnsi"/>
          <w:i/>
          <w:sz w:val="24"/>
          <w:szCs w:val="24"/>
        </w:rPr>
        <w:t>outside</w:t>
      </w:r>
      <w:r w:rsidRPr="00C4485E">
        <w:rPr>
          <w:rFonts w:cstheme="minorHAnsi"/>
          <w:sz w:val="24"/>
          <w:szCs w:val="24"/>
        </w:rPr>
        <w:t xml:space="preserve"> and brings something </w:t>
      </w:r>
      <w:r w:rsidRPr="00C4485E">
        <w:rPr>
          <w:rFonts w:cstheme="minorHAnsi"/>
          <w:i/>
          <w:sz w:val="24"/>
          <w:szCs w:val="24"/>
        </w:rPr>
        <w:t>radically</w:t>
      </w:r>
      <w:r w:rsidRPr="00C4485E">
        <w:rPr>
          <w:rFonts w:cstheme="minorHAnsi"/>
          <w:sz w:val="24"/>
          <w:szCs w:val="24"/>
        </w:rPr>
        <w:t xml:space="preserve"> </w:t>
      </w:r>
      <w:r w:rsidRPr="00C4485E">
        <w:rPr>
          <w:rFonts w:cstheme="minorHAnsi"/>
          <w:i/>
          <w:sz w:val="24"/>
          <w:szCs w:val="24"/>
        </w:rPr>
        <w:t>new</w:t>
      </w:r>
      <w:r w:rsidRPr="00C4485E">
        <w:rPr>
          <w:rFonts w:cstheme="minorHAnsi"/>
          <w:sz w:val="24"/>
          <w:szCs w:val="24"/>
        </w:rPr>
        <w:t>. This is what we can find in Climacus's idea of teaching as 'double truth giving,' and in Levinas's understanding of teaching as a</w:t>
      </w:r>
      <w:r w:rsidRPr="00C4485E">
        <w:rPr>
          <w:rStyle w:val="hw"/>
          <w:rFonts w:cstheme="minorHAnsi"/>
          <w:bCs/>
          <w:sz w:val="24"/>
          <w:szCs w:val="24"/>
        </w:rPr>
        <w:t xml:space="preserve"> relationship in which I receive from the other 'beyond the capacity of the I.' It is important to note, however, that both Climacus and Levinas are not so much saying that teaching </w:t>
      </w:r>
      <w:r w:rsidRPr="00C4485E">
        <w:rPr>
          <w:rStyle w:val="hw"/>
          <w:rFonts w:cstheme="minorHAnsi"/>
          <w:bCs/>
          <w:i/>
          <w:sz w:val="24"/>
          <w:szCs w:val="24"/>
        </w:rPr>
        <w:t>is</w:t>
      </w:r>
      <w:r w:rsidRPr="00C4485E">
        <w:rPr>
          <w:rStyle w:val="hw"/>
          <w:rFonts w:cstheme="minorHAnsi"/>
          <w:bCs/>
          <w:sz w:val="24"/>
          <w:szCs w:val="24"/>
        </w:rPr>
        <w:t xml:space="preserve"> possible; they are rather inquiring into the </w:t>
      </w:r>
      <w:r w:rsidRPr="00C4485E">
        <w:rPr>
          <w:rStyle w:val="hw"/>
          <w:rFonts w:cstheme="minorHAnsi"/>
          <w:bCs/>
          <w:i/>
          <w:sz w:val="24"/>
          <w:szCs w:val="24"/>
        </w:rPr>
        <w:t>meaning</w:t>
      </w:r>
      <w:r w:rsidRPr="00C4485E">
        <w:rPr>
          <w:rStyle w:val="hw"/>
          <w:rFonts w:cstheme="minorHAnsi"/>
          <w:bCs/>
          <w:sz w:val="24"/>
          <w:szCs w:val="24"/>
        </w:rPr>
        <w:t xml:space="preserve"> of teaching and into its conditions. Climacus is actually rather quick to assert that when we move from the </w:t>
      </w:r>
      <w:r w:rsidRPr="00C4485E">
        <w:rPr>
          <w:rStyle w:val="hw"/>
          <w:rFonts w:cstheme="minorHAnsi"/>
          <w:bCs/>
          <w:i/>
          <w:sz w:val="24"/>
          <w:szCs w:val="24"/>
        </w:rPr>
        <w:t>hypothetical</w:t>
      </w:r>
      <w:r w:rsidRPr="00C4485E">
        <w:rPr>
          <w:rStyle w:val="hw"/>
          <w:rFonts w:cstheme="minorHAnsi"/>
          <w:bCs/>
          <w:sz w:val="24"/>
          <w:szCs w:val="24"/>
        </w:rPr>
        <w:t xml:space="preserve"> question as to what would have to </w:t>
      </w:r>
      <w:r w:rsidRPr="00C4485E">
        <w:rPr>
          <w:rStyle w:val="hw"/>
          <w:rFonts w:cstheme="minorHAnsi"/>
          <w:bCs/>
          <w:sz w:val="24"/>
          <w:szCs w:val="24"/>
        </w:rPr>
        <w:lastRenderedPageBreak/>
        <w:t>be true "</w:t>
      </w:r>
      <w:r w:rsidRPr="00C4485E">
        <w:rPr>
          <w:rStyle w:val="hw"/>
          <w:rFonts w:cstheme="minorHAnsi"/>
          <w:bCs/>
          <w:i/>
          <w:sz w:val="24"/>
          <w:szCs w:val="24"/>
        </w:rPr>
        <w:t>if</w:t>
      </w:r>
      <w:r w:rsidRPr="00C4485E">
        <w:rPr>
          <w:rStyle w:val="hw"/>
          <w:rFonts w:cstheme="minorHAnsi"/>
          <w:bCs/>
          <w:sz w:val="24"/>
          <w:szCs w:val="24"/>
        </w:rPr>
        <w:t xml:space="preserve"> the teacher were really to teach so that the relation to the teacher would be essential rather than accidental” (Westphal 2008, p. 25) to the question whether the teacher is </w:t>
      </w:r>
      <w:r w:rsidRPr="00C4485E">
        <w:rPr>
          <w:rStyle w:val="hw"/>
          <w:rFonts w:cstheme="minorHAnsi"/>
          <w:bCs/>
          <w:i/>
          <w:sz w:val="24"/>
          <w:szCs w:val="24"/>
        </w:rPr>
        <w:t>actually</w:t>
      </w:r>
      <w:r w:rsidRPr="00C4485E">
        <w:rPr>
          <w:rStyle w:val="hw"/>
          <w:rFonts w:cstheme="minorHAnsi"/>
          <w:bCs/>
          <w:sz w:val="24"/>
          <w:szCs w:val="24"/>
        </w:rPr>
        <w:t xml:space="preserve"> capable of double truth giving, that this capacity lies </w:t>
      </w:r>
      <w:r w:rsidRPr="00C4485E">
        <w:rPr>
          <w:rStyle w:val="hw"/>
          <w:rFonts w:cstheme="minorHAnsi"/>
          <w:bCs/>
          <w:i/>
          <w:sz w:val="24"/>
          <w:szCs w:val="24"/>
        </w:rPr>
        <w:t>beyond</w:t>
      </w:r>
      <w:r w:rsidRPr="00C4485E">
        <w:rPr>
          <w:rStyle w:val="hw"/>
          <w:rFonts w:cstheme="minorHAnsi"/>
          <w:bCs/>
          <w:sz w:val="24"/>
          <w:szCs w:val="24"/>
        </w:rPr>
        <w:t xml:space="preserve"> the powers of the teacher. He explicitly states that "the one who not only gives the learner the truth but provides the condition [for understanding it as truth] is not a teacher" (</w:t>
      </w:r>
      <w:r w:rsidR="004C08C4">
        <w:rPr>
          <w:rStyle w:val="hw"/>
          <w:rFonts w:cstheme="minorHAnsi"/>
          <w:bCs/>
          <w:sz w:val="24"/>
          <w:szCs w:val="24"/>
        </w:rPr>
        <w:t>Kierkegaard</w:t>
      </w:r>
      <w:r w:rsidRPr="00C4485E">
        <w:rPr>
          <w:rStyle w:val="hw"/>
          <w:rFonts w:cstheme="minorHAnsi"/>
          <w:bCs/>
          <w:sz w:val="24"/>
          <w:szCs w:val="24"/>
        </w:rPr>
        <w:t xml:space="preserve"> 1985, p. 14). While Climacus acknowledges that "all instruction depends on the presence of the condition [so that] if it is lacking, a teacher is capable of nothing" (ibid.), he argues that "no human being" is capable of transforming the learner in such a way that the learner comes in the possession of the condition for understanding the truth as truth (ibid.). If such a transformation is to take place, Climacus therefore concludes, "it must be done by the god himself" (ibid., p.15).</w:t>
      </w:r>
    </w:p>
    <w:p w:rsidR="00C4485E" w:rsidRPr="00C4485E" w:rsidRDefault="00C4485E" w:rsidP="006F1355">
      <w:pPr>
        <w:jc w:val="both"/>
        <w:rPr>
          <w:rStyle w:val="hw"/>
          <w:rFonts w:cstheme="minorHAnsi"/>
          <w:bCs/>
          <w:sz w:val="24"/>
          <w:szCs w:val="24"/>
        </w:rPr>
      </w:pPr>
    </w:p>
    <w:p w:rsidR="00C4485E" w:rsidRPr="00C4485E" w:rsidRDefault="00C4485E" w:rsidP="006F1355">
      <w:pPr>
        <w:jc w:val="both"/>
        <w:rPr>
          <w:rStyle w:val="hw"/>
          <w:rFonts w:cstheme="minorHAnsi"/>
          <w:bCs/>
          <w:sz w:val="24"/>
          <w:szCs w:val="24"/>
        </w:rPr>
      </w:pPr>
      <w:r w:rsidRPr="00C4485E">
        <w:rPr>
          <w:rStyle w:val="hw"/>
          <w:rFonts w:cstheme="minorHAnsi"/>
          <w:bCs/>
          <w:sz w:val="24"/>
          <w:szCs w:val="24"/>
        </w:rPr>
        <w:t>While Climacus approaches the question of teaching from the perspective of the teacher – and thus comes to the conclusion that the double truth giving that characterizes teaching is a gift that lies beyond the capacity of the teacher – Levinas engages with the question of teaching from the other end of the spectrum, that is from the perspective of the one who is receiving from the other 'beyond the capacity of the I.' As I have mentioned above, Levinas characterises this experience as the experience of 'being taught.' The language is of crucial importance here because, so I wish to suggest, the experience of 'being taught</w:t>
      </w:r>
      <w:r w:rsidR="00783BEB">
        <w:rPr>
          <w:rStyle w:val="hw"/>
          <w:rFonts w:cstheme="minorHAnsi"/>
          <w:bCs/>
          <w:sz w:val="24"/>
          <w:szCs w:val="24"/>
        </w:rPr>
        <w:t xml:space="preserve"> by</w:t>
      </w:r>
      <w:r w:rsidRPr="00C4485E">
        <w:rPr>
          <w:rStyle w:val="hw"/>
          <w:rFonts w:cstheme="minorHAnsi"/>
          <w:bCs/>
          <w:sz w:val="24"/>
          <w:szCs w:val="24"/>
        </w:rPr>
        <w:t>' is radically different from the experience of 'learning</w:t>
      </w:r>
      <w:r w:rsidR="00783BEB">
        <w:rPr>
          <w:rStyle w:val="hw"/>
          <w:rFonts w:cstheme="minorHAnsi"/>
          <w:bCs/>
          <w:sz w:val="24"/>
          <w:szCs w:val="24"/>
        </w:rPr>
        <w:t xml:space="preserve"> from</w:t>
      </w:r>
      <w:r w:rsidRPr="00C4485E">
        <w:rPr>
          <w:rStyle w:val="hw"/>
          <w:rFonts w:cstheme="minorHAnsi"/>
          <w:bCs/>
          <w:sz w:val="24"/>
          <w:szCs w:val="24"/>
        </w:rPr>
        <w:t xml:space="preserve">.' When students </w:t>
      </w:r>
      <w:r w:rsidRPr="00C4485E">
        <w:rPr>
          <w:rStyle w:val="hw"/>
          <w:rFonts w:cstheme="minorHAnsi"/>
          <w:bCs/>
          <w:i/>
          <w:sz w:val="24"/>
          <w:szCs w:val="24"/>
        </w:rPr>
        <w:t>learn from</w:t>
      </w:r>
      <w:r w:rsidRPr="00C4485E">
        <w:rPr>
          <w:rStyle w:val="hw"/>
          <w:rFonts w:cstheme="minorHAnsi"/>
          <w:bCs/>
          <w:sz w:val="24"/>
          <w:szCs w:val="24"/>
        </w:rPr>
        <w:t xml:space="preserve"> their teacher, we could say that they use their teachers as a resource, just like a book or like the internet. Moreover, when they learn from their teachers, they bring their teachers and what their teachers do or say within their own circle of understanding, within their own construction. This means that they are basically in control of what they learn from their teachers.</w:t>
      </w:r>
    </w:p>
    <w:p w:rsidR="00C4485E" w:rsidRPr="00C4485E" w:rsidRDefault="00C4485E" w:rsidP="006F1355">
      <w:pPr>
        <w:jc w:val="both"/>
        <w:rPr>
          <w:rStyle w:val="hw"/>
          <w:rFonts w:cstheme="minorHAnsi"/>
          <w:bCs/>
          <w:sz w:val="24"/>
          <w:szCs w:val="24"/>
        </w:rPr>
      </w:pPr>
    </w:p>
    <w:p w:rsidR="00C4485E" w:rsidRPr="00C4485E" w:rsidRDefault="00C4485E" w:rsidP="006F1355">
      <w:pPr>
        <w:jc w:val="both"/>
        <w:rPr>
          <w:rStyle w:val="hw"/>
          <w:rFonts w:cstheme="minorHAnsi"/>
          <w:bCs/>
          <w:sz w:val="24"/>
          <w:szCs w:val="24"/>
        </w:rPr>
      </w:pPr>
      <w:r w:rsidRPr="00C4485E">
        <w:rPr>
          <w:rStyle w:val="hw"/>
          <w:rFonts w:cstheme="minorHAnsi"/>
          <w:bCs/>
          <w:sz w:val="24"/>
          <w:szCs w:val="24"/>
        </w:rPr>
        <w:t xml:space="preserve">My point here is not to suggest that there is no place for such learning from teachers – although it does raise the question why in that situation we would still use the word 'teacher' and not, for example, a word such as 'resource.' My point rather is, </w:t>
      </w:r>
      <w:r w:rsidRPr="00C4485E">
        <w:rPr>
          <w:rStyle w:val="hw"/>
          <w:rFonts w:cstheme="minorHAnsi"/>
          <w:bCs/>
          <w:i/>
          <w:sz w:val="24"/>
          <w:szCs w:val="24"/>
        </w:rPr>
        <w:t xml:space="preserve">that to learn from someone is a radically different experience from the experience of being taught by someone. </w:t>
      </w:r>
      <w:r w:rsidRPr="00C4485E">
        <w:rPr>
          <w:rStyle w:val="hw"/>
          <w:rFonts w:cstheme="minorHAnsi"/>
          <w:bCs/>
          <w:sz w:val="24"/>
          <w:szCs w:val="24"/>
        </w:rPr>
        <w:t xml:space="preserve">When we think, just at the level of 'everyday phenomenology,' of experiences where we were taught something – where we would say, always in hindsight, that 'this person has really taught me something' – we more often than not refer to experiences where someone showed us something or made us realise something </w:t>
      </w:r>
      <w:r w:rsidRPr="00C4485E">
        <w:rPr>
          <w:rStyle w:val="hw"/>
          <w:rFonts w:cstheme="minorHAnsi"/>
          <w:bCs/>
          <w:i/>
          <w:sz w:val="24"/>
          <w:szCs w:val="24"/>
        </w:rPr>
        <w:t>that really entered our being from the outside</w:t>
      </w:r>
      <w:r w:rsidRPr="00C4485E">
        <w:rPr>
          <w:rStyle w:val="hw"/>
          <w:rFonts w:cstheme="minorHAnsi"/>
          <w:bCs/>
          <w:sz w:val="24"/>
          <w:szCs w:val="24"/>
        </w:rPr>
        <w:t xml:space="preserve">. Such teachings often provide insights about ourselves and our ways of doing and being; insights that we were not aware of or rather did not want to be aware of. They are inconvenient truths or, in the words of Deborah Britzman, cases of 'difficult knowledge' (Britzman 1998). </w:t>
      </w:r>
    </w:p>
    <w:p w:rsidR="00C4485E" w:rsidRPr="00C4485E" w:rsidRDefault="00C4485E" w:rsidP="006F1355">
      <w:pPr>
        <w:jc w:val="both"/>
        <w:rPr>
          <w:rStyle w:val="hw"/>
          <w:rFonts w:cstheme="minorHAnsi"/>
          <w:bCs/>
          <w:sz w:val="24"/>
          <w:szCs w:val="24"/>
        </w:rPr>
      </w:pPr>
    </w:p>
    <w:p w:rsidR="00C4485E" w:rsidRPr="00C4485E" w:rsidRDefault="00C4485E" w:rsidP="006F1355">
      <w:pPr>
        <w:jc w:val="both"/>
        <w:rPr>
          <w:rFonts w:cstheme="minorHAnsi"/>
          <w:sz w:val="24"/>
          <w:szCs w:val="24"/>
        </w:rPr>
      </w:pPr>
      <w:r w:rsidRPr="00C4485E">
        <w:rPr>
          <w:rStyle w:val="hw"/>
          <w:rFonts w:cstheme="minorHAnsi"/>
          <w:bCs/>
          <w:sz w:val="24"/>
          <w:szCs w:val="24"/>
        </w:rPr>
        <w:t xml:space="preserve">While Levinas appears to be less radical than Climacus in that, unlike Climacus, he considers it possible that we </w:t>
      </w:r>
      <w:r w:rsidRPr="00C4485E">
        <w:rPr>
          <w:rStyle w:val="hw"/>
          <w:rFonts w:cstheme="minorHAnsi"/>
          <w:bCs/>
          <w:i/>
          <w:sz w:val="24"/>
          <w:szCs w:val="24"/>
        </w:rPr>
        <w:t>can</w:t>
      </w:r>
      <w:r w:rsidRPr="00C4485E">
        <w:rPr>
          <w:rStyle w:val="hw"/>
          <w:rFonts w:cstheme="minorHAnsi"/>
          <w:bCs/>
          <w:sz w:val="24"/>
          <w:szCs w:val="24"/>
        </w:rPr>
        <w:t xml:space="preserve"> be taught by our teachers, the juxtaposition of Climacus and Levinas is nonetheless important as it helps to make clear that the experience of being taught, the experience of receiving the gift of teaching, is not an experience that can be </w:t>
      </w:r>
      <w:r w:rsidRPr="00C4485E">
        <w:rPr>
          <w:rStyle w:val="hw"/>
          <w:rFonts w:cstheme="minorHAnsi"/>
          <w:bCs/>
          <w:i/>
          <w:sz w:val="24"/>
          <w:szCs w:val="24"/>
        </w:rPr>
        <w:t>produced</w:t>
      </w:r>
      <w:r w:rsidRPr="00C4485E">
        <w:rPr>
          <w:rStyle w:val="hw"/>
          <w:rFonts w:cstheme="minorHAnsi"/>
          <w:bCs/>
          <w:sz w:val="24"/>
          <w:szCs w:val="24"/>
        </w:rPr>
        <w:t xml:space="preserve"> by the teacher. In precisely this sense Derrida's observation that to give a gift "is to give something that you don't have" </w:t>
      </w:r>
      <w:r w:rsidRPr="00C4485E">
        <w:rPr>
          <w:rFonts w:cstheme="minorHAnsi"/>
          <w:sz w:val="24"/>
          <w:szCs w:val="24"/>
        </w:rPr>
        <w:t>(Derrida, quoted in Caputo &amp; Vattimo 2007, p. 135)</w:t>
      </w:r>
      <w:r w:rsidR="00783BEB">
        <w:rPr>
          <w:rFonts w:cstheme="minorHAnsi"/>
          <w:sz w:val="24"/>
          <w:szCs w:val="24"/>
        </w:rPr>
        <w:t>,</w:t>
      </w:r>
      <w:r w:rsidRPr="00C4485E">
        <w:rPr>
          <w:rFonts w:cstheme="minorHAnsi"/>
          <w:sz w:val="24"/>
          <w:szCs w:val="24"/>
        </w:rPr>
        <w:t xml:space="preserve"> is entirely correct where it concerns the gift of teaching. Whether someone will be taught b</w:t>
      </w:r>
      <w:r w:rsidR="00783BEB">
        <w:rPr>
          <w:rFonts w:cstheme="minorHAnsi"/>
          <w:sz w:val="24"/>
          <w:szCs w:val="24"/>
        </w:rPr>
        <w:t>y what the teacher teaches lies</w:t>
      </w:r>
      <w:r w:rsidRPr="00C4485E">
        <w:rPr>
          <w:rFonts w:cstheme="minorHAnsi"/>
          <w:sz w:val="24"/>
          <w:szCs w:val="24"/>
        </w:rPr>
        <w:t xml:space="preserve"> beyond the control </w:t>
      </w:r>
      <w:r w:rsidR="004C08C4">
        <w:rPr>
          <w:rFonts w:cstheme="minorHAnsi"/>
          <w:sz w:val="24"/>
          <w:szCs w:val="24"/>
        </w:rPr>
        <w:t xml:space="preserve">and power </w:t>
      </w:r>
      <w:r w:rsidRPr="00C4485E">
        <w:rPr>
          <w:rFonts w:cstheme="minorHAnsi"/>
          <w:sz w:val="24"/>
          <w:szCs w:val="24"/>
        </w:rPr>
        <w:t xml:space="preserve">of the teacher (see also </w:t>
      </w:r>
      <w:r w:rsidRPr="00C4485E">
        <w:rPr>
          <w:rFonts w:cstheme="minorHAnsi"/>
          <w:sz w:val="24"/>
          <w:szCs w:val="24"/>
        </w:rPr>
        <w:lastRenderedPageBreak/>
        <w:t xml:space="preserve">Saeverot 2011; </w:t>
      </w:r>
      <w:r w:rsidR="004C08C4">
        <w:rPr>
          <w:rFonts w:cstheme="minorHAnsi"/>
          <w:sz w:val="24"/>
          <w:szCs w:val="24"/>
        </w:rPr>
        <w:t xml:space="preserve">and Saeverot </w:t>
      </w:r>
      <w:r w:rsidRPr="00C4485E">
        <w:rPr>
          <w:rFonts w:cstheme="minorHAnsi"/>
          <w:sz w:val="24"/>
          <w:szCs w:val="24"/>
        </w:rPr>
        <w:t xml:space="preserve">this issue), which doesn't mean, though, that it doesn't matter what the teacher does (see below). Looking at teaching and being taught in this way, we might even say that in this precise sense the identity of the teacher has to be understood as a </w:t>
      </w:r>
      <w:r w:rsidRPr="00C4485E">
        <w:rPr>
          <w:rFonts w:cstheme="minorHAnsi"/>
          <w:i/>
          <w:sz w:val="24"/>
          <w:szCs w:val="24"/>
        </w:rPr>
        <w:t>sporadic</w:t>
      </w:r>
      <w:r w:rsidRPr="00C4485E">
        <w:rPr>
          <w:rFonts w:cstheme="minorHAnsi"/>
          <w:sz w:val="24"/>
          <w:szCs w:val="24"/>
        </w:rPr>
        <w:t xml:space="preserve"> identity, an identity that only emerges at those moments when the gift of teaching is received. It is not an identity that can be claimed by the teacher; it is not an identity that can be in the teacher's secure possession. It rather is a possibility to reckon with, a possibility to work with in our lives as teachers. Calling someone a teacher is therefore ultimately not a matter of referring to a job title or a profession, but is a kind of compliment we pay when we acknowledge – and when we are able to acknowledge – that someone has indeed taught us something, that someone has indeed revealed something to us and that we thus have been taught.</w:t>
      </w:r>
      <w:r w:rsidRPr="00C4485E">
        <w:rPr>
          <w:rStyle w:val="FootnoteReference"/>
          <w:rFonts w:cstheme="minorHAnsi"/>
          <w:sz w:val="24"/>
          <w:szCs w:val="24"/>
        </w:rPr>
        <w:footnoteReference w:id="7"/>
      </w:r>
      <w:r w:rsidRPr="00C4485E">
        <w:rPr>
          <w:rFonts w:cstheme="minorHAnsi"/>
          <w:sz w:val="24"/>
          <w:szCs w:val="24"/>
        </w:rPr>
        <w:t xml:space="preserve"> </w:t>
      </w:r>
    </w:p>
    <w:p w:rsidR="00C4485E" w:rsidRPr="00C4485E" w:rsidRDefault="00C4485E" w:rsidP="006F1355">
      <w:pPr>
        <w:jc w:val="both"/>
        <w:rPr>
          <w:rFonts w:cstheme="minorHAnsi"/>
          <w:sz w:val="24"/>
          <w:szCs w:val="24"/>
        </w:rPr>
      </w:pPr>
    </w:p>
    <w:p w:rsidR="00C4485E" w:rsidRPr="00C4485E" w:rsidRDefault="00C4485E" w:rsidP="006F1355">
      <w:pPr>
        <w:jc w:val="both"/>
        <w:rPr>
          <w:rFonts w:cstheme="minorHAnsi"/>
          <w:sz w:val="24"/>
          <w:szCs w:val="24"/>
        </w:rPr>
      </w:pPr>
      <w:r w:rsidRPr="00C4485E">
        <w:rPr>
          <w:rFonts w:cstheme="minorHAnsi"/>
          <w:sz w:val="24"/>
          <w:szCs w:val="24"/>
        </w:rPr>
        <w:t xml:space="preserve">Is teaching thus understood still a matter of truth giving? I believe it is </w:t>
      </w:r>
      <w:r w:rsidRPr="00C4485E">
        <w:rPr>
          <w:rFonts w:cstheme="minorHAnsi"/>
          <w:i/>
          <w:sz w:val="24"/>
          <w:szCs w:val="24"/>
        </w:rPr>
        <w:t>if</w:t>
      </w:r>
      <w:r w:rsidRPr="00C4485E">
        <w:rPr>
          <w:rFonts w:cstheme="minorHAnsi"/>
          <w:sz w:val="24"/>
          <w:szCs w:val="24"/>
        </w:rPr>
        <w:t xml:space="preserve">, that is, we understand the truth that is given, the truth that is offered to us, </w:t>
      </w:r>
      <w:r w:rsidRPr="00C4485E">
        <w:rPr>
          <w:rFonts w:cstheme="minorHAnsi"/>
          <w:i/>
          <w:sz w:val="24"/>
          <w:szCs w:val="24"/>
        </w:rPr>
        <w:t>not</w:t>
      </w:r>
      <w:r w:rsidRPr="00C4485E">
        <w:rPr>
          <w:rFonts w:cstheme="minorHAnsi"/>
          <w:sz w:val="24"/>
          <w:szCs w:val="24"/>
        </w:rPr>
        <w:t xml:space="preserve"> as objective truth but as what Kierkegaard calls subjective or existential truth (see </w:t>
      </w:r>
      <w:r w:rsidR="004C08C4">
        <w:rPr>
          <w:rFonts w:cstheme="minorHAnsi"/>
          <w:sz w:val="24"/>
          <w:szCs w:val="24"/>
        </w:rPr>
        <w:t>Kierkegaard</w:t>
      </w:r>
      <w:r w:rsidRPr="00C4485E">
        <w:rPr>
          <w:rFonts w:cstheme="minorHAnsi"/>
          <w:sz w:val="24"/>
          <w:szCs w:val="24"/>
        </w:rPr>
        <w:t xml:space="preserve"> 1992). Subjective truth as the "truth that is true for me," the truth "for which I am willing to live and die" (Kierkegaard 1996, p.32), is to be understood as the truth that I have managed to give a place in my life, the truth that I have managed to appropriate, the truth that I have managed to receive, even more so if this truth is a difficult or inconvenient truth and, in that sense, an unwelcome truth. The difference between objective truth and subjective truth, then, is the difference between a set of propositions which I assert to be true – and here "what is reflected upon is not the relation [between the knower and the truth] but that what [the knower] relates himself to" (</w:t>
      </w:r>
      <w:r w:rsidR="004C08C4">
        <w:rPr>
          <w:rFonts w:cstheme="minorHAnsi"/>
          <w:sz w:val="24"/>
          <w:szCs w:val="24"/>
        </w:rPr>
        <w:t>Kierkegaard</w:t>
      </w:r>
      <w:r w:rsidRPr="00C4485E">
        <w:rPr>
          <w:rFonts w:cstheme="minorHAnsi"/>
          <w:sz w:val="24"/>
          <w:szCs w:val="24"/>
        </w:rPr>
        <w:t xml:space="preserve"> 1992, p. 199) – and a truth I have appropriated, a truth that I have managed to give a place in my existence – so that what matters is "the individual's relation" (ibid.) to the truth</w:t>
      </w:r>
      <w:r w:rsidR="00783BEB">
        <w:rPr>
          <w:rFonts w:cstheme="minorHAnsi"/>
          <w:sz w:val="24"/>
          <w:szCs w:val="24"/>
        </w:rPr>
        <w:t xml:space="preserve">. This is about </w:t>
      </w:r>
      <w:r w:rsidRPr="00C4485E">
        <w:rPr>
          <w:rFonts w:cstheme="minorHAnsi"/>
          <w:i/>
          <w:sz w:val="24"/>
          <w:szCs w:val="24"/>
        </w:rPr>
        <w:t>how</w:t>
      </w:r>
      <w:r w:rsidR="00783BEB">
        <w:rPr>
          <w:rFonts w:cstheme="minorHAnsi"/>
          <w:sz w:val="24"/>
          <w:szCs w:val="24"/>
        </w:rPr>
        <w:t xml:space="preserve"> the individual relates to the truth</w:t>
      </w:r>
      <w:r w:rsidRPr="00C4485E">
        <w:rPr>
          <w:rFonts w:cstheme="minorHAnsi"/>
          <w:sz w:val="24"/>
          <w:szCs w:val="24"/>
        </w:rPr>
        <w:t xml:space="preserve">, as Climacus puts it, rather than </w:t>
      </w:r>
      <w:r w:rsidRPr="00C4485E">
        <w:rPr>
          <w:rFonts w:cstheme="minorHAnsi"/>
          <w:i/>
          <w:sz w:val="24"/>
          <w:szCs w:val="24"/>
        </w:rPr>
        <w:t>what</w:t>
      </w:r>
      <w:r w:rsidRPr="00C4485E">
        <w:rPr>
          <w:rFonts w:cstheme="minorHAnsi"/>
          <w:sz w:val="24"/>
          <w:szCs w:val="24"/>
        </w:rPr>
        <w:t xml:space="preserve"> the individual relates to. The difference between objective truth and subjective truth, therefore, does not coincide with the difference between truth and falsehood or between objectivism and relativism, but has to do with the distinction between the theoretical and the existential</w:t>
      </w:r>
      <w:r w:rsidR="009A5D9E">
        <w:rPr>
          <w:rFonts w:cstheme="minorHAnsi"/>
          <w:sz w:val="24"/>
          <w:szCs w:val="24"/>
        </w:rPr>
        <w:t xml:space="preserve">, that is, between what is true and </w:t>
      </w:r>
      <w:r w:rsidR="00811F6F" w:rsidRPr="00811F6F">
        <w:rPr>
          <w:rFonts w:cstheme="minorHAnsi"/>
          <w:i/>
          <w:sz w:val="24"/>
          <w:szCs w:val="24"/>
        </w:rPr>
        <w:t>what matters</w:t>
      </w:r>
      <w:r w:rsidRPr="00C4485E">
        <w:rPr>
          <w:rFonts w:cstheme="minorHAnsi"/>
          <w:sz w:val="24"/>
          <w:szCs w:val="24"/>
        </w:rPr>
        <w:t>. Since in the theoretical plane we can always ask further questions, we can always discover that what was considered to be objectively true turns out to be not so – which is how we can understand the ongoing 'quest for certainty' that is called 'science' – subjective truth is neither a relation to objective truth nor to relative truth but to what Climacus characterises as "an objective uncertainty" (ibid.p. 203).</w:t>
      </w:r>
      <w:r w:rsidRPr="00C4485E">
        <w:rPr>
          <w:rStyle w:val="FootnoteReference"/>
          <w:rFonts w:cstheme="minorHAnsi"/>
          <w:sz w:val="24"/>
          <w:szCs w:val="24"/>
        </w:rPr>
        <w:footnoteReference w:id="8"/>
      </w:r>
    </w:p>
    <w:p w:rsidR="00C4485E" w:rsidRPr="00C4485E" w:rsidRDefault="00C4485E" w:rsidP="006F1355">
      <w:pPr>
        <w:jc w:val="both"/>
        <w:rPr>
          <w:rFonts w:cstheme="minorHAnsi"/>
          <w:sz w:val="24"/>
          <w:szCs w:val="24"/>
        </w:rPr>
      </w:pPr>
    </w:p>
    <w:p w:rsidR="00C4485E" w:rsidRPr="00C4485E" w:rsidRDefault="00C4485E" w:rsidP="006F1355">
      <w:pPr>
        <w:jc w:val="both"/>
        <w:rPr>
          <w:rFonts w:cstheme="minorHAnsi"/>
          <w:sz w:val="24"/>
          <w:szCs w:val="24"/>
        </w:rPr>
      </w:pPr>
      <w:r w:rsidRPr="00C4485E">
        <w:rPr>
          <w:rFonts w:cstheme="minorHAnsi"/>
          <w:sz w:val="24"/>
          <w:szCs w:val="24"/>
        </w:rPr>
        <w:t xml:space="preserve">Looking at the experience of being taught in this way also makes it possible to give the idea of authority (again) a place in our understanding of teaching. The events of 1968 have clearly shown what the problem is with authority that is authoritarian, that is, authority that is nothing but the unwarranted exercise of power. Such authority is actually unable to work educationally, as it operates on a denial of the subjectivity of those who are subjected to such authority. But just as authoritarian education is and ought to be an oxymoron, so is anti-authoritarian education, that is, education that, in the words of A.S. Neil (1966), conflates freedom with license, and assumes that the promotion of freedom means that anything should go. The educational question – unlike the learning question (see Biesta 2010) – is not about doing what you want to do, but entails an encounter with the difference between what is </w:t>
      </w:r>
      <w:r w:rsidRPr="00C4485E">
        <w:rPr>
          <w:rFonts w:cstheme="minorHAnsi"/>
          <w:i/>
          <w:sz w:val="24"/>
          <w:szCs w:val="24"/>
        </w:rPr>
        <w:t>desired</w:t>
      </w:r>
      <w:r w:rsidRPr="00C4485E">
        <w:rPr>
          <w:rFonts w:cstheme="minorHAnsi"/>
          <w:sz w:val="24"/>
          <w:szCs w:val="24"/>
        </w:rPr>
        <w:t xml:space="preserve"> and what is </w:t>
      </w:r>
      <w:r w:rsidRPr="00C4485E">
        <w:rPr>
          <w:rFonts w:cstheme="minorHAnsi"/>
          <w:i/>
          <w:sz w:val="24"/>
          <w:szCs w:val="24"/>
        </w:rPr>
        <w:t>desirable</w:t>
      </w:r>
      <w:r w:rsidRPr="00C4485E">
        <w:rPr>
          <w:rFonts w:cstheme="minorHAnsi"/>
          <w:sz w:val="24"/>
          <w:szCs w:val="24"/>
        </w:rPr>
        <w:t xml:space="preserve">. The educational question, in other words, is about what it is that we want to give authority to; it is about deciding what it is that we want to have authority in our lives. To receive the gift of teaching, to welcome the unwelcome, to give a place to inconvenient truths and difficult knowledge, is precisely the moment where we </w:t>
      </w:r>
      <w:r w:rsidRPr="00C4485E">
        <w:rPr>
          <w:rFonts w:cstheme="minorHAnsi"/>
          <w:i/>
          <w:sz w:val="24"/>
          <w:szCs w:val="24"/>
        </w:rPr>
        <w:t>give authority</w:t>
      </w:r>
      <w:r w:rsidRPr="00C4485E">
        <w:rPr>
          <w:rFonts w:cstheme="minorHAnsi"/>
          <w:sz w:val="24"/>
          <w:szCs w:val="24"/>
        </w:rPr>
        <w:t xml:space="preserve"> to the teaching we receive. In this sense – and presumably only in this sense – can the idea of authority have a meaningful place in education (see also Meirieu 2007; Bingham 2009).</w:t>
      </w:r>
      <w:r w:rsidRPr="00C4485E">
        <w:rPr>
          <w:rStyle w:val="FootnoteReference"/>
          <w:rFonts w:cstheme="minorHAnsi"/>
          <w:sz w:val="24"/>
          <w:szCs w:val="24"/>
        </w:rPr>
        <w:footnoteReference w:id="9"/>
      </w:r>
    </w:p>
    <w:p w:rsidR="00C17E9A" w:rsidRPr="00C4485E" w:rsidRDefault="00C17E9A" w:rsidP="006F1355">
      <w:pPr>
        <w:jc w:val="both"/>
        <w:rPr>
          <w:rFonts w:cstheme="minorHAnsi"/>
          <w:sz w:val="24"/>
          <w:szCs w:val="24"/>
        </w:rPr>
      </w:pPr>
    </w:p>
    <w:p w:rsidR="00C17E9A" w:rsidRPr="00C4485E" w:rsidRDefault="00C17E9A" w:rsidP="006F1355">
      <w:pPr>
        <w:jc w:val="both"/>
        <w:rPr>
          <w:rFonts w:cstheme="minorHAnsi"/>
          <w:b/>
          <w:sz w:val="24"/>
          <w:szCs w:val="24"/>
        </w:rPr>
      </w:pPr>
      <w:r w:rsidRPr="00C4485E">
        <w:rPr>
          <w:rFonts w:cstheme="minorHAnsi"/>
          <w:b/>
          <w:sz w:val="24"/>
          <w:szCs w:val="24"/>
        </w:rPr>
        <w:t>Giving teaching back to education</w:t>
      </w:r>
    </w:p>
    <w:p w:rsidR="00C17E9A" w:rsidRPr="00C4485E" w:rsidRDefault="00C17E9A" w:rsidP="006F1355">
      <w:pPr>
        <w:jc w:val="both"/>
        <w:rPr>
          <w:rFonts w:cstheme="minorHAnsi"/>
          <w:sz w:val="24"/>
          <w:szCs w:val="24"/>
        </w:rPr>
      </w:pPr>
      <w:r w:rsidRPr="00C4485E">
        <w:rPr>
          <w:rFonts w:cstheme="minorHAnsi"/>
          <w:sz w:val="24"/>
          <w:szCs w:val="24"/>
        </w:rPr>
        <w:t>This paper has been motivated by a very concrete and practical concern about the disappearance of teaching and the demise of the role of the teacher as someone who has something to say and something to bring. This, as I have shown, is not merely a theoretical or philosophical discussion but is having a real impact on common perceptions about teaching and even on the self-perception of teachers. In response to this I have argued that if teaching is to be more than just the facilitation of learning or the creation of learning environments, it needs to carry with it a certain notion of transcendence. I have not only tried to make clear what ‘kind’ of transcendence is needed. I have also tried to indicate what it means to think transcendence consistently, which, as I have suggested, is not merely a matter of thought or comprehension, but also entails taking the idea and possibility of revelation seriously, as a religious and a secular concept. In doing this I have tried to suggest that transcendence cannot be contained to the other as another human being. As soon as one brings transcendence in, one has to take it seriously all the way down – or perhaps we should say: all the way 'up.'</w:t>
      </w:r>
    </w:p>
    <w:p w:rsidR="00C17E9A" w:rsidRPr="00C4485E" w:rsidRDefault="00C17E9A" w:rsidP="006F1355">
      <w:pPr>
        <w:jc w:val="both"/>
        <w:rPr>
          <w:rFonts w:cstheme="minorHAnsi"/>
          <w:sz w:val="24"/>
          <w:szCs w:val="24"/>
        </w:rPr>
      </w:pPr>
    </w:p>
    <w:p w:rsidR="00783BEB" w:rsidRDefault="00C17E9A" w:rsidP="006F1355">
      <w:pPr>
        <w:jc w:val="both"/>
        <w:rPr>
          <w:rFonts w:cstheme="minorHAnsi"/>
          <w:sz w:val="24"/>
          <w:szCs w:val="24"/>
        </w:rPr>
      </w:pPr>
      <w:r w:rsidRPr="00C4485E">
        <w:rPr>
          <w:rFonts w:cstheme="minorHAnsi"/>
          <w:sz w:val="24"/>
          <w:szCs w:val="24"/>
        </w:rPr>
        <w:t xml:space="preserve">While this does suggest that the idea of teaching, if it is to have any meaning beyond the facilitation of learning, needs to come with a notion of </w:t>
      </w:r>
      <w:r w:rsidR="00783BEB">
        <w:rPr>
          <w:rFonts w:cstheme="minorHAnsi"/>
          <w:sz w:val="24"/>
          <w:szCs w:val="24"/>
        </w:rPr>
        <w:t>'</w:t>
      </w:r>
      <w:r w:rsidRPr="00C4485E">
        <w:rPr>
          <w:rFonts w:cstheme="minorHAnsi"/>
          <w:sz w:val="24"/>
          <w:szCs w:val="24"/>
        </w:rPr>
        <w:t>transcendence,</w:t>
      </w:r>
      <w:r w:rsidR="00783BEB">
        <w:rPr>
          <w:rFonts w:cstheme="minorHAnsi"/>
          <w:sz w:val="24"/>
          <w:szCs w:val="24"/>
        </w:rPr>
        <w:t>'</w:t>
      </w:r>
      <w:r w:rsidRPr="00C4485E">
        <w:rPr>
          <w:rFonts w:cstheme="minorHAnsi"/>
          <w:sz w:val="24"/>
          <w:szCs w:val="24"/>
        </w:rPr>
        <w:t xml:space="preserve"> it does not mean that the teacher can simply and unproblematically occupy such a position of transcendence. One reason for this lies in the fact that teachers can never fully control the 'impact' of their activities on their students. In this regard the educational 'project' always needs to engage with its own impossibility (see Vanderstraeten &amp; Biesta 2001; Biesta 2004; Green 2010; Gough 2010) and thus needs to proceed with a sense of irony (see Saeverot this issue). The other, perhaps more important reason has to do with the fact that claiming a position of </w:t>
      </w:r>
      <w:r w:rsidRPr="00C4485E">
        <w:rPr>
          <w:rFonts w:cstheme="minorHAnsi"/>
          <w:sz w:val="24"/>
          <w:szCs w:val="24"/>
        </w:rPr>
        <w:lastRenderedPageBreak/>
        <w:t>transcendence runs the risk of turning educational authority into educational authoritarianism, which would block the very edu</w:t>
      </w:r>
      <w:r w:rsidR="00783BEB">
        <w:rPr>
          <w:rFonts w:cstheme="minorHAnsi"/>
          <w:sz w:val="24"/>
          <w:szCs w:val="24"/>
        </w:rPr>
        <w:t>cation one aims to bring about.</w:t>
      </w:r>
    </w:p>
    <w:p w:rsidR="00783BEB" w:rsidRDefault="00783BEB" w:rsidP="006F1355">
      <w:pPr>
        <w:jc w:val="both"/>
        <w:rPr>
          <w:rFonts w:cstheme="minorHAnsi"/>
          <w:sz w:val="24"/>
          <w:szCs w:val="24"/>
        </w:rPr>
      </w:pPr>
    </w:p>
    <w:p w:rsidR="00C17E9A" w:rsidRPr="00C4485E" w:rsidRDefault="00C17E9A" w:rsidP="006F1355">
      <w:pPr>
        <w:jc w:val="both"/>
        <w:rPr>
          <w:rFonts w:cstheme="minorHAnsi"/>
          <w:sz w:val="24"/>
          <w:szCs w:val="24"/>
        </w:rPr>
      </w:pPr>
      <w:r w:rsidRPr="00C4485E">
        <w:rPr>
          <w:rFonts w:cstheme="minorHAnsi"/>
          <w:sz w:val="24"/>
          <w:szCs w:val="24"/>
        </w:rPr>
        <w:t>This is why I have approached the question of teaching from the perspective of the experience of 'being taught' which, as I have emphasised, is fundamentally different from the experience of 'learning from.' While in the situation where students learn from their teachers, the teacher figures as a resource so that what is being learned from the teacher is within the control of the student, the experience of 'being taught' is about those situations in which something enters our being from the outside, so to speak, as something that is fundamentally beyond the control of t</w:t>
      </w:r>
      <w:r w:rsidR="00783BEB">
        <w:rPr>
          <w:rFonts w:cstheme="minorHAnsi"/>
          <w:sz w:val="24"/>
          <w:szCs w:val="24"/>
        </w:rPr>
        <w:t xml:space="preserve">he 'learner.' To be taught – </w:t>
      </w:r>
      <w:r w:rsidRPr="00C4485E">
        <w:rPr>
          <w:rFonts w:cstheme="minorHAnsi"/>
          <w:sz w:val="24"/>
          <w:szCs w:val="24"/>
        </w:rPr>
        <w:t>to be open to receiving the gift of teaching – thus means being able to give such interruptions a place in one's understanding and one's being. This is why, following Kierkegaard, such teachings, when they are received, are a matter of subjective truth, that is, of truth to which we are willing to give authority.</w:t>
      </w:r>
    </w:p>
    <w:p w:rsidR="00C17E9A" w:rsidRPr="00C4485E" w:rsidRDefault="00C17E9A" w:rsidP="006F1355">
      <w:pPr>
        <w:jc w:val="both"/>
        <w:rPr>
          <w:rFonts w:cstheme="minorHAnsi"/>
          <w:sz w:val="24"/>
          <w:szCs w:val="24"/>
        </w:rPr>
      </w:pPr>
    </w:p>
    <w:p w:rsidR="00356100" w:rsidRPr="00C4485E" w:rsidRDefault="00C17E9A" w:rsidP="006F1355">
      <w:pPr>
        <w:jc w:val="both"/>
        <w:rPr>
          <w:rFonts w:cstheme="minorHAnsi"/>
          <w:sz w:val="24"/>
          <w:szCs w:val="24"/>
        </w:rPr>
      </w:pPr>
      <w:r w:rsidRPr="00C4485E">
        <w:rPr>
          <w:rFonts w:cstheme="minorHAnsi"/>
          <w:sz w:val="24"/>
          <w:szCs w:val="24"/>
        </w:rPr>
        <w:t xml:space="preserve">Does the fact that teachers cannot produce the experience of 'being taught' mean that teachers can do nothing in this domain other than hope for the best? I do not think that this is the conclusion that necessarily follows. One thing that teachers and those who have a concern for teaching can do, is to resist the constructivist 'common sense' about teaching, where the teacher is the one who has nothing to give and is giving nothing, who is there to draw out what is already inside the student, who is there to facilitate students' learning rather than to teach them a lesson, who is there to make the learning process as smooth and enjoyable as possible, who will not ask difficult questions or introduce difficult knowledge, in the hope that students will leave as satisfied customers. There is, after all, a different story to tell about teaching, and it is important that this story is being told and enacted – both within the school and within society. This is a story where teachers are not disposable and dispensable resources for learning, but where they have something to give, where they do not shy away from difficult questions and inconvenient truths, and where they work actively and consistently on the distinction between what is </w:t>
      </w:r>
      <w:r w:rsidRPr="00C4485E">
        <w:rPr>
          <w:rFonts w:cstheme="minorHAnsi"/>
          <w:i/>
          <w:sz w:val="24"/>
          <w:szCs w:val="24"/>
        </w:rPr>
        <w:t>desired</w:t>
      </w:r>
      <w:r w:rsidRPr="00C4485E">
        <w:rPr>
          <w:rFonts w:cstheme="minorHAnsi"/>
          <w:sz w:val="24"/>
          <w:szCs w:val="24"/>
        </w:rPr>
        <w:t xml:space="preserve"> and what is </w:t>
      </w:r>
      <w:r w:rsidRPr="00C4485E">
        <w:rPr>
          <w:rFonts w:cstheme="minorHAnsi"/>
          <w:i/>
          <w:sz w:val="24"/>
          <w:szCs w:val="24"/>
        </w:rPr>
        <w:t>desirable</w:t>
      </w:r>
      <w:r w:rsidRPr="00C4485E">
        <w:rPr>
          <w:rFonts w:cstheme="minorHAnsi"/>
          <w:sz w:val="24"/>
          <w:szCs w:val="24"/>
        </w:rPr>
        <w:t>, so as to explore what it is that should have authority in our lives. And this is not only a question at the level of individual students and their desires, but also has to do with the public role of the teacher (see Meirieu 2008)</w:t>
      </w:r>
      <w:r w:rsidR="00356100" w:rsidRPr="00C4485E">
        <w:rPr>
          <w:rFonts w:cstheme="minorHAnsi"/>
          <w:sz w:val="24"/>
          <w:szCs w:val="24"/>
        </w:rPr>
        <w:t>, so as to (re)connect the project of schooling with the wider democratic transformation of individual 'wants' into collectively agreed upon 'needs' (</w:t>
      </w:r>
      <w:r w:rsidR="00ED3F45" w:rsidRPr="00C4485E">
        <w:rPr>
          <w:rFonts w:cstheme="minorHAnsi"/>
          <w:sz w:val="24"/>
          <w:szCs w:val="24"/>
        </w:rPr>
        <w:t xml:space="preserve">see </w:t>
      </w:r>
      <w:r w:rsidR="00356100" w:rsidRPr="00C4485E">
        <w:rPr>
          <w:rFonts w:cstheme="minorHAnsi"/>
          <w:sz w:val="24"/>
          <w:szCs w:val="24"/>
        </w:rPr>
        <w:t xml:space="preserve">Heller </w:t>
      </w:r>
      <w:r w:rsidR="00ED3F45" w:rsidRPr="00C4485E">
        <w:rPr>
          <w:rFonts w:cstheme="minorHAnsi"/>
          <w:sz w:val="24"/>
          <w:szCs w:val="24"/>
        </w:rPr>
        <w:t>and</w:t>
      </w:r>
      <w:r w:rsidR="00356100" w:rsidRPr="00C4485E">
        <w:rPr>
          <w:rFonts w:cstheme="minorHAnsi"/>
          <w:sz w:val="24"/>
          <w:szCs w:val="24"/>
        </w:rPr>
        <w:t xml:space="preserve"> Fehér 1989</w:t>
      </w:r>
      <w:r w:rsidR="00ED3F45" w:rsidRPr="00C4485E">
        <w:rPr>
          <w:rFonts w:cstheme="minorHAnsi"/>
          <w:sz w:val="24"/>
          <w:szCs w:val="24"/>
        </w:rPr>
        <w:t>; Biesta 2011</w:t>
      </w:r>
      <w:r w:rsidR="00356100" w:rsidRPr="00C4485E">
        <w:rPr>
          <w:rFonts w:cstheme="minorHAnsi"/>
          <w:sz w:val="24"/>
          <w:szCs w:val="24"/>
        </w:rPr>
        <w:t xml:space="preserve">). </w:t>
      </w:r>
    </w:p>
    <w:p w:rsidR="00356100" w:rsidRPr="00C4485E" w:rsidRDefault="00356100" w:rsidP="006F1355">
      <w:pPr>
        <w:jc w:val="both"/>
        <w:rPr>
          <w:rFonts w:cstheme="minorHAnsi"/>
          <w:sz w:val="24"/>
          <w:szCs w:val="24"/>
        </w:rPr>
      </w:pPr>
    </w:p>
    <w:p w:rsidR="00381022" w:rsidRPr="00C4485E" w:rsidRDefault="00473F4D" w:rsidP="006F1355">
      <w:pPr>
        <w:jc w:val="both"/>
        <w:rPr>
          <w:rFonts w:cstheme="minorHAnsi"/>
          <w:sz w:val="24"/>
          <w:szCs w:val="24"/>
        </w:rPr>
      </w:pPr>
      <w:r w:rsidRPr="00C4485E">
        <w:rPr>
          <w:rFonts w:cstheme="minorHAnsi"/>
          <w:sz w:val="24"/>
          <w:szCs w:val="24"/>
        </w:rPr>
        <w:t>Just as there is a need to tell and enact a different story about teaching and the teacher, there is also a need to tell and enact a di</w:t>
      </w:r>
      <w:r w:rsidR="00ED3F45" w:rsidRPr="00C4485E">
        <w:rPr>
          <w:rFonts w:cstheme="minorHAnsi"/>
          <w:sz w:val="24"/>
          <w:szCs w:val="24"/>
        </w:rPr>
        <w:t xml:space="preserve">fferent story about the student, a story where the student is not a student-consumer whose needs need to be met in the most effective way, but a student who is open to the gift of teaching, a student who can welcome the unwelcome, a student who does not limit himself or herself to the task of learning from the teacher but is open to the possibility of being taught. </w:t>
      </w:r>
      <w:r w:rsidR="009C3978" w:rsidRPr="00C4485E">
        <w:rPr>
          <w:rFonts w:cstheme="minorHAnsi"/>
          <w:sz w:val="24"/>
          <w:szCs w:val="24"/>
        </w:rPr>
        <w:t>To open oneself for such a possibility begins</w:t>
      </w:r>
      <w:r w:rsidR="003A160A" w:rsidRPr="00C4485E">
        <w:rPr>
          <w:rFonts w:cstheme="minorHAnsi"/>
          <w:sz w:val="24"/>
          <w:szCs w:val="24"/>
        </w:rPr>
        <w:t>, perhaps,</w:t>
      </w:r>
      <w:r w:rsidR="009C3978" w:rsidRPr="00C4485E">
        <w:rPr>
          <w:rFonts w:cstheme="minorHAnsi"/>
          <w:sz w:val="24"/>
          <w:szCs w:val="24"/>
        </w:rPr>
        <w:t xml:space="preserve"> by acknowledging that the school is not </w:t>
      </w:r>
      <w:r w:rsidR="003A160A" w:rsidRPr="00C4485E">
        <w:rPr>
          <w:rFonts w:cstheme="minorHAnsi"/>
          <w:sz w:val="24"/>
          <w:szCs w:val="24"/>
        </w:rPr>
        <w:t xml:space="preserve">and should not be understood as </w:t>
      </w:r>
      <w:r w:rsidR="009C3978" w:rsidRPr="00C4485E">
        <w:rPr>
          <w:rFonts w:cstheme="minorHAnsi"/>
          <w:sz w:val="24"/>
          <w:szCs w:val="24"/>
        </w:rPr>
        <w:t xml:space="preserve">a place for </w:t>
      </w:r>
      <w:r w:rsidR="009C3978" w:rsidRPr="00C4485E">
        <w:rPr>
          <w:rFonts w:cstheme="minorHAnsi"/>
          <w:i/>
          <w:sz w:val="24"/>
          <w:szCs w:val="24"/>
        </w:rPr>
        <w:t>learning</w:t>
      </w:r>
      <w:r w:rsidR="009C3978" w:rsidRPr="00C4485E">
        <w:rPr>
          <w:rFonts w:cstheme="minorHAnsi"/>
          <w:sz w:val="24"/>
          <w:szCs w:val="24"/>
        </w:rPr>
        <w:t xml:space="preserve"> – if one wishes one can, after all, learn anywhere – but that </w:t>
      </w:r>
      <w:r w:rsidR="00381022" w:rsidRPr="00C4485E">
        <w:rPr>
          <w:rFonts w:cstheme="minorHAnsi"/>
          <w:sz w:val="24"/>
          <w:szCs w:val="24"/>
        </w:rPr>
        <w:t xml:space="preserve">what makes the school a school is the fact that </w:t>
      </w:r>
      <w:r w:rsidR="009C3978" w:rsidRPr="00C4485E">
        <w:rPr>
          <w:rFonts w:cstheme="minorHAnsi"/>
          <w:sz w:val="24"/>
          <w:szCs w:val="24"/>
        </w:rPr>
        <w:t xml:space="preserve">it is a place for </w:t>
      </w:r>
      <w:r w:rsidR="009C3978" w:rsidRPr="00C4485E">
        <w:rPr>
          <w:rFonts w:cstheme="minorHAnsi"/>
          <w:i/>
          <w:sz w:val="24"/>
          <w:szCs w:val="24"/>
        </w:rPr>
        <w:t>teaching</w:t>
      </w:r>
      <w:r w:rsidR="003A160A" w:rsidRPr="00C4485E">
        <w:rPr>
          <w:rFonts w:cstheme="minorHAnsi"/>
          <w:sz w:val="24"/>
          <w:szCs w:val="24"/>
        </w:rPr>
        <w:t>, as this is</w:t>
      </w:r>
      <w:r w:rsidR="009C3978" w:rsidRPr="00C4485E">
        <w:rPr>
          <w:rFonts w:cstheme="minorHAnsi"/>
          <w:sz w:val="24"/>
          <w:szCs w:val="24"/>
        </w:rPr>
        <w:t xml:space="preserve"> </w:t>
      </w:r>
      <w:r w:rsidR="003A160A" w:rsidRPr="00C4485E">
        <w:rPr>
          <w:rFonts w:cstheme="minorHAnsi"/>
          <w:sz w:val="24"/>
          <w:szCs w:val="24"/>
        </w:rPr>
        <w:t>what is distinctive about the school compared to most if not all social institutions, settings and arrangements.</w:t>
      </w:r>
      <w:r w:rsidR="00381022" w:rsidRPr="00C4485E">
        <w:rPr>
          <w:rFonts w:cstheme="minorHAnsi"/>
          <w:sz w:val="24"/>
          <w:szCs w:val="24"/>
        </w:rPr>
        <w:t xml:space="preserve"> To enter the school on the assumption that one may not only learn but perhaps even be taught, may only be a very small shift, but it is nonetheless a crucial and necessary shift if </w:t>
      </w:r>
      <w:r w:rsidR="00381022" w:rsidRPr="00C4485E">
        <w:rPr>
          <w:rFonts w:cstheme="minorHAnsi"/>
          <w:sz w:val="24"/>
          <w:szCs w:val="24"/>
        </w:rPr>
        <w:lastRenderedPageBreak/>
        <w:t>our aim is to give teaching its proper place in education or, to put it differently, if our aim is to give teaching back to education.</w:t>
      </w:r>
    </w:p>
    <w:p w:rsidR="00381022" w:rsidRPr="00C4485E" w:rsidRDefault="00381022" w:rsidP="006F1355">
      <w:pPr>
        <w:jc w:val="both"/>
        <w:rPr>
          <w:rFonts w:cstheme="minorHAnsi"/>
          <w:sz w:val="24"/>
          <w:szCs w:val="24"/>
        </w:rPr>
      </w:pPr>
    </w:p>
    <w:p w:rsidR="00381022" w:rsidRPr="00C4485E" w:rsidRDefault="00381022" w:rsidP="006F1355">
      <w:pPr>
        <w:jc w:val="both"/>
        <w:rPr>
          <w:rFonts w:cstheme="minorHAnsi"/>
          <w:b/>
          <w:sz w:val="24"/>
          <w:szCs w:val="24"/>
        </w:rPr>
      </w:pPr>
      <w:r w:rsidRPr="00C4485E">
        <w:rPr>
          <w:rFonts w:cstheme="minorHAnsi"/>
          <w:b/>
          <w:sz w:val="24"/>
          <w:szCs w:val="24"/>
        </w:rPr>
        <w:t>References</w:t>
      </w:r>
    </w:p>
    <w:p w:rsidR="00C17E9A" w:rsidRPr="00C4485E" w:rsidRDefault="00C17E9A" w:rsidP="006F1355">
      <w:pPr>
        <w:pStyle w:val="EndnoteText"/>
        <w:jc w:val="both"/>
        <w:rPr>
          <w:rFonts w:cstheme="minorHAnsi"/>
          <w:sz w:val="24"/>
          <w:szCs w:val="24"/>
        </w:rPr>
      </w:pPr>
      <w:r w:rsidRPr="00C4485E">
        <w:rPr>
          <w:rFonts w:cstheme="minorHAnsi"/>
          <w:sz w:val="24"/>
          <w:szCs w:val="24"/>
        </w:rPr>
        <w:t xml:space="preserve">Barr, R.B. &amp; Tagg, J. (1995). From teaching to learning: A new paradigm for undergraduate education. </w:t>
      </w:r>
      <w:r w:rsidRPr="00C4485E">
        <w:rPr>
          <w:rFonts w:cstheme="minorHAnsi"/>
          <w:i/>
          <w:sz w:val="24"/>
          <w:szCs w:val="24"/>
        </w:rPr>
        <w:t>Change</w:t>
      </w:r>
      <w:r w:rsidRPr="00C4485E">
        <w:rPr>
          <w:rFonts w:cstheme="minorHAnsi"/>
          <w:sz w:val="24"/>
          <w:szCs w:val="24"/>
        </w:rPr>
        <w:t xml:space="preserve"> (November/December), 13-25.</w:t>
      </w:r>
    </w:p>
    <w:p w:rsidR="00C17E9A" w:rsidRPr="00C4485E" w:rsidRDefault="00C17E9A" w:rsidP="006F1355">
      <w:pPr>
        <w:jc w:val="both"/>
        <w:rPr>
          <w:rFonts w:cstheme="minorHAnsi"/>
          <w:spacing w:val="-2"/>
          <w:sz w:val="24"/>
          <w:szCs w:val="24"/>
        </w:rPr>
      </w:pPr>
      <w:r w:rsidRPr="00C4485E">
        <w:rPr>
          <w:rFonts w:eastAsia="Calibri" w:cstheme="minorHAnsi"/>
          <w:spacing w:val="-2"/>
          <w:sz w:val="24"/>
          <w:szCs w:val="24"/>
        </w:rPr>
        <w:t xml:space="preserve">Biesta, G.J.J. (2004). Education after deconstruction. In J. Marshall (Ed) </w:t>
      </w:r>
      <w:r w:rsidRPr="00C4485E">
        <w:rPr>
          <w:rFonts w:eastAsia="Calibri" w:cstheme="minorHAnsi"/>
          <w:i/>
          <w:spacing w:val="-2"/>
          <w:sz w:val="24"/>
          <w:szCs w:val="24"/>
        </w:rPr>
        <w:t>Poststructuralism, Philosophy, Pedagogy</w:t>
      </w:r>
      <w:r w:rsidRPr="00C4485E">
        <w:rPr>
          <w:rFonts w:eastAsia="Calibri" w:cstheme="minorHAnsi"/>
          <w:spacing w:val="-2"/>
          <w:sz w:val="24"/>
          <w:szCs w:val="24"/>
        </w:rPr>
        <w:t xml:space="preserve"> (pp. 27-42). Dordrecht/Boston: Kluwer Academic Press.</w:t>
      </w:r>
    </w:p>
    <w:p w:rsidR="00C17E9A" w:rsidRPr="00C4485E" w:rsidRDefault="00C17E9A" w:rsidP="006F1355">
      <w:pPr>
        <w:pStyle w:val="EndnoteText"/>
        <w:jc w:val="both"/>
        <w:rPr>
          <w:rFonts w:cstheme="minorHAnsi"/>
          <w:spacing w:val="-2"/>
          <w:sz w:val="24"/>
          <w:szCs w:val="24"/>
        </w:rPr>
      </w:pPr>
      <w:r w:rsidRPr="00C4485E">
        <w:rPr>
          <w:rFonts w:cstheme="minorHAnsi"/>
          <w:sz w:val="24"/>
          <w:szCs w:val="24"/>
        </w:rPr>
        <w:t xml:space="preserve">Biesta, G.J.J. (2006). </w:t>
      </w:r>
      <w:r w:rsidR="00811F6F" w:rsidRPr="00811F6F">
        <w:rPr>
          <w:rFonts w:cstheme="minorHAnsi"/>
          <w:i/>
          <w:sz w:val="24"/>
          <w:szCs w:val="24"/>
        </w:rPr>
        <w:t>Beyond learning: Democratic education for a human future.</w:t>
      </w:r>
      <w:r w:rsidRPr="00C4485E">
        <w:rPr>
          <w:rFonts w:cstheme="minorHAnsi"/>
          <w:sz w:val="24"/>
          <w:szCs w:val="24"/>
        </w:rPr>
        <w:t xml:space="preserve"> Boulder, CO: Paradigm Publishers.</w:t>
      </w:r>
    </w:p>
    <w:p w:rsidR="00C17E9A" w:rsidRPr="00C4485E" w:rsidRDefault="00C17E9A" w:rsidP="006F1355">
      <w:pPr>
        <w:pStyle w:val="EndnoteText"/>
        <w:jc w:val="both"/>
        <w:rPr>
          <w:rFonts w:cstheme="minorHAnsi"/>
          <w:iCs/>
          <w:sz w:val="24"/>
          <w:szCs w:val="24"/>
        </w:rPr>
      </w:pPr>
      <w:r w:rsidRPr="00C4485E">
        <w:rPr>
          <w:rFonts w:cstheme="minorHAnsi"/>
          <w:sz w:val="24"/>
          <w:szCs w:val="24"/>
        </w:rPr>
        <w:t xml:space="preserve">Biesta, G.J.J. (2009). What is at stake in a pedagogy of interruption? In T.E. Lewis, J.G.A. Grinberg and M. Laverty (eds), </w:t>
      </w:r>
      <w:r w:rsidRPr="00C4485E">
        <w:rPr>
          <w:rFonts w:cstheme="minorHAnsi"/>
          <w:i/>
          <w:sz w:val="24"/>
          <w:szCs w:val="24"/>
        </w:rPr>
        <w:t>Philosophy of Education: Modern and Contemporary Ideas at Play</w:t>
      </w:r>
      <w:r w:rsidRPr="00C4485E">
        <w:rPr>
          <w:rFonts w:cstheme="minorHAnsi"/>
          <w:sz w:val="24"/>
          <w:szCs w:val="24"/>
        </w:rPr>
        <w:t xml:space="preserve"> (pp. 785-807). </w:t>
      </w:r>
      <w:r w:rsidRPr="00C4485E">
        <w:rPr>
          <w:rStyle w:val="Emphasis"/>
          <w:rFonts w:cstheme="minorHAnsi"/>
          <w:i w:val="0"/>
          <w:sz w:val="24"/>
          <w:szCs w:val="24"/>
        </w:rPr>
        <w:t>Dubuque, IA: Kendall/Hunt.</w:t>
      </w:r>
    </w:p>
    <w:p w:rsidR="00C17E9A" w:rsidRPr="00C4485E" w:rsidRDefault="00C17E9A" w:rsidP="006F1355">
      <w:pPr>
        <w:pStyle w:val="EndnoteText"/>
        <w:jc w:val="both"/>
        <w:rPr>
          <w:rFonts w:cstheme="minorHAnsi"/>
          <w:sz w:val="24"/>
          <w:szCs w:val="24"/>
        </w:rPr>
      </w:pPr>
      <w:r w:rsidRPr="00C4485E">
        <w:rPr>
          <w:rFonts w:cstheme="minorHAnsi"/>
          <w:sz w:val="24"/>
          <w:szCs w:val="24"/>
        </w:rPr>
        <w:t xml:space="preserve">Biesta, G.J.J. (2010). </w:t>
      </w:r>
      <w:r w:rsidRPr="00C4485E">
        <w:rPr>
          <w:rFonts w:cstheme="minorHAnsi"/>
          <w:i/>
          <w:sz w:val="24"/>
          <w:szCs w:val="24"/>
        </w:rPr>
        <w:t>Good education in an age of measurement: Ethics, politics, democracy.</w:t>
      </w:r>
      <w:r w:rsidRPr="00C4485E">
        <w:rPr>
          <w:rFonts w:cstheme="minorHAnsi"/>
          <w:sz w:val="24"/>
          <w:szCs w:val="24"/>
        </w:rPr>
        <w:t xml:space="preserve"> Boulder, CO: Paradigm Publishers.</w:t>
      </w:r>
    </w:p>
    <w:p w:rsidR="00C17E9A" w:rsidRPr="00C4485E" w:rsidRDefault="00C17E9A" w:rsidP="006F1355">
      <w:pPr>
        <w:jc w:val="both"/>
        <w:rPr>
          <w:rFonts w:cstheme="minorHAnsi"/>
          <w:sz w:val="24"/>
          <w:szCs w:val="24"/>
        </w:rPr>
      </w:pPr>
      <w:r w:rsidRPr="00C4485E">
        <w:rPr>
          <w:rFonts w:cstheme="minorHAnsi"/>
          <w:sz w:val="24"/>
          <w:szCs w:val="24"/>
        </w:rPr>
        <w:t xml:space="preserve">Biesta, G.J.J. (2011). </w:t>
      </w:r>
      <w:r w:rsidRPr="00C4485E">
        <w:rPr>
          <w:rFonts w:cstheme="minorHAnsi"/>
          <w:i/>
          <w:sz w:val="24"/>
          <w:szCs w:val="24"/>
        </w:rPr>
        <w:t>Learning democracy in school and society.</w:t>
      </w:r>
      <w:r w:rsidRPr="00C4485E">
        <w:rPr>
          <w:rFonts w:cstheme="minorHAnsi"/>
          <w:sz w:val="24"/>
          <w:szCs w:val="24"/>
        </w:rPr>
        <w:t xml:space="preserve"> Rotterdam/Boston/Taipei: Sense Publishers.</w:t>
      </w:r>
    </w:p>
    <w:p w:rsidR="00C17E9A" w:rsidRPr="00C4485E" w:rsidRDefault="00C17E9A" w:rsidP="006F1355">
      <w:pPr>
        <w:jc w:val="both"/>
        <w:rPr>
          <w:rFonts w:cstheme="minorHAnsi"/>
          <w:sz w:val="24"/>
          <w:szCs w:val="24"/>
          <w:lang w:val="en-US"/>
        </w:rPr>
      </w:pPr>
      <w:r w:rsidRPr="00783BEB">
        <w:rPr>
          <w:rFonts w:cstheme="minorHAnsi"/>
          <w:spacing w:val="-2"/>
          <w:sz w:val="24"/>
          <w:szCs w:val="24"/>
          <w:lang w:val="nl-NL"/>
        </w:rPr>
        <w:t xml:space="preserve">Biesta, G.J.J. &amp; Egéa-Kuehne, D. (eds) (2001). </w:t>
      </w:r>
      <w:r w:rsidRPr="00C4485E">
        <w:rPr>
          <w:rFonts w:cstheme="minorHAnsi"/>
          <w:i/>
          <w:spacing w:val="-2"/>
          <w:sz w:val="24"/>
          <w:szCs w:val="24"/>
        </w:rPr>
        <w:t>Derrida &amp; Education.</w:t>
      </w:r>
      <w:r w:rsidRPr="00C4485E">
        <w:rPr>
          <w:rFonts w:cstheme="minorHAnsi"/>
          <w:spacing w:val="-2"/>
          <w:sz w:val="24"/>
          <w:szCs w:val="24"/>
        </w:rPr>
        <w:t xml:space="preserve"> London/New York: Routledge</w:t>
      </w:r>
    </w:p>
    <w:p w:rsidR="00C17E9A" w:rsidRPr="00C4485E" w:rsidRDefault="00C17E9A" w:rsidP="006F1355">
      <w:pPr>
        <w:pStyle w:val="EndnoteText"/>
        <w:jc w:val="both"/>
        <w:rPr>
          <w:rFonts w:cstheme="minorHAnsi"/>
          <w:sz w:val="24"/>
          <w:szCs w:val="24"/>
        </w:rPr>
      </w:pPr>
      <w:r w:rsidRPr="00C4485E">
        <w:rPr>
          <w:rFonts w:cstheme="minorHAnsi"/>
          <w:sz w:val="24"/>
          <w:szCs w:val="24"/>
        </w:rPr>
        <w:t xml:space="preserve">Biesta, G.J.J. (in press). Interrupting the politics of learning. </w:t>
      </w:r>
      <w:r w:rsidRPr="00C4485E">
        <w:rPr>
          <w:rFonts w:cstheme="minorHAnsi"/>
          <w:i/>
          <w:sz w:val="24"/>
          <w:szCs w:val="24"/>
        </w:rPr>
        <w:t>Power and Education.</w:t>
      </w:r>
    </w:p>
    <w:p w:rsidR="00C17E9A" w:rsidRPr="00C4485E" w:rsidRDefault="00C17E9A" w:rsidP="006F1355">
      <w:pPr>
        <w:jc w:val="both"/>
        <w:rPr>
          <w:rFonts w:cstheme="minorHAnsi"/>
          <w:sz w:val="24"/>
          <w:szCs w:val="24"/>
        </w:rPr>
      </w:pPr>
      <w:r w:rsidRPr="00C4485E">
        <w:rPr>
          <w:rFonts w:cstheme="minorHAnsi"/>
          <w:sz w:val="24"/>
          <w:szCs w:val="24"/>
        </w:rPr>
        <w:t xml:space="preserve">Bingham. C. (2009). </w:t>
      </w:r>
      <w:r w:rsidRPr="00C4485E">
        <w:rPr>
          <w:rFonts w:cstheme="minorHAnsi"/>
          <w:i/>
          <w:sz w:val="24"/>
          <w:szCs w:val="24"/>
        </w:rPr>
        <w:t>Authority is relational.</w:t>
      </w:r>
      <w:r w:rsidRPr="00C4485E">
        <w:rPr>
          <w:rFonts w:cstheme="minorHAnsi"/>
          <w:sz w:val="24"/>
          <w:szCs w:val="24"/>
        </w:rPr>
        <w:t xml:space="preserve"> Albany, NY: SUNY Press.</w:t>
      </w:r>
    </w:p>
    <w:p w:rsidR="00C17E9A" w:rsidRPr="00C4485E" w:rsidRDefault="00C17E9A" w:rsidP="006F1355">
      <w:pPr>
        <w:pStyle w:val="Heading1"/>
        <w:spacing w:before="0" w:beforeAutospacing="0" w:after="0" w:afterAutospacing="0"/>
        <w:jc w:val="both"/>
        <w:rPr>
          <w:rStyle w:val="hw"/>
          <w:rFonts w:asciiTheme="minorHAnsi" w:hAnsiTheme="minorHAnsi" w:cstheme="minorHAnsi"/>
          <w:b w:val="0"/>
          <w:bCs w:val="0"/>
          <w:sz w:val="24"/>
          <w:szCs w:val="24"/>
        </w:rPr>
      </w:pPr>
      <w:r w:rsidRPr="00C4485E">
        <w:rPr>
          <w:rStyle w:val="hw"/>
          <w:rFonts w:asciiTheme="minorHAnsi" w:hAnsiTheme="minorHAnsi" w:cstheme="minorHAnsi"/>
          <w:b w:val="0"/>
          <w:bCs w:val="0"/>
          <w:sz w:val="24"/>
          <w:szCs w:val="24"/>
        </w:rPr>
        <w:t xml:space="preserve">Britzman, D. (1998). </w:t>
      </w:r>
      <w:r w:rsidRPr="00C4485E">
        <w:rPr>
          <w:rFonts w:asciiTheme="minorHAnsi" w:hAnsiTheme="minorHAnsi" w:cstheme="minorHAnsi"/>
          <w:b w:val="0"/>
          <w:i/>
          <w:sz w:val="24"/>
          <w:szCs w:val="24"/>
        </w:rPr>
        <w:t xml:space="preserve">Lost subjects, contested objects: Toward a psychoanalytic inquiry of learning. </w:t>
      </w:r>
      <w:r w:rsidRPr="00C4485E">
        <w:rPr>
          <w:rStyle w:val="hw"/>
          <w:rFonts w:asciiTheme="minorHAnsi" w:hAnsiTheme="minorHAnsi" w:cstheme="minorHAnsi"/>
          <w:b w:val="0"/>
          <w:bCs w:val="0"/>
          <w:sz w:val="24"/>
          <w:szCs w:val="24"/>
        </w:rPr>
        <w:t>Albany: SUNY Press.</w:t>
      </w:r>
    </w:p>
    <w:p w:rsidR="00C17E9A" w:rsidRPr="00C4485E" w:rsidRDefault="00C17E9A" w:rsidP="006F1355">
      <w:pPr>
        <w:jc w:val="both"/>
        <w:rPr>
          <w:rFonts w:cstheme="minorHAnsi"/>
          <w:sz w:val="24"/>
          <w:szCs w:val="24"/>
        </w:rPr>
      </w:pPr>
      <w:r w:rsidRPr="00C4485E">
        <w:rPr>
          <w:rFonts w:cstheme="minorHAnsi"/>
          <w:sz w:val="24"/>
          <w:szCs w:val="24"/>
        </w:rPr>
        <w:t xml:space="preserve">Caputo, J.D. (2006). </w:t>
      </w:r>
      <w:r w:rsidRPr="00C4485E">
        <w:rPr>
          <w:rFonts w:cstheme="minorHAnsi"/>
          <w:i/>
          <w:sz w:val="24"/>
          <w:szCs w:val="24"/>
        </w:rPr>
        <w:t>The Weakness of God.</w:t>
      </w:r>
      <w:r w:rsidRPr="00C4485E">
        <w:rPr>
          <w:rFonts w:cstheme="minorHAnsi"/>
          <w:sz w:val="24"/>
          <w:szCs w:val="24"/>
        </w:rPr>
        <w:t xml:space="preserve"> Bloomington: Indiana University Press.</w:t>
      </w:r>
    </w:p>
    <w:p w:rsidR="00C17E9A" w:rsidRPr="00C4485E" w:rsidRDefault="00C17E9A" w:rsidP="006F1355">
      <w:pPr>
        <w:jc w:val="both"/>
        <w:rPr>
          <w:rFonts w:cstheme="minorHAnsi"/>
          <w:sz w:val="24"/>
          <w:szCs w:val="24"/>
        </w:rPr>
      </w:pPr>
      <w:r w:rsidRPr="00C4485E">
        <w:rPr>
          <w:rFonts w:cstheme="minorHAnsi"/>
          <w:sz w:val="24"/>
          <w:szCs w:val="24"/>
        </w:rPr>
        <w:t xml:space="preserve">Caputo, J.D. (2007). </w:t>
      </w:r>
      <w:r w:rsidRPr="00C4485E">
        <w:rPr>
          <w:rFonts w:cstheme="minorHAnsi"/>
          <w:i/>
          <w:sz w:val="24"/>
          <w:szCs w:val="24"/>
        </w:rPr>
        <w:t>How to read Kierkegaard.</w:t>
      </w:r>
      <w:r w:rsidRPr="00C4485E">
        <w:rPr>
          <w:rFonts w:cstheme="minorHAnsi"/>
          <w:sz w:val="24"/>
          <w:szCs w:val="24"/>
        </w:rPr>
        <w:t xml:space="preserve"> London: Granta Books.</w:t>
      </w:r>
    </w:p>
    <w:p w:rsidR="00C17E9A" w:rsidRPr="00C4485E" w:rsidRDefault="00C17E9A" w:rsidP="006F1355">
      <w:pPr>
        <w:jc w:val="both"/>
        <w:rPr>
          <w:rStyle w:val="hw"/>
          <w:rFonts w:cstheme="minorHAnsi"/>
          <w:bCs/>
          <w:sz w:val="24"/>
          <w:szCs w:val="24"/>
          <w:lang w:val="en-US"/>
        </w:rPr>
      </w:pPr>
      <w:r w:rsidRPr="00C4485E">
        <w:rPr>
          <w:rStyle w:val="hw"/>
          <w:rFonts w:cstheme="minorHAnsi"/>
          <w:bCs/>
          <w:sz w:val="24"/>
          <w:szCs w:val="24"/>
          <w:lang w:val="en-US"/>
        </w:rPr>
        <w:t xml:space="preserve">Caputo, J.D. &amp; Vattimo, G. (2007). </w:t>
      </w:r>
      <w:r w:rsidRPr="00C4485E">
        <w:rPr>
          <w:rStyle w:val="hw"/>
          <w:rFonts w:cstheme="minorHAnsi"/>
          <w:bCs/>
          <w:i/>
          <w:sz w:val="24"/>
          <w:szCs w:val="24"/>
          <w:lang w:val="en-US"/>
        </w:rPr>
        <w:t>After the death of God.</w:t>
      </w:r>
      <w:r w:rsidRPr="00C4485E">
        <w:rPr>
          <w:rStyle w:val="hw"/>
          <w:rFonts w:cstheme="minorHAnsi"/>
          <w:bCs/>
          <w:sz w:val="24"/>
          <w:szCs w:val="24"/>
          <w:lang w:val="en-US"/>
        </w:rPr>
        <w:t xml:space="preserve"> </w:t>
      </w:r>
      <w:r w:rsidRPr="00C4485E">
        <w:rPr>
          <w:sz w:val="24"/>
          <w:szCs w:val="24"/>
        </w:rPr>
        <w:t>New York: Columbia University Press.</w:t>
      </w:r>
    </w:p>
    <w:p w:rsidR="00C17E9A" w:rsidRPr="00C4485E" w:rsidRDefault="00C17E9A" w:rsidP="006F1355">
      <w:pPr>
        <w:jc w:val="both"/>
        <w:rPr>
          <w:rFonts w:cstheme="minorHAnsi"/>
          <w:i/>
          <w:sz w:val="24"/>
          <w:szCs w:val="24"/>
        </w:rPr>
      </w:pPr>
      <w:r w:rsidRPr="00C4485E">
        <w:rPr>
          <w:rStyle w:val="Emphasis"/>
          <w:rFonts w:cstheme="minorHAnsi"/>
          <w:i w:val="0"/>
          <w:sz w:val="24"/>
          <w:szCs w:val="24"/>
        </w:rPr>
        <w:t xml:space="preserve">Derrida, J. (1992). </w:t>
      </w:r>
      <w:r w:rsidRPr="00C4485E">
        <w:rPr>
          <w:rStyle w:val="Emphasis"/>
          <w:rFonts w:cstheme="minorHAnsi"/>
          <w:sz w:val="24"/>
          <w:szCs w:val="24"/>
        </w:rPr>
        <w:t xml:space="preserve">Given time: </w:t>
      </w:r>
      <w:r w:rsidR="00CD6434">
        <w:rPr>
          <w:rStyle w:val="Emphasis"/>
          <w:rFonts w:cstheme="minorHAnsi"/>
          <w:sz w:val="24"/>
          <w:szCs w:val="24"/>
        </w:rPr>
        <w:t>I</w:t>
      </w:r>
      <w:r w:rsidRPr="00C4485E">
        <w:rPr>
          <w:rStyle w:val="Emphasis"/>
          <w:rFonts w:cstheme="minorHAnsi"/>
          <w:sz w:val="24"/>
          <w:szCs w:val="24"/>
        </w:rPr>
        <w:t>. Counterfeit money</w:t>
      </w:r>
      <w:r w:rsidRPr="00C4485E">
        <w:rPr>
          <w:rFonts w:cstheme="minorHAnsi"/>
          <w:i/>
          <w:sz w:val="24"/>
          <w:szCs w:val="24"/>
        </w:rPr>
        <w:t xml:space="preserve">. </w:t>
      </w:r>
      <w:r w:rsidRPr="00C4485E">
        <w:rPr>
          <w:rFonts w:cstheme="minorHAnsi"/>
          <w:sz w:val="24"/>
          <w:szCs w:val="24"/>
        </w:rPr>
        <w:t>Chicago: University of Chicago Press</w:t>
      </w:r>
      <w:r w:rsidRPr="00C4485E">
        <w:rPr>
          <w:rFonts w:cstheme="minorHAnsi"/>
          <w:i/>
          <w:sz w:val="24"/>
          <w:szCs w:val="24"/>
        </w:rPr>
        <w:t>.</w:t>
      </w:r>
    </w:p>
    <w:p w:rsidR="00C17E9A" w:rsidRPr="00C4485E" w:rsidRDefault="00C17E9A" w:rsidP="006F1355">
      <w:pPr>
        <w:jc w:val="both"/>
        <w:rPr>
          <w:rFonts w:cstheme="minorHAnsi"/>
          <w:spacing w:val="-2"/>
          <w:sz w:val="24"/>
          <w:szCs w:val="24"/>
        </w:rPr>
      </w:pPr>
      <w:r w:rsidRPr="00C4485E">
        <w:rPr>
          <w:rFonts w:eastAsia="Calibri" w:cstheme="minorHAnsi"/>
          <w:spacing w:val="-2"/>
          <w:sz w:val="24"/>
          <w:szCs w:val="24"/>
        </w:rPr>
        <w:t>Egéa-Kuehne</w:t>
      </w:r>
      <w:r w:rsidRPr="00C4485E">
        <w:rPr>
          <w:rFonts w:cstheme="minorHAnsi"/>
          <w:spacing w:val="-2"/>
          <w:sz w:val="24"/>
          <w:szCs w:val="24"/>
        </w:rPr>
        <w:t xml:space="preserve">, D. </w:t>
      </w:r>
      <w:r w:rsidRPr="00C4485E">
        <w:rPr>
          <w:rFonts w:eastAsia="Calibri" w:cstheme="minorHAnsi"/>
          <w:spacing w:val="-2"/>
          <w:sz w:val="24"/>
          <w:szCs w:val="24"/>
        </w:rPr>
        <w:t>(</w:t>
      </w:r>
      <w:r w:rsidRPr="00C4485E">
        <w:rPr>
          <w:rFonts w:cstheme="minorHAnsi"/>
          <w:spacing w:val="-2"/>
          <w:sz w:val="24"/>
          <w:szCs w:val="24"/>
        </w:rPr>
        <w:t>E</w:t>
      </w:r>
      <w:r w:rsidRPr="00C4485E">
        <w:rPr>
          <w:rFonts w:eastAsia="Calibri" w:cstheme="minorHAnsi"/>
          <w:spacing w:val="-2"/>
          <w:sz w:val="24"/>
          <w:szCs w:val="24"/>
        </w:rPr>
        <w:t>d)</w:t>
      </w:r>
      <w:r w:rsidRPr="00C4485E">
        <w:rPr>
          <w:rFonts w:cstheme="minorHAnsi"/>
          <w:spacing w:val="-2"/>
          <w:sz w:val="24"/>
          <w:szCs w:val="24"/>
        </w:rPr>
        <w:t xml:space="preserve">(2008). </w:t>
      </w:r>
      <w:r w:rsidRPr="00C4485E">
        <w:rPr>
          <w:rFonts w:eastAsia="Calibri" w:cstheme="minorHAnsi"/>
          <w:i/>
          <w:spacing w:val="-2"/>
          <w:sz w:val="24"/>
          <w:szCs w:val="24"/>
        </w:rPr>
        <w:t>Levinas and education: At the intersection of faith and reason</w:t>
      </w:r>
      <w:r w:rsidRPr="00C4485E">
        <w:rPr>
          <w:rFonts w:cstheme="minorHAnsi"/>
          <w:i/>
          <w:spacing w:val="-2"/>
          <w:sz w:val="24"/>
          <w:szCs w:val="24"/>
        </w:rPr>
        <w:t>.</w:t>
      </w:r>
      <w:r w:rsidRPr="00C4485E">
        <w:rPr>
          <w:rFonts w:eastAsia="Calibri" w:cstheme="minorHAnsi"/>
          <w:spacing w:val="-2"/>
          <w:sz w:val="24"/>
          <w:szCs w:val="24"/>
        </w:rPr>
        <w:t xml:space="preserve"> London/New York: Routledge.</w:t>
      </w:r>
    </w:p>
    <w:p w:rsidR="00C17E9A" w:rsidRPr="00C4485E" w:rsidRDefault="00C17E9A" w:rsidP="006F1355">
      <w:pPr>
        <w:jc w:val="both"/>
        <w:rPr>
          <w:rFonts w:cstheme="minorHAnsi"/>
          <w:sz w:val="24"/>
          <w:szCs w:val="24"/>
        </w:rPr>
      </w:pPr>
      <w:r w:rsidRPr="00C4485E">
        <w:rPr>
          <w:rFonts w:cstheme="minorHAnsi"/>
          <w:sz w:val="24"/>
          <w:szCs w:val="24"/>
        </w:rPr>
        <w:t>Gough, N. (2010). Can we escape the program? Inventing possible</w:t>
      </w:r>
      <w:r w:rsidR="00CD6434">
        <w:rPr>
          <w:rFonts w:cstheme="minorHAnsi"/>
          <w:sz w:val="24"/>
          <w:szCs w:val="24"/>
        </w:rPr>
        <w:t>/</w:t>
      </w:r>
      <w:r w:rsidRPr="00C4485E">
        <w:rPr>
          <w:rFonts w:cstheme="minorHAnsi"/>
          <w:sz w:val="24"/>
          <w:szCs w:val="24"/>
        </w:rPr>
        <w:t xml:space="preserve">impossible futures in/for Australian educational research. </w:t>
      </w:r>
      <w:r w:rsidRPr="00C4485E">
        <w:rPr>
          <w:rFonts w:cstheme="minorHAnsi"/>
          <w:i/>
          <w:iCs/>
          <w:sz w:val="24"/>
          <w:szCs w:val="24"/>
        </w:rPr>
        <w:t>Australian Educational Researcher</w:t>
      </w:r>
      <w:r w:rsidRPr="00C4485E">
        <w:rPr>
          <w:rFonts w:cstheme="minorHAnsi"/>
          <w:i/>
          <w:sz w:val="24"/>
          <w:szCs w:val="24"/>
        </w:rPr>
        <w:t xml:space="preserve"> 37</w:t>
      </w:r>
      <w:r w:rsidRPr="00C4485E">
        <w:rPr>
          <w:rFonts w:cstheme="minorHAnsi"/>
          <w:sz w:val="24"/>
          <w:szCs w:val="24"/>
        </w:rPr>
        <w:t>(4), 9-32.</w:t>
      </w:r>
    </w:p>
    <w:p w:rsidR="00C17E9A" w:rsidRPr="00C4485E" w:rsidRDefault="00C17E9A" w:rsidP="006F1355">
      <w:pPr>
        <w:jc w:val="both"/>
        <w:rPr>
          <w:rFonts w:cstheme="minorHAnsi"/>
          <w:spacing w:val="-2"/>
          <w:sz w:val="24"/>
          <w:szCs w:val="24"/>
        </w:rPr>
      </w:pPr>
      <w:r w:rsidRPr="00C4485E">
        <w:rPr>
          <w:rFonts w:cstheme="minorHAnsi"/>
          <w:spacing w:val="-2"/>
          <w:sz w:val="24"/>
          <w:szCs w:val="24"/>
        </w:rPr>
        <w:t xml:space="preserve">Green, B. (2010). The (im)possibility of the project. </w:t>
      </w:r>
      <w:r w:rsidRPr="00C4485E">
        <w:rPr>
          <w:rFonts w:cstheme="minorHAnsi"/>
          <w:i/>
          <w:spacing w:val="-2"/>
          <w:sz w:val="24"/>
          <w:szCs w:val="24"/>
        </w:rPr>
        <w:t>Australian Educational Researcher 37</w:t>
      </w:r>
      <w:r w:rsidRPr="00C4485E">
        <w:rPr>
          <w:rFonts w:cstheme="minorHAnsi"/>
          <w:spacing w:val="-2"/>
          <w:sz w:val="24"/>
          <w:szCs w:val="24"/>
        </w:rPr>
        <w:t>(3), 1-17.</w:t>
      </w:r>
    </w:p>
    <w:p w:rsidR="00C17E9A" w:rsidRPr="00C4485E" w:rsidRDefault="00C17E9A" w:rsidP="006F1355">
      <w:pPr>
        <w:jc w:val="both"/>
        <w:rPr>
          <w:rFonts w:cstheme="minorHAnsi"/>
          <w:sz w:val="24"/>
          <w:szCs w:val="24"/>
        </w:rPr>
      </w:pPr>
      <w:r w:rsidRPr="00C4485E">
        <w:rPr>
          <w:rFonts w:cstheme="minorHAnsi"/>
          <w:sz w:val="24"/>
          <w:szCs w:val="24"/>
        </w:rPr>
        <w:t xml:space="preserve">Heller, Á. &amp; Fehér, F. (1989). </w:t>
      </w:r>
      <w:r w:rsidRPr="00C4485E">
        <w:rPr>
          <w:rFonts w:cstheme="minorHAnsi"/>
          <w:i/>
          <w:iCs/>
          <w:sz w:val="24"/>
          <w:szCs w:val="24"/>
        </w:rPr>
        <w:t xml:space="preserve">The postmodern political condition. </w:t>
      </w:r>
      <w:r w:rsidRPr="00C4485E">
        <w:rPr>
          <w:rFonts w:cstheme="minorHAnsi"/>
          <w:sz w:val="24"/>
          <w:szCs w:val="24"/>
        </w:rPr>
        <w:t>New York: Columbia University Press.</w:t>
      </w:r>
    </w:p>
    <w:p w:rsidR="00C17E9A" w:rsidRPr="00C4485E" w:rsidRDefault="00C17E9A" w:rsidP="006F1355">
      <w:pPr>
        <w:jc w:val="both"/>
        <w:rPr>
          <w:rFonts w:cstheme="minorHAnsi"/>
          <w:sz w:val="24"/>
          <w:szCs w:val="24"/>
        </w:rPr>
      </w:pPr>
      <w:r w:rsidRPr="00C4485E">
        <w:rPr>
          <w:rStyle w:val="hw"/>
          <w:rFonts w:cstheme="minorHAnsi"/>
          <w:bCs/>
          <w:sz w:val="24"/>
          <w:szCs w:val="24"/>
        </w:rPr>
        <w:t xml:space="preserve">Henriksen, J.-O. (2010). </w:t>
      </w:r>
      <w:r w:rsidRPr="00C4485E">
        <w:rPr>
          <w:rFonts w:cstheme="minorHAnsi"/>
          <w:sz w:val="24"/>
          <w:szCs w:val="24"/>
        </w:rPr>
        <w:t xml:space="preserve">Thematizing otherness. On ways of conceptualizing transcendence and God in recent philosophy of religion. </w:t>
      </w:r>
      <w:r w:rsidRPr="00C4485E">
        <w:rPr>
          <w:rFonts w:cstheme="minorHAnsi"/>
          <w:i/>
          <w:sz w:val="24"/>
          <w:szCs w:val="24"/>
        </w:rPr>
        <w:t>Studia Theologica - Nordic Journal of Theology 64</w:t>
      </w:r>
      <w:r w:rsidRPr="00C4485E">
        <w:rPr>
          <w:rFonts w:cstheme="minorHAnsi"/>
          <w:sz w:val="24"/>
          <w:szCs w:val="24"/>
        </w:rPr>
        <w:t>(2), 153-176.</w:t>
      </w:r>
    </w:p>
    <w:p w:rsidR="004C08C4" w:rsidRPr="00C4485E" w:rsidRDefault="004C08C4" w:rsidP="006F1355">
      <w:pPr>
        <w:jc w:val="both"/>
        <w:rPr>
          <w:rFonts w:cstheme="minorHAnsi"/>
          <w:bCs/>
          <w:sz w:val="24"/>
          <w:szCs w:val="24"/>
        </w:rPr>
      </w:pPr>
      <w:r>
        <w:rPr>
          <w:rStyle w:val="hw"/>
          <w:rFonts w:cstheme="minorHAnsi"/>
          <w:bCs/>
          <w:sz w:val="24"/>
          <w:szCs w:val="24"/>
          <w:lang w:val="en-US"/>
        </w:rPr>
        <w:t xml:space="preserve">Kierkegaard, S. </w:t>
      </w:r>
      <w:r w:rsidRPr="00C4485E">
        <w:rPr>
          <w:rStyle w:val="hw"/>
          <w:rFonts w:cstheme="minorHAnsi"/>
          <w:bCs/>
          <w:sz w:val="24"/>
          <w:szCs w:val="24"/>
          <w:lang w:val="en-US"/>
        </w:rPr>
        <w:t xml:space="preserve">(1985). </w:t>
      </w:r>
      <w:r w:rsidRPr="00C4485E">
        <w:rPr>
          <w:rStyle w:val="hw"/>
          <w:rFonts w:cstheme="minorHAnsi"/>
          <w:bCs/>
          <w:i/>
          <w:sz w:val="24"/>
          <w:szCs w:val="24"/>
          <w:lang w:val="en-US"/>
        </w:rPr>
        <w:t>Philosophical fragments.</w:t>
      </w:r>
      <w:r w:rsidRPr="00C4485E">
        <w:rPr>
          <w:rStyle w:val="hw"/>
          <w:rFonts w:cstheme="minorHAnsi"/>
          <w:bCs/>
          <w:sz w:val="24"/>
          <w:szCs w:val="24"/>
          <w:lang w:val="en-US"/>
        </w:rPr>
        <w:t xml:space="preserve"> </w:t>
      </w:r>
      <w:r w:rsidRPr="00C4485E">
        <w:rPr>
          <w:rStyle w:val="hw"/>
          <w:rFonts w:cstheme="minorHAnsi"/>
          <w:bCs/>
          <w:sz w:val="24"/>
          <w:szCs w:val="24"/>
        </w:rPr>
        <w:t xml:space="preserve">In </w:t>
      </w:r>
      <w:r w:rsidRPr="004C08C4">
        <w:rPr>
          <w:rStyle w:val="hw"/>
          <w:rFonts w:cstheme="minorHAnsi"/>
          <w:bCs/>
          <w:i/>
          <w:sz w:val="24"/>
          <w:szCs w:val="24"/>
        </w:rPr>
        <w:t>Kierkegaard's writings VII. Edited and translated by H.V. Hong &amp; E.H. Hong</w:t>
      </w:r>
      <w:r w:rsidRPr="00C4485E">
        <w:rPr>
          <w:rStyle w:val="hw"/>
          <w:rFonts w:cstheme="minorHAnsi"/>
          <w:bCs/>
          <w:sz w:val="24"/>
          <w:szCs w:val="24"/>
        </w:rPr>
        <w:t xml:space="preserve"> (pp. 1-111). Princeton, NJ: Princeton University Press.</w:t>
      </w:r>
    </w:p>
    <w:p w:rsidR="004C08C4" w:rsidRPr="00C4485E" w:rsidRDefault="004C08C4" w:rsidP="006F1355">
      <w:pPr>
        <w:jc w:val="both"/>
        <w:rPr>
          <w:rFonts w:cstheme="minorHAnsi"/>
          <w:bCs/>
          <w:sz w:val="24"/>
          <w:szCs w:val="24"/>
        </w:rPr>
      </w:pPr>
      <w:r>
        <w:rPr>
          <w:rFonts w:cstheme="minorHAnsi"/>
          <w:sz w:val="24"/>
          <w:szCs w:val="24"/>
        </w:rPr>
        <w:t xml:space="preserve">Kierkegaard, S. </w:t>
      </w:r>
      <w:r w:rsidRPr="00C4485E">
        <w:rPr>
          <w:rFonts w:cstheme="minorHAnsi"/>
          <w:sz w:val="24"/>
          <w:szCs w:val="24"/>
        </w:rPr>
        <w:t xml:space="preserve">(1992). </w:t>
      </w:r>
      <w:r w:rsidRPr="00C4485E">
        <w:rPr>
          <w:rFonts w:cstheme="minorHAnsi"/>
          <w:i/>
          <w:iCs/>
          <w:sz w:val="24"/>
          <w:szCs w:val="24"/>
        </w:rPr>
        <w:t>Concluding Unscientific Postscript to Philosophical Fragments, Volume 1</w:t>
      </w:r>
      <w:r w:rsidRPr="00C4485E">
        <w:rPr>
          <w:rFonts w:cstheme="minorHAnsi"/>
          <w:sz w:val="24"/>
          <w:szCs w:val="24"/>
        </w:rPr>
        <w:t xml:space="preserve">. </w:t>
      </w:r>
      <w:r w:rsidRPr="004C08C4">
        <w:rPr>
          <w:rStyle w:val="hw"/>
          <w:rFonts w:cstheme="minorHAnsi"/>
          <w:bCs/>
          <w:i/>
          <w:sz w:val="24"/>
          <w:szCs w:val="24"/>
        </w:rPr>
        <w:t>Kierkegaard's writings XII. Edited and translated by H.V. Hong &amp; E.H. Hong.</w:t>
      </w:r>
      <w:r w:rsidRPr="00C4485E">
        <w:rPr>
          <w:rStyle w:val="hw"/>
          <w:rFonts w:cstheme="minorHAnsi"/>
          <w:bCs/>
          <w:sz w:val="24"/>
          <w:szCs w:val="24"/>
        </w:rPr>
        <w:t xml:space="preserve"> Princeton, NJ: Princeton University Press.</w:t>
      </w:r>
    </w:p>
    <w:p w:rsidR="00C17E9A" w:rsidRPr="00C4485E" w:rsidRDefault="00C17E9A" w:rsidP="006F1355">
      <w:pPr>
        <w:jc w:val="both"/>
        <w:rPr>
          <w:rFonts w:cstheme="minorHAnsi"/>
          <w:sz w:val="24"/>
          <w:szCs w:val="24"/>
        </w:rPr>
      </w:pPr>
      <w:r w:rsidRPr="00C4485E">
        <w:rPr>
          <w:rFonts w:cstheme="minorHAnsi"/>
          <w:sz w:val="24"/>
          <w:szCs w:val="24"/>
        </w:rPr>
        <w:t xml:space="preserve">Kierkegaard, S. (1996). </w:t>
      </w:r>
      <w:r w:rsidRPr="00C4485E">
        <w:rPr>
          <w:rFonts w:cstheme="minorHAnsi"/>
          <w:i/>
          <w:sz w:val="24"/>
          <w:szCs w:val="24"/>
        </w:rPr>
        <w:t>Papers and journals: A selection.</w:t>
      </w:r>
      <w:r w:rsidRPr="00C4485E">
        <w:rPr>
          <w:rFonts w:cstheme="minorHAnsi"/>
          <w:sz w:val="24"/>
          <w:szCs w:val="24"/>
        </w:rPr>
        <w:t xml:space="preserve"> London/New York: Penguin </w:t>
      </w:r>
    </w:p>
    <w:p w:rsidR="00C17E9A" w:rsidRPr="00C4485E" w:rsidRDefault="00C17E9A" w:rsidP="006F1355">
      <w:pPr>
        <w:pStyle w:val="EndnoteText"/>
        <w:jc w:val="both"/>
        <w:rPr>
          <w:rFonts w:cstheme="minorHAnsi"/>
          <w:sz w:val="24"/>
          <w:szCs w:val="24"/>
        </w:rPr>
      </w:pPr>
      <w:r w:rsidRPr="00C4485E">
        <w:rPr>
          <w:rFonts w:cstheme="minorHAnsi"/>
          <w:sz w:val="24"/>
          <w:szCs w:val="24"/>
        </w:rPr>
        <w:t xml:space="preserve">Levinas, E. (1969). </w:t>
      </w:r>
      <w:r w:rsidRPr="00C4485E">
        <w:rPr>
          <w:rFonts w:cstheme="minorHAnsi"/>
          <w:i/>
          <w:sz w:val="24"/>
          <w:szCs w:val="24"/>
        </w:rPr>
        <w:t>T</w:t>
      </w:r>
      <w:r w:rsidRPr="00C4485E">
        <w:rPr>
          <w:rFonts w:cstheme="minorHAnsi"/>
          <w:i/>
          <w:iCs/>
          <w:sz w:val="24"/>
          <w:szCs w:val="24"/>
        </w:rPr>
        <w:t xml:space="preserve">otality and Infinity: An Essay on Exteriority. </w:t>
      </w:r>
      <w:r w:rsidRPr="00C4485E">
        <w:rPr>
          <w:rFonts w:cstheme="minorHAnsi"/>
          <w:sz w:val="24"/>
          <w:szCs w:val="24"/>
        </w:rPr>
        <w:t>Pittsburgh: Duquesne University Press.</w:t>
      </w:r>
    </w:p>
    <w:p w:rsidR="00C17E9A" w:rsidRPr="00C4485E" w:rsidRDefault="00C17E9A" w:rsidP="006F1355">
      <w:pPr>
        <w:pStyle w:val="EndnoteText"/>
        <w:jc w:val="both"/>
        <w:rPr>
          <w:rFonts w:cstheme="minorHAnsi"/>
          <w:sz w:val="24"/>
          <w:szCs w:val="24"/>
        </w:rPr>
      </w:pPr>
      <w:r w:rsidRPr="00C4485E">
        <w:rPr>
          <w:rFonts w:cstheme="minorHAnsi"/>
          <w:sz w:val="24"/>
          <w:szCs w:val="24"/>
        </w:rPr>
        <w:lastRenderedPageBreak/>
        <w:t xml:space="preserve">Levinas, E. (1987). Phenomenon and enigma. In </w:t>
      </w:r>
      <w:r w:rsidR="00CD6434">
        <w:rPr>
          <w:rFonts w:cstheme="minorHAnsi"/>
          <w:sz w:val="24"/>
          <w:szCs w:val="24"/>
        </w:rPr>
        <w:t xml:space="preserve">E. Levinas, </w:t>
      </w:r>
      <w:r w:rsidRPr="00CD6434">
        <w:rPr>
          <w:rFonts w:cstheme="minorHAnsi"/>
          <w:i/>
          <w:sz w:val="24"/>
          <w:szCs w:val="24"/>
        </w:rPr>
        <w:t>Collected Philosophical Papers</w:t>
      </w:r>
      <w:r w:rsidRPr="00C4485E">
        <w:rPr>
          <w:rFonts w:cstheme="minorHAnsi"/>
          <w:sz w:val="24"/>
          <w:szCs w:val="24"/>
        </w:rPr>
        <w:t>. Dordrecht: Nijhoff.</w:t>
      </w:r>
    </w:p>
    <w:p w:rsidR="00C17E9A" w:rsidRPr="00C4485E" w:rsidRDefault="00C17E9A" w:rsidP="006F1355">
      <w:pPr>
        <w:pStyle w:val="EndnoteText"/>
        <w:jc w:val="both"/>
        <w:rPr>
          <w:rFonts w:cstheme="minorHAnsi"/>
          <w:sz w:val="24"/>
          <w:szCs w:val="24"/>
        </w:rPr>
      </w:pPr>
      <w:r w:rsidRPr="00C4485E">
        <w:rPr>
          <w:rFonts w:cstheme="minorHAnsi"/>
          <w:sz w:val="24"/>
          <w:szCs w:val="24"/>
        </w:rPr>
        <w:t xml:space="preserve">Levinas, E. (1998). </w:t>
      </w:r>
      <w:r w:rsidRPr="00C4485E">
        <w:rPr>
          <w:rFonts w:cstheme="minorHAnsi"/>
          <w:i/>
          <w:sz w:val="24"/>
          <w:szCs w:val="24"/>
        </w:rPr>
        <w:t>Of God who comes to mind.</w:t>
      </w:r>
      <w:r w:rsidRPr="00C4485E">
        <w:rPr>
          <w:rFonts w:cstheme="minorHAnsi"/>
          <w:sz w:val="24"/>
          <w:szCs w:val="24"/>
        </w:rPr>
        <w:t xml:space="preserve"> Stanford, CA: Stanford University Press.</w:t>
      </w:r>
    </w:p>
    <w:p w:rsidR="00C17E9A" w:rsidRPr="00C4485E" w:rsidRDefault="00C17E9A" w:rsidP="006F1355">
      <w:pPr>
        <w:pStyle w:val="EndnoteText"/>
        <w:jc w:val="both"/>
        <w:rPr>
          <w:rFonts w:cstheme="minorHAnsi"/>
          <w:sz w:val="24"/>
          <w:szCs w:val="24"/>
        </w:rPr>
      </w:pPr>
      <w:r w:rsidRPr="00C4485E">
        <w:rPr>
          <w:rFonts w:cstheme="minorHAnsi"/>
          <w:sz w:val="24"/>
          <w:szCs w:val="24"/>
          <w:lang w:val="nl-NL"/>
        </w:rPr>
        <w:t xml:space="preserve">Meirieu, P. (2007). </w:t>
      </w:r>
      <w:r w:rsidRPr="00C4485E">
        <w:rPr>
          <w:rFonts w:cstheme="minorHAnsi"/>
          <w:i/>
          <w:sz w:val="24"/>
          <w:szCs w:val="24"/>
          <w:lang w:val="nl-NL"/>
        </w:rPr>
        <w:t>Pédagogie: Le devoir de résister.</w:t>
      </w:r>
      <w:r w:rsidRPr="00C4485E">
        <w:rPr>
          <w:rFonts w:cstheme="minorHAnsi"/>
          <w:sz w:val="24"/>
          <w:szCs w:val="24"/>
          <w:lang w:val="nl-NL"/>
        </w:rPr>
        <w:t xml:space="preserve"> </w:t>
      </w:r>
      <w:r w:rsidRPr="00C4485E">
        <w:rPr>
          <w:rFonts w:cstheme="minorHAnsi"/>
          <w:sz w:val="24"/>
          <w:szCs w:val="24"/>
        </w:rPr>
        <w:t>Issy-les-Moulineaux: ESF éditeur.</w:t>
      </w:r>
    </w:p>
    <w:p w:rsidR="00C17E9A" w:rsidRPr="00C4485E" w:rsidRDefault="00C17E9A" w:rsidP="006F1355">
      <w:pPr>
        <w:jc w:val="both"/>
        <w:rPr>
          <w:rFonts w:cstheme="minorHAnsi"/>
          <w:sz w:val="24"/>
          <w:szCs w:val="24"/>
        </w:rPr>
      </w:pPr>
      <w:r w:rsidRPr="00C4485E">
        <w:rPr>
          <w:rFonts w:cstheme="minorHAnsi"/>
          <w:sz w:val="24"/>
          <w:szCs w:val="24"/>
        </w:rPr>
        <w:t xml:space="preserve">Meirieu, P. (2008). Le maître, serviteur public. Sur quoi fonder l’autorité des enseignants dans nos sociétés démocratiques? Conférence donnée dans le cadre de l’École d’été de Rosa Sensat, Université de Barcelone, juillet 2008. Retrieved from </w:t>
      </w:r>
      <w:hyperlink r:id="rId9" w:history="1">
        <w:r w:rsidRPr="00C4485E">
          <w:rPr>
            <w:rStyle w:val="Hyperlink"/>
            <w:rFonts w:cstheme="minorHAnsi"/>
            <w:sz w:val="24"/>
            <w:szCs w:val="24"/>
            <w:u w:val="none"/>
          </w:rPr>
          <w:t>http://www.meirieu.com/ARTICLES/maitre_serviteur_public_version2.pdf</w:t>
        </w:r>
      </w:hyperlink>
      <w:r w:rsidRPr="00C4485E">
        <w:rPr>
          <w:rFonts w:cstheme="minorHAnsi"/>
          <w:sz w:val="24"/>
          <w:szCs w:val="24"/>
        </w:rPr>
        <w:t xml:space="preserve"> 1 June 2012.</w:t>
      </w:r>
    </w:p>
    <w:p w:rsidR="00C17E9A" w:rsidRPr="00C4485E" w:rsidRDefault="00C17E9A" w:rsidP="006F1355">
      <w:pPr>
        <w:jc w:val="both"/>
        <w:rPr>
          <w:rFonts w:cstheme="minorHAnsi"/>
          <w:sz w:val="24"/>
          <w:szCs w:val="24"/>
          <w:lang w:val="en-US"/>
        </w:rPr>
      </w:pPr>
      <w:r w:rsidRPr="00C4485E">
        <w:rPr>
          <w:rFonts w:eastAsia="Calibri" w:cstheme="minorHAnsi"/>
          <w:sz w:val="24"/>
          <w:szCs w:val="24"/>
          <w:lang w:val="nl-NL"/>
        </w:rPr>
        <w:t xml:space="preserve">Miedema, S. &amp; Biesta, G.J.J. (2004). </w:t>
      </w:r>
      <w:r w:rsidRPr="00C4485E">
        <w:rPr>
          <w:rFonts w:eastAsia="Calibri" w:cstheme="minorHAnsi"/>
          <w:sz w:val="24"/>
          <w:szCs w:val="24"/>
          <w:lang w:val="en-US"/>
        </w:rPr>
        <w:t>Jacques Derrida’s religion with/out religion and the im/possibility of religious education.</w:t>
      </w:r>
      <w:r w:rsidRPr="00C4485E">
        <w:rPr>
          <w:rFonts w:eastAsia="Calibri" w:cstheme="minorHAnsi"/>
          <w:spacing w:val="-2"/>
          <w:sz w:val="24"/>
          <w:szCs w:val="24"/>
        </w:rPr>
        <w:t xml:space="preserve"> </w:t>
      </w:r>
      <w:r w:rsidRPr="00C4485E">
        <w:rPr>
          <w:rFonts w:eastAsia="Calibri" w:cstheme="minorHAnsi"/>
          <w:i/>
          <w:spacing w:val="-2"/>
          <w:sz w:val="24"/>
          <w:szCs w:val="24"/>
        </w:rPr>
        <w:t>Religious Education</w:t>
      </w:r>
      <w:r w:rsidRPr="00C4485E">
        <w:rPr>
          <w:rFonts w:eastAsia="Calibri" w:cstheme="minorHAnsi"/>
          <w:spacing w:val="-2"/>
          <w:sz w:val="24"/>
          <w:szCs w:val="24"/>
        </w:rPr>
        <w:t xml:space="preserve"> </w:t>
      </w:r>
      <w:r w:rsidRPr="00C4485E">
        <w:rPr>
          <w:rFonts w:eastAsia="Calibri" w:cstheme="minorHAnsi"/>
          <w:i/>
          <w:spacing w:val="-2"/>
          <w:sz w:val="24"/>
          <w:szCs w:val="24"/>
        </w:rPr>
        <w:t>99</w:t>
      </w:r>
      <w:r w:rsidRPr="00C4485E">
        <w:rPr>
          <w:rFonts w:eastAsia="Calibri" w:cstheme="minorHAnsi"/>
          <w:spacing w:val="-2"/>
          <w:sz w:val="24"/>
          <w:szCs w:val="24"/>
        </w:rPr>
        <w:t>(1), 23-37.</w:t>
      </w:r>
    </w:p>
    <w:p w:rsidR="00C17E9A" w:rsidRPr="00C4485E" w:rsidRDefault="00C17E9A" w:rsidP="006F1355">
      <w:pPr>
        <w:jc w:val="both"/>
        <w:rPr>
          <w:rFonts w:cstheme="minorHAnsi"/>
          <w:sz w:val="24"/>
          <w:szCs w:val="24"/>
        </w:rPr>
      </w:pPr>
      <w:r w:rsidRPr="00C4485E">
        <w:rPr>
          <w:rFonts w:cstheme="minorHAnsi"/>
          <w:sz w:val="24"/>
          <w:szCs w:val="24"/>
        </w:rPr>
        <w:t xml:space="preserve">Neil, A.S. (1966). </w:t>
      </w:r>
      <w:r w:rsidRPr="00C4485E">
        <w:rPr>
          <w:rFonts w:cstheme="minorHAnsi"/>
          <w:i/>
          <w:sz w:val="24"/>
          <w:szCs w:val="24"/>
        </w:rPr>
        <w:t>Freedom – Not license!</w:t>
      </w:r>
      <w:r w:rsidRPr="00C4485E">
        <w:rPr>
          <w:rFonts w:cstheme="minorHAnsi"/>
          <w:sz w:val="24"/>
          <w:szCs w:val="24"/>
        </w:rPr>
        <w:t xml:space="preserve"> New York: Hart.</w:t>
      </w:r>
    </w:p>
    <w:p w:rsidR="00C17E9A" w:rsidRPr="00C4485E" w:rsidRDefault="00C17E9A" w:rsidP="006F1355">
      <w:pPr>
        <w:jc w:val="both"/>
        <w:rPr>
          <w:rFonts w:cstheme="minorHAnsi"/>
          <w:sz w:val="24"/>
          <w:szCs w:val="24"/>
        </w:rPr>
      </w:pPr>
      <w:r w:rsidRPr="00C4485E">
        <w:rPr>
          <w:rFonts w:cstheme="minorHAnsi"/>
          <w:sz w:val="24"/>
          <w:szCs w:val="24"/>
        </w:rPr>
        <w:t xml:space="preserve">Nola, R. &amp; Irzik, G. (2005). </w:t>
      </w:r>
      <w:r w:rsidRPr="00C4485E">
        <w:rPr>
          <w:rStyle w:val="Emphasis"/>
          <w:rFonts w:cstheme="minorHAnsi"/>
          <w:sz w:val="24"/>
          <w:szCs w:val="24"/>
        </w:rPr>
        <w:t>Philosophy, science, education and culture.</w:t>
      </w:r>
      <w:r w:rsidRPr="00C4485E">
        <w:rPr>
          <w:rFonts w:cstheme="minorHAnsi"/>
          <w:sz w:val="24"/>
          <w:szCs w:val="24"/>
        </w:rPr>
        <w:t xml:space="preserve"> Dordrecht: Springer.</w:t>
      </w:r>
    </w:p>
    <w:p w:rsidR="00C17E9A" w:rsidRPr="00C4485E" w:rsidRDefault="00C17E9A" w:rsidP="006F1355">
      <w:pPr>
        <w:jc w:val="both"/>
        <w:rPr>
          <w:rFonts w:cstheme="minorHAnsi"/>
          <w:sz w:val="24"/>
          <w:szCs w:val="24"/>
          <w:lang w:val="en-US"/>
        </w:rPr>
      </w:pPr>
      <w:r w:rsidRPr="00C4485E">
        <w:rPr>
          <w:rFonts w:cstheme="minorHAnsi"/>
          <w:sz w:val="24"/>
          <w:szCs w:val="24"/>
          <w:lang w:val="en-US"/>
        </w:rPr>
        <w:t xml:space="preserve">O'Bryne, A. (2005). Pedagogy without a project: Arendt and Derrida on teaching, responsibility and revolution. </w:t>
      </w:r>
      <w:r w:rsidRPr="00C4485E">
        <w:rPr>
          <w:rFonts w:cstheme="minorHAnsi"/>
          <w:i/>
          <w:sz w:val="24"/>
          <w:szCs w:val="24"/>
          <w:lang w:val="en-US"/>
        </w:rPr>
        <w:t>Studies in Philosophy and Education 24</w:t>
      </w:r>
      <w:r w:rsidRPr="00C4485E">
        <w:rPr>
          <w:rFonts w:cstheme="minorHAnsi"/>
          <w:sz w:val="24"/>
          <w:szCs w:val="24"/>
          <w:lang w:val="en-US"/>
        </w:rPr>
        <w:t>(5), 389-409.</w:t>
      </w:r>
    </w:p>
    <w:p w:rsidR="00C17E9A" w:rsidRPr="00C4485E" w:rsidRDefault="00C17E9A" w:rsidP="006F1355">
      <w:pPr>
        <w:jc w:val="both"/>
        <w:rPr>
          <w:rFonts w:cstheme="minorHAnsi"/>
          <w:sz w:val="24"/>
          <w:szCs w:val="24"/>
          <w:lang w:val="en-US"/>
        </w:rPr>
      </w:pPr>
      <w:r w:rsidRPr="00C4485E">
        <w:rPr>
          <w:rFonts w:cstheme="minorHAnsi"/>
          <w:spacing w:val="-2"/>
          <w:sz w:val="24"/>
          <w:szCs w:val="24"/>
        </w:rPr>
        <w:t xml:space="preserve">Papastephanou, M. (2012). Crossing the divide within Continental philosophy: Reconstruction, deconstruction, dialogue and education. </w:t>
      </w:r>
      <w:r w:rsidRPr="00C4485E">
        <w:rPr>
          <w:rFonts w:cstheme="minorHAnsi"/>
          <w:i/>
          <w:spacing w:val="-2"/>
          <w:sz w:val="24"/>
          <w:szCs w:val="24"/>
        </w:rPr>
        <w:t>Studies in Philosophy and Education 31</w:t>
      </w:r>
      <w:r w:rsidRPr="00C4485E">
        <w:rPr>
          <w:rFonts w:cstheme="minorHAnsi"/>
          <w:spacing w:val="-2"/>
          <w:sz w:val="24"/>
          <w:szCs w:val="24"/>
        </w:rPr>
        <w:t>(2), 153-170.</w:t>
      </w:r>
    </w:p>
    <w:p w:rsidR="00C17E9A" w:rsidRPr="00C4485E" w:rsidRDefault="00C17E9A" w:rsidP="006F1355">
      <w:pPr>
        <w:jc w:val="both"/>
        <w:rPr>
          <w:rFonts w:cstheme="minorHAnsi"/>
          <w:sz w:val="24"/>
          <w:szCs w:val="24"/>
        </w:rPr>
      </w:pPr>
      <w:r w:rsidRPr="00C4485E">
        <w:rPr>
          <w:rFonts w:cstheme="minorHAnsi"/>
          <w:sz w:val="24"/>
          <w:szCs w:val="24"/>
        </w:rPr>
        <w:t xml:space="preserve">Richardson, V. (2003). Constructivist pedagogy. </w:t>
      </w:r>
      <w:r w:rsidRPr="00C4485E">
        <w:rPr>
          <w:rFonts w:cstheme="minorHAnsi"/>
          <w:i/>
          <w:sz w:val="24"/>
          <w:szCs w:val="24"/>
        </w:rPr>
        <w:t>Teachers College Record</w:t>
      </w:r>
      <w:r w:rsidRPr="00CD6434">
        <w:rPr>
          <w:rFonts w:cstheme="minorHAnsi"/>
          <w:i/>
          <w:sz w:val="24"/>
          <w:szCs w:val="24"/>
        </w:rPr>
        <w:t xml:space="preserve"> 105</w:t>
      </w:r>
      <w:r w:rsidRPr="00C4485E">
        <w:rPr>
          <w:rFonts w:cstheme="minorHAnsi"/>
          <w:sz w:val="24"/>
          <w:szCs w:val="24"/>
        </w:rPr>
        <w:t>(9), 1623-1640.</w:t>
      </w:r>
    </w:p>
    <w:p w:rsidR="00C17E9A" w:rsidRPr="00C4485E" w:rsidRDefault="00C17E9A" w:rsidP="006F1355">
      <w:pPr>
        <w:jc w:val="both"/>
        <w:rPr>
          <w:rFonts w:cstheme="minorHAnsi"/>
          <w:sz w:val="24"/>
          <w:szCs w:val="24"/>
        </w:rPr>
      </w:pPr>
      <w:r w:rsidRPr="00C4485E">
        <w:rPr>
          <w:rFonts w:cstheme="minorHAnsi"/>
          <w:sz w:val="24"/>
          <w:szCs w:val="24"/>
          <w:lang w:val="en-US"/>
        </w:rPr>
        <w:t xml:space="preserve">Roth, W.-M. (2011). </w:t>
      </w:r>
      <w:r w:rsidRPr="00C4485E">
        <w:rPr>
          <w:rFonts w:cstheme="minorHAnsi"/>
          <w:i/>
          <w:sz w:val="24"/>
          <w:szCs w:val="24"/>
          <w:lang w:val="en-US"/>
        </w:rPr>
        <w:t>Passability: At the limits of the constructivist metaphor.</w:t>
      </w:r>
      <w:r w:rsidRPr="00C4485E">
        <w:rPr>
          <w:rFonts w:cstheme="minorHAnsi"/>
          <w:sz w:val="24"/>
          <w:szCs w:val="24"/>
          <w:lang w:val="en-US"/>
        </w:rPr>
        <w:t xml:space="preserve"> Dordrecht: Springer.</w:t>
      </w:r>
    </w:p>
    <w:p w:rsidR="00C17E9A" w:rsidRPr="00C4485E" w:rsidRDefault="00C17E9A" w:rsidP="006F1355">
      <w:pPr>
        <w:jc w:val="both"/>
        <w:rPr>
          <w:rFonts w:cstheme="minorHAnsi"/>
          <w:sz w:val="24"/>
          <w:szCs w:val="24"/>
          <w:lang w:val="en-US"/>
        </w:rPr>
      </w:pPr>
      <w:r w:rsidRPr="00C4485E">
        <w:rPr>
          <w:rFonts w:cstheme="minorHAnsi"/>
          <w:sz w:val="24"/>
          <w:szCs w:val="24"/>
          <w:lang w:val="en-US"/>
        </w:rPr>
        <w:t xml:space="preserve">Ruitenberg, C. (2011). The empty chair: Education in an ethic of hospitality. In R. Kunzman (Ed), </w:t>
      </w:r>
      <w:r w:rsidRPr="00C4485E">
        <w:rPr>
          <w:rFonts w:cstheme="minorHAnsi"/>
          <w:i/>
          <w:sz w:val="24"/>
          <w:szCs w:val="24"/>
          <w:lang w:val="en-US"/>
        </w:rPr>
        <w:t>Philosophy of Education 2011</w:t>
      </w:r>
      <w:r w:rsidRPr="00C4485E">
        <w:rPr>
          <w:rFonts w:cstheme="minorHAnsi"/>
          <w:sz w:val="24"/>
          <w:szCs w:val="24"/>
          <w:lang w:val="en-US"/>
        </w:rPr>
        <w:t xml:space="preserve"> (pp.28-36). Urbana-Champaign, IL: Philosophy of Education Society.</w:t>
      </w:r>
    </w:p>
    <w:p w:rsidR="00C17E9A" w:rsidRPr="00C4485E" w:rsidRDefault="00C17E9A" w:rsidP="006F1355">
      <w:pPr>
        <w:jc w:val="both"/>
        <w:rPr>
          <w:rFonts w:cstheme="minorHAnsi"/>
          <w:sz w:val="24"/>
          <w:szCs w:val="24"/>
        </w:rPr>
      </w:pPr>
      <w:r w:rsidRPr="00C4485E">
        <w:rPr>
          <w:rFonts w:cstheme="minorHAnsi"/>
          <w:sz w:val="24"/>
          <w:szCs w:val="24"/>
        </w:rPr>
        <w:t xml:space="preserve">Saeverot, H. (2011). Kieregaard, seduction and existential education. </w:t>
      </w:r>
      <w:r w:rsidRPr="00C4485E">
        <w:rPr>
          <w:rFonts w:cstheme="minorHAnsi"/>
          <w:i/>
          <w:sz w:val="24"/>
          <w:szCs w:val="24"/>
        </w:rPr>
        <w:t>Studies in Philosophy and Education 30</w:t>
      </w:r>
      <w:r w:rsidRPr="00C4485E">
        <w:rPr>
          <w:rFonts w:cstheme="minorHAnsi"/>
          <w:sz w:val="24"/>
          <w:szCs w:val="24"/>
        </w:rPr>
        <w:t>(6), 557-572.</w:t>
      </w:r>
    </w:p>
    <w:p w:rsidR="00C17E9A" w:rsidRPr="00C4485E" w:rsidRDefault="00C17E9A" w:rsidP="006F1355">
      <w:pPr>
        <w:jc w:val="both"/>
        <w:rPr>
          <w:rFonts w:cstheme="minorHAnsi"/>
          <w:sz w:val="24"/>
          <w:szCs w:val="24"/>
        </w:rPr>
      </w:pPr>
      <w:r w:rsidRPr="00C4485E">
        <w:rPr>
          <w:rFonts w:cstheme="minorHAnsi"/>
          <w:sz w:val="24"/>
          <w:szCs w:val="24"/>
        </w:rPr>
        <w:t xml:space="preserve">Todd, S. (2003). </w:t>
      </w:r>
      <w:r w:rsidRPr="00C4485E">
        <w:rPr>
          <w:rFonts w:cstheme="minorHAnsi"/>
          <w:i/>
          <w:sz w:val="24"/>
          <w:szCs w:val="24"/>
        </w:rPr>
        <w:t>Learning from the other.</w:t>
      </w:r>
      <w:r w:rsidRPr="00C4485E">
        <w:rPr>
          <w:rFonts w:cstheme="minorHAnsi"/>
          <w:sz w:val="24"/>
          <w:szCs w:val="24"/>
        </w:rPr>
        <w:t xml:space="preserve"> Albany: SUNY Press.</w:t>
      </w:r>
    </w:p>
    <w:p w:rsidR="00C17E9A" w:rsidRPr="00C4485E" w:rsidRDefault="00C17E9A" w:rsidP="006F1355">
      <w:pPr>
        <w:jc w:val="both"/>
        <w:rPr>
          <w:rFonts w:cstheme="minorHAnsi"/>
          <w:sz w:val="24"/>
          <w:szCs w:val="24"/>
        </w:rPr>
      </w:pPr>
      <w:r w:rsidRPr="00C4485E">
        <w:rPr>
          <w:rFonts w:eastAsia="Calibri" w:cstheme="minorHAnsi"/>
          <w:spacing w:val="-2"/>
          <w:sz w:val="24"/>
          <w:szCs w:val="24"/>
          <w:lang w:val="sv-SE"/>
        </w:rPr>
        <w:t xml:space="preserve">Vanderstraeten, R. &amp; Biesta, G.J.J. (2001). </w:t>
      </w:r>
      <w:r w:rsidRPr="00C4485E">
        <w:rPr>
          <w:rFonts w:eastAsia="Calibri" w:cstheme="minorHAnsi"/>
          <w:spacing w:val="-2"/>
          <w:sz w:val="24"/>
          <w:szCs w:val="24"/>
        </w:rPr>
        <w:t xml:space="preserve">How is education possible? </w:t>
      </w:r>
      <w:r w:rsidRPr="00C4485E">
        <w:rPr>
          <w:rFonts w:eastAsia="Calibri" w:cstheme="minorHAnsi"/>
          <w:i/>
          <w:spacing w:val="-2"/>
          <w:sz w:val="24"/>
          <w:szCs w:val="24"/>
        </w:rPr>
        <w:t>Educational Philosophy and Theory 33</w:t>
      </w:r>
      <w:r w:rsidRPr="00C4485E">
        <w:rPr>
          <w:rFonts w:eastAsia="Calibri" w:cstheme="minorHAnsi"/>
          <w:spacing w:val="-2"/>
          <w:sz w:val="24"/>
          <w:szCs w:val="24"/>
        </w:rPr>
        <w:t>(1), 7-21.</w:t>
      </w:r>
    </w:p>
    <w:p w:rsidR="00C17E9A" w:rsidRPr="00C4485E" w:rsidRDefault="00841BA5" w:rsidP="006F1355">
      <w:pPr>
        <w:pStyle w:val="EndnoteText"/>
        <w:jc w:val="both"/>
        <w:rPr>
          <w:rFonts w:cstheme="minorHAnsi"/>
          <w:sz w:val="24"/>
          <w:szCs w:val="24"/>
        </w:rPr>
      </w:pPr>
      <w:r w:rsidRPr="00841BA5">
        <w:rPr>
          <w:rFonts w:cstheme="minorHAnsi"/>
          <w:sz w:val="24"/>
          <w:szCs w:val="24"/>
        </w:rPr>
        <w:t xml:space="preserve">Westphal, M. (2008). </w:t>
      </w:r>
      <w:r w:rsidRPr="00841BA5">
        <w:rPr>
          <w:rFonts w:cstheme="minorHAnsi"/>
          <w:i/>
          <w:sz w:val="24"/>
          <w:szCs w:val="24"/>
        </w:rPr>
        <w:t>Levinas and Kierkegaard in dialogue.</w:t>
      </w:r>
      <w:r w:rsidRPr="00841BA5">
        <w:rPr>
          <w:rFonts w:cstheme="minorHAnsi"/>
          <w:sz w:val="24"/>
          <w:szCs w:val="24"/>
        </w:rPr>
        <w:t xml:space="preserve"> </w:t>
      </w:r>
      <w:r w:rsidR="00C17E9A" w:rsidRPr="00C4485E">
        <w:rPr>
          <w:rFonts w:cstheme="minorHAnsi"/>
          <w:sz w:val="24"/>
          <w:szCs w:val="24"/>
        </w:rPr>
        <w:t xml:space="preserve">Bloomington and Indianapolis: Indiana University Press.  </w:t>
      </w:r>
    </w:p>
    <w:p w:rsidR="00C17E9A" w:rsidRPr="00E15A35" w:rsidRDefault="00C17E9A" w:rsidP="006F1355">
      <w:pPr>
        <w:tabs>
          <w:tab w:val="left" w:pos="-720"/>
          <w:tab w:val="left" w:pos="0"/>
          <w:tab w:val="center" w:pos="4649"/>
        </w:tabs>
        <w:suppressAutoHyphens/>
        <w:jc w:val="both"/>
        <w:rPr>
          <w:rFonts w:cstheme="minorHAnsi"/>
          <w:bCs/>
          <w:spacing w:val="-2"/>
          <w:sz w:val="24"/>
          <w:szCs w:val="24"/>
        </w:rPr>
      </w:pPr>
      <w:r w:rsidRPr="00C4485E">
        <w:rPr>
          <w:rFonts w:cstheme="minorHAnsi"/>
          <w:sz w:val="24"/>
          <w:szCs w:val="24"/>
        </w:rPr>
        <w:t xml:space="preserve">Winter, P. (2011). </w:t>
      </w:r>
      <w:r w:rsidRPr="00C4485E">
        <w:rPr>
          <w:rFonts w:cstheme="minorHAnsi"/>
          <w:bCs/>
          <w:spacing w:val="-2"/>
          <w:sz w:val="24"/>
          <w:szCs w:val="24"/>
        </w:rPr>
        <w:t xml:space="preserve">Coming into the world, uniqueness, and the beautiful risk of education. An interview with Gert Biesta by Philip Winter. </w:t>
      </w:r>
      <w:r w:rsidRPr="00C4485E">
        <w:rPr>
          <w:rFonts w:cstheme="minorHAnsi"/>
          <w:bCs/>
          <w:i/>
          <w:spacing w:val="-2"/>
          <w:sz w:val="24"/>
          <w:szCs w:val="24"/>
        </w:rPr>
        <w:t>Studies in Philosophy and Education</w:t>
      </w:r>
      <w:r w:rsidRPr="00C4485E">
        <w:rPr>
          <w:rFonts w:cstheme="minorHAnsi"/>
          <w:bCs/>
          <w:spacing w:val="-2"/>
          <w:sz w:val="24"/>
          <w:szCs w:val="24"/>
        </w:rPr>
        <w:t xml:space="preserve"> </w:t>
      </w:r>
      <w:r w:rsidRPr="00C4485E">
        <w:rPr>
          <w:rFonts w:cstheme="minorHAnsi"/>
          <w:bCs/>
          <w:i/>
          <w:spacing w:val="-2"/>
          <w:sz w:val="24"/>
          <w:szCs w:val="24"/>
        </w:rPr>
        <w:t>30</w:t>
      </w:r>
      <w:r w:rsidRPr="00C4485E">
        <w:rPr>
          <w:rFonts w:cstheme="minorHAnsi"/>
          <w:bCs/>
          <w:spacing w:val="-2"/>
          <w:sz w:val="24"/>
          <w:szCs w:val="24"/>
        </w:rPr>
        <w:t>(5)537-542.</w:t>
      </w:r>
    </w:p>
    <w:p w:rsidR="002877ED" w:rsidRPr="004B4E77" w:rsidRDefault="002877ED" w:rsidP="006F1355">
      <w:pPr>
        <w:jc w:val="both"/>
        <w:rPr>
          <w:sz w:val="24"/>
          <w:szCs w:val="24"/>
        </w:rPr>
      </w:pPr>
    </w:p>
    <w:sectPr w:rsidR="002877ED" w:rsidRPr="004B4E77" w:rsidSect="00722205">
      <w:headerReference w:type="default" r:id="rId10"/>
      <w:footerReference w:type="default" r:id="rId11"/>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8E0" w:rsidRDefault="003D28E0" w:rsidP="00C94237">
      <w:r>
        <w:separator/>
      </w:r>
    </w:p>
  </w:endnote>
  <w:endnote w:type="continuationSeparator" w:id="0">
    <w:p w:rsidR="003D28E0" w:rsidRDefault="003D28E0" w:rsidP="00C9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84470"/>
      <w:docPartObj>
        <w:docPartGallery w:val="Page Numbers (Bottom of Page)"/>
        <w:docPartUnique/>
      </w:docPartObj>
    </w:sdtPr>
    <w:sdtEndPr/>
    <w:sdtContent>
      <w:p w:rsidR="00C4485E" w:rsidRDefault="003D28E0">
        <w:pPr>
          <w:pStyle w:val="Footer"/>
          <w:jc w:val="center"/>
        </w:pPr>
        <w:r>
          <w:fldChar w:fldCharType="begin"/>
        </w:r>
        <w:r>
          <w:instrText xml:space="preserve"> PAGE   \* MERGEFORMAT </w:instrText>
        </w:r>
        <w:r>
          <w:fldChar w:fldCharType="separate"/>
        </w:r>
        <w:r w:rsidR="00C14D29">
          <w:rPr>
            <w:noProof/>
          </w:rPr>
          <w:t>1</w:t>
        </w:r>
        <w:r>
          <w:rPr>
            <w:noProof/>
          </w:rPr>
          <w:fldChar w:fldCharType="end"/>
        </w:r>
      </w:p>
    </w:sdtContent>
  </w:sdt>
  <w:p w:rsidR="00C4485E" w:rsidRDefault="00C44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8E0" w:rsidRDefault="003D28E0" w:rsidP="00C94237">
      <w:r>
        <w:separator/>
      </w:r>
    </w:p>
  </w:footnote>
  <w:footnote w:type="continuationSeparator" w:id="0">
    <w:p w:rsidR="003D28E0" w:rsidRDefault="003D28E0" w:rsidP="00C94237">
      <w:r>
        <w:continuationSeparator/>
      </w:r>
    </w:p>
  </w:footnote>
  <w:footnote w:id="1">
    <w:p w:rsidR="00C4485E" w:rsidRPr="004C08C4" w:rsidRDefault="00C4485E" w:rsidP="004C08C4">
      <w:pPr>
        <w:pStyle w:val="FootnoteText"/>
        <w:jc w:val="both"/>
        <w:rPr>
          <w:rFonts w:asciiTheme="minorHAnsi" w:hAnsiTheme="minorHAnsi" w:cstheme="minorHAnsi"/>
          <w:sz w:val="22"/>
          <w:szCs w:val="22"/>
        </w:rPr>
      </w:pPr>
      <w:r w:rsidRPr="004C08C4">
        <w:rPr>
          <w:rStyle w:val="FootnoteReference"/>
          <w:rFonts w:asciiTheme="minorHAnsi" w:hAnsiTheme="minorHAnsi" w:cstheme="minorHAnsi"/>
          <w:sz w:val="22"/>
          <w:szCs w:val="22"/>
        </w:rPr>
        <w:footnoteRef/>
      </w:r>
      <w:r w:rsidRPr="004C08C4">
        <w:rPr>
          <w:rFonts w:asciiTheme="minorHAnsi" w:hAnsiTheme="minorHAnsi" w:cstheme="minorHAnsi"/>
          <w:sz w:val="22"/>
          <w:szCs w:val="22"/>
        </w:rPr>
        <w:t xml:space="preserve"> Acknowledgement: I would like to thank Herner Saeverot, Stein Wivestad and Solveig Reindal for the invitation to contribute to this special issue. In this paper I have made use of ideas I presented earlier at the Annual Meeting of the Philosophy of Education Society USA in 2011 and at the </w:t>
      </w:r>
      <w:r w:rsidR="00C77C47" w:rsidRPr="004C08C4">
        <w:rPr>
          <w:rFonts w:asciiTheme="minorHAnsi" w:hAnsiTheme="minorHAnsi" w:cstheme="minorHAnsi"/>
          <w:sz w:val="22"/>
          <w:szCs w:val="22"/>
        </w:rPr>
        <w:t xml:space="preserve">Third </w:t>
      </w:r>
      <w:r w:rsidRPr="004C08C4">
        <w:rPr>
          <w:rFonts w:asciiTheme="minorHAnsi" w:hAnsiTheme="minorHAnsi" w:cstheme="minorHAnsi"/>
          <w:sz w:val="22"/>
          <w:szCs w:val="22"/>
        </w:rPr>
        <w:t>Bergen Educational Conversation, also in 2011. I would like to thank those attending for their helpful comments and would particularly like to thank Samuel Rocha for his warning not to try to make the teacher into (a) God.</w:t>
      </w:r>
    </w:p>
  </w:footnote>
  <w:footnote w:id="2">
    <w:p w:rsidR="00C4485E" w:rsidRPr="004C08C4" w:rsidRDefault="00C4485E" w:rsidP="004C08C4">
      <w:pPr>
        <w:pStyle w:val="FootnoteText"/>
        <w:jc w:val="both"/>
        <w:rPr>
          <w:rFonts w:asciiTheme="minorHAnsi" w:hAnsiTheme="minorHAnsi" w:cstheme="minorHAnsi"/>
          <w:sz w:val="22"/>
          <w:szCs w:val="22"/>
        </w:rPr>
      </w:pPr>
      <w:r w:rsidRPr="004C08C4">
        <w:rPr>
          <w:rStyle w:val="FootnoteReference"/>
          <w:rFonts w:asciiTheme="minorHAnsi" w:hAnsiTheme="minorHAnsi" w:cstheme="minorHAnsi"/>
          <w:sz w:val="22"/>
          <w:szCs w:val="22"/>
        </w:rPr>
        <w:footnoteRef/>
      </w:r>
      <w:r w:rsidRPr="004C08C4">
        <w:rPr>
          <w:rFonts w:asciiTheme="minorHAnsi" w:hAnsiTheme="minorHAnsi" w:cstheme="minorHAnsi"/>
          <w:sz w:val="22"/>
          <w:szCs w:val="22"/>
        </w:rPr>
        <w:t xml:space="preserve"> I wish to emphasise that the phenomenon that forms the occasion for my reflections in this paper is the way in which, through references to constructivist ideas and intuitions, the idea of teaching – and hence the idea of the teacher – seemed to have changed its meaning to such an extent that the teacher has become at most a facilitator of learning and in some cases just a fellow-learner. I am therefore neither analysing nor criticising constructivist ideas themselves but am interested in the way in which certain conceptions of constructivism – which obviously also include </w:t>
      </w:r>
      <w:r w:rsidRPr="004C08C4">
        <w:rPr>
          <w:rFonts w:asciiTheme="minorHAnsi" w:hAnsiTheme="minorHAnsi" w:cstheme="minorHAnsi"/>
          <w:i/>
          <w:sz w:val="22"/>
          <w:szCs w:val="22"/>
        </w:rPr>
        <w:t>mis</w:t>
      </w:r>
      <w:r w:rsidRPr="004C08C4">
        <w:rPr>
          <w:rFonts w:asciiTheme="minorHAnsi" w:hAnsiTheme="minorHAnsi" w:cstheme="minorHAnsi"/>
          <w:sz w:val="22"/>
          <w:szCs w:val="22"/>
        </w:rPr>
        <w:t>conceptions – have contributed to what we might call the demise, the disappearance or, in a more post-modern mode, the end or even the death of the teacher. For a recent critical discussion of the idea of constructivism see Roth (2011).</w:t>
      </w:r>
    </w:p>
  </w:footnote>
  <w:footnote w:id="3">
    <w:p w:rsidR="00993A0D" w:rsidRPr="004C08C4" w:rsidRDefault="00993A0D" w:rsidP="004C08C4">
      <w:pPr>
        <w:pStyle w:val="FootnoteText"/>
        <w:jc w:val="both"/>
        <w:rPr>
          <w:rFonts w:asciiTheme="minorHAnsi" w:hAnsiTheme="minorHAnsi" w:cstheme="minorHAnsi"/>
          <w:sz w:val="22"/>
          <w:szCs w:val="22"/>
        </w:rPr>
      </w:pPr>
      <w:r w:rsidRPr="004C08C4">
        <w:rPr>
          <w:rStyle w:val="FootnoteReference"/>
          <w:rFonts w:asciiTheme="minorHAnsi" w:hAnsiTheme="minorHAnsi" w:cstheme="minorHAnsi"/>
          <w:sz w:val="22"/>
          <w:szCs w:val="22"/>
        </w:rPr>
        <w:footnoteRef/>
      </w:r>
      <w:r w:rsidRPr="004C08C4">
        <w:rPr>
          <w:rFonts w:asciiTheme="minorHAnsi" w:hAnsiTheme="minorHAnsi" w:cstheme="minorHAnsi"/>
          <w:sz w:val="22"/>
          <w:szCs w:val="22"/>
        </w:rPr>
        <w:t xml:space="preserve"> I am, of course, referring to a particular idea of education, one that involves an educator, that is, someone who (aims to) educate which, in the context of the school, would be a teacher (but in the context of the family would be a parent</w:t>
      </w:r>
      <w:r w:rsidR="006F1355">
        <w:rPr>
          <w:rFonts w:asciiTheme="minorHAnsi" w:hAnsiTheme="minorHAnsi" w:cstheme="minorHAnsi"/>
          <w:sz w:val="22"/>
          <w:szCs w:val="22"/>
        </w:rPr>
        <w:t>)</w:t>
      </w:r>
      <w:r w:rsidRPr="004C08C4">
        <w:rPr>
          <w:rFonts w:asciiTheme="minorHAnsi" w:hAnsiTheme="minorHAnsi" w:cstheme="minorHAnsi"/>
          <w:sz w:val="22"/>
          <w:szCs w:val="22"/>
        </w:rPr>
        <w:t>. The point I will try to explore throughout this paper is for a teacher to be a teacher he or she needs to teach something, that is, needs to bring something new to the situation and this, as I aim to demonstrate, is radically different from just facilitating the process of learning.</w:t>
      </w:r>
    </w:p>
  </w:footnote>
  <w:footnote w:id="4">
    <w:p w:rsidR="00C4485E" w:rsidRPr="004C08C4" w:rsidRDefault="00C4485E" w:rsidP="004C08C4">
      <w:pPr>
        <w:jc w:val="both"/>
        <w:rPr>
          <w:rFonts w:cstheme="minorHAnsi"/>
        </w:rPr>
      </w:pPr>
      <w:r w:rsidRPr="004C08C4">
        <w:rPr>
          <w:rStyle w:val="FootnoteReference"/>
          <w:rFonts w:cstheme="minorHAnsi"/>
        </w:rPr>
        <w:footnoteRef/>
      </w:r>
      <w:r w:rsidRPr="004C08C4">
        <w:rPr>
          <w:rFonts w:cstheme="minorHAnsi"/>
        </w:rPr>
        <w:t xml:space="preserve"> I am aware that this exploration takes me in a direction which some may find difficult to give a place within the conversation of philosophy of education, as it implies engagement with religious language and theological argument. Some of this difficulty stems from the way in which the realm of meaning and rationality has been circumscribed in the Western world from the Enlightenment onwards – and, in a certain way, already well before the advance of the Enlightenment (see Caputo 2006, pp. 55-83). In this configuration religion has generally ended up as the other of meaning, the other of rationality and even the other of reason, resulting in a dualistic way of thinking that still exerts a powerful influence in our times. I do not wish to dismiss the reasons that have led to the construction of this set up, not in the least because much that has happened in the name of religion is indeed deeply problematic. But that does not mean that </w:t>
      </w:r>
      <w:r w:rsidRPr="004C08C4">
        <w:rPr>
          <w:rFonts w:cstheme="minorHAnsi"/>
          <w:i/>
        </w:rPr>
        <w:t>everything</w:t>
      </w:r>
      <w:r w:rsidRPr="004C08C4">
        <w:rPr>
          <w:rFonts w:cstheme="minorHAnsi"/>
        </w:rPr>
        <w:t xml:space="preserve"> that has happened in the name of religion is automatically bad, just as not </w:t>
      </w:r>
      <w:r w:rsidRPr="004C08C4">
        <w:rPr>
          <w:rFonts w:cstheme="minorHAnsi"/>
          <w:i/>
        </w:rPr>
        <w:t>everything</w:t>
      </w:r>
      <w:r w:rsidRPr="004C08C4">
        <w:rPr>
          <w:rFonts w:cstheme="minorHAnsi"/>
        </w:rPr>
        <w:t xml:space="preserve"> that has happened in the name of such notions as ‘democracy’ or ‘humanity’ is automatically and unequivocally good (see Biesta 2006). My ambition with this paper – an ambition which, within the limited space available, I will not be able to fulfil at the level of argument, but hope to be able to demonstrate in the way in which the argument is ‘performed’ – is, in a sense, to transcend the particular way in which the realm of meaning and reason has been carved up, so that engagement with religious language and theological argument is no longer a matter of jumping over the fence of reason, but is part of overcoming – and perhaps even refusing – the very way in which this fence has been constructed in the first place.</w:t>
      </w:r>
    </w:p>
  </w:footnote>
  <w:footnote w:id="5">
    <w:p w:rsidR="00993A0D" w:rsidRPr="004C08C4" w:rsidRDefault="00C4485E" w:rsidP="004C08C4">
      <w:pPr>
        <w:pStyle w:val="HTMLPreformatted"/>
        <w:jc w:val="both"/>
        <w:rPr>
          <w:rFonts w:asciiTheme="minorHAnsi" w:hAnsiTheme="minorHAnsi" w:cstheme="minorHAnsi"/>
          <w:sz w:val="22"/>
          <w:szCs w:val="22"/>
        </w:rPr>
      </w:pPr>
      <w:r w:rsidRPr="004C08C4">
        <w:rPr>
          <w:rStyle w:val="FootnoteReference"/>
          <w:rFonts w:asciiTheme="minorHAnsi" w:hAnsiTheme="minorHAnsi" w:cstheme="minorHAnsi"/>
          <w:sz w:val="22"/>
          <w:szCs w:val="22"/>
        </w:rPr>
        <w:footnoteRef/>
      </w:r>
      <w:r w:rsidRPr="004C08C4">
        <w:rPr>
          <w:rFonts w:asciiTheme="minorHAnsi" w:hAnsiTheme="minorHAnsi" w:cstheme="minorHAnsi"/>
          <w:sz w:val="22"/>
          <w:szCs w:val="22"/>
        </w:rPr>
        <w:t xml:space="preserve"> The learning paradox is the predicament posed by Meno as to how one can go looking for something when one doesn’t know what one is looking for, and how can one recognise what one is looking for if one doesn’t know it. Meno poses the question as follows:</w:t>
      </w:r>
      <w:r w:rsidR="00993A0D" w:rsidRPr="004C08C4">
        <w:rPr>
          <w:rFonts w:asciiTheme="minorHAnsi" w:hAnsiTheme="minorHAnsi" w:cstheme="minorHAnsi"/>
          <w:sz w:val="22"/>
          <w:szCs w:val="22"/>
        </w:rPr>
        <w:t xml:space="preserve"> "And how will you enquire, Socrates, into that which you do not know? What will you put forth as the subject of enquiry? And if you find what you want, how will you ever know that this is the thing which you did not know?" Socrates then reformulates the problem as follows: "I know, Meno, what you mean; but just see what a tiresome dispute you are introducing. You argue that a man cannot enquire either about that which he knows, or about that which he does not know; for if he knows, he has no need to enquire; and if not, he cannot; for he does not know the very subject about which he is to enquire." (Plato's Meno, translated by Benjamin Jowett. Project Gutenberg EBook</w:t>
      </w:r>
      <w:r w:rsidR="004C08C4" w:rsidRPr="004C08C4">
        <w:rPr>
          <w:rFonts w:asciiTheme="minorHAnsi" w:hAnsiTheme="minorHAnsi" w:cstheme="minorHAnsi"/>
          <w:sz w:val="22"/>
          <w:szCs w:val="22"/>
        </w:rPr>
        <w:t xml:space="preserve">: </w:t>
      </w:r>
      <w:hyperlink r:id="rId1" w:history="1">
        <w:r w:rsidR="004C08C4" w:rsidRPr="004C08C4">
          <w:rPr>
            <w:rStyle w:val="Hyperlink"/>
            <w:rFonts w:asciiTheme="minorHAnsi" w:hAnsiTheme="minorHAnsi" w:cstheme="minorHAnsi"/>
            <w:sz w:val="22"/>
            <w:szCs w:val="22"/>
          </w:rPr>
          <w:t>http://www.gutenberg.org/files/1643/1643-h/1643-h.htm</w:t>
        </w:r>
      </w:hyperlink>
      <w:r w:rsidR="004C08C4" w:rsidRPr="004C08C4">
        <w:rPr>
          <w:rFonts w:asciiTheme="minorHAnsi" w:hAnsiTheme="minorHAnsi" w:cstheme="minorHAnsi"/>
          <w:sz w:val="22"/>
          <w:szCs w:val="22"/>
        </w:rPr>
        <w:t xml:space="preserve">; </w:t>
      </w:r>
      <w:r w:rsidR="004C08C4">
        <w:rPr>
          <w:rFonts w:asciiTheme="minorHAnsi" w:hAnsiTheme="minorHAnsi" w:cstheme="minorHAnsi"/>
          <w:sz w:val="22"/>
          <w:szCs w:val="22"/>
        </w:rPr>
        <w:t xml:space="preserve">last </w:t>
      </w:r>
      <w:r w:rsidR="004C08C4" w:rsidRPr="004C08C4">
        <w:rPr>
          <w:rFonts w:asciiTheme="minorHAnsi" w:hAnsiTheme="minorHAnsi" w:cstheme="minorHAnsi"/>
          <w:sz w:val="22"/>
          <w:szCs w:val="22"/>
        </w:rPr>
        <w:t>accessed 5 Ju</w:t>
      </w:r>
      <w:r w:rsidR="004C08C4">
        <w:rPr>
          <w:rFonts w:asciiTheme="minorHAnsi" w:hAnsiTheme="minorHAnsi" w:cstheme="minorHAnsi"/>
          <w:sz w:val="22"/>
          <w:szCs w:val="22"/>
        </w:rPr>
        <w:t>ne 2012)</w:t>
      </w:r>
    </w:p>
  </w:footnote>
  <w:footnote w:id="6">
    <w:p w:rsidR="00C4485E" w:rsidRPr="004C08C4" w:rsidRDefault="00C4485E" w:rsidP="004C08C4">
      <w:pPr>
        <w:pStyle w:val="FootnoteText"/>
        <w:jc w:val="both"/>
        <w:rPr>
          <w:rFonts w:asciiTheme="minorHAnsi" w:hAnsiTheme="minorHAnsi" w:cstheme="minorHAnsi"/>
          <w:sz w:val="22"/>
          <w:szCs w:val="22"/>
        </w:rPr>
      </w:pPr>
      <w:r w:rsidRPr="004C08C4">
        <w:rPr>
          <w:rStyle w:val="FootnoteReference"/>
          <w:rFonts w:asciiTheme="minorHAnsi" w:hAnsiTheme="minorHAnsi" w:cstheme="minorHAnsi"/>
          <w:sz w:val="22"/>
          <w:szCs w:val="22"/>
        </w:rPr>
        <w:footnoteRef/>
      </w:r>
      <w:r w:rsidRPr="004C08C4">
        <w:rPr>
          <w:rFonts w:asciiTheme="minorHAnsi" w:hAnsiTheme="minorHAnsi" w:cstheme="minorHAnsi"/>
          <w:sz w:val="22"/>
          <w:szCs w:val="22"/>
        </w:rPr>
        <w:t xml:space="preserve"> Nola and Irzik (2005) do, however, note that while Plato and Socrates can be seen as the first enacting a constructivist </w:t>
      </w:r>
      <w:r w:rsidRPr="004C08C4">
        <w:rPr>
          <w:rFonts w:asciiTheme="minorHAnsi" w:hAnsiTheme="minorHAnsi" w:cstheme="minorHAnsi"/>
          <w:i/>
          <w:sz w:val="22"/>
          <w:szCs w:val="22"/>
        </w:rPr>
        <w:t>pedagogy</w:t>
      </w:r>
      <w:r w:rsidRPr="004C08C4">
        <w:rPr>
          <w:rFonts w:asciiTheme="minorHAnsi" w:hAnsiTheme="minorHAnsi" w:cstheme="minorHAnsi"/>
          <w:sz w:val="22"/>
          <w:szCs w:val="22"/>
        </w:rPr>
        <w:t>, they do not hold a constructivist theory of knowledge.</w:t>
      </w:r>
    </w:p>
  </w:footnote>
  <w:footnote w:id="7">
    <w:p w:rsidR="00C4485E" w:rsidRPr="004C08C4" w:rsidRDefault="00C4485E" w:rsidP="004C08C4">
      <w:pPr>
        <w:pStyle w:val="FootnoteText"/>
        <w:jc w:val="both"/>
        <w:rPr>
          <w:rFonts w:asciiTheme="minorHAnsi" w:hAnsiTheme="minorHAnsi" w:cstheme="minorHAnsi"/>
          <w:sz w:val="22"/>
          <w:szCs w:val="22"/>
        </w:rPr>
      </w:pPr>
      <w:r w:rsidRPr="004C08C4">
        <w:rPr>
          <w:rStyle w:val="FootnoteReference"/>
          <w:rFonts w:asciiTheme="minorHAnsi" w:hAnsiTheme="minorHAnsi" w:cstheme="minorHAnsi"/>
          <w:sz w:val="22"/>
          <w:szCs w:val="22"/>
        </w:rPr>
        <w:footnoteRef/>
      </w:r>
      <w:r w:rsidRPr="004C08C4">
        <w:rPr>
          <w:rFonts w:asciiTheme="minorHAnsi" w:hAnsiTheme="minorHAnsi" w:cstheme="minorHAnsi"/>
          <w:sz w:val="22"/>
          <w:szCs w:val="22"/>
        </w:rPr>
        <w:t xml:space="preserve"> I would like to thank Jeroen Lutters for this insight.</w:t>
      </w:r>
      <w:r w:rsidR="005B69F8" w:rsidRPr="004C08C4">
        <w:rPr>
          <w:rFonts w:asciiTheme="minorHAnsi" w:hAnsiTheme="minorHAnsi" w:cstheme="minorHAnsi"/>
          <w:sz w:val="22"/>
          <w:szCs w:val="22"/>
        </w:rPr>
        <w:t xml:space="preserve"> Note that to pay this compliment is not meant as a return of the gift</w:t>
      </w:r>
      <w:r w:rsidR="000546A1" w:rsidRPr="004C08C4">
        <w:rPr>
          <w:rFonts w:asciiTheme="minorHAnsi" w:hAnsiTheme="minorHAnsi" w:cstheme="minorHAnsi"/>
          <w:sz w:val="22"/>
          <w:szCs w:val="22"/>
        </w:rPr>
        <w:t xml:space="preserve"> of teaching</w:t>
      </w:r>
      <w:r w:rsidR="005B69F8" w:rsidRPr="004C08C4">
        <w:rPr>
          <w:rFonts w:asciiTheme="minorHAnsi" w:hAnsiTheme="minorHAnsi" w:cstheme="minorHAnsi"/>
          <w:sz w:val="22"/>
          <w:szCs w:val="22"/>
        </w:rPr>
        <w:t xml:space="preserve">; it is not a 'pay back' </w:t>
      </w:r>
      <w:r w:rsidR="000546A1" w:rsidRPr="004C08C4">
        <w:rPr>
          <w:rFonts w:asciiTheme="minorHAnsi" w:hAnsiTheme="minorHAnsi" w:cstheme="minorHAnsi"/>
          <w:sz w:val="22"/>
          <w:szCs w:val="22"/>
        </w:rPr>
        <w:t xml:space="preserve">– see also note </w:t>
      </w:r>
      <w:r w:rsidR="004C08C4">
        <w:rPr>
          <w:rFonts w:asciiTheme="minorHAnsi" w:hAnsiTheme="minorHAnsi" w:cstheme="minorHAnsi"/>
          <w:sz w:val="22"/>
          <w:szCs w:val="22"/>
        </w:rPr>
        <w:t>9</w:t>
      </w:r>
      <w:r w:rsidR="000546A1" w:rsidRPr="004C08C4">
        <w:rPr>
          <w:rFonts w:asciiTheme="minorHAnsi" w:hAnsiTheme="minorHAnsi" w:cstheme="minorHAnsi"/>
          <w:sz w:val="22"/>
          <w:szCs w:val="22"/>
        </w:rPr>
        <w:t xml:space="preserve"> below.</w:t>
      </w:r>
    </w:p>
  </w:footnote>
  <w:footnote w:id="8">
    <w:p w:rsidR="00C4485E" w:rsidRPr="004C08C4" w:rsidRDefault="00C4485E" w:rsidP="004C08C4">
      <w:pPr>
        <w:jc w:val="both"/>
        <w:rPr>
          <w:rFonts w:cstheme="minorHAnsi"/>
        </w:rPr>
      </w:pPr>
      <w:r w:rsidRPr="004C08C4">
        <w:rPr>
          <w:rStyle w:val="FootnoteReference"/>
          <w:rFonts w:cstheme="minorHAnsi"/>
        </w:rPr>
        <w:footnoteRef/>
      </w:r>
      <w:r w:rsidRPr="004C08C4">
        <w:rPr>
          <w:rFonts w:cstheme="minorHAnsi"/>
        </w:rPr>
        <w:t xml:space="preserve"> Caputo (2007, pp. 61-62) explains the difference as follows: "In objective truth, the accent falls on the objective contact of what you say (which Climacus calls the 'what'), so that if you get the objective content right (2 + 3 = 5) you are in the truth, no matter whether you are, in your persona subjectivity, a villain or an apostle. Nothing prevents a famous mathematician from being an ethical scoundrel. The existential subject is accidental and remains a disinterested spectator. But in subjective – or 'existential' truth, the accent falls on what Climacus calls the 'how,' on the way the subject lives, the real life and 'existence' of the subject. Here, where 'subjectivity is truth,' the subject is essential and passionately involved. In this case, even if what is said is objectively true – that God is love – if you are not subjectively transformed by that, if you do not personally have love in your heart, then you do not have the truth. (...) The difference is between having and idea of the 'true God' and having a 'true </w:t>
      </w:r>
      <w:r w:rsidRPr="004C08C4">
        <w:rPr>
          <w:rFonts w:cstheme="minorHAnsi"/>
          <w:i/>
        </w:rPr>
        <w:t>relationship to</w:t>
      </w:r>
      <w:r w:rsidRPr="004C08C4">
        <w:rPr>
          <w:rFonts w:cstheme="minorHAnsi"/>
        </w:rPr>
        <w:t xml:space="preserve"> God.' Here the how of the relationship is all."</w:t>
      </w:r>
    </w:p>
  </w:footnote>
  <w:footnote w:id="9">
    <w:p w:rsidR="00C4485E" w:rsidRPr="004C08C4" w:rsidRDefault="00C4485E" w:rsidP="004C08C4">
      <w:pPr>
        <w:jc w:val="both"/>
        <w:rPr>
          <w:rFonts w:cstheme="minorHAnsi"/>
        </w:rPr>
      </w:pPr>
      <w:r w:rsidRPr="004C08C4">
        <w:rPr>
          <w:rStyle w:val="FootnoteReference"/>
          <w:rFonts w:cstheme="minorHAnsi"/>
        </w:rPr>
        <w:footnoteRef/>
      </w:r>
      <w:r w:rsidRPr="004C08C4">
        <w:rPr>
          <w:rFonts w:cstheme="minorHAnsi"/>
        </w:rPr>
        <w:t xml:space="preserve"> It is important to note that to give authority to the teaching we receive should not be understood as the point where we 'return' the gift of teaching, where we pay for what is given to us, so as to annul the gift and turn it into an economy (see Derrida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29" w:rsidRDefault="00C14D29">
    <w:pPr>
      <w:pStyle w:val="Header"/>
    </w:pPr>
    <w:r w:rsidRPr="00C14D29">
      <w:rPr>
        <w:rFonts w:ascii="Times New Roman" w:hAnsi="Times New Roman"/>
        <w:b/>
        <w:bCs/>
        <w:lang w:val="en-US" w:eastAsia="en-GB"/>
      </w:rPr>
      <w:t>Biesta</w:t>
    </w:r>
    <w:r w:rsidRPr="00C14D29">
      <w:rPr>
        <w:rFonts w:ascii="Times New Roman" w:hAnsi="Times New Roman"/>
        <w:bCs/>
        <w:lang w:val="en-US" w:eastAsia="en-GB"/>
      </w:rPr>
      <w:t xml:space="preserve">, G.J.J. (2013). Receiving the gift of teaching: From 'learning from' to 'being taught by.' </w:t>
    </w:r>
    <w:r w:rsidRPr="00C14D29">
      <w:rPr>
        <w:rFonts w:ascii="Times New Roman" w:hAnsi="Times New Roman"/>
        <w:bCs/>
        <w:i/>
        <w:lang w:val="en-US" w:eastAsia="en-GB"/>
      </w:rPr>
      <w:t>Studies in Philosophy and Education</w:t>
    </w:r>
    <w:r w:rsidRPr="00C14D29">
      <w:rPr>
        <w:rFonts w:ascii="Times New Roman" w:hAnsi="Times New Roman"/>
        <w:bCs/>
        <w:lang w:val="en-US" w:eastAsia="en-GB"/>
      </w:rPr>
      <w:t xml:space="preserve"> 32(5), 449-461.</w:t>
    </w:r>
    <w:r w:rsidRPr="00C14D29">
      <w:rPr>
        <w:rFonts w:ascii="Times New Roman" w:hAnsi="Times New Roman"/>
        <w:bCs/>
        <w:lang w:val="en-US" w:eastAsia="en-GB"/>
      </w:rPr>
      <w:t xml:space="preserve"> </w:t>
    </w:r>
    <w:r w:rsidRPr="00C14D29">
      <w:rPr>
        <w:rFonts w:ascii="Times New Roman" w:hAnsi="Times New Roman"/>
        <w:bCs/>
        <w:lang w:val="en-US" w:eastAsia="en-GB"/>
      </w:rPr>
      <w:t xml:space="preserve">DOI: </w:t>
    </w:r>
    <w:r w:rsidRPr="00C14D29">
      <w:rPr>
        <w:rFonts w:ascii="Times New Roman" w:hAnsi="Times New Roman"/>
        <w:bCs/>
      </w:rPr>
      <w:t>10.1007/s11217-012-9312-9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1A0FAC"/>
    <w:rsid w:val="0001606C"/>
    <w:rsid w:val="000443F6"/>
    <w:rsid w:val="000546A1"/>
    <w:rsid w:val="000667C3"/>
    <w:rsid w:val="0007405D"/>
    <w:rsid w:val="00096B3E"/>
    <w:rsid w:val="000C29B6"/>
    <w:rsid w:val="00107E79"/>
    <w:rsid w:val="00136048"/>
    <w:rsid w:val="001672FE"/>
    <w:rsid w:val="00176C35"/>
    <w:rsid w:val="00190409"/>
    <w:rsid w:val="001A0FAC"/>
    <w:rsid w:val="001A5AC4"/>
    <w:rsid w:val="001E5D04"/>
    <w:rsid w:val="0020540B"/>
    <w:rsid w:val="0023243B"/>
    <w:rsid w:val="00245B6E"/>
    <w:rsid w:val="0028047D"/>
    <w:rsid w:val="002877ED"/>
    <w:rsid w:val="00293DC5"/>
    <w:rsid w:val="002C6025"/>
    <w:rsid w:val="00340A30"/>
    <w:rsid w:val="00356100"/>
    <w:rsid w:val="00370E80"/>
    <w:rsid w:val="00381022"/>
    <w:rsid w:val="003A0C62"/>
    <w:rsid w:val="003A160A"/>
    <w:rsid w:val="003A68A3"/>
    <w:rsid w:val="003B2449"/>
    <w:rsid w:val="003C7043"/>
    <w:rsid w:val="003D28E0"/>
    <w:rsid w:val="003F3872"/>
    <w:rsid w:val="004412B5"/>
    <w:rsid w:val="004571EE"/>
    <w:rsid w:val="00460A01"/>
    <w:rsid w:val="00466E6A"/>
    <w:rsid w:val="00473F4D"/>
    <w:rsid w:val="00477725"/>
    <w:rsid w:val="004B4E77"/>
    <w:rsid w:val="004B6EFC"/>
    <w:rsid w:val="004C08C4"/>
    <w:rsid w:val="004D4BD6"/>
    <w:rsid w:val="004F1E1E"/>
    <w:rsid w:val="00503E2E"/>
    <w:rsid w:val="00573472"/>
    <w:rsid w:val="00581EA1"/>
    <w:rsid w:val="005A2CF7"/>
    <w:rsid w:val="005B5934"/>
    <w:rsid w:val="005B69F8"/>
    <w:rsid w:val="005F6D86"/>
    <w:rsid w:val="00603F08"/>
    <w:rsid w:val="00607F19"/>
    <w:rsid w:val="00620083"/>
    <w:rsid w:val="00622A64"/>
    <w:rsid w:val="00631F45"/>
    <w:rsid w:val="006345CE"/>
    <w:rsid w:val="00646A80"/>
    <w:rsid w:val="00680A4E"/>
    <w:rsid w:val="00687DFA"/>
    <w:rsid w:val="0069073F"/>
    <w:rsid w:val="006D6540"/>
    <w:rsid w:val="006F1355"/>
    <w:rsid w:val="00722205"/>
    <w:rsid w:val="00737926"/>
    <w:rsid w:val="00751B58"/>
    <w:rsid w:val="00754174"/>
    <w:rsid w:val="00754C93"/>
    <w:rsid w:val="00783BEB"/>
    <w:rsid w:val="00794388"/>
    <w:rsid w:val="007D22C8"/>
    <w:rsid w:val="00800D71"/>
    <w:rsid w:val="008033A9"/>
    <w:rsid w:val="00811F6F"/>
    <w:rsid w:val="0081293C"/>
    <w:rsid w:val="008206AF"/>
    <w:rsid w:val="00841BA5"/>
    <w:rsid w:val="00855F1F"/>
    <w:rsid w:val="00884C89"/>
    <w:rsid w:val="008B2F04"/>
    <w:rsid w:val="008C2CAE"/>
    <w:rsid w:val="008E787F"/>
    <w:rsid w:val="008F4055"/>
    <w:rsid w:val="009028BC"/>
    <w:rsid w:val="0091387D"/>
    <w:rsid w:val="00964233"/>
    <w:rsid w:val="00970F1A"/>
    <w:rsid w:val="0099169F"/>
    <w:rsid w:val="00993A0D"/>
    <w:rsid w:val="009A0CD1"/>
    <w:rsid w:val="009A5D9E"/>
    <w:rsid w:val="009C3978"/>
    <w:rsid w:val="009F1DE9"/>
    <w:rsid w:val="00A10D38"/>
    <w:rsid w:val="00A2195B"/>
    <w:rsid w:val="00A610EC"/>
    <w:rsid w:val="00A661D7"/>
    <w:rsid w:val="00AA5A85"/>
    <w:rsid w:val="00AF2085"/>
    <w:rsid w:val="00AF7876"/>
    <w:rsid w:val="00B13F50"/>
    <w:rsid w:val="00B229EE"/>
    <w:rsid w:val="00B4671E"/>
    <w:rsid w:val="00B5065F"/>
    <w:rsid w:val="00BB79E3"/>
    <w:rsid w:val="00BD004F"/>
    <w:rsid w:val="00BD21C9"/>
    <w:rsid w:val="00BF06C3"/>
    <w:rsid w:val="00C14D29"/>
    <w:rsid w:val="00C17E9A"/>
    <w:rsid w:val="00C23A2E"/>
    <w:rsid w:val="00C30549"/>
    <w:rsid w:val="00C3540B"/>
    <w:rsid w:val="00C401C8"/>
    <w:rsid w:val="00C4485E"/>
    <w:rsid w:val="00C566A4"/>
    <w:rsid w:val="00C61885"/>
    <w:rsid w:val="00C63414"/>
    <w:rsid w:val="00C77C47"/>
    <w:rsid w:val="00C85580"/>
    <w:rsid w:val="00C94237"/>
    <w:rsid w:val="00CD2FB8"/>
    <w:rsid w:val="00CD6434"/>
    <w:rsid w:val="00D46F31"/>
    <w:rsid w:val="00D6781E"/>
    <w:rsid w:val="00DC10AA"/>
    <w:rsid w:val="00DD3BE3"/>
    <w:rsid w:val="00E2700E"/>
    <w:rsid w:val="00E42EDA"/>
    <w:rsid w:val="00E453D0"/>
    <w:rsid w:val="00E600CC"/>
    <w:rsid w:val="00ED3F45"/>
    <w:rsid w:val="00F0212F"/>
    <w:rsid w:val="00F05BFE"/>
    <w:rsid w:val="00F141EC"/>
    <w:rsid w:val="00F14A0D"/>
    <w:rsid w:val="00F75DC6"/>
    <w:rsid w:val="00F76576"/>
    <w:rsid w:val="00FA0CDE"/>
    <w:rsid w:val="00FB3AF1"/>
    <w:rsid w:val="00FD3A49"/>
    <w:rsid w:val="00FD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CCBF39-D906-45CE-BCDD-A7E875AB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1E"/>
  </w:style>
  <w:style w:type="paragraph" w:styleId="Heading1">
    <w:name w:val="heading 1"/>
    <w:basedOn w:val="Normal"/>
    <w:link w:val="Heading1Char"/>
    <w:uiPriority w:val="9"/>
    <w:qFormat/>
    <w:rsid w:val="00C566A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D654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94237"/>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C94237"/>
    <w:rPr>
      <w:rFonts w:ascii="Calibri" w:eastAsia="Times New Roman" w:hAnsi="Calibri" w:cs="Times New Roman"/>
      <w:sz w:val="20"/>
      <w:szCs w:val="20"/>
    </w:rPr>
  </w:style>
  <w:style w:type="character" w:styleId="FootnoteReference">
    <w:name w:val="footnote reference"/>
    <w:basedOn w:val="DefaultParagraphFont"/>
    <w:semiHidden/>
    <w:rsid w:val="00C94237"/>
    <w:rPr>
      <w:rFonts w:cs="Times New Roman"/>
      <w:vertAlign w:val="superscript"/>
    </w:rPr>
  </w:style>
  <w:style w:type="paragraph" w:styleId="EndnoteText">
    <w:name w:val="endnote text"/>
    <w:basedOn w:val="Normal"/>
    <w:link w:val="EndnoteTextChar"/>
    <w:unhideWhenUsed/>
    <w:rsid w:val="00C61885"/>
    <w:rPr>
      <w:sz w:val="20"/>
      <w:szCs w:val="20"/>
    </w:rPr>
  </w:style>
  <w:style w:type="character" w:customStyle="1" w:styleId="EndnoteTextChar">
    <w:name w:val="Endnote Text Char"/>
    <w:basedOn w:val="DefaultParagraphFont"/>
    <w:link w:val="EndnoteText"/>
    <w:rsid w:val="00C61885"/>
    <w:rPr>
      <w:sz w:val="20"/>
      <w:szCs w:val="20"/>
    </w:rPr>
  </w:style>
  <w:style w:type="character" w:styleId="EndnoteReference">
    <w:name w:val="endnote reference"/>
    <w:basedOn w:val="DefaultParagraphFont"/>
    <w:uiPriority w:val="99"/>
    <w:semiHidden/>
    <w:unhideWhenUsed/>
    <w:rsid w:val="00C61885"/>
    <w:rPr>
      <w:vertAlign w:val="superscript"/>
    </w:rPr>
  </w:style>
  <w:style w:type="character" w:customStyle="1" w:styleId="Heading3Char">
    <w:name w:val="Heading 3 Char"/>
    <w:basedOn w:val="DefaultParagraphFont"/>
    <w:link w:val="Heading3"/>
    <w:uiPriority w:val="9"/>
    <w:rsid w:val="006D654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D6540"/>
    <w:rPr>
      <w:color w:val="0000FF"/>
      <w:u w:val="single"/>
    </w:rPr>
  </w:style>
  <w:style w:type="character" w:customStyle="1" w:styleId="gsctg2">
    <w:name w:val="gs_ctg2"/>
    <w:basedOn w:val="DefaultParagraphFont"/>
    <w:rsid w:val="006D6540"/>
  </w:style>
  <w:style w:type="character" w:customStyle="1" w:styleId="hw">
    <w:name w:val="hw"/>
    <w:basedOn w:val="DefaultParagraphFont"/>
    <w:rsid w:val="007D22C8"/>
    <w:rPr>
      <w:rFonts w:cs="Times New Roman"/>
    </w:rPr>
  </w:style>
  <w:style w:type="character" w:customStyle="1" w:styleId="reference-text">
    <w:name w:val="reference-text"/>
    <w:basedOn w:val="DefaultParagraphFont"/>
    <w:rsid w:val="00BB79E3"/>
  </w:style>
  <w:style w:type="character" w:styleId="Emphasis">
    <w:name w:val="Emphasis"/>
    <w:basedOn w:val="DefaultParagraphFont"/>
    <w:uiPriority w:val="20"/>
    <w:qFormat/>
    <w:rsid w:val="000C29B6"/>
    <w:rPr>
      <w:i/>
      <w:iCs/>
    </w:rPr>
  </w:style>
  <w:style w:type="character" w:styleId="CommentReference">
    <w:name w:val="annotation reference"/>
    <w:basedOn w:val="DefaultParagraphFont"/>
    <w:uiPriority w:val="99"/>
    <w:semiHidden/>
    <w:unhideWhenUsed/>
    <w:rsid w:val="00136048"/>
    <w:rPr>
      <w:sz w:val="16"/>
      <w:szCs w:val="16"/>
    </w:rPr>
  </w:style>
  <w:style w:type="paragraph" w:styleId="CommentText">
    <w:name w:val="annotation text"/>
    <w:basedOn w:val="Normal"/>
    <w:link w:val="CommentTextChar"/>
    <w:uiPriority w:val="99"/>
    <w:semiHidden/>
    <w:unhideWhenUsed/>
    <w:rsid w:val="00136048"/>
    <w:rPr>
      <w:sz w:val="20"/>
      <w:szCs w:val="20"/>
    </w:rPr>
  </w:style>
  <w:style w:type="character" w:customStyle="1" w:styleId="CommentTextChar">
    <w:name w:val="Comment Text Char"/>
    <w:basedOn w:val="DefaultParagraphFont"/>
    <w:link w:val="CommentText"/>
    <w:uiPriority w:val="99"/>
    <w:semiHidden/>
    <w:rsid w:val="00136048"/>
    <w:rPr>
      <w:sz w:val="20"/>
      <w:szCs w:val="20"/>
    </w:rPr>
  </w:style>
  <w:style w:type="paragraph" w:styleId="CommentSubject">
    <w:name w:val="annotation subject"/>
    <w:basedOn w:val="CommentText"/>
    <w:next w:val="CommentText"/>
    <w:link w:val="CommentSubjectChar"/>
    <w:uiPriority w:val="99"/>
    <w:semiHidden/>
    <w:unhideWhenUsed/>
    <w:rsid w:val="00136048"/>
    <w:rPr>
      <w:b/>
      <w:bCs/>
    </w:rPr>
  </w:style>
  <w:style w:type="character" w:customStyle="1" w:styleId="CommentSubjectChar">
    <w:name w:val="Comment Subject Char"/>
    <w:basedOn w:val="CommentTextChar"/>
    <w:link w:val="CommentSubject"/>
    <w:uiPriority w:val="99"/>
    <w:semiHidden/>
    <w:rsid w:val="00136048"/>
    <w:rPr>
      <w:b/>
      <w:bCs/>
      <w:sz w:val="20"/>
      <w:szCs w:val="20"/>
    </w:rPr>
  </w:style>
  <w:style w:type="paragraph" w:styleId="BalloonText">
    <w:name w:val="Balloon Text"/>
    <w:basedOn w:val="Normal"/>
    <w:link w:val="BalloonTextChar"/>
    <w:uiPriority w:val="99"/>
    <w:semiHidden/>
    <w:unhideWhenUsed/>
    <w:rsid w:val="00136048"/>
    <w:rPr>
      <w:rFonts w:ascii="Tahoma" w:hAnsi="Tahoma" w:cs="Tahoma"/>
      <w:sz w:val="16"/>
      <w:szCs w:val="16"/>
    </w:rPr>
  </w:style>
  <w:style w:type="character" w:customStyle="1" w:styleId="BalloonTextChar">
    <w:name w:val="Balloon Text Char"/>
    <w:basedOn w:val="DefaultParagraphFont"/>
    <w:link w:val="BalloonText"/>
    <w:uiPriority w:val="99"/>
    <w:semiHidden/>
    <w:rsid w:val="00136048"/>
    <w:rPr>
      <w:rFonts w:ascii="Tahoma" w:hAnsi="Tahoma" w:cs="Tahoma"/>
      <w:sz w:val="16"/>
      <w:szCs w:val="16"/>
    </w:rPr>
  </w:style>
  <w:style w:type="character" w:customStyle="1" w:styleId="Heading1Char">
    <w:name w:val="Heading 1 Char"/>
    <w:basedOn w:val="DefaultParagraphFont"/>
    <w:link w:val="Heading1"/>
    <w:uiPriority w:val="9"/>
    <w:rsid w:val="00C566A4"/>
    <w:rPr>
      <w:rFonts w:ascii="Times New Roman" w:eastAsia="Times New Roman" w:hAnsi="Times New Roman" w:cs="Times New Roman"/>
      <w:b/>
      <w:bCs/>
      <w:kern w:val="36"/>
      <w:sz w:val="48"/>
      <w:szCs w:val="48"/>
      <w:lang w:eastAsia="en-GB"/>
    </w:rPr>
  </w:style>
  <w:style w:type="character" w:customStyle="1" w:styleId="woj">
    <w:name w:val="woj"/>
    <w:basedOn w:val="DefaultParagraphFont"/>
    <w:rsid w:val="00751B58"/>
  </w:style>
  <w:style w:type="paragraph" w:styleId="Header">
    <w:name w:val="header"/>
    <w:basedOn w:val="Normal"/>
    <w:link w:val="HeaderChar"/>
    <w:uiPriority w:val="99"/>
    <w:unhideWhenUsed/>
    <w:rsid w:val="00C4485E"/>
    <w:pPr>
      <w:tabs>
        <w:tab w:val="center" w:pos="4513"/>
        <w:tab w:val="right" w:pos="9026"/>
      </w:tabs>
    </w:pPr>
  </w:style>
  <w:style w:type="character" w:customStyle="1" w:styleId="HeaderChar">
    <w:name w:val="Header Char"/>
    <w:basedOn w:val="DefaultParagraphFont"/>
    <w:link w:val="Header"/>
    <w:uiPriority w:val="99"/>
    <w:rsid w:val="00C4485E"/>
  </w:style>
  <w:style w:type="paragraph" w:styleId="Footer">
    <w:name w:val="footer"/>
    <w:basedOn w:val="Normal"/>
    <w:link w:val="FooterChar"/>
    <w:uiPriority w:val="99"/>
    <w:unhideWhenUsed/>
    <w:rsid w:val="00C4485E"/>
    <w:pPr>
      <w:tabs>
        <w:tab w:val="center" w:pos="4513"/>
        <w:tab w:val="right" w:pos="9026"/>
      </w:tabs>
    </w:pPr>
  </w:style>
  <w:style w:type="character" w:customStyle="1" w:styleId="FooterChar">
    <w:name w:val="Footer Char"/>
    <w:basedOn w:val="DefaultParagraphFont"/>
    <w:link w:val="Footer"/>
    <w:uiPriority w:val="99"/>
    <w:rsid w:val="00C4485E"/>
  </w:style>
  <w:style w:type="paragraph" w:styleId="HTMLPreformatted">
    <w:name w:val="HTML Preformatted"/>
    <w:basedOn w:val="Normal"/>
    <w:link w:val="HTMLPreformattedChar"/>
    <w:uiPriority w:val="99"/>
    <w:unhideWhenUsed/>
    <w:rsid w:val="0099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93A0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0585">
      <w:bodyDiv w:val="1"/>
      <w:marLeft w:val="0"/>
      <w:marRight w:val="0"/>
      <w:marTop w:val="0"/>
      <w:marBottom w:val="0"/>
      <w:divBdr>
        <w:top w:val="none" w:sz="0" w:space="0" w:color="auto"/>
        <w:left w:val="none" w:sz="0" w:space="0" w:color="auto"/>
        <w:bottom w:val="none" w:sz="0" w:space="0" w:color="auto"/>
        <w:right w:val="none" w:sz="0" w:space="0" w:color="auto"/>
      </w:divBdr>
      <w:divsChild>
        <w:div w:id="716853370">
          <w:marLeft w:val="0"/>
          <w:marRight w:val="0"/>
          <w:marTop w:val="0"/>
          <w:marBottom w:val="0"/>
          <w:divBdr>
            <w:top w:val="none" w:sz="0" w:space="0" w:color="auto"/>
            <w:left w:val="none" w:sz="0" w:space="0" w:color="auto"/>
            <w:bottom w:val="none" w:sz="0" w:space="0" w:color="auto"/>
            <w:right w:val="none" w:sz="0" w:space="0" w:color="auto"/>
          </w:divBdr>
        </w:div>
        <w:div w:id="149445592">
          <w:marLeft w:val="0"/>
          <w:marRight w:val="0"/>
          <w:marTop w:val="0"/>
          <w:marBottom w:val="0"/>
          <w:divBdr>
            <w:top w:val="none" w:sz="0" w:space="0" w:color="auto"/>
            <w:left w:val="none" w:sz="0" w:space="0" w:color="auto"/>
            <w:bottom w:val="none" w:sz="0" w:space="0" w:color="auto"/>
            <w:right w:val="none" w:sz="0" w:space="0" w:color="auto"/>
          </w:divBdr>
        </w:div>
      </w:divsChild>
    </w:div>
    <w:div w:id="555168762">
      <w:bodyDiv w:val="1"/>
      <w:marLeft w:val="0"/>
      <w:marRight w:val="0"/>
      <w:marTop w:val="0"/>
      <w:marBottom w:val="0"/>
      <w:divBdr>
        <w:top w:val="none" w:sz="0" w:space="0" w:color="auto"/>
        <w:left w:val="none" w:sz="0" w:space="0" w:color="auto"/>
        <w:bottom w:val="none" w:sz="0" w:space="0" w:color="auto"/>
        <w:right w:val="none" w:sz="0" w:space="0" w:color="auto"/>
      </w:divBdr>
    </w:div>
    <w:div w:id="1456756753">
      <w:bodyDiv w:val="1"/>
      <w:marLeft w:val="0"/>
      <w:marRight w:val="0"/>
      <w:marTop w:val="0"/>
      <w:marBottom w:val="0"/>
      <w:divBdr>
        <w:top w:val="none" w:sz="0" w:space="0" w:color="auto"/>
        <w:left w:val="none" w:sz="0" w:space="0" w:color="auto"/>
        <w:bottom w:val="none" w:sz="0" w:space="0" w:color="auto"/>
        <w:right w:val="none" w:sz="0" w:space="0" w:color="auto"/>
      </w:divBdr>
    </w:div>
    <w:div w:id="1530797801">
      <w:bodyDiv w:val="1"/>
      <w:marLeft w:val="0"/>
      <w:marRight w:val="0"/>
      <w:marTop w:val="0"/>
      <w:marBottom w:val="0"/>
      <w:divBdr>
        <w:top w:val="none" w:sz="0" w:space="0" w:color="auto"/>
        <w:left w:val="none" w:sz="0" w:space="0" w:color="auto"/>
        <w:bottom w:val="none" w:sz="0" w:space="0" w:color="auto"/>
        <w:right w:val="none" w:sz="0" w:space="0" w:color="auto"/>
      </w:divBdr>
      <w:divsChild>
        <w:div w:id="1570656674">
          <w:marLeft w:val="0"/>
          <w:marRight w:val="0"/>
          <w:marTop w:val="0"/>
          <w:marBottom w:val="0"/>
          <w:divBdr>
            <w:top w:val="none" w:sz="0" w:space="0" w:color="auto"/>
            <w:left w:val="none" w:sz="0" w:space="0" w:color="auto"/>
            <w:bottom w:val="none" w:sz="0" w:space="0" w:color="auto"/>
            <w:right w:val="none" w:sz="0" w:space="0" w:color="auto"/>
          </w:divBdr>
        </w:div>
      </w:divsChild>
    </w:div>
    <w:div w:id="1599409534">
      <w:bodyDiv w:val="1"/>
      <w:marLeft w:val="0"/>
      <w:marRight w:val="0"/>
      <w:marTop w:val="0"/>
      <w:marBottom w:val="0"/>
      <w:divBdr>
        <w:top w:val="none" w:sz="0" w:space="0" w:color="auto"/>
        <w:left w:val="none" w:sz="0" w:space="0" w:color="auto"/>
        <w:bottom w:val="none" w:sz="0" w:space="0" w:color="auto"/>
        <w:right w:val="none" w:sz="0" w:space="0" w:color="auto"/>
      </w:divBdr>
      <w:divsChild>
        <w:div w:id="1460689622">
          <w:marLeft w:val="0"/>
          <w:marRight w:val="0"/>
          <w:marTop w:val="0"/>
          <w:marBottom w:val="0"/>
          <w:divBdr>
            <w:top w:val="none" w:sz="0" w:space="0" w:color="auto"/>
            <w:left w:val="none" w:sz="0" w:space="0" w:color="auto"/>
            <w:bottom w:val="none" w:sz="0" w:space="0" w:color="auto"/>
            <w:right w:val="none" w:sz="0" w:space="0" w:color="auto"/>
          </w:divBdr>
        </w:div>
      </w:divsChild>
    </w:div>
    <w:div w:id="1700159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468">
          <w:marLeft w:val="0"/>
          <w:marRight w:val="0"/>
          <w:marTop w:val="0"/>
          <w:marBottom w:val="0"/>
          <w:divBdr>
            <w:top w:val="none" w:sz="0" w:space="0" w:color="auto"/>
            <w:left w:val="none" w:sz="0" w:space="0" w:color="auto"/>
            <w:bottom w:val="none" w:sz="0" w:space="0" w:color="auto"/>
            <w:right w:val="none" w:sz="0" w:space="0" w:color="auto"/>
          </w:divBdr>
        </w:div>
      </w:divsChild>
    </w:div>
    <w:div w:id="1701012557">
      <w:bodyDiv w:val="1"/>
      <w:marLeft w:val="0"/>
      <w:marRight w:val="0"/>
      <w:marTop w:val="0"/>
      <w:marBottom w:val="0"/>
      <w:divBdr>
        <w:top w:val="none" w:sz="0" w:space="0" w:color="auto"/>
        <w:left w:val="none" w:sz="0" w:space="0" w:color="auto"/>
        <w:bottom w:val="none" w:sz="0" w:space="0" w:color="auto"/>
        <w:right w:val="none" w:sz="0" w:space="0" w:color="auto"/>
      </w:divBdr>
      <w:divsChild>
        <w:div w:id="556357941">
          <w:marLeft w:val="0"/>
          <w:marRight w:val="0"/>
          <w:marTop w:val="0"/>
          <w:marBottom w:val="0"/>
          <w:divBdr>
            <w:top w:val="none" w:sz="0" w:space="0" w:color="auto"/>
            <w:left w:val="none" w:sz="0" w:space="0" w:color="auto"/>
            <w:bottom w:val="none" w:sz="0" w:space="0" w:color="auto"/>
            <w:right w:val="none" w:sz="0" w:space="0" w:color="auto"/>
          </w:divBdr>
        </w:div>
      </w:divsChild>
    </w:div>
    <w:div w:id="1750738183">
      <w:bodyDiv w:val="1"/>
      <w:marLeft w:val="0"/>
      <w:marRight w:val="0"/>
      <w:marTop w:val="0"/>
      <w:marBottom w:val="0"/>
      <w:divBdr>
        <w:top w:val="none" w:sz="0" w:space="0" w:color="auto"/>
        <w:left w:val="none" w:sz="0" w:space="0" w:color="auto"/>
        <w:bottom w:val="none" w:sz="0" w:space="0" w:color="auto"/>
        <w:right w:val="none" w:sz="0" w:space="0" w:color="auto"/>
      </w:divBdr>
      <w:divsChild>
        <w:div w:id="1058743401">
          <w:marLeft w:val="0"/>
          <w:marRight w:val="0"/>
          <w:marTop w:val="0"/>
          <w:marBottom w:val="0"/>
          <w:divBdr>
            <w:top w:val="none" w:sz="0" w:space="0" w:color="auto"/>
            <w:left w:val="none" w:sz="0" w:space="0" w:color="auto"/>
            <w:bottom w:val="none" w:sz="0" w:space="0" w:color="auto"/>
            <w:right w:val="none" w:sz="0" w:space="0" w:color="auto"/>
          </w:divBdr>
        </w:div>
        <w:div w:id="1471554422">
          <w:marLeft w:val="0"/>
          <w:marRight w:val="0"/>
          <w:marTop w:val="0"/>
          <w:marBottom w:val="0"/>
          <w:divBdr>
            <w:top w:val="none" w:sz="0" w:space="0" w:color="auto"/>
            <w:left w:val="none" w:sz="0" w:space="0" w:color="auto"/>
            <w:bottom w:val="none" w:sz="0" w:space="0" w:color="auto"/>
            <w:right w:val="none" w:sz="0" w:space="0" w:color="auto"/>
          </w:divBdr>
        </w:div>
      </w:divsChild>
    </w:div>
    <w:div w:id="1961305219">
      <w:bodyDiv w:val="1"/>
      <w:marLeft w:val="0"/>
      <w:marRight w:val="0"/>
      <w:marTop w:val="0"/>
      <w:marBottom w:val="0"/>
      <w:divBdr>
        <w:top w:val="none" w:sz="0" w:space="0" w:color="auto"/>
        <w:left w:val="none" w:sz="0" w:space="0" w:color="auto"/>
        <w:bottom w:val="none" w:sz="0" w:space="0" w:color="auto"/>
        <w:right w:val="none" w:sz="0" w:space="0" w:color="auto"/>
      </w:divBdr>
      <w:divsChild>
        <w:div w:id="1039353699">
          <w:marLeft w:val="0"/>
          <w:marRight w:val="0"/>
          <w:marTop w:val="0"/>
          <w:marBottom w:val="0"/>
          <w:divBdr>
            <w:top w:val="none" w:sz="0" w:space="0" w:color="auto"/>
            <w:left w:val="none" w:sz="0" w:space="0" w:color="auto"/>
            <w:bottom w:val="none" w:sz="0" w:space="0" w:color="auto"/>
            <w:right w:val="none" w:sz="0" w:space="0" w:color="auto"/>
          </w:divBdr>
        </w:div>
        <w:div w:id="122810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t.biesta@uni.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rtbiest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irieu.com/ARTICLES/maitre_serviteur_public_version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utenberg.org/files/1643/1643-h/1643-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CF66B-D2C5-4885-9E73-D4A024D7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6725</Words>
  <Characters>38338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 Biesta</cp:lastModifiedBy>
  <cp:revision>2</cp:revision>
  <dcterms:created xsi:type="dcterms:W3CDTF">2013-10-08T06:18:00Z</dcterms:created>
  <dcterms:modified xsi:type="dcterms:W3CDTF">2013-10-08T06:18:00Z</dcterms:modified>
</cp:coreProperties>
</file>