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D0F" w14:textId="15BED964" w:rsidR="001E66D3" w:rsidRPr="001E66D3" w:rsidRDefault="001E66D3" w:rsidP="001E66D3">
      <w:pPr>
        <w:rPr>
          <w:sz w:val="28"/>
          <w:szCs w:val="28"/>
        </w:rPr>
      </w:pPr>
      <w:r w:rsidRPr="001E66D3">
        <w:rPr>
          <w:b/>
          <w:bCs/>
          <w:sz w:val="28"/>
          <w:szCs w:val="28"/>
        </w:rPr>
        <w:t>Quasi-doctrine et quasi-jurisprudence en droit luxembourgeois: quasi-sources du droit?</w:t>
      </w:r>
      <w:r w:rsidRPr="001E66D3">
        <w:rPr>
          <w:sz w:val="28"/>
          <w:szCs w:val="28"/>
        </w:rPr>
        <w:t> </w:t>
      </w:r>
    </w:p>
    <w:p w14:paraId="468E3097" w14:textId="7F3D17AF" w:rsidR="001E66D3" w:rsidRDefault="001E66D3" w:rsidP="001E66D3">
      <w:r>
        <w:t>Sous couvert de la notion traditionnelle de quasi-contrat, dans l’ombre du contrat, et avec l’intuition qu’on peut en faire quelque chose avec la quasi-personne pour rendre compte des interrogations nouvelles.</w:t>
      </w:r>
    </w:p>
    <w:p w14:paraId="57EADC88" w14:textId="77777777" w:rsidR="001E66D3" w:rsidRDefault="001E66D3" w:rsidP="001E66D3">
      <w:r>
        <w:t>Sans prendre position sur la thématique générale de la recherche, j’ai saisi cette opportunité pour approfondir la réflexion sur des problématiques de droit luxembourgeois. Et elle est une de mes convictions forgées petit à petit lors de mon apprentissage du droit luxembourgeois.</w:t>
      </w:r>
    </w:p>
    <w:p w14:paraId="681B38C7" w14:textId="77777777" w:rsidR="001E66D3" w:rsidRDefault="001E66D3" w:rsidP="001E66D3"/>
    <w:p w14:paraId="660C875A" w14:textId="2F4CB52D" w:rsidR="001E66D3" w:rsidRDefault="001E66D3" w:rsidP="001E66D3">
      <w:r>
        <w:t>Un point de départ tiré du modèle français puisque le droit luxembourgeois s’inscrit délibérément dans le modèle napoléonien.</w:t>
      </w:r>
      <w:r>
        <w:t xml:space="preserve"> </w:t>
      </w:r>
      <w:r>
        <w:t>La jurisprudence est au moins autant le produit de la doctrine que des juges, puisque c’est la doctrine qui sélectionne, classe, ordonne… les décisions de justice pour en fournir une présentation systématique, seule constitutive de la jurisprudence. Or, le droit luxembourgeois fait apparaître une doctrine peu ressemblante à son émule française. Il n’est pas surprenant que cela s’accompagne d’une jurisprudence aussi bien différente.</w:t>
      </w:r>
    </w:p>
    <w:p w14:paraId="09B16E6D" w14:textId="77777777" w:rsidR="001E66D3" w:rsidRDefault="001E66D3" w:rsidP="001E66D3"/>
    <w:p w14:paraId="76E60032" w14:textId="77777777" w:rsidR="001E66D3" w:rsidRDefault="001E66D3" w:rsidP="001E66D3">
      <w:r>
        <w:t>Une quasi doctrine?</w:t>
      </w:r>
    </w:p>
    <w:p w14:paraId="70A26BA2" w14:textId="77777777" w:rsidR="001E66D3" w:rsidRDefault="001E66D3" w:rsidP="001E66D3"/>
    <w:p w14:paraId="3915B349" w14:textId="4D448E04" w:rsidR="001E66D3" w:rsidRDefault="001E66D3" w:rsidP="001E66D3">
      <w:r>
        <w:t>Quantitativement, la doctrine y est peu nombreuse.</w:t>
      </w:r>
      <w:r>
        <w:t xml:space="preserve"> </w:t>
      </w:r>
      <w:r>
        <w:t>Hormis Pierre Pescatore, qui a une certaine reconnaissance en dehors du pays, on ne peut citer que François Laurent. Mais il est plus connu comme juriste belge, reflet d’une époque où le Luxembourg était étroitement lié à la Belgique et aux Pays-Bas.</w:t>
      </w:r>
    </w:p>
    <w:p w14:paraId="7B22FFFF" w14:textId="1C2C51B3" w:rsidR="001E66D3" w:rsidRDefault="001E66D3" w:rsidP="001E66D3">
      <w:r>
        <w:t>Peu ou pas de revues juridiques, très peu de publications de manière plus générale, au moins jusqu’au XXIe siècle.</w:t>
      </w:r>
      <w:r>
        <w:t xml:space="preserve"> </w:t>
      </w:r>
      <w:r>
        <w:t>Pas d’université, donc pas de professeurs de droit : l’Université du Luxembourg a été créée en 2003, les premiers professeurs de droit recrutés en 2005.</w:t>
      </w:r>
      <w:r>
        <w:t xml:space="preserve"> </w:t>
      </w:r>
      <w:r>
        <w:t>Encore aujourd’hui de nombreuses matières ne disposent pas de manuel.</w:t>
      </w:r>
    </w:p>
    <w:p w14:paraId="08C3D6FF" w14:textId="77777777" w:rsidR="001E66D3" w:rsidRDefault="001E66D3" w:rsidP="001E66D3">
      <w:r>
        <w:t>Qualitativement, les publications luxembourgeoises ne ressemblent pas au modèle français. Un exemple archétypique nous est donné par la référence au livre de droit de la responsabilité civile de Georges Ravarani. On y retrouve tous les thèmes d’un livre de responsabilité civile, aussi approfondi qu’un traité (plus de mille pages), mais avec une structure totalement différente et un objectif implicite sans doute lié à son lectorat. Le livre retrace les grands débats théoriques, mais son parti pris constant est d’essayer de fournir une description exacte du droit positif, en ce compris la casuistique des décisions de justice. L’organisation n’est pas uniquement fondée sur les concepts et mécanismes juridiques mais aussi sur les domaines de leur application, comme une ressourcerie pour les praticiens, juges et avocats.</w:t>
      </w:r>
    </w:p>
    <w:p w14:paraId="5C1BA3C4" w14:textId="77777777" w:rsidR="001E66D3" w:rsidRDefault="001E66D3" w:rsidP="001E66D3"/>
    <w:p w14:paraId="6AAB0067" w14:textId="2FBA1854" w:rsidR="001E66D3" w:rsidRDefault="001E66D3" w:rsidP="001E66D3">
      <w:r>
        <w:t>D’autres ouvrages présentent une structure différente, tantôt plus calqués sur les manuels français, ou bien en forme de collection de solutions jurisprudentielles.</w:t>
      </w:r>
      <w:r>
        <w:t xml:space="preserve"> </w:t>
      </w:r>
      <w:r>
        <w:t>L’explication se trouve-t-elle chez les auteurs qui ne sont pas nécessairement universitaires? Ou bien chez les lecteurs destinataires qui sont moins des étudiants ou des collègues que des praticiens?</w:t>
      </w:r>
    </w:p>
    <w:p w14:paraId="3D3B6DF9" w14:textId="77777777" w:rsidR="001E66D3" w:rsidRDefault="001E66D3" w:rsidP="001E66D3"/>
    <w:p w14:paraId="2BF6BB48" w14:textId="77777777" w:rsidR="001E66D3" w:rsidRDefault="001E66D3" w:rsidP="001E66D3">
      <w:r>
        <w:t>Une quasi-jurisprudence?</w:t>
      </w:r>
    </w:p>
    <w:p w14:paraId="337B7A1F" w14:textId="77777777" w:rsidR="001E66D3" w:rsidRDefault="001E66D3" w:rsidP="001E66D3"/>
    <w:p w14:paraId="2308BD3F" w14:textId="77777777" w:rsidR="001E66D3" w:rsidRDefault="001E66D3" w:rsidP="001E66D3">
      <w:r>
        <w:t xml:space="preserve">La première difficulté est la connaissance des décisions de justice. La source traditionnelle consiste dans une sorte de revue, la </w:t>
      </w:r>
      <w:proofErr w:type="spellStart"/>
      <w:r>
        <w:t>Pasicrisie</w:t>
      </w:r>
      <w:proofErr w:type="spellEnd"/>
      <w:r>
        <w:t>, divisée entre juridictions judiciaires et administratives. C’est une sorte de bulletin des arrêts de la Cour de cassation française, à la différence que la plupart des décisions rapportées émanent de la Cour d’appel. La sélection des arrêts est faite par des magistrats, aujourd’hui secondés par quelques professeurs de l’université. Le principe de sélection est de fournir de bons exemples, c’est-à-dire que sont éliminées les décisions considérées comme ayant mal appliqué le droit.</w:t>
      </w:r>
    </w:p>
    <w:p w14:paraId="2150E664" w14:textId="77777777" w:rsidR="001E66D3" w:rsidRDefault="001E66D3" w:rsidP="001E66D3"/>
    <w:p w14:paraId="37A34F43" w14:textId="77777777" w:rsidR="001E66D3" w:rsidRDefault="001E66D3" w:rsidP="001E66D3">
      <w:r>
        <w:t>L'accès au corps plus complet des décisions s’est amélioré, pour les juridictions administratives depuis le début du XXIème siècle, plus récemment et hiératiquement pour les juridictions judiciaires.</w:t>
      </w:r>
    </w:p>
    <w:p w14:paraId="0A698A25" w14:textId="77777777" w:rsidR="001E66D3" w:rsidRDefault="001E66D3" w:rsidP="001E66D3">
      <w:r>
        <w:t>Les motifs des décisions sont eux aussi originaux, le propos ne vaut que pour les juridictions judiciaires, que le privatiste que je suis connaît mieux. Formellement, elles sont semblables aux décisions françaises, mais elles ont au moins deux  particularités :</w:t>
      </w:r>
    </w:p>
    <w:p w14:paraId="0DE55FDF" w14:textId="77777777" w:rsidR="001E66D3" w:rsidRDefault="001E66D3" w:rsidP="001E66D3"/>
    <w:p w14:paraId="00AB348B" w14:textId="11442B48" w:rsidR="001E66D3" w:rsidRDefault="001E66D3" w:rsidP="001E66D3">
      <w:r>
        <w:t xml:space="preserve"> 1. La grande fréquence des références et des citations à d’autres décisions, notamment de la Cour de cassation française. La fréquence des références et des citations d’auteurs français, principalement issues du </w:t>
      </w:r>
      <w:proofErr w:type="spellStart"/>
      <w:r>
        <w:t>JurisClasseur</w:t>
      </w:r>
      <w:proofErr w:type="spellEnd"/>
      <w:r>
        <w:t>, souvent comme des obiter dicta, pas toujours utiles à la résolution du litige.</w:t>
      </w:r>
    </w:p>
    <w:p w14:paraId="430B599D" w14:textId="77777777" w:rsidR="001E66D3" w:rsidRDefault="001E66D3" w:rsidP="001E66D3">
      <w:r>
        <w:t xml:space="preserve"> 2. La jurisprudence est souvent présentée comme quantitativement insuffisante, avec la thématique récurrente d’une masse critique non atteinte pour constituer une jurisprudence. C’est vrai, mais l’explication est peut-être insuffisante. La faiblesse de la systématisation, par comparaison avec la jurisprudence française, résulte sans doute aussi de la pratique doctrinale.</w:t>
      </w:r>
    </w:p>
    <w:p w14:paraId="2579C0D1" w14:textId="77777777" w:rsidR="001E66D3" w:rsidRDefault="001E66D3" w:rsidP="001E66D3"/>
    <w:p w14:paraId="4AE6DCA1" w14:textId="77777777" w:rsidR="001E66D3" w:rsidRDefault="001E66D3" w:rsidP="001E66D3">
      <w:r>
        <w:t>Faut-il donc parler de quasi-source? La question doit être absolument distinguée des débats français sur les sources formelles ou informelles, l’autorité au lieu de la normativité. Parler de quasi-source marque un écart par rapport à la source véritable dont le modèle serait la jurisprudence française.</w:t>
      </w:r>
    </w:p>
    <w:p w14:paraId="15AAEA00" w14:textId="77777777" w:rsidR="001E66D3" w:rsidRDefault="001E66D3" w:rsidP="001E66D3"/>
    <w:p w14:paraId="2C6BB906" w14:textId="58DFCFD9" w:rsidR="004464F1" w:rsidRDefault="001E66D3" w:rsidP="001E66D3">
      <w:r>
        <w:t>Mais il est possible de poser la question autrement : n’y a-t-il qu’un modèle de jurisprudence et de doctrine? Peut-on élaborer une théorie des sources qui serait spécifique au Luxembourg? N’est-ce pas la doctrine et la jurisprudence françaises qui sont des leurres en donnant une image fausse de la réalité par leur construction même?</w:t>
      </w:r>
    </w:p>
    <w:sectPr w:rsidR="00446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D3"/>
    <w:rsid w:val="001E66D3"/>
    <w:rsid w:val="004464F1"/>
    <w:rsid w:val="00611CED"/>
    <w:rsid w:val="00755DE4"/>
    <w:rsid w:val="0076381C"/>
    <w:rsid w:val="00770415"/>
    <w:rsid w:val="00A07334"/>
    <w:rsid w:val="00A9602D"/>
    <w:rsid w:val="00CF7B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40E7"/>
  <w15:chartTrackingRefBased/>
  <w15:docId w15:val="{F374696E-0C26-4812-A7BF-2FECC8B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6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6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66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66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66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66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66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66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66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6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66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66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66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66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66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66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66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66D3"/>
    <w:rPr>
      <w:rFonts w:eastAsiaTheme="majorEastAsia" w:cstheme="majorBidi"/>
      <w:color w:val="272727" w:themeColor="text1" w:themeTint="D8"/>
    </w:rPr>
  </w:style>
  <w:style w:type="paragraph" w:styleId="Titre">
    <w:name w:val="Title"/>
    <w:basedOn w:val="Normal"/>
    <w:next w:val="Normal"/>
    <w:link w:val="TitreCar"/>
    <w:uiPriority w:val="10"/>
    <w:qFormat/>
    <w:rsid w:val="001E6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66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66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66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66D3"/>
    <w:pPr>
      <w:spacing w:before="160"/>
      <w:jc w:val="center"/>
    </w:pPr>
    <w:rPr>
      <w:i/>
      <w:iCs/>
      <w:color w:val="404040" w:themeColor="text1" w:themeTint="BF"/>
    </w:rPr>
  </w:style>
  <w:style w:type="character" w:customStyle="1" w:styleId="CitationCar">
    <w:name w:val="Citation Car"/>
    <w:basedOn w:val="Policepardfaut"/>
    <w:link w:val="Citation"/>
    <w:uiPriority w:val="29"/>
    <w:rsid w:val="001E66D3"/>
    <w:rPr>
      <w:i/>
      <w:iCs/>
      <w:color w:val="404040" w:themeColor="text1" w:themeTint="BF"/>
    </w:rPr>
  </w:style>
  <w:style w:type="paragraph" w:styleId="Paragraphedeliste">
    <w:name w:val="List Paragraph"/>
    <w:basedOn w:val="Normal"/>
    <w:uiPriority w:val="34"/>
    <w:qFormat/>
    <w:rsid w:val="001E66D3"/>
    <w:pPr>
      <w:ind w:left="720"/>
      <w:contextualSpacing/>
    </w:pPr>
  </w:style>
  <w:style w:type="character" w:styleId="Accentuationintense">
    <w:name w:val="Intense Emphasis"/>
    <w:basedOn w:val="Policepardfaut"/>
    <w:uiPriority w:val="21"/>
    <w:qFormat/>
    <w:rsid w:val="001E66D3"/>
    <w:rPr>
      <w:i/>
      <w:iCs/>
      <w:color w:val="2F5496" w:themeColor="accent1" w:themeShade="BF"/>
    </w:rPr>
  </w:style>
  <w:style w:type="paragraph" w:styleId="Citationintense">
    <w:name w:val="Intense Quote"/>
    <w:basedOn w:val="Normal"/>
    <w:next w:val="Normal"/>
    <w:link w:val="CitationintenseCar"/>
    <w:uiPriority w:val="30"/>
    <w:qFormat/>
    <w:rsid w:val="001E6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66D3"/>
    <w:rPr>
      <w:i/>
      <w:iCs/>
      <w:color w:val="2F5496" w:themeColor="accent1" w:themeShade="BF"/>
    </w:rPr>
  </w:style>
  <w:style w:type="character" w:styleId="Rfrenceintense">
    <w:name w:val="Intense Reference"/>
    <w:basedOn w:val="Policepardfaut"/>
    <w:uiPriority w:val="32"/>
    <w:qFormat/>
    <w:rsid w:val="001E6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4605</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gerardaxel269@gmail.com</dc:creator>
  <cp:keywords/>
  <dc:description/>
  <cp:lastModifiedBy>gerardaxel269@gmail.com</cp:lastModifiedBy>
  <cp:revision>2</cp:revision>
  <cp:lastPrinted>2026-04-21T05:42:00Z</cp:lastPrinted>
  <dcterms:created xsi:type="dcterms:W3CDTF">2026-04-21T05:43:00Z</dcterms:created>
  <dcterms:modified xsi:type="dcterms:W3CDTF">2026-04-21T05:43:00Z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f29ac1d9-29ba-4742-9139-7454fb1ce8ed</vt:lpwstr>
  </property>
</Properties>
</file>