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37A98"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Les incidences en droit coopératif de la réforme des nullités en droit des sociétés</w:t>
      </w:r>
    </w:p>
    <w:p w14:paraId="47830125" w14:textId="77777777" w:rsidR="00B4419E" w:rsidRDefault="00B4419E">
      <w:pPr>
        <w:pStyle w:val="CorpsA"/>
        <w:jc w:val="both"/>
        <w:rPr>
          <w:rStyle w:val="Aucun"/>
          <w:rFonts w:ascii="Times New Roman" w:eastAsia="Times New Roman" w:hAnsi="Times New Roman" w:cs="Times New Roman"/>
          <w:sz w:val="24"/>
          <w:szCs w:val="24"/>
        </w:rPr>
      </w:pPr>
    </w:p>
    <w:p w14:paraId="07CFBFD0"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David Hiez, professeur de droit privé à l’université du Luxembourg</w:t>
      </w:r>
    </w:p>
    <w:p w14:paraId="47FE3A18" w14:textId="77777777" w:rsidR="00B4419E" w:rsidRDefault="00B4419E">
      <w:pPr>
        <w:pStyle w:val="CorpsA"/>
        <w:jc w:val="both"/>
        <w:rPr>
          <w:rStyle w:val="Aucun"/>
          <w:rFonts w:ascii="Times New Roman" w:eastAsia="Times New Roman" w:hAnsi="Times New Roman" w:cs="Times New Roman"/>
          <w:sz w:val="24"/>
          <w:szCs w:val="24"/>
        </w:rPr>
      </w:pPr>
    </w:p>
    <w:p w14:paraId="7F079902" w14:textId="72E508CF"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L’ordonnance n°2025-229 du 12 mars </w:t>
      </w:r>
      <w:bookmarkStart w:id="0" w:name="_Int_QOvwKdii"/>
      <w:r>
        <w:rPr>
          <w:rStyle w:val="Aucun"/>
          <w:rFonts w:ascii="Times New Roman" w:hAnsi="Times New Roman"/>
          <w:sz w:val="24"/>
          <w:szCs w:val="24"/>
        </w:rPr>
        <w:t>2025</w:t>
      </w:r>
      <w:r>
        <w:rPr>
          <w:rStyle w:val="Aucun"/>
          <w:rFonts w:ascii="Times New Roman" w:eastAsia="Times New Roman" w:hAnsi="Times New Roman" w:cs="Times New Roman"/>
          <w:sz w:val="24"/>
          <w:szCs w:val="24"/>
          <w:vertAlign w:val="superscript"/>
        </w:rPr>
        <w:footnoteReference w:id="2"/>
      </w:r>
      <w:r>
        <w:rPr>
          <w:rStyle w:val="Aucun"/>
          <w:rFonts w:ascii="Times New Roman" w:hAnsi="Times New Roman"/>
          <w:sz w:val="24"/>
          <w:szCs w:val="24"/>
        </w:rPr>
        <w:t xml:space="preserve"> a</w:t>
      </w:r>
      <w:bookmarkEnd w:id="0"/>
      <w:r>
        <w:rPr>
          <w:rStyle w:val="Aucun"/>
          <w:rFonts w:ascii="Times New Roman" w:hAnsi="Times New Roman"/>
          <w:sz w:val="24"/>
          <w:szCs w:val="24"/>
        </w:rPr>
        <w:t xml:space="preserve"> réformé en profondeur les nullités en droit des sociétés. L’importance de la réforme est perceptible par le nombre des commentaires auxquels elle a donné </w:t>
      </w:r>
      <w:bookmarkStart w:id="1" w:name="_Int_41TzU8JU"/>
      <w:r>
        <w:rPr>
          <w:rStyle w:val="Aucun"/>
          <w:rFonts w:ascii="Times New Roman" w:hAnsi="Times New Roman"/>
          <w:sz w:val="24"/>
          <w:szCs w:val="24"/>
        </w:rPr>
        <w:t>lieu</w:t>
      </w:r>
      <w:r>
        <w:rPr>
          <w:rStyle w:val="Aucun"/>
          <w:rFonts w:ascii="Times New Roman" w:eastAsia="Times New Roman" w:hAnsi="Times New Roman" w:cs="Times New Roman"/>
          <w:sz w:val="24"/>
          <w:szCs w:val="24"/>
          <w:vertAlign w:val="superscript"/>
        </w:rPr>
        <w:footnoteReference w:id="3"/>
      </w:r>
      <w:r>
        <w:rPr>
          <w:rStyle w:val="Aucun"/>
          <w:rFonts w:ascii="Times New Roman" w:hAnsi="Times New Roman"/>
          <w:sz w:val="24"/>
          <w:szCs w:val="24"/>
        </w:rPr>
        <w:t>,</w:t>
      </w:r>
      <w:bookmarkEnd w:id="1"/>
      <w:r>
        <w:rPr>
          <w:rStyle w:val="Aucun"/>
          <w:rFonts w:ascii="Times New Roman" w:hAnsi="Times New Roman"/>
          <w:sz w:val="24"/>
          <w:szCs w:val="24"/>
        </w:rPr>
        <w:t xml:space="preserve"> sans que les appréciations soient toujours </w:t>
      </w:r>
      <w:bookmarkStart w:id="2" w:name="_Int_PzitfMbO"/>
      <w:r>
        <w:rPr>
          <w:rStyle w:val="Aucun"/>
          <w:rFonts w:ascii="Times New Roman" w:hAnsi="Times New Roman"/>
          <w:sz w:val="24"/>
          <w:szCs w:val="24"/>
        </w:rPr>
        <w:t>positives</w:t>
      </w:r>
      <w:r>
        <w:rPr>
          <w:rStyle w:val="Aucun"/>
          <w:rFonts w:ascii="Times New Roman" w:eastAsia="Times New Roman" w:hAnsi="Times New Roman" w:cs="Times New Roman"/>
          <w:sz w:val="24"/>
          <w:szCs w:val="24"/>
          <w:vertAlign w:val="superscript"/>
        </w:rPr>
        <w:footnoteReference w:id="4"/>
      </w:r>
      <w:r>
        <w:rPr>
          <w:rStyle w:val="Aucun"/>
          <w:rFonts w:ascii="Times New Roman" w:hAnsi="Times New Roman"/>
          <w:sz w:val="24"/>
          <w:szCs w:val="24"/>
        </w:rPr>
        <w:t>.</w:t>
      </w:r>
      <w:bookmarkEnd w:id="2"/>
      <w:r>
        <w:rPr>
          <w:rStyle w:val="Aucun"/>
          <w:rFonts w:ascii="Times New Roman" w:hAnsi="Times New Roman"/>
          <w:sz w:val="24"/>
          <w:szCs w:val="24"/>
        </w:rPr>
        <w:t xml:space="preserve"> Une idée fait toutefois consensus : le texte « surprend par son ampleur et sa radicalité </w:t>
      </w:r>
      <w:bookmarkStart w:id="3" w:name="_Int_bQx0u7GB"/>
      <w:r>
        <w:rPr>
          <w:rStyle w:val="Aucun"/>
          <w:rFonts w:ascii="Times New Roman" w:hAnsi="Times New Roman"/>
          <w:sz w:val="24"/>
          <w:szCs w:val="24"/>
        </w:rPr>
        <w:t>»</w:t>
      </w:r>
      <w:r>
        <w:rPr>
          <w:rStyle w:val="Aucun"/>
          <w:rFonts w:ascii="Times New Roman" w:eastAsia="Times New Roman" w:hAnsi="Times New Roman" w:cs="Times New Roman"/>
          <w:sz w:val="24"/>
          <w:szCs w:val="24"/>
          <w:vertAlign w:val="superscript"/>
        </w:rPr>
        <w:footnoteReference w:id="5"/>
      </w:r>
      <w:r>
        <w:rPr>
          <w:rStyle w:val="Aucun"/>
          <w:rFonts w:ascii="Times New Roman" w:hAnsi="Times New Roman"/>
          <w:sz w:val="24"/>
          <w:szCs w:val="24"/>
        </w:rPr>
        <w:t>.</w:t>
      </w:r>
      <w:bookmarkEnd w:id="3"/>
      <w:r>
        <w:rPr>
          <w:rStyle w:val="Aucun"/>
          <w:rFonts w:ascii="Times New Roman" w:hAnsi="Times New Roman"/>
          <w:sz w:val="24"/>
          <w:szCs w:val="24"/>
        </w:rPr>
        <w:t xml:space="preserve"> En revanche, le regard du spécialiste du droit coopératif ne peut être le même que celui des généralistes du droit des </w:t>
      </w:r>
      <w:bookmarkStart w:id="4" w:name="_Int_B14XZUhc"/>
      <w:r>
        <w:rPr>
          <w:rStyle w:val="Aucun"/>
          <w:rFonts w:ascii="Times New Roman" w:hAnsi="Times New Roman"/>
          <w:sz w:val="24"/>
          <w:szCs w:val="24"/>
        </w:rPr>
        <w:t>sociétés</w:t>
      </w:r>
      <w:r>
        <w:rPr>
          <w:rStyle w:val="Aucun"/>
          <w:rFonts w:ascii="Times New Roman" w:eastAsia="Times New Roman" w:hAnsi="Times New Roman" w:cs="Times New Roman"/>
          <w:sz w:val="24"/>
          <w:szCs w:val="24"/>
          <w:vertAlign w:val="superscript"/>
        </w:rPr>
        <w:footnoteReference w:id="6"/>
      </w:r>
      <w:r>
        <w:rPr>
          <w:rStyle w:val="Aucun"/>
          <w:rFonts w:ascii="Times New Roman" w:hAnsi="Times New Roman"/>
          <w:sz w:val="24"/>
          <w:szCs w:val="24"/>
        </w:rPr>
        <w:t>.</w:t>
      </w:r>
      <w:bookmarkEnd w:id="4"/>
      <w:r>
        <w:rPr>
          <w:rStyle w:val="Aucun"/>
          <w:rFonts w:ascii="Times New Roman" w:hAnsi="Times New Roman"/>
          <w:sz w:val="24"/>
          <w:szCs w:val="24"/>
        </w:rPr>
        <w:t xml:space="preserve"> En effet, les coopératives subissaient un traitement totalement inéquitable, du fait de la restriction des causes de nullité au titre IX du livre III du code civil et au livre II du code de commerce. Dès lors que tout le droit coopératif se situe hors de ces deux vénérables monuments, à peu près aucune nullité ne pouvait sanctionner la violation de ces règles. En conséquence, la première réaction du spécialiste coopératif face à la réforme est un soulagement : enfin ! Ce premier mouvement ne l’aveugle pas totalement ni ne l’oblige à délivrer un complet satisfecit. Il est ainsi permis de relever par exemple, en s’appuyant sur la critique de plus éminents </w:t>
      </w:r>
      <w:bookmarkStart w:id="5" w:name="_Int_DM2fOtyP"/>
      <w:r>
        <w:rPr>
          <w:rStyle w:val="Aucun"/>
          <w:rFonts w:ascii="Times New Roman" w:hAnsi="Times New Roman"/>
          <w:sz w:val="24"/>
          <w:szCs w:val="24"/>
        </w:rPr>
        <w:t>spécialistes</w:t>
      </w:r>
      <w:r>
        <w:rPr>
          <w:rStyle w:val="Aucun"/>
          <w:rFonts w:ascii="Times New Roman" w:eastAsia="Times New Roman" w:hAnsi="Times New Roman" w:cs="Times New Roman"/>
          <w:sz w:val="24"/>
          <w:szCs w:val="24"/>
          <w:vertAlign w:val="superscript"/>
        </w:rPr>
        <w:footnoteReference w:id="7"/>
      </w:r>
      <w:r>
        <w:rPr>
          <w:rStyle w:val="Aucun"/>
          <w:rFonts w:ascii="Times New Roman" w:hAnsi="Times New Roman"/>
          <w:sz w:val="24"/>
          <w:szCs w:val="24"/>
        </w:rPr>
        <w:t xml:space="preserve"> que</w:t>
      </w:r>
      <w:bookmarkEnd w:id="5"/>
      <w:r>
        <w:rPr>
          <w:rStyle w:val="Aucun"/>
          <w:rFonts w:ascii="Times New Roman" w:hAnsi="Times New Roman"/>
          <w:sz w:val="24"/>
          <w:szCs w:val="24"/>
        </w:rPr>
        <w:t xml:space="preserve"> l’extension des possibles annulations se paie d’une difficulté accrue pour les obtenir, et que ceci constitue un frein à long terme à l’implication des parties prenantes dans le contrôle de la société.</w:t>
      </w:r>
    </w:p>
    <w:p w14:paraId="6185F050" w14:textId="77777777" w:rsidR="00B4419E" w:rsidRDefault="00B4419E">
      <w:pPr>
        <w:pStyle w:val="CorpsA"/>
        <w:jc w:val="both"/>
        <w:rPr>
          <w:rStyle w:val="Aucun"/>
          <w:rFonts w:ascii="Times New Roman" w:eastAsia="Times New Roman" w:hAnsi="Times New Roman" w:cs="Times New Roman"/>
          <w:sz w:val="24"/>
          <w:szCs w:val="24"/>
        </w:rPr>
      </w:pPr>
    </w:p>
    <w:p w14:paraId="6A612060"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Les innovations de l’ordonnance touchent les coopératives avec plus ou moins d’intensité et elles seront en conséquence approfondies ou non. C’est ainsi que ne seront pas envisagées les dispositions relatives aux augmentations et autres opérations sur le capital. En effet, dans leur quasi-totalité, et souvent même en vertu d’une obligation légale, les coopératives sont des sociétés à capital </w:t>
      </w:r>
      <w:bookmarkStart w:id="6" w:name="_Int_vxdIqFUL"/>
      <w:r>
        <w:rPr>
          <w:rStyle w:val="Aucun"/>
          <w:rFonts w:ascii="Times New Roman" w:hAnsi="Times New Roman"/>
          <w:sz w:val="24"/>
          <w:szCs w:val="24"/>
        </w:rPr>
        <w:t>variable</w:t>
      </w:r>
      <w:r>
        <w:rPr>
          <w:rStyle w:val="Aucun"/>
          <w:rFonts w:ascii="Times New Roman" w:eastAsia="Times New Roman" w:hAnsi="Times New Roman" w:cs="Times New Roman"/>
          <w:sz w:val="24"/>
          <w:szCs w:val="24"/>
          <w:vertAlign w:val="superscript"/>
        </w:rPr>
        <w:footnoteReference w:id="8"/>
      </w:r>
      <w:r>
        <w:rPr>
          <w:rStyle w:val="Aucun"/>
          <w:rFonts w:ascii="Times New Roman" w:hAnsi="Times New Roman"/>
          <w:sz w:val="24"/>
          <w:szCs w:val="24"/>
        </w:rPr>
        <w:t>,</w:t>
      </w:r>
      <w:bookmarkEnd w:id="6"/>
      <w:r>
        <w:rPr>
          <w:rStyle w:val="Aucun"/>
          <w:rFonts w:ascii="Times New Roman" w:hAnsi="Times New Roman"/>
          <w:sz w:val="24"/>
          <w:szCs w:val="24"/>
        </w:rPr>
        <w:t xml:space="preserve"> </w:t>
      </w:r>
      <w:r>
        <w:rPr>
          <w:rStyle w:val="Aucun"/>
          <w:rFonts w:ascii="Times New Roman" w:hAnsi="Times New Roman"/>
          <w:sz w:val="24"/>
          <w:szCs w:val="24"/>
        </w:rPr>
        <w:lastRenderedPageBreak/>
        <w:t xml:space="preserve">en sorte qu’elles ne sont pas concernées par les dispositions spécifiques à l’augmentation exceptionnelle de capital dans les sociétés à capital fixe. Sans nier leur importance pour le droit coopératif, d’autres innovations n’y ont toutefois pas d’impact </w:t>
      </w:r>
      <w:bookmarkStart w:id="7" w:name="_Int_iJ30UbEU"/>
      <w:r>
        <w:rPr>
          <w:rStyle w:val="Aucun"/>
          <w:rFonts w:ascii="Times New Roman" w:hAnsi="Times New Roman"/>
          <w:sz w:val="24"/>
          <w:szCs w:val="24"/>
        </w:rPr>
        <w:t>spécifique:</w:t>
      </w:r>
      <w:bookmarkEnd w:id="7"/>
      <w:r>
        <w:rPr>
          <w:rStyle w:val="Aucun"/>
          <w:rFonts w:ascii="Times New Roman" w:hAnsi="Times New Roman"/>
          <w:sz w:val="24"/>
          <w:szCs w:val="24"/>
        </w:rPr>
        <w:t xml:space="preserve"> les effets de l’ordonnance y sont les mêmes que pour toutes les sociétés, par exemple la substitution de l’expression « décisions sociales » à celle de « actes et délibérations », ou le sort des conventions réglementées, et il suffit à cet égard de renvoyer aux commentaires des spécialistes de droit des sociétés. De façon plus générale, toutes les applications dont les dispositions nouvelles sont susceptibles aux coopératives ne seront pas envisagées et il est fortement recommandé au lecteur de compléter cette chronique par l’étude attentive d’une étude approfondie de la réforme.</w:t>
      </w:r>
    </w:p>
    <w:p w14:paraId="2B23F19F"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Il sera seulement rappelé, car ceci innerve toute cette présentation, que l’ordonnance a mis fin à la dualité entre le régime mis en place par le code civil et par le code de commerce, en abrogeant les articles L.235-1 et suivants du code de commerce et en concentrant le droit des nullités dans les sociétés aux articles 1844-10 et suivants du code civil. Les commentaires suivants se concentrent donc sur ces seules dispositions.</w:t>
      </w:r>
    </w:p>
    <w:p w14:paraId="1CF92613" w14:textId="77777777" w:rsidR="00B4419E" w:rsidRDefault="00B4419E">
      <w:pPr>
        <w:pStyle w:val="CorpsA"/>
        <w:jc w:val="both"/>
        <w:rPr>
          <w:rStyle w:val="Aucun"/>
          <w:rFonts w:ascii="Times New Roman" w:eastAsia="Times New Roman" w:hAnsi="Times New Roman" w:cs="Times New Roman"/>
          <w:sz w:val="24"/>
          <w:szCs w:val="24"/>
        </w:rPr>
      </w:pPr>
    </w:p>
    <w:p w14:paraId="1D365B0E"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Les incidences de la réforme en droit coopératif sont pour l’essentiel le reflet des innovations principales introduites en droit des sociétés. Il en résulte que leur présentation ne diffèrera pas fondamentalement : extension du domaine des nullités d’un côté (I), multiplication des mesures destinées à en cantonner la réalisation et les effets de l’autre (II). Pourtant, leur signification ne peut être identique, dans la mesure où l’état du droit positif antérieur à la réforme n’a pas la même incidence dans l’un et l’autre. Sa restriction du champ des nullités aux seuls codes de commerce et civil excluait la totalité du droit coopératif, qui y est extérieur, et fondait une insécurité juridique. La réforme constitue donc incontestablement une amélioration à cet égard. Pourtant, les contours de l’innovation ne sont pas précisés et elles font naître de multiples questions auxquelles il convient d’essayer de répondre. C’est particulièrement vrai pour les causes de nullité nouvellement introduites, ce l’est aussi pour les mécanismes modérateurs.</w:t>
      </w:r>
    </w:p>
    <w:p w14:paraId="494FEBBF" w14:textId="77777777" w:rsidR="00B4419E" w:rsidRDefault="00B4419E">
      <w:pPr>
        <w:pStyle w:val="CorpsA"/>
        <w:jc w:val="both"/>
        <w:rPr>
          <w:rStyle w:val="Aucun"/>
          <w:rFonts w:ascii="Times New Roman" w:eastAsia="Times New Roman" w:hAnsi="Times New Roman" w:cs="Times New Roman"/>
          <w:sz w:val="24"/>
          <w:szCs w:val="24"/>
        </w:rPr>
      </w:pPr>
    </w:p>
    <w:p w14:paraId="1A13D90D" w14:textId="77777777" w:rsidR="00B4419E" w:rsidRDefault="00BF3F37">
      <w:pPr>
        <w:pStyle w:val="CorpsA"/>
        <w:numPr>
          <w:ilvl w:val="0"/>
          <w:numId w:val="2"/>
        </w:numPr>
        <w:jc w:val="both"/>
        <w:rPr>
          <w:rFonts w:ascii="Times New Roman" w:hAnsi="Times New Roman"/>
          <w:sz w:val="24"/>
          <w:szCs w:val="24"/>
        </w:rPr>
      </w:pPr>
      <w:r>
        <w:rPr>
          <w:rStyle w:val="Aucun"/>
          <w:rFonts w:ascii="Times New Roman" w:hAnsi="Times New Roman"/>
          <w:sz w:val="24"/>
          <w:szCs w:val="24"/>
        </w:rPr>
        <w:t xml:space="preserve"> Le droit coopératif touché par l’extension de la nullité</w:t>
      </w:r>
    </w:p>
    <w:p w14:paraId="067A9953" w14:textId="77777777" w:rsidR="00B4419E" w:rsidRDefault="00B4419E">
      <w:pPr>
        <w:pStyle w:val="CorpsA"/>
        <w:jc w:val="both"/>
        <w:rPr>
          <w:rStyle w:val="Aucun"/>
          <w:rFonts w:ascii="Times New Roman" w:eastAsia="Times New Roman" w:hAnsi="Times New Roman" w:cs="Times New Roman"/>
          <w:sz w:val="24"/>
          <w:szCs w:val="24"/>
        </w:rPr>
      </w:pPr>
    </w:p>
    <w:p w14:paraId="2858B136"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L’extension du champ des nullités est patente. Elle doit être précisée d’abord de façon générale (A), mais elle doit l’être aussi dans certaines situations particulières (B).</w:t>
      </w:r>
    </w:p>
    <w:p w14:paraId="6D9336F6" w14:textId="77777777" w:rsidR="00B4419E" w:rsidRDefault="00B4419E">
      <w:pPr>
        <w:pStyle w:val="CorpsA"/>
        <w:jc w:val="both"/>
        <w:rPr>
          <w:rStyle w:val="Aucun"/>
          <w:rFonts w:ascii="Times New Roman" w:eastAsia="Times New Roman" w:hAnsi="Times New Roman" w:cs="Times New Roman"/>
          <w:sz w:val="24"/>
          <w:szCs w:val="24"/>
        </w:rPr>
      </w:pPr>
    </w:p>
    <w:p w14:paraId="43B06D1C" w14:textId="77777777" w:rsidR="00B4419E" w:rsidRDefault="00BF3F37">
      <w:pPr>
        <w:pStyle w:val="CorpsA"/>
        <w:numPr>
          <w:ilvl w:val="0"/>
          <w:numId w:val="4"/>
        </w:numPr>
        <w:jc w:val="both"/>
        <w:rPr>
          <w:rFonts w:ascii="Times New Roman" w:hAnsi="Times New Roman"/>
          <w:sz w:val="24"/>
          <w:szCs w:val="24"/>
        </w:rPr>
      </w:pPr>
      <w:r>
        <w:rPr>
          <w:rStyle w:val="Aucun"/>
          <w:rFonts w:ascii="Times New Roman" w:hAnsi="Times New Roman"/>
          <w:sz w:val="24"/>
          <w:szCs w:val="24"/>
        </w:rPr>
        <w:t xml:space="preserve"> L’extension générale des nullités en droit coopératif</w:t>
      </w:r>
    </w:p>
    <w:p w14:paraId="62569AD2" w14:textId="77777777" w:rsidR="00B4419E" w:rsidRDefault="00B4419E">
      <w:pPr>
        <w:pStyle w:val="CorpsA"/>
        <w:jc w:val="both"/>
        <w:rPr>
          <w:rStyle w:val="Aucun"/>
          <w:rFonts w:ascii="Times New Roman" w:eastAsia="Times New Roman" w:hAnsi="Times New Roman" w:cs="Times New Roman"/>
          <w:sz w:val="24"/>
          <w:szCs w:val="24"/>
        </w:rPr>
      </w:pPr>
    </w:p>
    <w:p w14:paraId="2F7E475A"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L’extension des nullités est logiquement d’abord le résultat des causes de nullité fondées sur la loi, en ce compris les dispositions réglementaires (1). Elle peut aussi l’être par le jeu de l’inclusion sous certaines conditions des dispositions statutaires (2).</w:t>
      </w:r>
    </w:p>
    <w:p w14:paraId="1A84121A" w14:textId="77777777" w:rsidR="00B4419E" w:rsidRDefault="00B4419E">
      <w:pPr>
        <w:pStyle w:val="CorpsA"/>
        <w:jc w:val="both"/>
        <w:rPr>
          <w:rStyle w:val="Aucun"/>
          <w:rFonts w:ascii="Times New Roman" w:eastAsia="Times New Roman" w:hAnsi="Times New Roman" w:cs="Times New Roman"/>
          <w:sz w:val="24"/>
          <w:szCs w:val="24"/>
        </w:rPr>
      </w:pPr>
    </w:p>
    <w:p w14:paraId="57B73115" w14:textId="77777777" w:rsidR="00B4419E" w:rsidRDefault="00BF3F37">
      <w:pPr>
        <w:pStyle w:val="CorpsA"/>
        <w:numPr>
          <w:ilvl w:val="0"/>
          <w:numId w:val="6"/>
        </w:numPr>
        <w:jc w:val="both"/>
        <w:rPr>
          <w:rFonts w:ascii="Times New Roman" w:hAnsi="Times New Roman"/>
          <w:sz w:val="24"/>
          <w:szCs w:val="24"/>
        </w:rPr>
      </w:pPr>
      <w:r>
        <w:rPr>
          <w:rStyle w:val="Aucun"/>
          <w:rFonts w:ascii="Times New Roman" w:hAnsi="Times New Roman"/>
          <w:sz w:val="24"/>
          <w:szCs w:val="24"/>
        </w:rPr>
        <w:t xml:space="preserve"> Les nullités légales</w:t>
      </w:r>
    </w:p>
    <w:p w14:paraId="29E2D0F7" w14:textId="77777777" w:rsidR="00B4419E" w:rsidRDefault="00B4419E">
      <w:pPr>
        <w:pStyle w:val="CorpsA"/>
        <w:jc w:val="both"/>
        <w:rPr>
          <w:rStyle w:val="Aucun"/>
          <w:rFonts w:ascii="Times New Roman" w:eastAsia="Times New Roman" w:hAnsi="Times New Roman" w:cs="Times New Roman"/>
          <w:sz w:val="24"/>
          <w:szCs w:val="24"/>
        </w:rPr>
      </w:pPr>
    </w:p>
    <w:p w14:paraId="7D776181"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L’ancien article L.235-1 du code de commerce était clair dans sa lettre : La nullité d'actes ou délibérations ne peut résulter que de la violation d'une disposition impérative du présent livre, c’est-à-dire des dispositions législatives générales du droit des sociétés commerciales. Les dispositions du droit coopératif se trouvant ailleurs, elles se trouvaient donc </w:t>
      </w:r>
      <w:bookmarkStart w:id="8" w:name="_Int_6Zdtj75x"/>
      <w:r>
        <w:rPr>
          <w:rStyle w:val="Aucun"/>
          <w:rFonts w:ascii="Times New Roman" w:hAnsi="Times New Roman"/>
          <w:sz w:val="24"/>
          <w:szCs w:val="24"/>
        </w:rPr>
        <w:t>exclues</w:t>
      </w:r>
      <w:r>
        <w:rPr>
          <w:rStyle w:val="Aucun"/>
          <w:rFonts w:ascii="Times New Roman" w:eastAsia="Times New Roman" w:hAnsi="Times New Roman" w:cs="Times New Roman"/>
          <w:sz w:val="24"/>
          <w:szCs w:val="24"/>
          <w:vertAlign w:val="superscript"/>
        </w:rPr>
        <w:footnoteReference w:id="9"/>
      </w:r>
      <w:r>
        <w:rPr>
          <w:rStyle w:val="Aucun"/>
          <w:rFonts w:ascii="Times New Roman" w:hAnsi="Times New Roman"/>
          <w:sz w:val="24"/>
          <w:szCs w:val="24"/>
        </w:rPr>
        <w:t>.</w:t>
      </w:r>
      <w:bookmarkEnd w:id="8"/>
      <w:r>
        <w:rPr>
          <w:rStyle w:val="Aucun"/>
          <w:rFonts w:ascii="Times New Roman" w:hAnsi="Times New Roman"/>
          <w:sz w:val="24"/>
          <w:szCs w:val="24"/>
        </w:rPr>
        <w:t xml:space="preserve"> Et le droit commun des sociétés du code civil n’offrait pas de solution de repli, y compris pour les coopératives agricoles qui échappent au régime des sociétés commerciales et </w:t>
      </w:r>
      <w:bookmarkStart w:id="9" w:name="_Int_v9c6rkZK"/>
      <w:r>
        <w:rPr>
          <w:rStyle w:val="Aucun"/>
          <w:rFonts w:ascii="Times New Roman" w:hAnsi="Times New Roman"/>
          <w:sz w:val="24"/>
          <w:szCs w:val="24"/>
        </w:rPr>
        <w:t>civiles</w:t>
      </w:r>
      <w:r>
        <w:rPr>
          <w:rStyle w:val="Aucun"/>
          <w:rFonts w:ascii="Times New Roman" w:eastAsia="Times New Roman" w:hAnsi="Times New Roman" w:cs="Times New Roman"/>
          <w:sz w:val="24"/>
          <w:szCs w:val="24"/>
          <w:vertAlign w:val="superscript"/>
        </w:rPr>
        <w:footnoteReference w:id="10"/>
      </w:r>
      <w:r>
        <w:rPr>
          <w:rStyle w:val="Aucun"/>
          <w:rFonts w:ascii="Times New Roman" w:hAnsi="Times New Roman"/>
          <w:sz w:val="24"/>
          <w:szCs w:val="24"/>
        </w:rPr>
        <w:t>,</w:t>
      </w:r>
      <w:bookmarkEnd w:id="9"/>
      <w:r>
        <w:rPr>
          <w:rStyle w:val="Aucun"/>
          <w:rFonts w:ascii="Times New Roman" w:hAnsi="Times New Roman"/>
          <w:sz w:val="24"/>
          <w:szCs w:val="24"/>
        </w:rPr>
        <w:t xml:space="preserve"> dans la mesure où l’article 1844-10 alinéa 3 renvoyait au seul titre du code civil sur la société, pas plus concerné par le droit coopératif. Stricto sensu, très peu de nullités étaient donc possibles en cette matière, et aucune nullité pour violation des règles coopératives les mieux établies. La Cour de cassation en a tiré les conséquences et refusé l’annulation d’une décision d’exclusion dans une société </w:t>
      </w:r>
      <w:bookmarkStart w:id="10" w:name="_Int_ykMeIixB"/>
      <w:r>
        <w:rPr>
          <w:rStyle w:val="Aucun"/>
          <w:rFonts w:ascii="Times New Roman" w:hAnsi="Times New Roman"/>
          <w:sz w:val="24"/>
          <w:szCs w:val="24"/>
        </w:rPr>
        <w:t>coopérative</w:t>
      </w:r>
      <w:r>
        <w:rPr>
          <w:rStyle w:val="Aucun"/>
          <w:rFonts w:ascii="Times New Roman" w:eastAsia="Times New Roman" w:hAnsi="Times New Roman" w:cs="Times New Roman"/>
          <w:sz w:val="24"/>
          <w:szCs w:val="24"/>
          <w:vertAlign w:val="superscript"/>
        </w:rPr>
        <w:footnoteReference w:id="11"/>
      </w:r>
      <w:r>
        <w:rPr>
          <w:rStyle w:val="Aucun"/>
          <w:rFonts w:ascii="Times New Roman" w:hAnsi="Times New Roman"/>
          <w:sz w:val="24"/>
          <w:szCs w:val="24"/>
        </w:rPr>
        <w:t>.</w:t>
      </w:r>
      <w:bookmarkEnd w:id="10"/>
      <w:r>
        <w:rPr>
          <w:rStyle w:val="Aucun"/>
          <w:rFonts w:ascii="Times New Roman" w:hAnsi="Times New Roman"/>
          <w:sz w:val="24"/>
          <w:szCs w:val="24"/>
        </w:rPr>
        <w:t xml:space="preserve"> Pourtant, les juges du fond ne sont pas aussi rigoureux ou aussi cohérents et ils ne refusent pas toujours de statuer par principe sur la nullité de décisions sociales contraires à des dispositions de droit </w:t>
      </w:r>
      <w:bookmarkStart w:id="11" w:name="_Int_2Rq5PEDr"/>
      <w:r>
        <w:rPr>
          <w:rStyle w:val="Aucun"/>
          <w:rFonts w:ascii="Times New Roman" w:hAnsi="Times New Roman"/>
          <w:sz w:val="24"/>
          <w:szCs w:val="24"/>
        </w:rPr>
        <w:t>coopératif</w:t>
      </w:r>
      <w:r>
        <w:rPr>
          <w:rStyle w:val="Aucun"/>
          <w:rFonts w:ascii="Times New Roman" w:eastAsia="Times New Roman" w:hAnsi="Times New Roman" w:cs="Times New Roman"/>
          <w:sz w:val="24"/>
          <w:szCs w:val="24"/>
          <w:vertAlign w:val="superscript"/>
        </w:rPr>
        <w:footnoteReference w:id="12"/>
      </w:r>
      <w:r>
        <w:rPr>
          <w:rStyle w:val="Aucun"/>
          <w:rFonts w:ascii="Times New Roman" w:hAnsi="Times New Roman"/>
          <w:sz w:val="24"/>
          <w:szCs w:val="24"/>
        </w:rPr>
        <w:t>.</w:t>
      </w:r>
      <w:bookmarkEnd w:id="11"/>
      <w:r>
        <w:rPr>
          <w:rStyle w:val="Aucun"/>
          <w:rFonts w:ascii="Times New Roman" w:hAnsi="Times New Roman"/>
          <w:sz w:val="24"/>
          <w:szCs w:val="24"/>
        </w:rPr>
        <w:t xml:space="preserve"> En outre, il existe un certain nombre de dispositions légales spéciales qui fulminent expressément la nullité. Elles ne se contentent pas d’édicter des dispositions impératives mais prévoient la nullité ; elles constituaient donc des dérogations expresses aux articles 1843-10 du code civil ou L.235-1 du code de commerce, ce qui est parfaitement valide s’agissant de dispositions spéciales. Tel est le cas de l’article L.524-2 du code rural en matière de violation des limites d’âge dans la désignation des administrateurs. La question se posait à propos de la violation des règles de cumul dans la composition des organes de </w:t>
      </w:r>
      <w:bookmarkStart w:id="12" w:name="_Int_oZlzxPE5"/>
      <w:r>
        <w:rPr>
          <w:rStyle w:val="Aucun"/>
          <w:rFonts w:ascii="Times New Roman" w:hAnsi="Times New Roman"/>
          <w:sz w:val="24"/>
          <w:szCs w:val="24"/>
        </w:rPr>
        <w:t>direction</w:t>
      </w:r>
      <w:r>
        <w:rPr>
          <w:rStyle w:val="Aucun"/>
          <w:rFonts w:ascii="Times New Roman" w:eastAsia="Times New Roman" w:hAnsi="Times New Roman" w:cs="Times New Roman"/>
          <w:sz w:val="24"/>
          <w:szCs w:val="24"/>
          <w:vertAlign w:val="superscript"/>
        </w:rPr>
        <w:footnoteReference w:id="13"/>
      </w:r>
      <w:r>
        <w:rPr>
          <w:rStyle w:val="Aucun"/>
          <w:rFonts w:ascii="Times New Roman" w:hAnsi="Times New Roman"/>
          <w:sz w:val="24"/>
          <w:szCs w:val="24"/>
        </w:rPr>
        <w:t>,</w:t>
      </w:r>
      <w:bookmarkEnd w:id="12"/>
      <w:r>
        <w:rPr>
          <w:rStyle w:val="Aucun"/>
          <w:rFonts w:ascii="Times New Roman" w:hAnsi="Times New Roman"/>
          <w:sz w:val="24"/>
          <w:szCs w:val="24"/>
        </w:rPr>
        <w:t xml:space="preserve"> disposition expresse de la partie réglementaire du code rural, mais la hiérarchie des sources rendait difficile de voir dans une disposition réglementaire une dérogation à une règle de rang législatif. Les hypothèses de nullité étaient toutefois rares et les applications moins rigoureuses des cours d’appel dépourvues de fondement solide.</w:t>
      </w:r>
    </w:p>
    <w:p w14:paraId="67E48088" w14:textId="77777777" w:rsidR="00B4419E" w:rsidRDefault="00B4419E">
      <w:pPr>
        <w:pStyle w:val="CorpsA"/>
        <w:jc w:val="both"/>
        <w:rPr>
          <w:rStyle w:val="Aucun"/>
          <w:rFonts w:ascii="Times New Roman" w:eastAsia="Times New Roman" w:hAnsi="Times New Roman" w:cs="Times New Roman"/>
          <w:sz w:val="24"/>
          <w:szCs w:val="24"/>
        </w:rPr>
      </w:pPr>
    </w:p>
    <w:p w14:paraId="4423C62F"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La réforme opère un bouleversement complet à cet égard, encore que la Cour de cassation avait récemment adouci sa rigueur et admit une nullité fondée sur une disposition figurant dans un autre livre du code de commerce</w:t>
      </w:r>
      <w:r>
        <w:rPr>
          <w:rStyle w:val="Aucun"/>
          <w:rFonts w:ascii="Times New Roman" w:eastAsia="Times New Roman" w:hAnsi="Times New Roman" w:cs="Times New Roman"/>
          <w:sz w:val="24"/>
          <w:szCs w:val="24"/>
          <w:vertAlign w:val="superscript"/>
        </w:rPr>
        <w:footnoteReference w:id="14"/>
      </w:r>
      <w:r>
        <w:rPr>
          <w:rStyle w:val="Aucun"/>
          <w:rFonts w:ascii="Times New Roman" w:hAnsi="Times New Roman"/>
          <w:sz w:val="24"/>
          <w:szCs w:val="24"/>
        </w:rPr>
        <w:t>. Déjà auparavant, elle avait aussi admis la nullité fondée sur une disposition réglementaire indissociable des dispositions législatives qu</w:t>
      </w:r>
      <w:r>
        <w:rPr>
          <w:rStyle w:val="Aucun"/>
          <w:rFonts w:ascii="Times New Roman" w:hAnsi="Times New Roman"/>
          <w:sz w:val="24"/>
          <w:szCs w:val="24"/>
          <w:rtl/>
          <w:lang w:val="ar-SA"/>
        </w:rPr>
        <w:t>’</w:t>
      </w:r>
      <w:r>
        <w:rPr>
          <w:rStyle w:val="Aucun"/>
          <w:rFonts w:ascii="Times New Roman" w:hAnsi="Times New Roman"/>
          <w:sz w:val="24"/>
          <w:szCs w:val="24"/>
        </w:rPr>
        <w:t>elle précise</w:t>
      </w:r>
      <w:r>
        <w:rPr>
          <w:rStyle w:val="Aucun"/>
          <w:rFonts w:ascii="Times New Roman" w:eastAsia="Times New Roman" w:hAnsi="Times New Roman" w:cs="Times New Roman"/>
          <w:sz w:val="24"/>
          <w:szCs w:val="24"/>
          <w:vertAlign w:val="superscript"/>
        </w:rPr>
        <w:footnoteReference w:id="15"/>
      </w:r>
      <w:r>
        <w:rPr>
          <w:rStyle w:val="Aucun"/>
          <w:rFonts w:ascii="Times New Roman" w:hAnsi="Times New Roman"/>
          <w:sz w:val="24"/>
          <w:szCs w:val="24"/>
        </w:rPr>
        <w:t>.</w:t>
      </w:r>
    </w:p>
    <w:p w14:paraId="2B76DEAE" w14:textId="77777777" w:rsidR="00B4419E" w:rsidRDefault="00B4419E">
      <w:pPr>
        <w:pStyle w:val="PardfautA"/>
        <w:suppressAutoHyphens/>
        <w:spacing w:before="0" w:line="240" w:lineRule="auto"/>
        <w:jc w:val="both"/>
        <w:rPr>
          <w:rStyle w:val="Aucun"/>
          <w:rFonts w:ascii="Times New Roman" w:eastAsia="Times New Roman" w:hAnsi="Times New Roman" w:cs="Times New Roman"/>
        </w:rPr>
      </w:pPr>
    </w:p>
    <w:p w14:paraId="0A497861" w14:textId="77777777" w:rsidR="00B4419E" w:rsidRDefault="00BF3F37">
      <w:pPr>
        <w:pStyle w:val="PardfautA"/>
        <w:suppressAutoHyphens/>
        <w:spacing w:before="0" w:line="240" w:lineRule="auto"/>
        <w:jc w:val="both"/>
        <w:rPr>
          <w:rStyle w:val="Aucun"/>
          <w:rFonts w:ascii="Times New Roman" w:eastAsia="Times New Roman" w:hAnsi="Times New Roman" w:cs="Times New Roman"/>
        </w:rPr>
      </w:pPr>
      <w:r>
        <w:rPr>
          <w:rStyle w:val="Aucun"/>
          <w:rFonts w:ascii="Times New Roman" w:hAnsi="Times New Roman"/>
        </w:rPr>
        <w:t>C’est ici que la réforme clarifie le plus les contours du champ d’application de la nullité, dans le sens de l’extension. L’article 1843-10 dispose désormais que « La nullité des décisions sociales ne peut résulter que de la violation d'une disposition impérative de droit des sociétés</w:t>
      </w:r>
      <w:bookmarkStart w:id="13" w:name="_Int_xhuEax3c"/>
      <w:r>
        <w:rPr>
          <w:rStyle w:val="Aucun"/>
          <w:rFonts w:ascii="Times New Roman" w:hAnsi="Times New Roman"/>
        </w:rPr>
        <w:t> »…</w:t>
      </w:r>
      <w:bookmarkEnd w:id="13"/>
      <w:r>
        <w:rPr>
          <w:rStyle w:val="Aucun"/>
          <w:rFonts w:ascii="Times New Roman" w:eastAsia="Times New Roman" w:hAnsi="Times New Roman" w:cs="Times New Roman"/>
          <w:vertAlign w:val="superscript"/>
        </w:rPr>
        <w:footnoteReference w:id="16"/>
      </w:r>
      <w:r>
        <w:rPr>
          <w:rStyle w:val="Aucun"/>
          <w:rFonts w:ascii="Times New Roman" w:hAnsi="Times New Roman"/>
        </w:rPr>
        <w:t>. Puisque les coopératives sont des sociétés, il est désormais clair que les dispositions impératives du droit coopératif, quel que soit leur emplacement et leur nature législative ou réglementaire, fondent la nullité. C’est un élément essentiel. Mais ceci fait naître une question qui n’était jusque-là que théorique : quelles sont les dispositions du droit coopératif qui peuvent entraîner la nullité ? Le texte fournit un critère qui au reste n’a pas changé par rapport au droit antérieur : seules sont concernées les dispositions impératives. Telles sont certainement les dispositions qui prévoient expressément la nullité, ce qu’on nomme les nullités légales, mais il a déjà été vu qu’elles ne se trouvent que dans le droit coopératif agricole et qu’elles ne sont qu’au nombre d’une ou deux. La question est donc surtout de déterminer le périmètre des nullités virtuelles, c’est-à-dire des dispositions impératives susceptibles d’entraîner la nullité quoiqu’elles ne l’indiquent pas expressément. La question soulève des discussions particulières en droit coopératif, mais il est permis de s’appuyer sur les observations faites en droit général des sociétés pour esquisser des réponses.</w:t>
      </w:r>
    </w:p>
    <w:p w14:paraId="3F9BD96F" w14:textId="77777777" w:rsidR="00B4419E" w:rsidRDefault="00B4419E">
      <w:pPr>
        <w:pStyle w:val="CorpsA"/>
        <w:jc w:val="both"/>
        <w:rPr>
          <w:rStyle w:val="Aucun"/>
          <w:rFonts w:ascii="Times New Roman" w:eastAsia="Times New Roman" w:hAnsi="Times New Roman" w:cs="Times New Roman"/>
          <w:sz w:val="24"/>
          <w:szCs w:val="24"/>
        </w:rPr>
      </w:pPr>
    </w:p>
    <w:p w14:paraId="58F15A01"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Il a ainsi été suggéré par une autrice particulièrement influente en la matière que serait sanctionnée par la nullité la violation de toute disposition impérative concernant l'organisation et le fonctionnement de la société, précisément la formation de ses décisions, qu'il s'agisse d'en encadrer les modalités d'adoption ou le contenu, et ce sans distinction selon la localisation de la disposition, ni, par suite, selon sa nature législative ou </w:t>
      </w:r>
      <w:bookmarkStart w:id="14" w:name="_Int_HNlRPjbG"/>
      <w:r>
        <w:rPr>
          <w:rStyle w:val="Aucun"/>
          <w:rFonts w:ascii="Times New Roman" w:hAnsi="Times New Roman"/>
          <w:sz w:val="24"/>
          <w:szCs w:val="24"/>
        </w:rPr>
        <w:t>réglementaire</w:t>
      </w:r>
      <w:r>
        <w:rPr>
          <w:rStyle w:val="Aucun"/>
          <w:rFonts w:ascii="Times New Roman" w:eastAsia="Times New Roman" w:hAnsi="Times New Roman" w:cs="Times New Roman"/>
          <w:sz w:val="24"/>
          <w:szCs w:val="24"/>
          <w:vertAlign w:val="superscript"/>
        </w:rPr>
        <w:footnoteReference w:id="17"/>
      </w:r>
      <w:r>
        <w:rPr>
          <w:rStyle w:val="Aucun"/>
          <w:rFonts w:ascii="Times New Roman" w:hAnsi="Times New Roman"/>
          <w:sz w:val="24"/>
          <w:szCs w:val="24"/>
        </w:rPr>
        <w:t>.</w:t>
      </w:r>
      <w:bookmarkEnd w:id="14"/>
      <w:r>
        <w:rPr>
          <w:rStyle w:val="Aucun"/>
          <w:rFonts w:ascii="Times New Roman" w:hAnsi="Times New Roman"/>
          <w:sz w:val="24"/>
          <w:szCs w:val="24"/>
        </w:rPr>
        <w:t xml:space="preserve"> Quant aux indices qui pourraient, ou pas, être utilisés pour caractériser ces dispositions impératives, il a été fait remarquer que celles-ci étaient éclairées par l’ordre public, étant entendu qu’est concerné autant l’ordre public classique que la protection des </w:t>
      </w:r>
      <w:bookmarkStart w:id="15" w:name="_Int_UwyOWLxA"/>
      <w:r>
        <w:rPr>
          <w:rStyle w:val="Aucun"/>
          <w:rFonts w:ascii="Times New Roman" w:hAnsi="Times New Roman"/>
          <w:sz w:val="24"/>
          <w:szCs w:val="24"/>
        </w:rPr>
        <w:t>associés</w:t>
      </w:r>
      <w:r>
        <w:rPr>
          <w:rStyle w:val="Aucun"/>
          <w:rFonts w:ascii="Times New Roman" w:eastAsia="Times New Roman" w:hAnsi="Times New Roman" w:cs="Times New Roman"/>
          <w:sz w:val="24"/>
          <w:szCs w:val="24"/>
          <w:vertAlign w:val="superscript"/>
        </w:rPr>
        <w:footnoteReference w:id="18"/>
      </w:r>
      <w:r>
        <w:rPr>
          <w:rStyle w:val="Aucun"/>
          <w:rFonts w:ascii="Times New Roman" w:hAnsi="Times New Roman"/>
          <w:sz w:val="24"/>
          <w:szCs w:val="24"/>
        </w:rPr>
        <w:t>.</w:t>
      </w:r>
      <w:bookmarkEnd w:id="15"/>
      <w:r>
        <w:rPr>
          <w:rStyle w:val="Aucun"/>
          <w:rFonts w:ascii="Times New Roman" w:hAnsi="Times New Roman"/>
          <w:sz w:val="24"/>
          <w:szCs w:val="24"/>
        </w:rPr>
        <w:t xml:space="preserve"> Dès lors que le caractère impératif consisterait dans la substance de la disposition, il en résulterait même que le caractère supplétif d’une disposition ne serait pas un obstacle dirimant à la </w:t>
      </w:r>
      <w:bookmarkStart w:id="16" w:name="_Int_VXOyDBUq"/>
      <w:r>
        <w:rPr>
          <w:rStyle w:val="Aucun"/>
          <w:rFonts w:ascii="Times New Roman" w:hAnsi="Times New Roman"/>
          <w:sz w:val="24"/>
          <w:szCs w:val="24"/>
        </w:rPr>
        <w:t>nullité</w:t>
      </w:r>
      <w:r>
        <w:rPr>
          <w:rStyle w:val="Aucun"/>
          <w:rFonts w:ascii="Times New Roman" w:eastAsia="Times New Roman" w:hAnsi="Times New Roman" w:cs="Times New Roman"/>
          <w:sz w:val="24"/>
          <w:szCs w:val="24"/>
          <w:vertAlign w:val="superscript"/>
        </w:rPr>
        <w:footnoteReference w:id="19"/>
      </w:r>
      <w:r>
        <w:rPr>
          <w:rStyle w:val="Aucun"/>
          <w:rFonts w:ascii="Times New Roman" w:hAnsi="Times New Roman"/>
          <w:sz w:val="24"/>
          <w:szCs w:val="24"/>
        </w:rPr>
        <w:t>,</w:t>
      </w:r>
      <w:bookmarkEnd w:id="16"/>
      <w:r>
        <w:rPr>
          <w:rStyle w:val="Aucun"/>
          <w:rFonts w:ascii="Times New Roman" w:hAnsi="Times New Roman"/>
          <w:sz w:val="24"/>
          <w:szCs w:val="24"/>
        </w:rPr>
        <w:t xml:space="preserve"> encore que cette observation paraisse plus théorique. Plus utile est la remarque que le caractère d’ordre public d’une disposition devrait s’apprécier indépendamment de sa sanction </w:t>
      </w:r>
      <w:bookmarkStart w:id="17" w:name="_Int_ufrjIt2a"/>
      <w:r>
        <w:rPr>
          <w:rStyle w:val="Aucun"/>
          <w:rFonts w:ascii="Times New Roman" w:hAnsi="Times New Roman"/>
          <w:sz w:val="24"/>
          <w:szCs w:val="24"/>
        </w:rPr>
        <w:t>pénale</w:t>
      </w:r>
      <w:r>
        <w:rPr>
          <w:rStyle w:val="Aucun"/>
          <w:rFonts w:ascii="Times New Roman" w:eastAsia="Times New Roman" w:hAnsi="Times New Roman" w:cs="Times New Roman"/>
          <w:sz w:val="24"/>
          <w:szCs w:val="24"/>
          <w:vertAlign w:val="superscript"/>
        </w:rPr>
        <w:footnoteReference w:id="20"/>
      </w:r>
      <w:r>
        <w:rPr>
          <w:rStyle w:val="Aucun"/>
          <w:rFonts w:ascii="Times New Roman" w:hAnsi="Times New Roman"/>
          <w:sz w:val="24"/>
          <w:szCs w:val="24"/>
        </w:rPr>
        <w:t>.</w:t>
      </w:r>
      <w:bookmarkEnd w:id="17"/>
      <w:r>
        <w:rPr>
          <w:rStyle w:val="Aucun"/>
          <w:rFonts w:ascii="Times New Roman" w:hAnsi="Times New Roman"/>
          <w:sz w:val="24"/>
          <w:szCs w:val="24"/>
        </w:rPr>
        <w:t xml:space="preserve"> Il est possible d’envisager la nullité d’une décision qui viole une règle non sanctionnée en droit pénal, il l’est moins de refuser la nullité à une décision qui violerait une règle pénalement sanctionnée ; la précision est d’autant plus convaincante que les sanctions pénales de règles spécifiquement coopératives sont </w:t>
      </w:r>
      <w:bookmarkStart w:id="18" w:name="_Int_AGvlNYoM"/>
      <w:r>
        <w:rPr>
          <w:rStyle w:val="Aucun"/>
          <w:rFonts w:ascii="Times New Roman" w:hAnsi="Times New Roman"/>
          <w:sz w:val="24"/>
          <w:szCs w:val="24"/>
        </w:rPr>
        <w:t>rares</w:t>
      </w:r>
      <w:r>
        <w:rPr>
          <w:rStyle w:val="Aucun"/>
          <w:rFonts w:ascii="Times New Roman" w:eastAsia="Times New Roman" w:hAnsi="Times New Roman" w:cs="Times New Roman"/>
          <w:sz w:val="24"/>
          <w:szCs w:val="24"/>
          <w:vertAlign w:val="superscript"/>
        </w:rPr>
        <w:footnoteReference w:id="21"/>
      </w:r>
      <w:r>
        <w:rPr>
          <w:rStyle w:val="Aucun"/>
          <w:rFonts w:ascii="Times New Roman" w:hAnsi="Times New Roman"/>
          <w:sz w:val="24"/>
          <w:szCs w:val="24"/>
        </w:rPr>
        <w:t>.</w:t>
      </w:r>
      <w:bookmarkEnd w:id="18"/>
      <w:r>
        <w:rPr>
          <w:rStyle w:val="Aucun"/>
          <w:rFonts w:ascii="Times New Roman" w:hAnsi="Times New Roman"/>
          <w:sz w:val="24"/>
          <w:szCs w:val="24"/>
        </w:rPr>
        <w:t xml:space="preserve"> Ces indications sont précieuses mais elles ne seront que des aides pour le juge car la question ne pourra être tranchée que disposition par disposition.</w:t>
      </w:r>
    </w:p>
    <w:p w14:paraId="3E16BAAB" w14:textId="77777777" w:rsidR="00B4419E" w:rsidRDefault="00B4419E">
      <w:pPr>
        <w:pStyle w:val="CorpsA"/>
        <w:jc w:val="both"/>
        <w:rPr>
          <w:rStyle w:val="Aucun"/>
          <w:rFonts w:ascii="Times New Roman" w:eastAsia="Times New Roman" w:hAnsi="Times New Roman" w:cs="Times New Roman"/>
          <w:sz w:val="24"/>
          <w:szCs w:val="24"/>
        </w:rPr>
      </w:pPr>
    </w:p>
    <w:p w14:paraId="090417F4"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Mais il est une question propre au droit coopératif, inconnue du droit général des sociétés, c’est l’imbrication (ou non) de la nature impérative des dispositions avec les principes </w:t>
      </w:r>
      <w:bookmarkStart w:id="19" w:name="_Int_0CORu8mI"/>
      <w:r>
        <w:rPr>
          <w:rStyle w:val="Aucun"/>
          <w:rFonts w:ascii="Times New Roman" w:hAnsi="Times New Roman"/>
          <w:sz w:val="24"/>
          <w:szCs w:val="24"/>
        </w:rPr>
        <w:t>coopératifs</w:t>
      </w:r>
      <w:r>
        <w:rPr>
          <w:rStyle w:val="Aucun"/>
          <w:rFonts w:ascii="Times New Roman" w:eastAsia="Times New Roman" w:hAnsi="Times New Roman" w:cs="Times New Roman"/>
          <w:sz w:val="24"/>
          <w:szCs w:val="24"/>
          <w:vertAlign w:val="superscript"/>
        </w:rPr>
        <w:footnoteReference w:id="22"/>
      </w:r>
      <w:r>
        <w:rPr>
          <w:rStyle w:val="Aucun"/>
          <w:rFonts w:ascii="Times New Roman" w:hAnsi="Times New Roman"/>
          <w:sz w:val="24"/>
          <w:szCs w:val="24"/>
        </w:rPr>
        <w:t>.</w:t>
      </w:r>
      <w:bookmarkEnd w:id="19"/>
      <w:r>
        <w:rPr>
          <w:rStyle w:val="Aucun"/>
          <w:rFonts w:ascii="Times New Roman" w:hAnsi="Times New Roman"/>
          <w:sz w:val="24"/>
          <w:szCs w:val="24"/>
        </w:rPr>
        <w:t xml:space="preserve"> A première vue, la notion peut sembler doctrinale, mais même à ce stade elle a acquis un caractère structurant et </w:t>
      </w:r>
      <w:bookmarkStart w:id="20" w:name="_Int_jgBuRprx"/>
      <w:r>
        <w:rPr>
          <w:rStyle w:val="Aucun"/>
          <w:rFonts w:ascii="Times New Roman" w:hAnsi="Times New Roman"/>
          <w:sz w:val="24"/>
          <w:szCs w:val="24"/>
        </w:rPr>
        <w:t>fondamental</w:t>
      </w:r>
      <w:r>
        <w:rPr>
          <w:rStyle w:val="Aucun"/>
          <w:rFonts w:ascii="Times New Roman" w:eastAsia="Times New Roman" w:hAnsi="Times New Roman" w:cs="Times New Roman"/>
          <w:sz w:val="24"/>
          <w:szCs w:val="24"/>
          <w:vertAlign w:val="superscript"/>
        </w:rPr>
        <w:footnoteReference w:id="23"/>
      </w:r>
      <w:r>
        <w:rPr>
          <w:rStyle w:val="Aucun"/>
          <w:rFonts w:ascii="Times New Roman" w:hAnsi="Times New Roman"/>
          <w:sz w:val="24"/>
          <w:szCs w:val="24"/>
        </w:rPr>
        <w:t>.</w:t>
      </w:r>
      <w:bookmarkEnd w:id="20"/>
      <w:r>
        <w:rPr>
          <w:rStyle w:val="Aucun"/>
          <w:rFonts w:ascii="Times New Roman" w:hAnsi="Times New Roman"/>
          <w:sz w:val="24"/>
          <w:szCs w:val="24"/>
        </w:rPr>
        <w:t xml:space="preserve"> Surtout, elle constitue la base de l’identité coopérative patiemment élaborée par l’ensemble des coopératives du globe au sein de l’alliance coopérative internationale, pour aboutir en 1995 à une déclaration sur l’identité coopérative qui énonce sept </w:t>
      </w:r>
      <w:bookmarkStart w:id="21" w:name="_Int_StBERETb"/>
      <w:r>
        <w:rPr>
          <w:rStyle w:val="Aucun"/>
          <w:rFonts w:ascii="Times New Roman" w:hAnsi="Times New Roman"/>
          <w:sz w:val="24"/>
          <w:szCs w:val="24"/>
        </w:rPr>
        <w:t>principes</w:t>
      </w:r>
      <w:r>
        <w:rPr>
          <w:rStyle w:val="Aucun"/>
          <w:rFonts w:ascii="Times New Roman" w:eastAsia="Times New Roman" w:hAnsi="Times New Roman" w:cs="Times New Roman"/>
          <w:sz w:val="24"/>
          <w:szCs w:val="24"/>
          <w:vertAlign w:val="superscript"/>
        </w:rPr>
        <w:footnoteReference w:id="24"/>
      </w:r>
      <w:r>
        <w:rPr>
          <w:rStyle w:val="Aucun"/>
          <w:rFonts w:ascii="Times New Roman" w:hAnsi="Times New Roman"/>
          <w:sz w:val="24"/>
          <w:szCs w:val="24"/>
        </w:rPr>
        <w:t>.</w:t>
      </w:r>
      <w:bookmarkEnd w:id="21"/>
      <w:r>
        <w:rPr>
          <w:rStyle w:val="Aucun"/>
          <w:rFonts w:ascii="Times New Roman" w:hAnsi="Times New Roman"/>
          <w:sz w:val="24"/>
          <w:szCs w:val="24"/>
        </w:rPr>
        <w:t xml:space="preserve"> Cette déclaration fait autorité, à tel point qu’elle se retrouve dans plusieurs législations </w:t>
      </w:r>
      <w:bookmarkStart w:id="22" w:name="_Int_IbOEOg2a"/>
      <w:r>
        <w:rPr>
          <w:rStyle w:val="Aucun"/>
          <w:rFonts w:ascii="Times New Roman" w:hAnsi="Times New Roman"/>
          <w:sz w:val="24"/>
          <w:szCs w:val="24"/>
        </w:rPr>
        <w:t>nationales</w:t>
      </w:r>
      <w:r>
        <w:rPr>
          <w:rStyle w:val="Aucun"/>
          <w:rFonts w:ascii="Times New Roman" w:eastAsia="Times New Roman" w:hAnsi="Times New Roman" w:cs="Times New Roman"/>
          <w:sz w:val="24"/>
          <w:szCs w:val="24"/>
          <w:vertAlign w:val="superscript"/>
        </w:rPr>
        <w:footnoteReference w:id="25"/>
      </w:r>
      <w:r>
        <w:rPr>
          <w:rStyle w:val="Aucun"/>
          <w:rFonts w:ascii="Times New Roman" w:hAnsi="Times New Roman"/>
          <w:sz w:val="24"/>
          <w:szCs w:val="24"/>
        </w:rPr>
        <w:t xml:space="preserve"> ainsi</w:t>
      </w:r>
      <w:bookmarkEnd w:id="22"/>
      <w:r>
        <w:rPr>
          <w:rStyle w:val="Aucun"/>
          <w:rFonts w:ascii="Times New Roman" w:hAnsi="Times New Roman"/>
          <w:sz w:val="24"/>
          <w:szCs w:val="24"/>
        </w:rPr>
        <w:t xml:space="preserve"> que dans la recommandation n°193 de l’organisation internationale du </w:t>
      </w:r>
      <w:bookmarkStart w:id="23" w:name="_Int_y6T3Qgrj"/>
      <w:r>
        <w:rPr>
          <w:rStyle w:val="Aucun"/>
          <w:rFonts w:ascii="Times New Roman" w:hAnsi="Times New Roman"/>
          <w:sz w:val="24"/>
          <w:szCs w:val="24"/>
        </w:rPr>
        <w:t>travail</w:t>
      </w:r>
      <w:r>
        <w:rPr>
          <w:rStyle w:val="Aucun"/>
          <w:rFonts w:ascii="Times New Roman" w:eastAsia="Times New Roman" w:hAnsi="Times New Roman" w:cs="Times New Roman"/>
          <w:sz w:val="24"/>
          <w:szCs w:val="24"/>
          <w:vertAlign w:val="superscript"/>
        </w:rPr>
        <w:footnoteReference w:id="26"/>
      </w:r>
      <w:r>
        <w:rPr>
          <w:rStyle w:val="Aucun"/>
          <w:rFonts w:ascii="Times New Roman" w:hAnsi="Times New Roman"/>
          <w:sz w:val="24"/>
          <w:szCs w:val="24"/>
        </w:rPr>
        <w:t>.</w:t>
      </w:r>
      <w:bookmarkEnd w:id="23"/>
      <w:r>
        <w:rPr>
          <w:rStyle w:val="Aucun"/>
          <w:rFonts w:ascii="Times New Roman" w:hAnsi="Times New Roman"/>
          <w:sz w:val="24"/>
          <w:szCs w:val="24"/>
        </w:rPr>
        <w:t xml:space="preserve"> Ces principes coopératifs sont même considérés par certains auteurs, de façon convaincante, comme un élément du droit </w:t>
      </w:r>
      <w:bookmarkStart w:id="24" w:name="_Int_Q4a7jCoR"/>
      <w:r>
        <w:rPr>
          <w:rStyle w:val="Aucun"/>
          <w:rFonts w:ascii="Times New Roman" w:hAnsi="Times New Roman"/>
          <w:sz w:val="24"/>
          <w:szCs w:val="24"/>
        </w:rPr>
        <w:t>international</w:t>
      </w:r>
      <w:r>
        <w:rPr>
          <w:rStyle w:val="Aucun"/>
          <w:rFonts w:ascii="Times New Roman" w:eastAsia="Times New Roman" w:hAnsi="Times New Roman" w:cs="Times New Roman"/>
          <w:sz w:val="24"/>
          <w:szCs w:val="24"/>
          <w:vertAlign w:val="superscript"/>
        </w:rPr>
        <w:footnoteReference w:id="27"/>
      </w:r>
      <w:r>
        <w:rPr>
          <w:rStyle w:val="Aucun"/>
          <w:rFonts w:ascii="Times New Roman" w:hAnsi="Times New Roman"/>
          <w:sz w:val="24"/>
          <w:szCs w:val="24"/>
        </w:rPr>
        <w:t>.</w:t>
      </w:r>
      <w:bookmarkEnd w:id="24"/>
      <w:r>
        <w:rPr>
          <w:rStyle w:val="Aucun"/>
          <w:rFonts w:ascii="Times New Roman" w:hAnsi="Times New Roman"/>
          <w:sz w:val="24"/>
          <w:szCs w:val="24"/>
        </w:rPr>
        <w:t xml:space="preserve"> La question a toutefois été renouvelée en droit français par la loi du 31 juillet </w:t>
      </w:r>
      <w:bookmarkStart w:id="25" w:name="_Int_KEDvF6OA"/>
      <w:r>
        <w:rPr>
          <w:rStyle w:val="Aucun"/>
          <w:rFonts w:ascii="Times New Roman" w:hAnsi="Times New Roman"/>
          <w:sz w:val="24"/>
          <w:szCs w:val="24"/>
        </w:rPr>
        <w:t>2014</w:t>
      </w:r>
      <w:r>
        <w:rPr>
          <w:rStyle w:val="Aucun"/>
          <w:rFonts w:ascii="Times New Roman" w:eastAsia="Times New Roman" w:hAnsi="Times New Roman" w:cs="Times New Roman"/>
          <w:sz w:val="24"/>
          <w:szCs w:val="24"/>
          <w:vertAlign w:val="superscript"/>
        </w:rPr>
        <w:footnoteReference w:id="28"/>
      </w:r>
      <w:r>
        <w:rPr>
          <w:rStyle w:val="Aucun"/>
          <w:rFonts w:ascii="Times New Roman" w:hAnsi="Times New Roman"/>
          <w:sz w:val="24"/>
          <w:szCs w:val="24"/>
        </w:rPr>
        <w:t>,</w:t>
      </w:r>
      <w:bookmarkEnd w:id="25"/>
      <w:r>
        <w:rPr>
          <w:rStyle w:val="Aucun"/>
          <w:rFonts w:ascii="Times New Roman" w:hAnsi="Times New Roman"/>
          <w:sz w:val="24"/>
          <w:szCs w:val="24"/>
        </w:rPr>
        <w:t xml:space="preserve"> puisqu’elle a introduit dans la loi de 1947 une référence à des </w:t>
      </w:r>
      <w:bookmarkStart w:id="26" w:name="_Int_lBruBVTl"/>
      <w:r>
        <w:rPr>
          <w:rStyle w:val="Aucun"/>
          <w:rFonts w:ascii="Times New Roman" w:hAnsi="Times New Roman"/>
          <w:sz w:val="24"/>
          <w:szCs w:val="24"/>
        </w:rPr>
        <w:t>principes:</w:t>
      </w:r>
      <w:bookmarkEnd w:id="26"/>
      <w:r>
        <w:rPr>
          <w:rStyle w:val="Aucun"/>
          <w:rFonts w:ascii="Times New Roman" w:hAnsi="Times New Roman"/>
          <w:sz w:val="24"/>
          <w:szCs w:val="24"/>
        </w:rPr>
        <w:t xml:space="preserve"> la coopérative « respecte les principes suivants : une adhésion volontaire et ouverte à tous, une gouvernance démocratique, la participation économique de ses membres, la formation desdits membres et la coopération avec les autres coopératives </w:t>
      </w:r>
      <w:bookmarkStart w:id="27" w:name="_Int_uReUBbcz"/>
      <w:r>
        <w:rPr>
          <w:rStyle w:val="Aucun"/>
          <w:rFonts w:ascii="Times New Roman" w:hAnsi="Times New Roman"/>
          <w:sz w:val="24"/>
          <w:szCs w:val="24"/>
        </w:rPr>
        <w:t>»</w:t>
      </w:r>
      <w:r>
        <w:rPr>
          <w:rStyle w:val="Aucun"/>
          <w:rFonts w:ascii="Times New Roman" w:eastAsia="Times New Roman" w:hAnsi="Times New Roman" w:cs="Times New Roman"/>
          <w:sz w:val="24"/>
          <w:szCs w:val="24"/>
          <w:vertAlign w:val="superscript"/>
        </w:rPr>
        <w:footnoteReference w:id="29"/>
      </w:r>
      <w:r>
        <w:rPr>
          <w:rStyle w:val="Aucun"/>
          <w:rFonts w:ascii="Times New Roman" w:hAnsi="Times New Roman"/>
          <w:sz w:val="24"/>
          <w:szCs w:val="24"/>
        </w:rPr>
        <w:t>.</w:t>
      </w:r>
      <w:bookmarkEnd w:id="27"/>
      <w:r>
        <w:rPr>
          <w:rStyle w:val="Aucun"/>
          <w:rFonts w:ascii="Times New Roman" w:hAnsi="Times New Roman"/>
          <w:sz w:val="24"/>
          <w:szCs w:val="24"/>
        </w:rPr>
        <w:t xml:space="preserve"> Quoique ces principes ne soient pas expressément qualifiés de coopératifs, leur emplacement dans la loi coopérative générale leur confère cette nature. Qui plus est, sans leur être tout à fait identiques, ils sont proches des principes coopératifs édictés par l’alliance coopérative internationale. Il en résulte que ces principes constituent certainement la base de l’ordre public </w:t>
      </w:r>
      <w:bookmarkStart w:id="28" w:name="_Int_dDRzaHWg"/>
      <w:r>
        <w:rPr>
          <w:rStyle w:val="Aucun"/>
          <w:rFonts w:ascii="Times New Roman" w:hAnsi="Times New Roman"/>
          <w:sz w:val="24"/>
          <w:szCs w:val="24"/>
        </w:rPr>
        <w:t>coopératif</w:t>
      </w:r>
      <w:r>
        <w:rPr>
          <w:rStyle w:val="Aucun"/>
          <w:rFonts w:ascii="Times New Roman" w:eastAsia="Times New Roman" w:hAnsi="Times New Roman" w:cs="Times New Roman"/>
          <w:sz w:val="24"/>
          <w:szCs w:val="24"/>
          <w:vertAlign w:val="superscript"/>
        </w:rPr>
        <w:footnoteReference w:id="30"/>
      </w:r>
      <w:r>
        <w:rPr>
          <w:rStyle w:val="Aucun"/>
          <w:rFonts w:ascii="Times New Roman" w:hAnsi="Times New Roman"/>
          <w:sz w:val="24"/>
          <w:szCs w:val="24"/>
        </w:rPr>
        <w:t>.</w:t>
      </w:r>
      <w:bookmarkEnd w:id="28"/>
    </w:p>
    <w:p w14:paraId="7D179958" w14:textId="77777777" w:rsidR="00B4419E" w:rsidRDefault="00B4419E">
      <w:pPr>
        <w:pStyle w:val="CorpsA"/>
        <w:jc w:val="both"/>
        <w:rPr>
          <w:rStyle w:val="Aucun"/>
          <w:rFonts w:ascii="Times New Roman" w:eastAsia="Times New Roman" w:hAnsi="Times New Roman" w:cs="Times New Roman"/>
          <w:sz w:val="24"/>
          <w:szCs w:val="24"/>
        </w:rPr>
      </w:pPr>
    </w:p>
    <w:p w14:paraId="0D62BD88" w14:textId="6BADF0F6"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Pourtant, cette disposition ne fournit qu’une orientation et la question subsiste à propos de telle ou telle règle particulière qui la met en oeuvre. Prenons l’exemple de la réglementation de l’assemblée de section dans la coopérative ouvrière de production (SCOP). La réunion de l’assemblée d’associés ou de l’assemblée générale composée des délégué élus par les assemblées de section doit se réunir au plus tard quinze jours après les assemblées de </w:t>
      </w:r>
      <w:bookmarkStart w:id="29" w:name="_Int_mxuePP9G"/>
      <w:r>
        <w:rPr>
          <w:rStyle w:val="Aucun"/>
          <w:rFonts w:ascii="Times New Roman" w:hAnsi="Times New Roman"/>
          <w:sz w:val="24"/>
          <w:szCs w:val="24"/>
        </w:rPr>
        <w:t>section</w:t>
      </w:r>
      <w:r>
        <w:rPr>
          <w:rStyle w:val="Aucun"/>
          <w:rFonts w:ascii="Times New Roman" w:eastAsia="Times New Roman" w:hAnsi="Times New Roman" w:cs="Times New Roman"/>
          <w:sz w:val="24"/>
          <w:szCs w:val="24"/>
          <w:vertAlign w:val="superscript"/>
        </w:rPr>
        <w:footnoteReference w:id="31"/>
      </w:r>
      <w:r>
        <w:rPr>
          <w:rStyle w:val="Aucun"/>
          <w:rFonts w:ascii="Times New Roman" w:hAnsi="Times New Roman"/>
          <w:sz w:val="24"/>
          <w:szCs w:val="24"/>
        </w:rPr>
        <w:t>: cette disposition est-elle la mise en oeuvre d’un principe coopératif et sa violation peut-elle à ce titre fonder une nullité?</w:t>
      </w:r>
      <w:bookmarkEnd w:id="29"/>
      <w:r>
        <w:rPr>
          <w:rStyle w:val="Aucun"/>
          <w:rFonts w:ascii="Times New Roman" w:hAnsi="Times New Roman"/>
          <w:sz w:val="24"/>
          <w:szCs w:val="24"/>
        </w:rPr>
        <w:t xml:space="preserve"> La gouvernance démocratique est un principe coopératif certainement constitutif d’une disposition impérative au sens de l’article 1844-10 alinéa 3 du code civil, mais faut-il considérer qu’une assemblée qui se réunirait plus de quinze jours après les assemblées de section violerait cette gouvernance démocratique ? La question est essentielle puisque de la réponse découle la possibilité ou non d’annuler la décision qui la violerait. Une réponse affirmative est à privilégier, tant le caractère démocratique de la gouvernance est au moins aussi important dans le détail de l’organisation concrète que dans la règle du vote par tête, mais la solution ne sera acquise que lorsqu’elle sera reprise par la jurisprudence. Or ce genre de questions fourmillent dans tout le droit coopératif.</w:t>
      </w:r>
    </w:p>
    <w:p w14:paraId="200DC7ED" w14:textId="77777777" w:rsidR="00B4419E" w:rsidRDefault="00B4419E">
      <w:pPr>
        <w:pStyle w:val="CorpsA"/>
        <w:jc w:val="both"/>
        <w:rPr>
          <w:rStyle w:val="Aucun"/>
          <w:rFonts w:ascii="Times New Roman" w:eastAsia="Times New Roman" w:hAnsi="Times New Roman" w:cs="Times New Roman"/>
          <w:sz w:val="24"/>
          <w:szCs w:val="24"/>
        </w:rPr>
      </w:pPr>
    </w:p>
    <w:p w14:paraId="4BBB8771"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En outre, il n’est pas question de restreindre le champ des dispositions coopératives impératives aux principes coopératifs. Cette solution conduirait à rechercher pour toutes les dispositions structurantes du droit coopératif un rattachement à un principe coopératif, au risque de l’artificialité. Les exemples de l’impartageabilité des réserves ou du strict encadrement de la sortie du statut coopératif sont éclairants. Il n’est pas sérieusement douteux que ces dispositions soient impératives, dans le sens où elles participent de l’ordre public coopératif français, mais il n’est pas certain qu’elles puissent aisément être rattachées à un des  principes </w:t>
      </w:r>
      <w:bookmarkStart w:id="30" w:name="_Int_dLa1hJX7"/>
      <w:r>
        <w:rPr>
          <w:rStyle w:val="Aucun"/>
          <w:rFonts w:ascii="Times New Roman" w:hAnsi="Times New Roman"/>
          <w:sz w:val="24"/>
          <w:szCs w:val="24"/>
        </w:rPr>
        <w:t>coopératifs estampillés:</w:t>
      </w:r>
      <w:bookmarkEnd w:id="30"/>
      <w:r>
        <w:rPr>
          <w:rStyle w:val="Aucun"/>
          <w:rFonts w:ascii="Times New Roman" w:hAnsi="Times New Roman"/>
          <w:sz w:val="24"/>
          <w:szCs w:val="24"/>
        </w:rPr>
        <w:t xml:space="preserve"> le meilleur candidat serait la participation économique des membres, mais le lien n’est pas indiscutable.</w:t>
      </w:r>
    </w:p>
    <w:p w14:paraId="7447EAAA" w14:textId="77777777" w:rsidR="00B4419E" w:rsidRDefault="00B4419E">
      <w:pPr>
        <w:pStyle w:val="CorpsA"/>
        <w:jc w:val="both"/>
        <w:rPr>
          <w:rStyle w:val="Aucun"/>
          <w:rFonts w:ascii="Times New Roman" w:eastAsia="Times New Roman" w:hAnsi="Times New Roman" w:cs="Times New Roman"/>
          <w:sz w:val="24"/>
          <w:szCs w:val="24"/>
        </w:rPr>
      </w:pPr>
    </w:p>
    <w:p w14:paraId="06027C30" w14:textId="77777777" w:rsidR="00B4419E" w:rsidRDefault="00BF3F37">
      <w:pPr>
        <w:pStyle w:val="PardfautA"/>
        <w:suppressAutoHyphens/>
        <w:spacing w:before="0" w:line="240" w:lineRule="auto"/>
        <w:jc w:val="both"/>
        <w:rPr>
          <w:rStyle w:val="Aucun"/>
          <w:rFonts w:ascii="Times New Roman" w:eastAsia="Times New Roman" w:hAnsi="Times New Roman" w:cs="Times New Roman"/>
        </w:rPr>
      </w:pPr>
      <w:r>
        <w:rPr>
          <w:rStyle w:val="Aucun"/>
          <w:rFonts w:ascii="Times New Roman" w:hAnsi="Times New Roman"/>
        </w:rPr>
        <w:t>Pour finir, il faut rappeler que, tant qu’il n’existera pas de droit coopératif autonome, il sera possible de s’appuyer sur les nullités légales du droit des sociétés lorsqu’elles font sens en droit coopératif. Par exemple, il n’y a aucune raison pour ne pas retenir la possible nullité d’une assemblée générale de coopérative constituée sous forme de société anonyme lorsqu’elle ne respecte pas les exigences relatives à la feuille de présence ou au procès-</w:t>
      </w:r>
      <w:bookmarkStart w:id="31" w:name="_Int_HjxdvmAC"/>
      <w:r>
        <w:rPr>
          <w:rStyle w:val="Aucun"/>
          <w:rFonts w:ascii="Times New Roman" w:hAnsi="Times New Roman"/>
        </w:rPr>
        <w:t>verbal</w:t>
      </w:r>
      <w:r>
        <w:rPr>
          <w:rStyle w:val="Aucun"/>
          <w:rFonts w:ascii="Times New Roman" w:eastAsia="Times New Roman" w:hAnsi="Times New Roman" w:cs="Times New Roman"/>
          <w:vertAlign w:val="superscript"/>
        </w:rPr>
        <w:footnoteReference w:id="32"/>
      </w:r>
      <w:r>
        <w:rPr>
          <w:rStyle w:val="Aucun"/>
          <w:rFonts w:ascii="Times New Roman" w:hAnsi="Times New Roman"/>
        </w:rPr>
        <w:t>.</w:t>
      </w:r>
      <w:bookmarkEnd w:id="31"/>
      <w:r>
        <w:rPr>
          <w:rStyle w:val="Aucun"/>
          <w:rFonts w:ascii="Times New Roman" w:hAnsi="Times New Roman"/>
        </w:rPr>
        <w:t xml:space="preserve"> Il est même permis d’aller plus loin et de s’inspirer de ces nullités légales en droit des sociétés pour repérer les dispositions impératives du droit coopératif. C’est ainsi que, par analogie, la disposition réglementaire qui impose aux coopératives agricoles de tenir une feuille de présence dans ses </w:t>
      </w:r>
      <w:bookmarkStart w:id="32" w:name="_Int_wOmTd22T"/>
      <w:r>
        <w:rPr>
          <w:rStyle w:val="Aucun"/>
          <w:rFonts w:ascii="Times New Roman" w:hAnsi="Times New Roman"/>
        </w:rPr>
        <w:t>assemblées</w:t>
      </w:r>
      <w:r>
        <w:rPr>
          <w:rStyle w:val="Aucun"/>
          <w:rFonts w:ascii="Times New Roman" w:eastAsia="Times New Roman" w:hAnsi="Times New Roman" w:cs="Times New Roman"/>
          <w:vertAlign w:val="superscript"/>
        </w:rPr>
        <w:footnoteReference w:id="33"/>
      </w:r>
      <w:r>
        <w:rPr>
          <w:rStyle w:val="Aucun"/>
          <w:rFonts w:ascii="Times New Roman" w:hAnsi="Times New Roman"/>
        </w:rPr>
        <w:t xml:space="preserve"> peut</w:t>
      </w:r>
      <w:bookmarkEnd w:id="32"/>
      <w:r>
        <w:rPr>
          <w:rStyle w:val="Aucun"/>
          <w:rFonts w:ascii="Times New Roman" w:hAnsi="Times New Roman"/>
        </w:rPr>
        <w:t xml:space="preserve"> légitimement être qualifiée de disposition impérative susceptible de fonder la nullité de l’assemblée, ce qui ne préjuge pas des conséquences de la nullité. Les exemples sont nombreux et il n’est pas possible de lister dans les limites de cette chronique toutes les dispositions qui semblent impératives.</w:t>
      </w:r>
    </w:p>
    <w:p w14:paraId="2862FDCD" w14:textId="77777777" w:rsidR="00B4419E" w:rsidRDefault="00B4419E">
      <w:pPr>
        <w:pStyle w:val="CorpsA"/>
        <w:jc w:val="both"/>
        <w:rPr>
          <w:rStyle w:val="Aucun"/>
          <w:rFonts w:ascii="Times New Roman" w:eastAsia="Times New Roman" w:hAnsi="Times New Roman" w:cs="Times New Roman"/>
          <w:sz w:val="24"/>
          <w:szCs w:val="24"/>
        </w:rPr>
      </w:pPr>
    </w:p>
    <w:p w14:paraId="78AF7C6F" w14:textId="77777777" w:rsidR="00B4419E" w:rsidRDefault="00BF3F37">
      <w:pPr>
        <w:pStyle w:val="CorpsA"/>
        <w:numPr>
          <w:ilvl w:val="0"/>
          <w:numId w:val="6"/>
        </w:numPr>
        <w:jc w:val="both"/>
        <w:rPr>
          <w:rFonts w:ascii="Times New Roman" w:hAnsi="Times New Roman"/>
          <w:sz w:val="24"/>
          <w:szCs w:val="24"/>
        </w:rPr>
      </w:pPr>
      <w:r>
        <w:rPr>
          <w:rStyle w:val="Aucun"/>
          <w:rFonts w:ascii="Times New Roman" w:hAnsi="Times New Roman"/>
          <w:sz w:val="24"/>
          <w:szCs w:val="24"/>
        </w:rPr>
        <w:t xml:space="preserve"> L’incidence des nullités sur les statuts</w:t>
      </w:r>
    </w:p>
    <w:p w14:paraId="7F459BCA" w14:textId="77777777" w:rsidR="00B4419E" w:rsidRDefault="00B4419E">
      <w:pPr>
        <w:pStyle w:val="CorpsA"/>
        <w:jc w:val="both"/>
        <w:rPr>
          <w:rStyle w:val="Aucun"/>
          <w:rFonts w:ascii="Times New Roman" w:eastAsia="Times New Roman" w:hAnsi="Times New Roman" w:cs="Times New Roman"/>
          <w:sz w:val="24"/>
          <w:szCs w:val="24"/>
        </w:rPr>
      </w:pPr>
    </w:p>
    <w:p w14:paraId="2C76A31F"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La question statutaire revêt une importance particulière en droit coopératif, puisque la liberté statutaire y occupe une place pour ainsi dire opposée au strict encadrement qui s’est développé en droit commun des </w:t>
      </w:r>
      <w:bookmarkStart w:id="33" w:name="_Int_WpSCEByq"/>
      <w:r>
        <w:rPr>
          <w:rStyle w:val="Aucun"/>
          <w:rFonts w:ascii="Times New Roman" w:hAnsi="Times New Roman"/>
          <w:sz w:val="24"/>
          <w:szCs w:val="24"/>
        </w:rPr>
        <w:t>sociétés</w:t>
      </w:r>
      <w:r>
        <w:rPr>
          <w:rStyle w:val="Aucun"/>
          <w:rFonts w:ascii="Times New Roman" w:eastAsia="Times New Roman" w:hAnsi="Times New Roman" w:cs="Times New Roman"/>
          <w:sz w:val="24"/>
          <w:szCs w:val="24"/>
          <w:vertAlign w:val="superscript"/>
        </w:rPr>
        <w:footnoteReference w:id="34"/>
      </w:r>
      <w:r>
        <w:rPr>
          <w:rStyle w:val="Aucun"/>
          <w:rFonts w:ascii="Times New Roman" w:hAnsi="Times New Roman"/>
          <w:sz w:val="24"/>
          <w:szCs w:val="24"/>
        </w:rPr>
        <w:t>.</w:t>
      </w:r>
      <w:bookmarkEnd w:id="33"/>
      <w:r>
        <w:rPr>
          <w:rStyle w:val="Aucun"/>
          <w:rFonts w:ascii="Times New Roman" w:hAnsi="Times New Roman"/>
          <w:sz w:val="24"/>
          <w:szCs w:val="24"/>
        </w:rPr>
        <w:t xml:space="preserve"> La première innovation de l’ordonnance, non spécifique au droit coopératif, concerne la généralisation de la police statutaire par l’extension du mécanisme des clauses réputées non écrites. Parallèlement à l’extrême restriction des cas de nullité de </w:t>
      </w:r>
      <w:bookmarkStart w:id="34" w:name="_Int_MTUzt4JF"/>
      <w:r>
        <w:rPr>
          <w:rStyle w:val="Aucun"/>
          <w:rFonts w:ascii="Times New Roman" w:hAnsi="Times New Roman"/>
          <w:sz w:val="24"/>
          <w:szCs w:val="24"/>
        </w:rPr>
        <w:t>société</w:t>
      </w:r>
      <w:r>
        <w:rPr>
          <w:rStyle w:val="Aucun"/>
          <w:rFonts w:ascii="Times New Roman" w:eastAsia="Times New Roman" w:hAnsi="Times New Roman" w:cs="Times New Roman"/>
          <w:sz w:val="24"/>
          <w:szCs w:val="24"/>
          <w:vertAlign w:val="superscript"/>
        </w:rPr>
        <w:footnoteReference w:id="35"/>
      </w:r>
      <w:r>
        <w:rPr>
          <w:rStyle w:val="Aucun"/>
          <w:rFonts w:ascii="Times New Roman" w:hAnsi="Times New Roman"/>
          <w:sz w:val="24"/>
          <w:szCs w:val="24"/>
        </w:rPr>
        <w:t>,</w:t>
      </w:r>
      <w:bookmarkEnd w:id="34"/>
      <w:r>
        <w:rPr>
          <w:rStyle w:val="Aucun"/>
          <w:rFonts w:ascii="Times New Roman" w:hAnsi="Times New Roman"/>
          <w:sz w:val="24"/>
          <w:szCs w:val="24"/>
        </w:rPr>
        <w:t xml:space="preserve"> ce sont désormais toutes les clauses statutaires contraires à une règle impérative du droit des sociétés qui sont réputées non </w:t>
      </w:r>
      <w:bookmarkStart w:id="35" w:name="_Int_gvaMlthK"/>
      <w:r>
        <w:rPr>
          <w:rStyle w:val="Aucun"/>
          <w:rFonts w:ascii="Times New Roman" w:hAnsi="Times New Roman"/>
          <w:sz w:val="24"/>
          <w:szCs w:val="24"/>
        </w:rPr>
        <w:t>écrites</w:t>
      </w:r>
      <w:r>
        <w:rPr>
          <w:rStyle w:val="Aucun"/>
          <w:rFonts w:ascii="Times New Roman" w:eastAsia="Times New Roman" w:hAnsi="Times New Roman" w:cs="Times New Roman"/>
          <w:sz w:val="24"/>
          <w:szCs w:val="24"/>
          <w:vertAlign w:val="superscript"/>
        </w:rPr>
        <w:footnoteReference w:id="36"/>
      </w:r>
      <w:r>
        <w:rPr>
          <w:rStyle w:val="Aucun"/>
          <w:rFonts w:ascii="Times New Roman" w:hAnsi="Times New Roman"/>
          <w:sz w:val="24"/>
          <w:szCs w:val="24"/>
        </w:rPr>
        <w:t>.</w:t>
      </w:r>
      <w:bookmarkEnd w:id="35"/>
      <w:r>
        <w:rPr>
          <w:rStyle w:val="Aucun"/>
          <w:rFonts w:ascii="Times New Roman" w:hAnsi="Times New Roman"/>
          <w:sz w:val="24"/>
          <w:szCs w:val="24"/>
        </w:rPr>
        <w:t xml:space="preserve"> La lutte contre les déviances au regard du droit coopératif orthodoxe s’en trouveront facilitées, même si elles ne constitueront pas le coeur du contentieux. Il est seulement permis de relever que les effets postérieurs à l</w:t>
      </w:r>
      <w:r>
        <w:rPr>
          <w:rStyle w:val="Aucun"/>
          <w:rFonts w:ascii="Times New Roman" w:hAnsi="Times New Roman"/>
          <w:sz w:val="24"/>
          <w:szCs w:val="24"/>
          <w:rtl/>
          <w:lang w:val="ar-SA"/>
        </w:rPr>
        <w:t>’</w:t>
      </w:r>
      <w:r>
        <w:rPr>
          <w:rStyle w:val="Aucun"/>
          <w:rFonts w:ascii="Times New Roman" w:hAnsi="Times New Roman"/>
          <w:sz w:val="24"/>
          <w:szCs w:val="24"/>
        </w:rPr>
        <w:t>entrée en vigueur de l</w:t>
      </w:r>
      <w:r>
        <w:rPr>
          <w:rStyle w:val="Aucun"/>
          <w:rFonts w:ascii="Times New Roman" w:hAnsi="Times New Roman"/>
          <w:sz w:val="24"/>
          <w:szCs w:val="24"/>
          <w:rtl/>
          <w:lang w:val="ar-SA"/>
        </w:rPr>
        <w:t>’</w:t>
      </w:r>
      <w:r>
        <w:rPr>
          <w:rStyle w:val="Aucun"/>
          <w:rFonts w:ascii="Times New Roman" w:hAnsi="Times New Roman"/>
          <w:sz w:val="24"/>
          <w:szCs w:val="24"/>
        </w:rPr>
        <w:t xml:space="preserve">ordonnance devraient être concernés, même si la clause est </w:t>
      </w:r>
      <w:bookmarkStart w:id="36" w:name="_Int_OSFCbUSw"/>
      <w:r>
        <w:rPr>
          <w:rStyle w:val="Aucun"/>
          <w:rFonts w:ascii="Times New Roman" w:hAnsi="Times New Roman"/>
          <w:sz w:val="24"/>
          <w:szCs w:val="24"/>
        </w:rPr>
        <w:t>antérieure</w:t>
      </w:r>
      <w:r>
        <w:rPr>
          <w:rStyle w:val="Aucun"/>
          <w:rFonts w:ascii="Times New Roman" w:eastAsia="Times New Roman" w:hAnsi="Times New Roman" w:cs="Times New Roman"/>
          <w:sz w:val="24"/>
          <w:szCs w:val="24"/>
          <w:vertAlign w:val="superscript"/>
        </w:rPr>
        <w:footnoteReference w:id="37"/>
      </w:r>
      <w:r>
        <w:rPr>
          <w:rStyle w:val="Aucun"/>
          <w:rFonts w:ascii="Times New Roman" w:hAnsi="Times New Roman"/>
          <w:sz w:val="24"/>
          <w:szCs w:val="24"/>
        </w:rPr>
        <w:t>,</w:t>
      </w:r>
      <w:bookmarkEnd w:id="36"/>
      <w:r>
        <w:rPr>
          <w:rStyle w:val="Aucun"/>
          <w:rFonts w:ascii="Times New Roman" w:hAnsi="Times New Roman"/>
          <w:sz w:val="24"/>
          <w:szCs w:val="24"/>
        </w:rPr>
        <w:t xml:space="preserve"> et que le mécanisme est classiquement considéré comme marqué du sceau de l’imprescriptibilité.</w:t>
      </w:r>
    </w:p>
    <w:p w14:paraId="5E5CB726" w14:textId="77777777" w:rsidR="00B4419E" w:rsidRDefault="00B4419E">
      <w:pPr>
        <w:pStyle w:val="CorpsA"/>
        <w:jc w:val="both"/>
        <w:rPr>
          <w:rStyle w:val="Aucun"/>
          <w:rFonts w:ascii="Times New Roman" w:eastAsia="Times New Roman" w:hAnsi="Times New Roman" w:cs="Times New Roman"/>
          <w:sz w:val="24"/>
          <w:szCs w:val="24"/>
        </w:rPr>
      </w:pPr>
    </w:p>
    <w:p w14:paraId="25EB134F"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La question est quantitativement plus importante à propos du sort des décisions sociales qui seraient prises en violation d’une disposition statutaire. La question est expressément tranchée par la </w:t>
      </w:r>
      <w:bookmarkStart w:id="37" w:name="_Int_7Cgc6h5H"/>
      <w:r>
        <w:rPr>
          <w:rStyle w:val="Aucun"/>
          <w:rFonts w:ascii="Times New Roman" w:hAnsi="Times New Roman"/>
          <w:sz w:val="24"/>
          <w:szCs w:val="24"/>
        </w:rPr>
        <w:t>négative:</w:t>
      </w:r>
      <w:bookmarkEnd w:id="37"/>
      <w:r>
        <w:rPr>
          <w:rStyle w:val="Aucun"/>
          <w:rFonts w:ascii="Times New Roman" w:hAnsi="Times New Roman"/>
          <w:sz w:val="24"/>
          <w:szCs w:val="24"/>
        </w:rPr>
        <w:t xml:space="preserve"> Sauf si la loi en dispose autrement, la violation des statuts ne constitue pas une cause de </w:t>
      </w:r>
      <w:bookmarkStart w:id="38" w:name="_Int_mHmkwVLV"/>
      <w:r>
        <w:rPr>
          <w:rStyle w:val="Aucun"/>
          <w:rFonts w:ascii="Times New Roman" w:hAnsi="Times New Roman"/>
          <w:sz w:val="24"/>
          <w:szCs w:val="24"/>
        </w:rPr>
        <w:t>nullité</w:t>
      </w:r>
      <w:r>
        <w:rPr>
          <w:rStyle w:val="Aucun"/>
          <w:rFonts w:ascii="Times New Roman" w:eastAsia="Times New Roman" w:hAnsi="Times New Roman" w:cs="Times New Roman"/>
          <w:sz w:val="24"/>
          <w:szCs w:val="24"/>
          <w:vertAlign w:val="superscript"/>
        </w:rPr>
        <w:footnoteReference w:id="38"/>
      </w:r>
      <w:r>
        <w:rPr>
          <w:rStyle w:val="Aucun"/>
          <w:rFonts w:ascii="Times New Roman" w:hAnsi="Times New Roman"/>
          <w:sz w:val="24"/>
          <w:szCs w:val="24"/>
        </w:rPr>
        <w:t>.</w:t>
      </w:r>
      <w:bookmarkEnd w:id="38"/>
      <w:r>
        <w:rPr>
          <w:rStyle w:val="Aucun"/>
          <w:rFonts w:ascii="Times New Roman" w:hAnsi="Times New Roman"/>
          <w:sz w:val="24"/>
          <w:szCs w:val="24"/>
        </w:rPr>
        <w:t xml:space="preserve"> Or il ne semble pas que de telles dispositions contraires existent présentement dans la loi coopérative. Les modalités d’application de la solution ne sont pourtant pas aussi évidentes qu’il y paraît, comme en atteste la jurisprudence Larzul 1 qui l’avait déjà </w:t>
      </w:r>
      <w:bookmarkStart w:id="39" w:name="_Int_BAVqiotC"/>
      <w:r>
        <w:rPr>
          <w:rStyle w:val="Aucun"/>
          <w:rFonts w:ascii="Times New Roman" w:hAnsi="Times New Roman"/>
          <w:sz w:val="24"/>
          <w:szCs w:val="24"/>
        </w:rPr>
        <w:t>consacrée</w:t>
      </w:r>
      <w:r>
        <w:rPr>
          <w:rStyle w:val="Aucun"/>
          <w:rFonts w:ascii="Times New Roman" w:eastAsia="Times New Roman" w:hAnsi="Times New Roman" w:cs="Times New Roman"/>
          <w:sz w:val="24"/>
          <w:szCs w:val="24"/>
          <w:vertAlign w:val="superscript"/>
        </w:rPr>
        <w:footnoteReference w:id="39"/>
      </w:r>
      <w:r>
        <w:rPr>
          <w:rStyle w:val="Aucun"/>
          <w:rFonts w:ascii="Times New Roman" w:hAnsi="Times New Roman"/>
          <w:sz w:val="24"/>
          <w:szCs w:val="24"/>
        </w:rPr>
        <w:t>.</w:t>
      </w:r>
      <w:bookmarkEnd w:id="39"/>
      <w:r>
        <w:rPr>
          <w:rStyle w:val="Aucun"/>
          <w:rFonts w:ascii="Times New Roman" w:hAnsi="Times New Roman"/>
          <w:sz w:val="24"/>
          <w:szCs w:val="24"/>
        </w:rPr>
        <w:t xml:space="preserve"> La cour y </w:t>
      </w:r>
      <w:bookmarkStart w:id="40" w:name="_Int_6knxShdv"/>
      <w:r>
        <w:rPr>
          <w:rStyle w:val="Aucun"/>
          <w:rFonts w:ascii="Times New Roman" w:hAnsi="Times New Roman"/>
          <w:sz w:val="24"/>
          <w:szCs w:val="24"/>
        </w:rPr>
        <w:t>affirmait:</w:t>
      </w:r>
      <w:bookmarkEnd w:id="40"/>
      <w:r>
        <w:rPr>
          <w:rStyle w:val="Aucun"/>
          <w:rFonts w:ascii="Times New Roman" w:hAnsi="Times New Roman"/>
          <w:sz w:val="24"/>
          <w:szCs w:val="24"/>
        </w:rPr>
        <w:t xml:space="preserve"> « sous réserve des cas dans lesquels il a été fait usage de la faculté, ouverte par une disposition impérative, d'aménager conventionnellement la règle posée par celle-ci, le non-respect des stipulations contenues dans les statuts ou dans le règlement intérieur n'est pas sanctionné par la nullité ». Il en résultait une limite au refus du fondement statutaire des causes de nullité et il est permis de se demander si celle-ci subsiste sous l’empire de la disposition nouvelle. La réponse doctrinale générale semble positive, mais il faut relever qu’elle est sans incidence sur le cas le plus fréquent en droit coopératif marqué par la liberté statutaire. La loi de 1947 en offre un excellent exemple lorsqu’elle renvoie aux statuts la détermination le mode d’administration de la coopérative ou les pouvoirs des administrateurs ou </w:t>
      </w:r>
      <w:bookmarkStart w:id="41" w:name="_Int_lYqcjv9g"/>
      <w:r>
        <w:rPr>
          <w:rStyle w:val="Aucun"/>
          <w:rFonts w:ascii="Times New Roman" w:hAnsi="Times New Roman"/>
          <w:sz w:val="24"/>
          <w:szCs w:val="24"/>
        </w:rPr>
        <w:t>gérants</w:t>
      </w:r>
      <w:r>
        <w:rPr>
          <w:rStyle w:val="Aucun"/>
          <w:rFonts w:ascii="Times New Roman" w:eastAsia="Times New Roman" w:hAnsi="Times New Roman" w:cs="Times New Roman"/>
          <w:sz w:val="24"/>
          <w:szCs w:val="24"/>
          <w:vertAlign w:val="superscript"/>
        </w:rPr>
        <w:footnoteReference w:id="40"/>
      </w:r>
      <w:r>
        <w:rPr>
          <w:rStyle w:val="Aucun"/>
          <w:rFonts w:ascii="Times New Roman" w:hAnsi="Times New Roman"/>
          <w:sz w:val="24"/>
          <w:szCs w:val="24"/>
        </w:rPr>
        <w:t>.</w:t>
      </w:r>
      <w:bookmarkEnd w:id="41"/>
      <w:r>
        <w:rPr>
          <w:rStyle w:val="Aucun"/>
          <w:rFonts w:ascii="Times New Roman" w:hAnsi="Times New Roman"/>
          <w:sz w:val="24"/>
          <w:szCs w:val="24"/>
        </w:rPr>
        <w:t xml:space="preserve"> La formulation de l’article ne permet pas en effet de trouver dans la disposition légale une disposition impérative que les statuts viendraient aménager, puisque la loi renvoie aux statuts la détermination totale du contenu de la règle sans orientation préalable. La règle statutaire posée en vertu de ce texte ne pourrait fonder l’annulation d’une décision qu’à la condition qu’elle puisse être considérée comme l’aménagement d’une autre disposition légale, à commencer par celles correspondant aux principes </w:t>
      </w:r>
      <w:bookmarkStart w:id="42" w:name="_Int_tgizwqDY"/>
      <w:r>
        <w:rPr>
          <w:rStyle w:val="Aucun"/>
          <w:rFonts w:ascii="Times New Roman" w:hAnsi="Times New Roman"/>
          <w:sz w:val="24"/>
          <w:szCs w:val="24"/>
        </w:rPr>
        <w:t>coopératifs</w:t>
      </w:r>
      <w:r>
        <w:rPr>
          <w:rStyle w:val="Aucun"/>
          <w:rFonts w:ascii="Times New Roman" w:eastAsia="Times New Roman" w:hAnsi="Times New Roman" w:cs="Times New Roman"/>
          <w:sz w:val="24"/>
          <w:szCs w:val="24"/>
          <w:vertAlign w:val="superscript"/>
        </w:rPr>
        <w:footnoteReference w:id="41"/>
      </w:r>
      <w:r>
        <w:rPr>
          <w:rStyle w:val="Aucun"/>
          <w:rFonts w:ascii="Times New Roman" w:hAnsi="Times New Roman"/>
          <w:sz w:val="24"/>
          <w:szCs w:val="24"/>
        </w:rPr>
        <w:t>,</w:t>
      </w:r>
      <w:bookmarkEnd w:id="42"/>
      <w:r>
        <w:rPr>
          <w:rStyle w:val="Aucun"/>
          <w:rFonts w:ascii="Times New Roman" w:hAnsi="Times New Roman"/>
          <w:sz w:val="24"/>
          <w:szCs w:val="24"/>
        </w:rPr>
        <w:t xml:space="preserve"> la gouvernance démocratique dans le présent exemple. La solution est cohérente et seule de nature à rendre raison de l’équilibre établi par la loi en matière coopérative, mais elle suppose une interprétation de l’article 1844-10 alinéa 4 qui appartient au juge.</w:t>
      </w:r>
    </w:p>
    <w:p w14:paraId="465083C2" w14:textId="77777777" w:rsidR="00B4419E" w:rsidRDefault="00B4419E">
      <w:pPr>
        <w:pStyle w:val="CorpsA"/>
        <w:jc w:val="both"/>
        <w:rPr>
          <w:rStyle w:val="Aucun"/>
          <w:rFonts w:ascii="Times New Roman" w:eastAsia="Times New Roman" w:hAnsi="Times New Roman" w:cs="Times New Roman"/>
          <w:sz w:val="24"/>
          <w:szCs w:val="24"/>
        </w:rPr>
      </w:pPr>
    </w:p>
    <w:p w14:paraId="19DB7CF3" w14:textId="6F378B88"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Il faut encore relever le cas particulier des statuts types de la coopération </w:t>
      </w:r>
      <w:bookmarkStart w:id="43" w:name="_Int_voshEs7h"/>
      <w:r>
        <w:rPr>
          <w:rStyle w:val="Aucun"/>
          <w:rFonts w:ascii="Times New Roman" w:hAnsi="Times New Roman"/>
          <w:sz w:val="24"/>
          <w:szCs w:val="24"/>
        </w:rPr>
        <w:t>agricole</w:t>
      </w:r>
      <w:r>
        <w:rPr>
          <w:rStyle w:val="Aucun"/>
          <w:rFonts w:ascii="Times New Roman" w:eastAsia="Times New Roman" w:hAnsi="Times New Roman" w:cs="Times New Roman"/>
          <w:sz w:val="24"/>
          <w:szCs w:val="24"/>
          <w:vertAlign w:val="superscript"/>
        </w:rPr>
        <w:footnoteReference w:id="42"/>
      </w:r>
      <w:r>
        <w:rPr>
          <w:rStyle w:val="Aucun"/>
          <w:rFonts w:ascii="Times New Roman" w:hAnsi="Times New Roman"/>
          <w:sz w:val="24"/>
          <w:szCs w:val="24"/>
        </w:rPr>
        <w:t>.</w:t>
      </w:r>
      <w:bookmarkEnd w:id="43"/>
      <w:r>
        <w:rPr>
          <w:rStyle w:val="Aucun"/>
          <w:rFonts w:ascii="Times New Roman" w:hAnsi="Times New Roman"/>
          <w:sz w:val="24"/>
          <w:szCs w:val="24"/>
        </w:rPr>
        <w:t xml:space="preserve"> Leur validation par les pouvoirs publics leur confère une force juridique particulière qui justifie de les admettre comme fondement légitime d’une nullité. Leur contrôle par le conseil d’état au titre du recours pour excès de pouvoir conforte cette analyse</w:t>
      </w:r>
      <w:r w:rsidR="00CF3EC6">
        <w:rPr>
          <w:rStyle w:val="Appelnotedebasdep"/>
        </w:rPr>
        <w:footnoteReference w:id="43"/>
      </w:r>
      <w:r>
        <w:rPr>
          <w:rStyle w:val="Aucun"/>
          <w:rFonts w:ascii="Times New Roman" w:hAnsi="Times New Roman"/>
          <w:sz w:val="24"/>
          <w:szCs w:val="24"/>
        </w:rPr>
        <w:t>.</w:t>
      </w:r>
    </w:p>
    <w:p w14:paraId="14553718" w14:textId="77777777" w:rsidR="00B4419E" w:rsidRDefault="00B4419E">
      <w:pPr>
        <w:pStyle w:val="CorpsA"/>
        <w:jc w:val="both"/>
        <w:rPr>
          <w:rStyle w:val="Aucun"/>
          <w:rFonts w:ascii="Times New Roman" w:eastAsia="Times New Roman" w:hAnsi="Times New Roman" w:cs="Times New Roman"/>
          <w:sz w:val="24"/>
          <w:szCs w:val="24"/>
        </w:rPr>
      </w:pPr>
    </w:p>
    <w:p w14:paraId="242F4BC4" w14:textId="0AF7BEAA"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En dehors de ces solutions générales placées sous le signe de l’exclusion des dispositions statutaires comme fondement de la nullité des décisions sociales, un sort particulier est fait aux statuts de la société par actions </w:t>
      </w:r>
      <w:bookmarkStart w:id="44" w:name="_Int_gEvVHWye"/>
      <w:r>
        <w:rPr>
          <w:rStyle w:val="Aucun"/>
          <w:rFonts w:ascii="Times New Roman" w:hAnsi="Times New Roman"/>
          <w:sz w:val="24"/>
          <w:szCs w:val="24"/>
        </w:rPr>
        <w:t>simplifiée</w:t>
      </w:r>
      <w:r w:rsidR="00CF3EC6">
        <w:rPr>
          <w:rStyle w:val="Aucun"/>
          <w:rFonts w:ascii="Times New Roman" w:hAnsi="Times New Roman"/>
          <w:sz w:val="24"/>
          <w:szCs w:val="24"/>
        </w:rPr>
        <w:t xml:space="preserve"> (SAS)</w:t>
      </w:r>
      <w:r>
        <w:rPr>
          <w:rStyle w:val="Aucun"/>
          <w:rFonts w:ascii="Times New Roman" w:hAnsi="Times New Roman"/>
          <w:sz w:val="24"/>
          <w:szCs w:val="24"/>
        </w:rPr>
        <w:t>.</w:t>
      </w:r>
      <w:bookmarkEnd w:id="44"/>
      <w:r>
        <w:rPr>
          <w:rStyle w:val="Aucun"/>
          <w:rFonts w:ascii="Times New Roman" w:hAnsi="Times New Roman"/>
          <w:sz w:val="24"/>
          <w:szCs w:val="24"/>
        </w:rPr>
        <w:t xml:space="preserve"> A leur égard en effet, il est prévu que les statuts peuvent prévoir la nullité des décisions sociales prises en violation des règles qu'ils ont </w:t>
      </w:r>
      <w:bookmarkStart w:id="45" w:name="_Int_ieedqdSS"/>
      <w:r>
        <w:rPr>
          <w:rStyle w:val="Aucun"/>
          <w:rFonts w:ascii="Times New Roman" w:hAnsi="Times New Roman"/>
          <w:sz w:val="24"/>
          <w:szCs w:val="24"/>
        </w:rPr>
        <w:t>établies</w:t>
      </w:r>
      <w:r>
        <w:rPr>
          <w:rStyle w:val="Aucun"/>
          <w:rFonts w:ascii="Times New Roman" w:eastAsia="Times New Roman" w:hAnsi="Times New Roman" w:cs="Times New Roman"/>
          <w:sz w:val="24"/>
          <w:szCs w:val="24"/>
          <w:vertAlign w:val="superscript"/>
        </w:rPr>
        <w:footnoteReference w:id="44"/>
      </w:r>
      <w:r>
        <w:rPr>
          <w:rStyle w:val="Aucun"/>
          <w:rFonts w:ascii="Times New Roman" w:hAnsi="Times New Roman"/>
          <w:sz w:val="24"/>
          <w:szCs w:val="24"/>
        </w:rPr>
        <w:t>.</w:t>
      </w:r>
      <w:bookmarkEnd w:id="45"/>
      <w:r>
        <w:rPr>
          <w:rStyle w:val="Aucun"/>
          <w:rFonts w:ascii="Times New Roman" w:hAnsi="Times New Roman"/>
          <w:sz w:val="24"/>
          <w:szCs w:val="24"/>
        </w:rPr>
        <w:t xml:space="preserve"> Cette règle particulière s’explique par l’importante dimension statutaire de la SAS, dimension en phase avec l’orientation coopérative évoquée plus haut, qui explique sa faveur dans le domaine et justifie d’autant plus l’intérêt du coopérativiste. Son intérêt unanimement relevé en droit commun des sociétés s’en trouve renforcé en droit coopératif. Cette disposition soulève des questions générales de mise en </w:t>
      </w:r>
      <w:bookmarkStart w:id="46" w:name="_Int_pQpgkgDa"/>
      <w:r>
        <w:rPr>
          <w:rStyle w:val="Aucun"/>
          <w:rFonts w:ascii="Times New Roman" w:hAnsi="Times New Roman"/>
          <w:sz w:val="24"/>
          <w:szCs w:val="24"/>
        </w:rPr>
        <w:t>oeuvre</w:t>
      </w:r>
      <w:r>
        <w:rPr>
          <w:rStyle w:val="Aucun"/>
          <w:rFonts w:ascii="Times New Roman" w:eastAsia="Times New Roman" w:hAnsi="Times New Roman" w:cs="Times New Roman"/>
          <w:sz w:val="24"/>
          <w:szCs w:val="24"/>
          <w:vertAlign w:val="superscript"/>
        </w:rPr>
        <w:footnoteReference w:id="45"/>
      </w:r>
      <w:r>
        <w:rPr>
          <w:rStyle w:val="Aucun"/>
          <w:rFonts w:ascii="Times New Roman" w:hAnsi="Times New Roman"/>
          <w:sz w:val="24"/>
          <w:szCs w:val="24"/>
        </w:rPr>
        <w:t>,</w:t>
      </w:r>
      <w:bookmarkEnd w:id="46"/>
      <w:r>
        <w:rPr>
          <w:rStyle w:val="Aucun"/>
          <w:rFonts w:ascii="Times New Roman" w:hAnsi="Times New Roman"/>
          <w:sz w:val="24"/>
          <w:szCs w:val="24"/>
        </w:rPr>
        <w:t xml:space="preserve"> telles que le sort des statuts existants qui ne contiennent pas de clause de nullité et bénéficiaient auparavant de la jurisprudence Larzul </w:t>
      </w:r>
      <w:bookmarkStart w:id="47" w:name="_Int_VzOTO7a9"/>
      <w:r>
        <w:rPr>
          <w:rStyle w:val="Aucun"/>
          <w:rFonts w:ascii="Times New Roman" w:hAnsi="Times New Roman"/>
          <w:sz w:val="24"/>
          <w:szCs w:val="24"/>
        </w:rPr>
        <w:t>2</w:t>
      </w:r>
      <w:r>
        <w:rPr>
          <w:rStyle w:val="Aucun"/>
          <w:rFonts w:ascii="Times New Roman" w:eastAsia="Times New Roman" w:hAnsi="Times New Roman" w:cs="Times New Roman"/>
          <w:sz w:val="24"/>
          <w:szCs w:val="24"/>
          <w:vertAlign w:val="superscript"/>
        </w:rPr>
        <w:footnoteReference w:id="46"/>
      </w:r>
      <w:r>
        <w:rPr>
          <w:rStyle w:val="Aucun"/>
          <w:rFonts w:ascii="Times New Roman" w:hAnsi="Times New Roman"/>
          <w:sz w:val="24"/>
          <w:szCs w:val="24"/>
        </w:rPr>
        <w:t>,</w:t>
      </w:r>
      <w:bookmarkEnd w:id="47"/>
      <w:r>
        <w:rPr>
          <w:rStyle w:val="Aucun"/>
          <w:rFonts w:ascii="Times New Roman" w:hAnsi="Times New Roman"/>
          <w:sz w:val="24"/>
          <w:szCs w:val="24"/>
        </w:rPr>
        <w:t xml:space="preserve"> extension aux pactes d’associés</w:t>
      </w:r>
      <w:r>
        <w:rPr>
          <w:rStyle w:val="Aucun"/>
          <w:rFonts w:ascii="Times New Roman" w:eastAsia="Times New Roman" w:hAnsi="Times New Roman" w:cs="Times New Roman"/>
          <w:sz w:val="24"/>
          <w:szCs w:val="24"/>
          <w:vertAlign w:val="superscript"/>
        </w:rPr>
        <w:footnoteReference w:id="47"/>
      </w:r>
      <w:r>
        <w:rPr>
          <w:rStyle w:val="Aucun"/>
          <w:rFonts w:ascii="Times New Roman" w:hAnsi="Times New Roman"/>
          <w:sz w:val="24"/>
          <w:szCs w:val="24"/>
        </w:rPr>
        <w:t>… Elles ne sont pas discutées ici dès lors qu’elles ne présentent pas de spécificité technique en matière coopérative. Il suffit de relever que l’insertion d’une clause de nullité n’est pas l’universelle panacée et que le contexte propre à chaque coopérative devra être scrupuleusement examiné pour apprécier l’opportunité de son insertion. En contre-point, il va s’instaurer une dichotomie entre les coopératives qui auront fait le choix d’une telle clause et les autres.</w:t>
      </w:r>
    </w:p>
    <w:p w14:paraId="457A72F2" w14:textId="77777777" w:rsidR="00B4419E" w:rsidRDefault="00B4419E">
      <w:pPr>
        <w:pStyle w:val="CorpsA"/>
        <w:jc w:val="both"/>
        <w:rPr>
          <w:rStyle w:val="Aucun"/>
          <w:rFonts w:ascii="Times New Roman" w:eastAsia="Times New Roman" w:hAnsi="Times New Roman" w:cs="Times New Roman"/>
          <w:sz w:val="24"/>
          <w:szCs w:val="24"/>
        </w:rPr>
      </w:pPr>
    </w:p>
    <w:p w14:paraId="05989877" w14:textId="77777777" w:rsidR="00B4419E" w:rsidRDefault="00BF3F37">
      <w:pPr>
        <w:pStyle w:val="CorpsA"/>
        <w:numPr>
          <w:ilvl w:val="0"/>
          <w:numId w:val="7"/>
        </w:numPr>
        <w:jc w:val="both"/>
        <w:rPr>
          <w:rFonts w:ascii="Times New Roman" w:hAnsi="Times New Roman"/>
          <w:sz w:val="24"/>
          <w:szCs w:val="24"/>
        </w:rPr>
      </w:pPr>
      <w:r>
        <w:rPr>
          <w:rStyle w:val="Aucun"/>
          <w:rFonts w:ascii="Times New Roman" w:hAnsi="Times New Roman"/>
          <w:sz w:val="24"/>
          <w:szCs w:val="24"/>
        </w:rPr>
        <w:t xml:space="preserve"> La réglementation spéciale de certaines nullités</w:t>
      </w:r>
    </w:p>
    <w:p w14:paraId="4A1DCBF2" w14:textId="77777777" w:rsidR="00B4419E" w:rsidRDefault="00B4419E">
      <w:pPr>
        <w:pStyle w:val="CorpsA"/>
        <w:jc w:val="both"/>
        <w:rPr>
          <w:rStyle w:val="Aucun"/>
          <w:rFonts w:ascii="Times New Roman" w:eastAsia="Times New Roman" w:hAnsi="Times New Roman" w:cs="Times New Roman"/>
          <w:sz w:val="24"/>
          <w:szCs w:val="24"/>
        </w:rPr>
      </w:pPr>
    </w:p>
    <w:p w14:paraId="7425DE06"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Deux hypothèses retiendront brièvement l’attention en raison de leur particularité technique ou pratique en droit </w:t>
      </w:r>
      <w:bookmarkStart w:id="48" w:name="_Int_hPvRu5tz"/>
      <w:r>
        <w:rPr>
          <w:rStyle w:val="Aucun"/>
          <w:rFonts w:ascii="Times New Roman" w:hAnsi="Times New Roman"/>
          <w:sz w:val="24"/>
          <w:szCs w:val="24"/>
        </w:rPr>
        <w:t>coopératif:</w:t>
      </w:r>
      <w:bookmarkEnd w:id="48"/>
      <w:r>
        <w:rPr>
          <w:rStyle w:val="Aucun"/>
          <w:rFonts w:ascii="Times New Roman" w:hAnsi="Times New Roman"/>
          <w:sz w:val="24"/>
          <w:szCs w:val="24"/>
        </w:rPr>
        <w:t xml:space="preserve"> les opérations de fusion, les apports.</w:t>
      </w:r>
    </w:p>
    <w:p w14:paraId="6BC38796" w14:textId="77777777" w:rsidR="00B4419E" w:rsidRDefault="00B4419E">
      <w:pPr>
        <w:pStyle w:val="CorpsA"/>
        <w:jc w:val="both"/>
        <w:rPr>
          <w:rStyle w:val="Aucun"/>
          <w:rFonts w:ascii="Times New Roman" w:eastAsia="Times New Roman" w:hAnsi="Times New Roman" w:cs="Times New Roman"/>
          <w:sz w:val="24"/>
          <w:szCs w:val="24"/>
        </w:rPr>
      </w:pPr>
    </w:p>
    <w:p w14:paraId="473565A0" w14:textId="77777777" w:rsidR="00B4419E" w:rsidRDefault="00BF3F37">
      <w:pPr>
        <w:pStyle w:val="CorpsA"/>
        <w:numPr>
          <w:ilvl w:val="0"/>
          <w:numId w:val="9"/>
        </w:numPr>
        <w:jc w:val="both"/>
        <w:rPr>
          <w:rFonts w:ascii="Times New Roman" w:hAnsi="Times New Roman"/>
          <w:sz w:val="24"/>
          <w:szCs w:val="24"/>
        </w:rPr>
      </w:pPr>
      <w:r>
        <w:rPr>
          <w:rStyle w:val="Aucun"/>
          <w:rFonts w:ascii="Times New Roman" w:hAnsi="Times New Roman"/>
          <w:sz w:val="24"/>
          <w:szCs w:val="24"/>
        </w:rPr>
        <w:t xml:space="preserve"> Le cas particulier des nullités dans les fusions</w:t>
      </w:r>
    </w:p>
    <w:p w14:paraId="668886C3" w14:textId="77777777" w:rsidR="00B4419E" w:rsidRDefault="00B4419E">
      <w:pPr>
        <w:pStyle w:val="CorpsA"/>
        <w:jc w:val="both"/>
        <w:rPr>
          <w:rStyle w:val="Aucun"/>
          <w:rFonts w:ascii="Times New Roman" w:eastAsia="Times New Roman" w:hAnsi="Times New Roman" w:cs="Times New Roman"/>
          <w:sz w:val="24"/>
          <w:szCs w:val="24"/>
        </w:rPr>
      </w:pPr>
    </w:p>
    <w:p w14:paraId="1EA6C64D"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L’extension des causes de nullité des décisions sociales en dehors du livre sur les sociétés commerciales renouvelle la question de la nullité en matière de fusion ainsi que la comparaison de leur régime ordinaire en droit coopératif avec celui applicable aux coopératives agricoles. D’abord, il faut rappeler que la nullité de la fusion est, sans surprise, conçue restrictivement : Elle « ne peut résulter que de la nullité de la délibération de l'une des assemblées qui ont décidé l'opération ou du défaut de dépôt de la déclaration de conformité </w:t>
      </w:r>
      <w:bookmarkStart w:id="49" w:name="_Int_RcbYULgU"/>
      <w:r>
        <w:rPr>
          <w:rStyle w:val="Aucun"/>
          <w:rFonts w:ascii="Times New Roman" w:hAnsi="Times New Roman"/>
          <w:sz w:val="24"/>
          <w:szCs w:val="24"/>
        </w:rPr>
        <w:t>»</w:t>
      </w:r>
      <w:r>
        <w:rPr>
          <w:rStyle w:val="Aucun"/>
          <w:rFonts w:ascii="Times New Roman" w:eastAsia="Times New Roman" w:hAnsi="Times New Roman" w:cs="Times New Roman"/>
          <w:sz w:val="24"/>
          <w:szCs w:val="24"/>
          <w:vertAlign w:val="superscript"/>
        </w:rPr>
        <w:footnoteReference w:id="48"/>
      </w:r>
      <w:r>
        <w:rPr>
          <w:rStyle w:val="Aucun"/>
          <w:rFonts w:ascii="Times New Roman" w:hAnsi="Times New Roman"/>
          <w:sz w:val="24"/>
          <w:szCs w:val="24"/>
        </w:rPr>
        <w:t>.</w:t>
      </w:r>
      <w:bookmarkEnd w:id="49"/>
      <w:r>
        <w:rPr>
          <w:rStyle w:val="Aucun"/>
          <w:rFonts w:ascii="Times New Roman" w:hAnsi="Times New Roman"/>
          <w:sz w:val="24"/>
          <w:szCs w:val="24"/>
        </w:rPr>
        <w:t xml:space="preserve"> Ce renvoi à la nullité des assemblées ramène à la délicate détermination de leurs causes de </w:t>
      </w:r>
      <w:bookmarkStart w:id="50" w:name="_Int_5ZHMiMVi"/>
      <w:r>
        <w:rPr>
          <w:rStyle w:val="Aucun"/>
          <w:rFonts w:ascii="Times New Roman" w:hAnsi="Times New Roman"/>
          <w:sz w:val="24"/>
          <w:szCs w:val="24"/>
        </w:rPr>
        <w:t>nullité</w:t>
      </w:r>
      <w:r>
        <w:rPr>
          <w:rStyle w:val="Aucun"/>
          <w:rFonts w:ascii="Times New Roman" w:eastAsia="Times New Roman" w:hAnsi="Times New Roman" w:cs="Times New Roman"/>
          <w:sz w:val="24"/>
          <w:szCs w:val="24"/>
          <w:vertAlign w:val="superscript"/>
        </w:rPr>
        <w:footnoteReference w:id="49"/>
      </w:r>
      <w:r>
        <w:rPr>
          <w:rStyle w:val="Aucun"/>
          <w:rFonts w:ascii="Times New Roman" w:hAnsi="Times New Roman"/>
          <w:sz w:val="24"/>
          <w:szCs w:val="24"/>
        </w:rPr>
        <w:t>.</w:t>
      </w:r>
      <w:bookmarkEnd w:id="50"/>
      <w:r>
        <w:rPr>
          <w:rStyle w:val="Aucun"/>
          <w:rFonts w:ascii="Times New Roman" w:hAnsi="Times New Roman"/>
          <w:sz w:val="24"/>
          <w:szCs w:val="24"/>
        </w:rPr>
        <w:t xml:space="preserve"> Par comparaison, les coopératives agricoles sont soumises à la même </w:t>
      </w:r>
      <w:bookmarkStart w:id="51" w:name="_Int_GcYCOSKH"/>
      <w:r>
        <w:rPr>
          <w:rStyle w:val="Aucun"/>
          <w:rFonts w:ascii="Times New Roman" w:hAnsi="Times New Roman"/>
          <w:sz w:val="24"/>
          <w:szCs w:val="24"/>
        </w:rPr>
        <w:t>règle</w:t>
      </w:r>
      <w:r>
        <w:rPr>
          <w:rStyle w:val="Aucun"/>
          <w:rFonts w:ascii="Times New Roman" w:eastAsia="Times New Roman" w:hAnsi="Times New Roman" w:cs="Times New Roman"/>
          <w:sz w:val="24"/>
          <w:szCs w:val="24"/>
          <w:vertAlign w:val="superscript"/>
        </w:rPr>
        <w:footnoteReference w:id="50"/>
      </w:r>
      <w:r>
        <w:rPr>
          <w:rStyle w:val="Aucun"/>
          <w:rFonts w:ascii="Times New Roman" w:hAnsi="Times New Roman"/>
          <w:sz w:val="24"/>
          <w:szCs w:val="24"/>
        </w:rPr>
        <w:t>,</w:t>
      </w:r>
      <w:bookmarkEnd w:id="51"/>
      <w:r>
        <w:rPr>
          <w:rStyle w:val="Aucun"/>
          <w:rFonts w:ascii="Times New Roman" w:hAnsi="Times New Roman"/>
          <w:sz w:val="24"/>
          <w:szCs w:val="24"/>
        </w:rPr>
        <w:t xml:space="preserve"> avec une détermination pas plus simple des causes de nullité de ces assemblées. En revanche, les coopératives agricoles ne reproduisent pas la nullité pour absence de la déclaration de conformité avec les lois et règlements que les sociétés participantes doivent déposer au </w:t>
      </w:r>
      <w:bookmarkStart w:id="52" w:name="_Int_xZZQbhGD"/>
      <w:r>
        <w:rPr>
          <w:rStyle w:val="Aucun"/>
          <w:rFonts w:ascii="Times New Roman" w:hAnsi="Times New Roman"/>
          <w:sz w:val="24"/>
          <w:szCs w:val="24"/>
        </w:rPr>
        <w:t>greffe</w:t>
      </w:r>
      <w:r>
        <w:rPr>
          <w:rStyle w:val="Aucun"/>
          <w:rFonts w:ascii="Times New Roman" w:eastAsia="Times New Roman" w:hAnsi="Times New Roman" w:cs="Times New Roman"/>
          <w:sz w:val="24"/>
          <w:szCs w:val="24"/>
          <w:vertAlign w:val="superscript"/>
        </w:rPr>
        <w:footnoteReference w:id="51"/>
      </w:r>
      <w:r>
        <w:rPr>
          <w:rStyle w:val="Aucun"/>
          <w:rFonts w:ascii="Times New Roman" w:hAnsi="Times New Roman"/>
          <w:sz w:val="24"/>
          <w:szCs w:val="24"/>
        </w:rPr>
        <w:t>,</w:t>
      </w:r>
      <w:bookmarkEnd w:id="52"/>
      <w:r>
        <w:rPr>
          <w:rStyle w:val="Aucun"/>
          <w:rFonts w:ascii="Times New Roman" w:hAnsi="Times New Roman"/>
          <w:sz w:val="24"/>
          <w:szCs w:val="24"/>
        </w:rPr>
        <w:t xml:space="preserve"> ce qui est cohérent avec le fait qu’une telle déclaration de conformité ne leur est pas imposée. L’explication réside certainement dans le contrôle effectué par le haut conseil de la coopération agricole (HCCA) : informé des modifications </w:t>
      </w:r>
      <w:bookmarkStart w:id="53" w:name="_Int_fnKaAlDU"/>
      <w:r>
        <w:rPr>
          <w:rStyle w:val="Aucun"/>
          <w:rFonts w:ascii="Times New Roman" w:hAnsi="Times New Roman"/>
          <w:sz w:val="24"/>
          <w:szCs w:val="24"/>
        </w:rPr>
        <w:t>statutaires</w:t>
      </w:r>
      <w:r>
        <w:rPr>
          <w:rStyle w:val="Aucun"/>
          <w:rFonts w:ascii="Times New Roman" w:eastAsia="Times New Roman" w:hAnsi="Times New Roman" w:cs="Times New Roman"/>
          <w:sz w:val="24"/>
          <w:szCs w:val="24"/>
          <w:vertAlign w:val="superscript"/>
        </w:rPr>
        <w:footnoteReference w:id="52"/>
      </w:r>
      <w:r>
        <w:rPr>
          <w:rStyle w:val="Aucun"/>
          <w:rFonts w:ascii="Times New Roman" w:hAnsi="Times New Roman"/>
          <w:sz w:val="24"/>
          <w:szCs w:val="24"/>
        </w:rPr>
        <w:t>,</w:t>
      </w:r>
      <w:bookmarkEnd w:id="53"/>
      <w:r>
        <w:rPr>
          <w:rStyle w:val="Aucun"/>
          <w:rFonts w:ascii="Times New Roman" w:hAnsi="Times New Roman"/>
          <w:sz w:val="24"/>
          <w:szCs w:val="24"/>
        </w:rPr>
        <w:t xml:space="preserve"> ce qui peut donner lieu à observations et demandes de </w:t>
      </w:r>
      <w:bookmarkStart w:id="54" w:name="_Int_aO73VjT9"/>
      <w:r>
        <w:rPr>
          <w:rStyle w:val="Aucun"/>
          <w:rFonts w:ascii="Times New Roman" w:hAnsi="Times New Roman"/>
          <w:sz w:val="24"/>
          <w:szCs w:val="24"/>
        </w:rPr>
        <w:t>rectification</w:t>
      </w:r>
      <w:r>
        <w:rPr>
          <w:rStyle w:val="Aucun"/>
          <w:rFonts w:ascii="Times New Roman" w:eastAsia="Times New Roman" w:hAnsi="Times New Roman" w:cs="Times New Roman"/>
          <w:sz w:val="24"/>
          <w:szCs w:val="24"/>
          <w:vertAlign w:val="superscript"/>
        </w:rPr>
        <w:footnoteReference w:id="53"/>
      </w:r>
      <w:r>
        <w:rPr>
          <w:rStyle w:val="Aucun"/>
          <w:rFonts w:ascii="Times New Roman" w:hAnsi="Times New Roman"/>
          <w:sz w:val="24"/>
          <w:szCs w:val="24"/>
        </w:rPr>
        <w:t xml:space="preserve"> </w:t>
      </w:r>
      <w:r>
        <w:rPr>
          <w:rStyle w:val="Aucun"/>
          <w:rFonts w:ascii="Times New Roman" w:hAnsi="Times New Roman"/>
          <w:i/>
          <w:iCs/>
          <w:sz w:val="24"/>
          <w:szCs w:val="24"/>
        </w:rPr>
        <w:t>in</w:t>
      </w:r>
      <w:bookmarkEnd w:id="54"/>
      <w:r>
        <w:rPr>
          <w:rStyle w:val="Aucun"/>
          <w:rFonts w:ascii="Times New Roman" w:hAnsi="Times New Roman"/>
          <w:i/>
          <w:iCs/>
          <w:sz w:val="24"/>
          <w:szCs w:val="24"/>
        </w:rPr>
        <w:t xml:space="preserve"> fine</w:t>
      </w:r>
      <w:r>
        <w:rPr>
          <w:rStyle w:val="Aucun"/>
          <w:rFonts w:ascii="Times New Roman" w:hAnsi="Times New Roman"/>
          <w:sz w:val="24"/>
          <w:szCs w:val="24"/>
        </w:rPr>
        <w:t xml:space="preserve"> soumis au pouvoir de sanction du HCCA</w:t>
      </w:r>
      <w:bookmarkStart w:id="55" w:name="_Int_BN4CXlO5"/>
      <w:r>
        <w:rPr>
          <w:rStyle w:val="Aucun"/>
          <w:rFonts w:ascii="Times New Roman" w:eastAsia="Times New Roman" w:hAnsi="Times New Roman" w:cs="Times New Roman"/>
          <w:sz w:val="24"/>
          <w:szCs w:val="24"/>
          <w:vertAlign w:val="superscript"/>
        </w:rPr>
        <w:footnoteReference w:id="54"/>
      </w:r>
      <w:r>
        <w:rPr>
          <w:rStyle w:val="Aucun"/>
          <w:rFonts w:ascii="Times New Roman" w:hAnsi="Times New Roman"/>
          <w:sz w:val="24"/>
          <w:szCs w:val="24"/>
        </w:rPr>
        <w:t>.</w:t>
      </w:r>
      <w:bookmarkEnd w:id="55"/>
      <w:r>
        <w:rPr>
          <w:rStyle w:val="Aucun"/>
          <w:rFonts w:ascii="Times New Roman" w:hAnsi="Times New Roman"/>
          <w:sz w:val="24"/>
          <w:szCs w:val="24"/>
        </w:rPr>
        <w:t xml:space="preserve"> L’existence d’un organisme extérieur de contrôle n’impose plus de reposer sur l’auto-contrôle des sociétés concernées.</w:t>
      </w:r>
    </w:p>
    <w:p w14:paraId="7F123B2E" w14:textId="77777777" w:rsidR="00B4419E" w:rsidRDefault="00B4419E">
      <w:pPr>
        <w:pStyle w:val="CorpsA"/>
        <w:jc w:val="both"/>
        <w:rPr>
          <w:rStyle w:val="Aucun"/>
          <w:rFonts w:ascii="Times New Roman" w:eastAsia="Times New Roman" w:hAnsi="Times New Roman" w:cs="Times New Roman"/>
          <w:sz w:val="24"/>
          <w:szCs w:val="24"/>
        </w:rPr>
      </w:pPr>
    </w:p>
    <w:p w14:paraId="7975514A"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En revanche, la fusion des coopératives agricoles est soumise à une cause de nullité expresse inconnue du droit commun des sociétés : le fait pour une assemblée d’avoir délibéré sur la fusion sans avoir entendu le rapport spécial de révision sur la </w:t>
      </w:r>
      <w:bookmarkStart w:id="56" w:name="_Int_nx2XRQ8U"/>
      <w:r>
        <w:rPr>
          <w:rStyle w:val="Aucun"/>
          <w:rFonts w:ascii="Times New Roman" w:hAnsi="Times New Roman"/>
          <w:sz w:val="24"/>
          <w:szCs w:val="24"/>
        </w:rPr>
        <w:t>fusion</w:t>
      </w:r>
      <w:r>
        <w:rPr>
          <w:rStyle w:val="Aucun"/>
          <w:rFonts w:ascii="Times New Roman" w:eastAsia="Times New Roman" w:hAnsi="Times New Roman" w:cs="Times New Roman"/>
          <w:sz w:val="24"/>
          <w:szCs w:val="24"/>
          <w:vertAlign w:val="superscript"/>
        </w:rPr>
        <w:footnoteReference w:id="55"/>
      </w:r>
      <w:r>
        <w:rPr>
          <w:rStyle w:val="Aucun"/>
          <w:rFonts w:ascii="Times New Roman" w:hAnsi="Times New Roman"/>
          <w:sz w:val="24"/>
          <w:szCs w:val="24"/>
        </w:rPr>
        <w:t>.</w:t>
      </w:r>
      <w:bookmarkEnd w:id="56"/>
      <w:r>
        <w:rPr>
          <w:rStyle w:val="Aucun"/>
          <w:rFonts w:ascii="Times New Roman" w:hAnsi="Times New Roman"/>
          <w:sz w:val="24"/>
          <w:szCs w:val="24"/>
        </w:rPr>
        <w:t xml:space="preserve"> Il s’agit d’une particularité coopérative relative à l’existence d’un mécanisme d’auto-contrôle guidé, voire plus, par une personne extérieure, le réviseur. Ce contrôle repose en fin de compte sur les pouvoirs déjà mentionnés du HCCA. Cette particularité n’est pas généralisable aux autres coopératives, dès lors que le mécanisme général de révision auquel elles sont </w:t>
      </w:r>
      <w:bookmarkStart w:id="57" w:name="_Int_V7j4rG3B"/>
      <w:r>
        <w:rPr>
          <w:rStyle w:val="Aucun"/>
          <w:rFonts w:ascii="Times New Roman" w:hAnsi="Times New Roman"/>
          <w:sz w:val="24"/>
          <w:szCs w:val="24"/>
        </w:rPr>
        <w:t>soumises</w:t>
      </w:r>
      <w:r>
        <w:rPr>
          <w:rStyle w:val="Aucun"/>
          <w:rFonts w:ascii="Times New Roman" w:eastAsia="Times New Roman" w:hAnsi="Times New Roman" w:cs="Times New Roman"/>
          <w:sz w:val="24"/>
          <w:szCs w:val="24"/>
          <w:vertAlign w:val="superscript"/>
        </w:rPr>
        <w:footnoteReference w:id="56"/>
      </w:r>
      <w:r>
        <w:rPr>
          <w:rStyle w:val="Aucun"/>
          <w:rFonts w:ascii="Times New Roman" w:hAnsi="Times New Roman"/>
          <w:sz w:val="24"/>
          <w:szCs w:val="24"/>
        </w:rPr>
        <w:t xml:space="preserve"> ne</w:t>
      </w:r>
      <w:bookmarkEnd w:id="57"/>
      <w:r>
        <w:rPr>
          <w:rStyle w:val="Aucun"/>
          <w:rFonts w:ascii="Times New Roman" w:hAnsi="Times New Roman"/>
          <w:sz w:val="24"/>
          <w:szCs w:val="24"/>
        </w:rPr>
        <w:t xml:space="preserve"> prévoit pas, on peut le regretter, de coordination avec la procédure de fusion. Au final, l’incidence de la réforme est réduite en cette matière.</w:t>
      </w:r>
    </w:p>
    <w:p w14:paraId="24BC6E35" w14:textId="77777777" w:rsidR="00B4419E" w:rsidRDefault="00B4419E">
      <w:pPr>
        <w:pStyle w:val="CorpsA"/>
        <w:jc w:val="both"/>
        <w:rPr>
          <w:rStyle w:val="Aucun"/>
          <w:rFonts w:ascii="Times New Roman" w:eastAsia="Times New Roman" w:hAnsi="Times New Roman" w:cs="Times New Roman"/>
          <w:sz w:val="24"/>
          <w:szCs w:val="24"/>
        </w:rPr>
      </w:pPr>
    </w:p>
    <w:p w14:paraId="6BDCB780" w14:textId="77777777" w:rsidR="00B4419E" w:rsidRDefault="00BF3F37">
      <w:pPr>
        <w:pStyle w:val="CorpsA"/>
        <w:numPr>
          <w:ilvl w:val="0"/>
          <w:numId w:val="9"/>
        </w:numPr>
        <w:jc w:val="both"/>
        <w:rPr>
          <w:rFonts w:ascii="Times New Roman" w:hAnsi="Times New Roman"/>
          <w:sz w:val="24"/>
          <w:szCs w:val="24"/>
        </w:rPr>
      </w:pPr>
      <w:r>
        <w:rPr>
          <w:rStyle w:val="Aucun"/>
          <w:rFonts w:ascii="Times New Roman" w:hAnsi="Times New Roman"/>
          <w:sz w:val="24"/>
          <w:szCs w:val="24"/>
        </w:rPr>
        <w:t xml:space="preserve"> Nullité des apports</w:t>
      </w:r>
    </w:p>
    <w:p w14:paraId="0D7897F3" w14:textId="77777777" w:rsidR="00B4419E" w:rsidRDefault="00B4419E">
      <w:pPr>
        <w:pStyle w:val="CorpsA"/>
        <w:jc w:val="both"/>
        <w:rPr>
          <w:rStyle w:val="Aucun"/>
          <w:rFonts w:ascii="Times New Roman" w:eastAsia="Times New Roman" w:hAnsi="Times New Roman" w:cs="Times New Roman"/>
          <w:sz w:val="24"/>
          <w:szCs w:val="24"/>
        </w:rPr>
      </w:pPr>
    </w:p>
    <w:p w14:paraId="6669EEDC"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La validité des apports est aujourd’hui envisagée de façon </w:t>
      </w:r>
      <w:bookmarkStart w:id="58" w:name="_Int_4jls4RYC"/>
      <w:r>
        <w:rPr>
          <w:rStyle w:val="Aucun"/>
          <w:rFonts w:ascii="Times New Roman" w:hAnsi="Times New Roman"/>
          <w:sz w:val="24"/>
          <w:szCs w:val="24"/>
        </w:rPr>
        <w:t>autonome</w:t>
      </w:r>
      <w:r>
        <w:rPr>
          <w:rStyle w:val="Aucun"/>
          <w:rFonts w:ascii="Times New Roman" w:eastAsia="Times New Roman" w:hAnsi="Times New Roman" w:cs="Times New Roman"/>
          <w:sz w:val="24"/>
          <w:szCs w:val="24"/>
          <w:vertAlign w:val="superscript"/>
        </w:rPr>
        <w:footnoteReference w:id="57"/>
      </w:r>
      <w:r>
        <w:rPr>
          <w:rStyle w:val="Aucun"/>
          <w:rFonts w:ascii="Times New Roman" w:hAnsi="Times New Roman"/>
          <w:sz w:val="24"/>
          <w:szCs w:val="24"/>
        </w:rPr>
        <w:t xml:space="preserve"> par</w:t>
      </w:r>
      <w:bookmarkEnd w:id="58"/>
      <w:r>
        <w:rPr>
          <w:rStyle w:val="Aucun"/>
          <w:rFonts w:ascii="Times New Roman" w:hAnsi="Times New Roman"/>
          <w:sz w:val="24"/>
          <w:szCs w:val="24"/>
        </w:rPr>
        <w:t xml:space="preserve"> rapport à la nullité de la </w:t>
      </w:r>
      <w:bookmarkStart w:id="59" w:name="_Int_kZhfAeHx"/>
      <w:r>
        <w:rPr>
          <w:rStyle w:val="Aucun"/>
          <w:rFonts w:ascii="Times New Roman" w:hAnsi="Times New Roman"/>
          <w:sz w:val="24"/>
          <w:szCs w:val="24"/>
        </w:rPr>
        <w:t>société</w:t>
      </w:r>
      <w:r>
        <w:rPr>
          <w:rStyle w:val="Aucun"/>
          <w:rFonts w:ascii="Times New Roman" w:eastAsia="Times New Roman" w:hAnsi="Times New Roman" w:cs="Times New Roman"/>
          <w:sz w:val="24"/>
          <w:szCs w:val="24"/>
          <w:vertAlign w:val="superscript"/>
        </w:rPr>
        <w:footnoteReference w:id="58"/>
      </w:r>
      <w:r>
        <w:rPr>
          <w:rStyle w:val="Aucun"/>
          <w:rFonts w:ascii="Times New Roman" w:hAnsi="Times New Roman"/>
          <w:sz w:val="24"/>
          <w:szCs w:val="24"/>
        </w:rPr>
        <w:t>,</w:t>
      </w:r>
      <w:bookmarkEnd w:id="59"/>
      <w:r>
        <w:rPr>
          <w:rStyle w:val="Aucun"/>
          <w:rFonts w:ascii="Times New Roman" w:hAnsi="Times New Roman"/>
          <w:sz w:val="24"/>
          <w:szCs w:val="24"/>
        </w:rPr>
        <w:t xml:space="preserve"> quoique dans la situation banale d’une société ordinaire les apports soient concomitants et constitutifs de la création de celle-ci. Or si cela n’est pas toujours vrai en droit des sociétés, ça l’est encore moins pour les coopératives en raison de leur forme de société à capital </w:t>
      </w:r>
      <w:bookmarkStart w:id="60" w:name="_Int_dGw8xcCu"/>
      <w:r>
        <w:rPr>
          <w:rStyle w:val="Aucun"/>
          <w:rFonts w:ascii="Times New Roman" w:hAnsi="Times New Roman"/>
          <w:sz w:val="24"/>
          <w:szCs w:val="24"/>
        </w:rPr>
        <w:t>variable</w:t>
      </w:r>
      <w:r>
        <w:rPr>
          <w:rStyle w:val="Aucun"/>
          <w:rFonts w:ascii="Times New Roman" w:eastAsia="Times New Roman" w:hAnsi="Times New Roman" w:cs="Times New Roman"/>
          <w:sz w:val="24"/>
          <w:szCs w:val="24"/>
          <w:vertAlign w:val="superscript"/>
        </w:rPr>
        <w:footnoteReference w:id="59"/>
      </w:r>
      <w:r>
        <w:rPr>
          <w:rStyle w:val="Aucun"/>
          <w:rFonts w:ascii="Times New Roman" w:hAnsi="Times New Roman"/>
          <w:sz w:val="24"/>
          <w:szCs w:val="24"/>
        </w:rPr>
        <w:t>,</w:t>
      </w:r>
      <w:bookmarkEnd w:id="60"/>
      <w:r>
        <w:rPr>
          <w:rStyle w:val="Aucun"/>
          <w:rFonts w:ascii="Times New Roman" w:hAnsi="Times New Roman"/>
          <w:sz w:val="24"/>
          <w:szCs w:val="24"/>
        </w:rPr>
        <w:t xml:space="preserve"> traduction technique du principe de la porte ouverte. Il faut tout de même préciser que la nullité de l’apport ne se confond pas avec la nullité de l’acquisition de la qualité </w:t>
      </w:r>
      <w:bookmarkStart w:id="61" w:name="_Int_jrVgDMDb"/>
      <w:r>
        <w:rPr>
          <w:rStyle w:val="Aucun"/>
          <w:rFonts w:ascii="Times New Roman" w:hAnsi="Times New Roman"/>
          <w:sz w:val="24"/>
          <w:szCs w:val="24"/>
        </w:rPr>
        <w:t>d’associé</w:t>
      </w:r>
      <w:r>
        <w:rPr>
          <w:rStyle w:val="Aucun"/>
          <w:rFonts w:ascii="Times New Roman" w:eastAsia="Times New Roman" w:hAnsi="Times New Roman" w:cs="Times New Roman"/>
          <w:sz w:val="24"/>
          <w:szCs w:val="24"/>
          <w:vertAlign w:val="superscript"/>
        </w:rPr>
        <w:footnoteReference w:id="60"/>
      </w:r>
      <w:r>
        <w:rPr>
          <w:rStyle w:val="Aucun"/>
          <w:rFonts w:ascii="Times New Roman" w:hAnsi="Times New Roman"/>
          <w:sz w:val="24"/>
          <w:szCs w:val="24"/>
        </w:rPr>
        <w:t>,</w:t>
      </w:r>
      <w:bookmarkEnd w:id="61"/>
      <w:r>
        <w:rPr>
          <w:rStyle w:val="Aucun"/>
          <w:rFonts w:ascii="Times New Roman" w:hAnsi="Times New Roman"/>
          <w:sz w:val="24"/>
          <w:szCs w:val="24"/>
        </w:rPr>
        <w:t xml:space="preserve"> même si la première peut être une condition de la seconde ; il en résulte que sa substance est délimitée par l’objet de l’apport et ne s’étend pas aux autres conditions de l’acquisition de la qualité d’associé. La nullité spécifique des nullités est soumise à une double orientation : d’un côté la détermination des conditions de validité par référence à celles relatives aux décisions sociales, de l’autre l’absence de soumission aux mesures de cantonnement des mêmes </w:t>
      </w:r>
      <w:bookmarkStart w:id="62" w:name="_Int_NiiZEt7J"/>
      <w:r>
        <w:rPr>
          <w:rStyle w:val="Aucun"/>
          <w:rFonts w:ascii="Times New Roman" w:hAnsi="Times New Roman"/>
          <w:sz w:val="24"/>
          <w:szCs w:val="24"/>
        </w:rPr>
        <w:t>nullités</w:t>
      </w:r>
      <w:r>
        <w:rPr>
          <w:rStyle w:val="Aucun"/>
          <w:rFonts w:ascii="Times New Roman" w:eastAsia="Times New Roman" w:hAnsi="Times New Roman" w:cs="Times New Roman"/>
          <w:sz w:val="24"/>
          <w:szCs w:val="24"/>
          <w:vertAlign w:val="superscript"/>
        </w:rPr>
        <w:footnoteReference w:id="61"/>
      </w:r>
      <w:r>
        <w:rPr>
          <w:rStyle w:val="Aucun"/>
          <w:rFonts w:ascii="Times New Roman" w:hAnsi="Times New Roman"/>
          <w:sz w:val="24"/>
          <w:szCs w:val="24"/>
        </w:rPr>
        <w:t>.</w:t>
      </w:r>
      <w:bookmarkEnd w:id="62"/>
    </w:p>
    <w:p w14:paraId="08FD66DC"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L’article 1844-10-1 renvoie à l’article 1844-10 alinéa 3 s’agitant des causes de nullité ; il en résulte que le contrôle des apports bénéficie en droit coopératif de l’élargissement des causes de nullité lié à la réforme. Ce renvoi ne vaut toutefois que pour les causes de nullité, et les mécanismes de cantonnement de la </w:t>
      </w:r>
      <w:bookmarkStart w:id="63" w:name="_Int_Y0IyCPHR"/>
      <w:r>
        <w:rPr>
          <w:rStyle w:val="Aucun"/>
          <w:rFonts w:ascii="Times New Roman" w:hAnsi="Times New Roman"/>
          <w:sz w:val="24"/>
          <w:szCs w:val="24"/>
        </w:rPr>
        <w:t>nullité</w:t>
      </w:r>
      <w:r>
        <w:rPr>
          <w:rStyle w:val="Aucun"/>
          <w:rFonts w:ascii="Times New Roman" w:eastAsia="Times New Roman" w:hAnsi="Times New Roman" w:cs="Times New Roman"/>
          <w:sz w:val="24"/>
          <w:szCs w:val="24"/>
          <w:vertAlign w:val="superscript"/>
        </w:rPr>
        <w:footnoteReference w:id="62"/>
      </w:r>
      <w:r>
        <w:rPr>
          <w:rStyle w:val="Aucun"/>
          <w:rFonts w:ascii="Times New Roman" w:hAnsi="Times New Roman"/>
          <w:sz w:val="24"/>
          <w:szCs w:val="24"/>
        </w:rPr>
        <w:t xml:space="preserve"> ne</w:t>
      </w:r>
      <w:bookmarkEnd w:id="63"/>
      <w:r>
        <w:rPr>
          <w:rStyle w:val="Aucun"/>
          <w:rFonts w:ascii="Times New Roman" w:hAnsi="Times New Roman"/>
          <w:sz w:val="24"/>
          <w:szCs w:val="24"/>
        </w:rPr>
        <w:t xml:space="preserve"> mentionnent que les décisions sociales, ce que ne sont pas à coup sûr les apports ; il en résulte que la nullité de ces derniers ne fait pas l’objet des nouvelles mesures </w:t>
      </w:r>
      <w:bookmarkStart w:id="64" w:name="_Int_xKLqIYCR"/>
      <w:r>
        <w:rPr>
          <w:rStyle w:val="Aucun"/>
          <w:rFonts w:ascii="Times New Roman" w:hAnsi="Times New Roman"/>
          <w:sz w:val="24"/>
          <w:szCs w:val="24"/>
        </w:rPr>
        <w:t>spéciales</w:t>
      </w:r>
      <w:r>
        <w:rPr>
          <w:rStyle w:val="Aucun"/>
          <w:rFonts w:ascii="Times New Roman" w:eastAsia="Times New Roman" w:hAnsi="Times New Roman" w:cs="Times New Roman"/>
          <w:sz w:val="24"/>
          <w:szCs w:val="24"/>
          <w:vertAlign w:val="superscript"/>
        </w:rPr>
        <w:footnoteReference w:id="63"/>
      </w:r>
      <w:r>
        <w:rPr>
          <w:rStyle w:val="Aucun"/>
          <w:rFonts w:ascii="Times New Roman" w:hAnsi="Times New Roman"/>
          <w:sz w:val="24"/>
          <w:szCs w:val="24"/>
        </w:rPr>
        <w:t>.</w:t>
      </w:r>
      <w:bookmarkEnd w:id="64"/>
      <w:r>
        <w:rPr>
          <w:rStyle w:val="Aucun"/>
          <w:rFonts w:ascii="Times New Roman" w:hAnsi="Times New Roman"/>
          <w:sz w:val="24"/>
          <w:szCs w:val="24"/>
        </w:rPr>
        <w:t xml:space="preserve"> Le résultat, peut-être imprévu, est que dans ce domaine, l’extension du champ d’application de la nullité ne connaît aucun contre-poids. Ce constat est important au plan des principes, beaucoup moins pratiquement pour l’instant puisque les litiges relatifs aux apports sont peu fréquents ; il pourrait en aller différemment en cas de multiplication de la pratique des apports en industrie, notamment dans les coopératives </w:t>
      </w:r>
      <w:bookmarkStart w:id="65" w:name="_Int_hE1jfq4w"/>
      <w:r>
        <w:rPr>
          <w:rStyle w:val="Aucun"/>
          <w:rFonts w:ascii="Times New Roman" w:hAnsi="Times New Roman"/>
          <w:sz w:val="24"/>
          <w:szCs w:val="24"/>
        </w:rPr>
        <w:t>d’habitants</w:t>
      </w:r>
      <w:r>
        <w:rPr>
          <w:rStyle w:val="Aucun"/>
          <w:rFonts w:ascii="Times New Roman" w:eastAsia="Times New Roman" w:hAnsi="Times New Roman" w:cs="Times New Roman"/>
          <w:sz w:val="24"/>
          <w:szCs w:val="24"/>
          <w:vertAlign w:val="superscript"/>
        </w:rPr>
        <w:footnoteReference w:id="64"/>
      </w:r>
      <w:r>
        <w:rPr>
          <w:rStyle w:val="Aucun"/>
          <w:rFonts w:ascii="Times New Roman" w:hAnsi="Times New Roman"/>
          <w:sz w:val="24"/>
          <w:szCs w:val="24"/>
        </w:rPr>
        <w:t>.</w:t>
      </w:r>
      <w:bookmarkEnd w:id="65"/>
    </w:p>
    <w:p w14:paraId="7C5FBFD7" w14:textId="77777777" w:rsidR="00B4419E" w:rsidRDefault="00B4419E">
      <w:pPr>
        <w:pStyle w:val="CorpsA"/>
        <w:jc w:val="both"/>
        <w:rPr>
          <w:rStyle w:val="Aucun"/>
          <w:rFonts w:ascii="Times New Roman" w:eastAsia="Times New Roman" w:hAnsi="Times New Roman" w:cs="Times New Roman"/>
          <w:sz w:val="24"/>
          <w:szCs w:val="24"/>
        </w:rPr>
      </w:pPr>
    </w:p>
    <w:p w14:paraId="004F849C"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La question de la distinction de la nullité des apports et de celle de la société est tout de même l’occasion de réfléchir au sort de l’irrespect des règles de composition des coopératives. Cette question revêt en effet une importance pratique beaucoup plus grande, notamment à propos des sociétés coopératives d’intérêt collectif (SCIC), qui courent toujours le risque de ne pas respecter les règles auxquelles elles sont soumises en matière de multi-</w:t>
      </w:r>
      <w:bookmarkStart w:id="66" w:name="_Int_1uVJ3JpL"/>
      <w:r>
        <w:rPr>
          <w:rStyle w:val="Aucun"/>
          <w:rFonts w:ascii="Times New Roman" w:hAnsi="Times New Roman"/>
          <w:sz w:val="24"/>
          <w:szCs w:val="24"/>
        </w:rPr>
        <w:t>sociétariat</w:t>
      </w:r>
      <w:r>
        <w:rPr>
          <w:rStyle w:val="Aucun"/>
          <w:rFonts w:ascii="Times New Roman" w:eastAsia="Times New Roman" w:hAnsi="Times New Roman" w:cs="Times New Roman"/>
          <w:sz w:val="24"/>
          <w:szCs w:val="24"/>
          <w:vertAlign w:val="superscript"/>
        </w:rPr>
        <w:footnoteReference w:id="65"/>
      </w:r>
      <w:r>
        <w:rPr>
          <w:rStyle w:val="Aucun"/>
          <w:rFonts w:ascii="Times New Roman" w:hAnsi="Times New Roman"/>
          <w:sz w:val="24"/>
          <w:szCs w:val="24"/>
        </w:rPr>
        <w:t>.</w:t>
      </w:r>
      <w:bookmarkEnd w:id="66"/>
      <w:r>
        <w:rPr>
          <w:rStyle w:val="Aucun"/>
          <w:rFonts w:ascii="Times New Roman" w:hAnsi="Times New Roman"/>
          <w:sz w:val="24"/>
          <w:szCs w:val="24"/>
        </w:rPr>
        <w:t xml:space="preserve"> Or la question peut se poser à deux moments </w:t>
      </w:r>
      <w:bookmarkStart w:id="67" w:name="_Int_ZdUACuX2"/>
      <w:r>
        <w:rPr>
          <w:rStyle w:val="Aucun"/>
          <w:rFonts w:ascii="Times New Roman" w:hAnsi="Times New Roman"/>
          <w:sz w:val="24"/>
          <w:szCs w:val="24"/>
        </w:rPr>
        <w:t>différents:</w:t>
      </w:r>
      <w:bookmarkEnd w:id="67"/>
      <w:r>
        <w:rPr>
          <w:rStyle w:val="Aucun"/>
          <w:rFonts w:ascii="Times New Roman" w:hAnsi="Times New Roman"/>
          <w:sz w:val="24"/>
          <w:szCs w:val="24"/>
        </w:rPr>
        <w:t xml:space="preserve"> soit lors de la création de la coopérative, soit en cours de vie sociale. Au moment de la création de la coopérative, les conséquences de l’irrespect des règles sont certainement rattachées à la nullité et donc le régime légal </w:t>
      </w:r>
      <w:bookmarkStart w:id="68" w:name="_Int_1lFq7mE5"/>
      <w:r>
        <w:rPr>
          <w:rStyle w:val="Aucun"/>
          <w:rFonts w:ascii="Times New Roman" w:hAnsi="Times New Roman"/>
          <w:sz w:val="24"/>
          <w:szCs w:val="24"/>
        </w:rPr>
        <w:t>applicable</w:t>
      </w:r>
      <w:r>
        <w:rPr>
          <w:rStyle w:val="Aucun"/>
          <w:rFonts w:ascii="Times New Roman" w:eastAsia="Times New Roman" w:hAnsi="Times New Roman" w:cs="Times New Roman"/>
          <w:sz w:val="24"/>
          <w:szCs w:val="24"/>
          <w:vertAlign w:val="superscript"/>
        </w:rPr>
        <w:footnoteReference w:id="66"/>
      </w:r>
      <w:r>
        <w:rPr>
          <w:rStyle w:val="Aucun"/>
          <w:rFonts w:ascii="Times New Roman" w:hAnsi="Times New Roman"/>
          <w:sz w:val="24"/>
          <w:szCs w:val="24"/>
        </w:rPr>
        <w:t>.</w:t>
      </w:r>
      <w:bookmarkEnd w:id="68"/>
      <w:r>
        <w:rPr>
          <w:rStyle w:val="Aucun"/>
          <w:rFonts w:ascii="Times New Roman" w:hAnsi="Times New Roman"/>
          <w:sz w:val="24"/>
          <w:szCs w:val="24"/>
        </w:rPr>
        <w:t xml:space="preserve"> Or celui-ci compte parmi les rares causes admissibles de nullité les « dispositions fixant un nombre minimal d’associés » et il convient de se demander si ceci couvre l’irrespect du nombre minimal de catégories </w:t>
      </w:r>
      <w:bookmarkStart w:id="69" w:name="_Int_32u8fXIy"/>
      <w:r>
        <w:rPr>
          <w:rStyle w:val="Aucun"/>
          <w:rFonts w:ascii="Times New Roman" w:hAnsi="Times New Roman"/>
          <w:sz w:val="24"/>
          <w:szCs w:val="24"/>
        </w:rPr>
        <w:t>d’associés</w:t>
      </w:r>
      <w:r>
        <w:rPr>
          <w:rStyle w:val="Aucun"/>
          <w:rFonts w:ascii="Times New Roman" w:eastAsia="Times New Roman" w:hAnsi="Times New Roman" w:cs="Times New Roman"/>
          <w:sz w:val="24"/>
          <w:szCs w:val="24"/>
          <w:vertAlign w:val="superscript"/>
        </w:rPr>
        <w:footnoteReference w:id="67"/>
      </w:r>
      <w:r>
        <w:rPr>
          <w:rStyle w:val="Aucun"/>
          <w:rFonts w:ascii="Times New Roman" w:hAnsi="Times New Roman"/>
          <w:sz w:val="24"/>
          <w:szCs w:val="24"/>
        </w:rPr>
        <w:t>.</w:t>
      </w:r>
      <w:bookmarkEnd w:id="69"/>
      <w:r>
        <w:rPr>
          <w:rStyle w:val="Aucun"/>
          <w:rFonts w:ascii="Times New Roman" w:hAnsi="Times New Roman"/>
          <w:sz w:val="24"/>
          <w:szCs w:val="24"/>
        </w:rPr>
        <w:t xml:space="preserve"> Le caractère incontestablement restrictif des causes de nullité de société oriente vers une interprétation </w:t>
      </w:r>
      <w:bookmarkStart w:id="70" w:name="_Int_VkV761X4"/>
      <w:r>
        <w:rPr>
          <w:rStyle w:val="Aucun"/>
          <w:rFonts w:ascii="Times New Roman" w:hAnsi="Times New Roman"/>
          <w:sz w:val="24"/>
          <w:szCs w:val="24"/>
        </w:rPr>
        <w:t>stricte;</w:t>
      </w:r>
      <w:bookmarkEnd w:id="70"/>
      <w:r>
        <w:rPr>
          <w:rStyle w:val="Aucun"/>
          <w:rFonts w:ascii="Times New Roman" w:hAnsi="Times New Roman"/>
          <w:sz w:val="24"/>
          <w:szCs w:val="24"/>
        </w:rPr>
        <w:t xml:space="preserve"> or sous cet angle le nombre d’associés est difficilement assimilable au nombre de catégories, dès lors qu’une SCIC pourrait bien avoir le nombre requis d’associés mais que ceux-ci ne présenteraient pas les qualités requises. L’exclusion de la nullité dans cette hypothèse est toutefois en pratique sans conséquence majeure, dès lors que l’irrespect des règles du multi-sociétariat est rare au moment de la constitution et se produit plus fréquemment en cours de vie sociale.</w:t>
      </w:r>
    </w:p>
    <w:p w14:paraId="059EFE90" w14:textId="77777777" w:rsidR="00B4419E" w:rsidRDefault="00B4419E">
      <w:pPr>
        <w:pStyle w:val="CorpsA"/>
        <w:jc w:val="both"/>
        <w:rPr>
          <w:rStyle w:val="Aucun"/>
          <w:rFonts w:ascii="Times New Roman" w:eastAsia="Times New Roman" w:hAnsi="Times New Roman" w:cs="Times New Roman"/>
          <w:sz w:val="24"/>
          <w:szCs w:val="24"/>
        </w:rPr>
      </w:pPr>
    </w:p>
    <w:p w14:paraId="3F987C08"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Or en cours de vie sociale, il n’est plus question d’évoquer la </w:t>
      </w:r>
      <w:bookmarkStart w:id="71" w:name="_Int_CMY8FOa5"/>
      <w:r>
        <w:rPr>
          <w:rStyle w:val="Aucun"/>
          <w:rFonts w:ascii="Times New Roman" w:hAnsi="Times New Roman"/>
          <w:sz w:val="24"/>
          <w:szCs w:val="24"/>
        </w:rPr>
        <w:t>nullité;</w:t>
      </w:r>
      <w:bookmarkEnd w:id="71"/>
      <w:r>
        <w:rPr>
          <w:rStyle w:val="Aucun"/>
          <w:rFonts w:ascii="Times New Roman" w:hAnsi="Times New Roman"/>
          <w:sz w:val="24"/>
          <w:szCs w:val="24"/>
        </w:rPr>
        <w:t xml:space="preserve"> il s’agit d’un irrespect subséquent des règles de validité, ce qui consiste en une caducité. La caducité étant distincte de la nullité, elle n’est pas soumise à son régime juridique, mais elle n’est pas non plus explicitement envisagée par le code civil à ce propos. En droit commun, il y a caducité en cas de disparition d’un élément essentiel du </w:t>
      </w:r>
      <w:bookmarkStart w:id="72" w:name="_Int_9L5sOQXI"/>
      <w:r>
        <w:rPr>
          <w:rStyle w:val="Aucun"/>
          <w:rFonts w:ascii="Times New Roman" w:hAnsi="Times New Roman"/>
          <w:sz w:val="24"/>
          <w:szCs w:val="24"/>
        </w:rPr>
        <w:t>contrat</w:t>
      </w:r>
      <w:r>
        <w:rPr>
          <w:rStyle w:val="Aucun"/>
          <w:rFonts w:ascii="Times New Roman" w:eastAsia="Times New Roman" w:hAnsi="Times New Roman" w:cs="Times New Roman"/>
          <w:sz w:val="24"/>
          <w:szCs w:val="24"/>
          <w:vertAlign w:val="superscript"/>
        </w:rPr>
        <w:footnoteReference w:id="68"/>
      </w:r>
      <w:r>
        <w:rPr>
          <w:rStyle w:val="Aucun"/>
          <w:rFonts w:ascii="Times New Roman" w:hAnsi="Times New Roman"/>
          <w:sz w:val="24"/>
          <w:szCs w:val="24"/>
        </w:rPr>
        <w:t xml:space="preserve"> et</w:t>
      </w:r>
      <w:bookmarkEnd w:id="72"/>
      <w:r>
        <w:rPr>
          <w:rStyle w:val="Aucun"/>
          <w:rFonts w:ascii="Times New Roman" w:hAnsi="Times New Roman"/>
          <w:sz w:val="24"/>
          <w:szCs w:val="24"/>
        </w:rPr>
        <w:t xml:space="preserve"> cette caducité met fin au </w:t>
      </w:r>
      <w:bookmarkStart w:id="73" w:name="_Int_LKXYNp0n"/>
      <w:r>
        <w:rPr>
          <w:rStyle w:val="Aucun"/>
          <w:rFonts w:ascii="Times New Roman" w:hAnsi="Times New Roman"/>
          <w:sz w:val="24"/>
          <w:szCs w:val="24"/>
        </w:rPr>
        <w:t>contrat</w:t>
      </w:r>
      <w:r>
        <w:rPr>
          <w:rStyle w:val="Aucun"/>
          <w:rFonts w:ascii="Times New Roman" w:eastAsia="Times New Roman" w:hAnsi="Times New Roman" w:cs="Times New Roman"/>
          <w:sz w:val="24"/>
          <w:szCs w:val="24"/>
          <w:vertAlign w:val="superscript"/>
        </w:rPr>
        <w:footnoteReference w:id="69"/>
      </w:r>
      <w:r>
        <w:rPr>
          <w:rStyle w:val="Aucun"/>
          <w:rFonts w:ascii="Times New Roman" w:hAnsi="Times New Roman"/>
          <w:sz w:val="24"/>
          <w:szCs w:val="24"/>
        </w:rPr>
        <w:t>.</w:t>
      </w:r>
      <w:bookmarkEnd w:id="73"/>
      <w:r>
        <w:rPr>
          <w:rStyle w:val="Aucun"/>
          <w:rFonts w:ascii="Times New Roman" w:hAnsi="Times New Roman"/>
          <w:sz w:val="24"/>
          <w:szCs w:val="24"/>
        </w:rPr>
        <w:t xml:space="preserve"> Mais le contrat de société est d’abord soumis aux règles spéciales qui le régissent et celles-ci envisagent de façon limitative les causes de la fin de la </w:t>
      </w:r>
      <w:bookmarkStart w:id="74" w:name="_Int_UO0nuOGi"/>
      <w:r>
        <w:rPr>
          <w:rStyle w:val="Aucun"/>
          <w:rFonts w:ascii="Times New Roman" w:hAnsi="Times New Roman"/>
          <w:sz w:val="24"/>
          <w:szCs w:val="24"/>
        </w:rPr>
        <w:t>société</w:t>
      </w:r>
      <w:r>
        <w:rPr>
          <w:rStyle w:val="Aucun"/>
          <w:rFonts w:ascii="Times New Roman" w:eastAsia="Times New Roman" w:hAnsi="Times New Roman" w:cs="Times New Roman"/>
          <w:sz w:val="24"/>
          <w:szCs w:val="24"/>
          <w:vertAlign w:val="superscript"/>
        </w:rPr>
        <w:footnoteReference w:id="70"/>
      </w:r>
      <w:r>
        <w:rPr>
          <w:rStyle w:val="Aucun"/>
          <w:rFonts w:ascii="Times New Roman" w:hAnsi="Times New Roman"/>
          <w:sz w:val="24"/>
          <w:szCs w:val="24"/>
        </w:rPr>
        <w:t xml:space="preserve"> et</w:t>
      </w:r>
      <w:bookmarkEnd w:id="74"/>
      <w:r>
        <w:rPr>
          <w:rStyle w:val="Aucun"/>
          <w:rFonts w:ascii="Times New Roman" w:hAnsi="Times New Roman"/>
          <w:sz w:val="24"/>
          <w:szCs w:val="24"/>
        </w:rPr>
        <w:t xml:space="preserve"> cet article ne mentionne pas la caducité. Il est en revanche permis de l’appréhender à travers le mécanisme de la dissolution judiciaire pour juste </w:t>
      </w:r>
      <w:bookmarkStart w:id="75" w:name="_Int_6n9xVarD"/>
      <w:r>
        <w:rPr>
          <w:rStyle w:val="Aucun"/>
          <w:rFonts w:ascii="Times New Roman" w:hAnsi="Times New Roman"/>
          <w:sz w:val="24"/>
          <w:szCs w:val="24"/>
        </w:rPr>
        <w:t>motif</w:t>
      </w:r>
      <w:r>
        <w:rPr>
          <w:rStyle w:val="Aucun"/>
          <w:rFonts w:ascii="Times New Roman" w:eastAsia="Times New Roman" w:hAnsi="Times New Roman" w:cs="Times New Roman"/>
          <w:sz w:val="24"/>
          <w:szCs w:val="24"/>
          <w:vertAlign w:val="superscript"/>
        </w:rPr>
        <w:footnoteReference w:id="71"/>
      </w:r>
      <w:r>
        <w:rPr>
          <w:rStyle w:val="Aucun"/>
          <w:rFonts w:ascii="Times New Roman" w:hAnsi="Times New Roman"/>
          <w:sz w:val="24"/>
          <w:szCs w:val="24"/>
        </w:rPr>
        <w:t>.</w:t>
      </w:r>
      <w:bookmarkEnd w:id="75"/>
      <w:r>
        <w:rPr>
          <w:rStyle w:val="Aucun"/>
          <w:rFonts w:ascii="Times New Roman" w:hAnsi="Times New Roman"/>
          <w:sz w:val="24"/>
          <w:szCs w:val="24"/>
        </w:rPr>
        <w:t xml:space="preserve"> La réforme n’a donc qu’une seule vertu à cet </w:t>
      </w:r>
      <w:bookmarkStart w:id="76" w:name="_Int_oPT9Eggl"/>
      <w:r>
        <w:rPr>
          <w:rStyle w:val="Aucun"/>
          <w:rFonts w:ascii="Times New Roman" w:hAnsi="Times New Roman"/>
          <w:sz w:val="24"/>
          <w:szCs w:val="24"/>
        </w:rPr>
        <w:t>égard:</w:t>
      </w:r>
      <w:bookmarkEnd w:id="76"/>
      <w:r>
        <w:rPr>
          <w:rStyle w:val="Aucun"/>
          <w:rFonts w:ascii="Times New Roman" w:hAnsi="Times New Roman"/>
          <w:sz w:val="24"/>
          <w:szCs w:val="24"/>
        </w:rPr>
        <w:t xml:space="preserve"> l’exclusion de toute hésitation sur le recours à la nullité.</w:t>
      </w:r>
    </w:p>
    <w:p w14:paraId="57DB1D13" w14:textId="77777777" w:rsidR="00B4419E" w:rsidRDefault="00B4419E">
      <w:pPr>
        <w:pStyle w:val="CorpsA"/>
        <w:jc w:val="both"/>
        <w:rPr>
          <w:rStyle w:val="Aucun"/>
          <w:rFonts w:ascii="Times New Roman" w:eastAsia="Times New Roman" w:hAnsi="Times New Roman" w:cs="Times New Roman"/>
          <w:sz w:val="24"/>
          <w:szCs w:val="24"/>
        </w:rPr>
      </w:pPr>
    </w:p>
    <w:p w14:paraId="0BF7579E"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Les hypothèses de nullité en droit coopératif sont incertaines, mais ironiquement il est possible d’y voir une amélioration par rapport à la situation antérieure qui ne lui faisait aucune place. Tout comme en droit commun des sociétés cependant, cette extension est contre-balancée par la multiplication des mécanismes de cantonnement et il convient de discuter leur incidence en cette matière.</w:t>
      </w:r>
    </w:p>
    <w:p w14:paraId="2AE90996" w14:textId="77777777" w:rsidR="00B4419E" w:rsidRDefault="00B4419E">
      <w:pPr>
        <w:pStyle w:val="CorpsA"/>
        <w:jc w:val="both"/>
        <w:rPr>
          <w:rStyle w:val="Aucun"/>
          <w:rFonts w:ascii="Times New Roman" w:eastAsia="Times New Roman" w:hAnsi="Times New Roman" w:cs="Times New Roman"/>
          <w:sz w:val="24"/>
          <w:szCs w:val="24"/>
        </w:rPr>
      </w:pPr>
    </w:p>
    <w:p w14:paraId="49219A61" w14:textId="77777777" w:rsidR="00B4419E" w:rsidRDefault="00BF3F37">
      <w:pPr>
        <w:pStyle w:val="CorpsA"/>
        <w:numPr>
          <w:ilvl w:val="0"/>
          <w:numId w:val="10"/>
        </w:numPr>
        <w:jc w:val="both"/>
        <w:rPr>
          <w:rFonts w:ascii="Times New Roman" w:hAnsi="Times New Roman"/>
          <w:sz w:val="24"/>
          <w:szCs w:val="24"/>
        </w:rPr>
      </w:pPr>
      <w:r>
        <w:rPr>
          <w:rStyle w:val="Aucun"/>
          <w:rFonts w:ascii="Times New Roman" w:hAnsi="Times New Roman"/>
          <w:sz w:val="24"/>
          <w:szCs w:val="24"/>
        </w:rPr>
        <w:t xml:space="preserve"> La modulation de la mise en oeuvre des nouvelles nullités</w:t>
      </w:r>
    </w:p>
    <w:p w14:paraId="292C61BE" w14:textId="77777777" w:rsidR="00B4419E" w:rsidRDefault="00B4419E">
      <w:pPr>
        <w:pStyle w:val="CorpsA"/>
        <w:jc w:val="both"/>
        <w:rPr>
          <w:rStyle w:val="Aucun"/>
          <w:rFonts w:ascii="Times New Roman" w:eastAsia="Times New Roman" w:hAnsi="Times New Roman" w:cs="Times New Roman"/>
          <w:sz w:val="24"/>
          <w:szCs w:val="24"/>
        </w:rPr>
      </w:pPr>
    </w:p>
    <w:p w14:paraId="26AE7C15"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Le contre-poids de l’extension du champ potentiel de la nullité réside dans la multiplication des mécanismes mis en place pour en cantonner les effets, voire pour éviter purement et simplement son prononcé. Or la consécration de ces nouveaux mécanismes par la réforme des nullités en droit des sociétés est caractérisée, l’ensemble des commentateurs le relèvent (qu’ils le regrettent ou non) par une augmentation des pouvoirs du juge, bien souvent au coeur des dispositifs mis en place. Pourtant, les instruments de modération à la disposition du juge (A) sont complétés par d’autres qui s’imposent à lui (B).</w:t>
      </w:r>
    </w:p>
    <w:p w14:paraId="0EDB051A" w14:textId="77777777" w:rsidR="00B4419E" w:rsidRDefault="00B4419E">
      <w:pPr>
        <w:pStyle w:val="CorpsA"/>
        <w:jc w:val="both"/>
        <w:rPr>
          <w:rStyle w:val="Aucun"/>
          <w:rFonts w:ascii="Times New Roman" w:eastAsia="Times New Roman" w:hAnsi="Times New Roman" w:cs="Times New Roman"/>
          <w:sz w:val="24"/>
          <w:szCs w:val="24"/>
        </w:rPr>
      </w:pPr>
    </w:p>
    <w:p w14:paraId="035F7743" w14:textId="77777777" w:rsidR="00B4419E" w:rsidRDefault="00BF3F37">
      <w:pPr>
        <w:pStyle w:val="CorpsA"/>
        <w:numPr>
          <w:ilvl w:val="0"/>
          <w:numId w:val="12"/>
        </w:numPr>
        <w:jc w:val="both"/>
        <w:rPr>
          <w:rFonts w:ascii="Times New Roman" w:hAnsi="Times New Roman"/>
          <w:sz w:val="24"/>
          <w:szCs w:val="24"/>
        </w:rPr>
      </w:pPr>
      <w:r>
        <w:rPr>
          <w:rStyle w:val="Aucun"/>
          <w:rFonts w:ascii="Times New Roman" w:hAnsi="Times New Roman"/>
          <w:sz w:val="24"/>
          <w:szCs w:val="24"/>
        </w:rPr>
        <w:t xml:space="preserve"> Les instruments de modération des effets de la nullité à disposition du juge</w:t>
      </w:r>
    </w:p>
    <w:p w14:paraId="006EFD64" w14:textId="77777777" w:rsidR="00B4419E" w:rsidRDefault="00B4419E">
      <w:pPr>
        <w:pStyle w:val="CorpsA"/>
        <w:jc w:val="both"/>
        <w:rPr>
          <w:rStyle w:val="Aucun"/>
          <w:rFonts w:ascii="Times New Roman" w:eastAsia="Times New Roman" w:hAnsi="Times New Roman" w:cs="Times New Roman"/>
          <w:sz w:val="24"/>
          <w:szCs w:val="24"/>
        </w:rPr>
      </w:pPr>
    </w:p>
    <w:p w14:paraId="3CFB93B6"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Deux mécanismes sont mis en avant à cet égard, qui doivent être étudiés </w:t>
      </w:r>
      <w:bookmarkStart w:id="77" w:name="_Int_Eii2306t"/>
      <w:r>
        <w:rPr>
          <w:rStyle w:val="Aucun"/>
          <w:rFonts w:ascii="Times New Roman" w:hAnsi="Times New Roman"/>
          <w:sz w:val="24"/>
          <w:szCs w:val="24"/>
        </w:rPr>
        <w:t>successivement:</w:t>
      </w:r>
      <w:bookmarkEnd w:id="77"/>
      <w:r>
        <w:rPr>
          <w:rStyle w:val="Aucun"/>
          <w:rFonts w:ascii="Times New Roman" w:hAnsi="Times New Roman"/>
          <w:sz w:val="24"/>
          <w:szCs w:val="24"/>
        </w:rPr>
        <w:t xml:space="preserve"> d’un côté ce qu’il est convenu d’appeler le triple test (1), de l’autre la modulation des effets dans le temps (2). Mais une remarque générale s’impose au préalable, qui nuance l’étendue des nouveaux pouvoirs reconnus au juge. En effet, il ne s’agit pas de pouvoirs discrétionnaires et les dispositions nouvelles fournissent des critères pour l’application des </w:t>
      </w:r>
      <w:bookmarkStart w:id="78" w:name="_Int_GsHgikLj"/>
      <w:r>
        <w:rPr>
          <w:rStyle w:val="Aucun"/>
          <w:rFonts w:ascii="Times New Roman" w:hAnsi="Times New Roman"/>
          <w:sz w:val="24"/>
          <w:szCs w:val="24"/>
        </w:rPr>
        <w:t>textes;</w:t>
      </w:r>
      <w:bookmarkEnd w:id="78"/>
      <w:r>
        <w:rPr>
          <w:rStyle w:val="Aucun"/>
          <w:rFonts w:ascii="Times New Roman" w:hAnsi="Times New Roman"/>
          <w:sz w:val="24"/>
          <w:szCs w:val="24"/>
        </w:rPr>
        <w:t xml:space="preserve"> or ces critères constituent des notions juridiques dont il appartiendra en principe à la </w:t>
      </w:r>
      <w:bookmarkStart w:id="79" w:name="_Int_EEpfbgtK"/>
      <w:r>
        <w:rPr>
          <w:rStyle w:val="Aucun"/>
          <w:rFonts w:ascii="Times New Roman" w:hAnsi="Times New Roman"/>
          <w:sz w:val="24"/>
          <w:szCs w:val="24"/>
        </w:rPr>
        <w:t>cour</w:t>
      </w:r>
      <w:bookmarkEnd w:id="79"/>
      <w:r>
        <w:rPr>
          <w:rStyle w:val="Aucun"/>
          <w:rFonts w:ascii="Times New Roman" w:hAnsi="Times New Roman"/>
          <w:sz w:val="24"/>
          <w:szCs w:val="24"/>
        </w:rPr>
        <w:t xml:space="preserve"> de cassation de définir les contours. Autrement dit, les pouvoirs des juges du fond seront, au moins à cet égard, soumis au contrôle de la haute juridiction. Or ce contrôle devrait porter tant sur l’usage des pouvoirs accordés au juge que sur leur non usage; il en résulte que présenter ces pouvoirs comme à la disposition du juge est trompeur. Ces pouvoirs sont certes accordés au juge, ils ne sont pas à sa disposition; il lui appartiendra de s’en servir lorsque les conditions seront réunies. Ceci est de nature à réduire les inquiétudes d’insécurité juridique fréquemment évoquées.</w:t>
      </w:r>
    </w:p>
    <w:p w14:paraId="1A5E714E" w14:textId="77777777" w:rsidR="00B4419E" w:rsidRDefault="00B4419E">
      <w:pPr>
        <w:pStyle w:val="CorpsA"/>
        <w:jc w:val="both"/>
        <w:rPr>
          <w:rStyle w:val="Aucun"/>
          <w:rFonts w:ascii="Times New Roman" w:eastAsia="Times New Roman" w:hAnsi="Times New Roman" w:cs="Times New Roman"/>
          <w:sz w:val="24"/>
          <w:szCs w:val="24"/>
        </w:rPr>
      </w:pPr>
    </w:p>
    <w:p w14:paraId="342D8784" w14:textId="77777777" w:rsidR="00B4419E" w:rsidRDefault="00BF3F37">
      <w:pPr>
        <w:pStyle w:val="CorpsA"/>
        <w:numPr>
          <w:ilvl w:val="0"/>
          <w:numId w:val="14"/>
        </w:numPr>
        <w:jc w:val="both"/>
        <w:rPr>
          <w:rFonts w:ascii="Times New Roman" w:hAnsi="Times New Roman"/>
          <w:sz w:val="24"/>
          <w:szCs w:val="24"/>
        </w:rPr>
      </w:pPr>
      <w:r>
        <w:rPr>
          <w:rStyle w:val="Aucun"/>
          <w:rFonts w:ascii="Times New Roman" w:hAnsi="Times New Roman"/>
          <w:sz w:val="24"/>
          <w:szCs w:val="24"/>
        </w:rPr>
        <w:t xml:space="preserve"> Le triple test</w:t>
      </w:r>
    </w:p>
    <w:p w14:paraId="51B4A60C" w14:textId="77777777" w:rsidR="00B4419E" w:rsidRDefault="00B4419E">
      <w:pPr>
        <w:pStyle w:val="CorpsA"/>
        <w:jc w:val="both"/>
        <w:rPr>
          <w:rStyle w:val="Aucun"/>
          <w:rFonts w:ascii="Times New Roman" w:eastAsia="Times New Roman" w:hAnsi="Times New Roman" w:cs="Times New Roman"/>
          <w:sz w:val="24"/>
          <w:szCs w:val="24"/>
        </w:rPr>
      </w:pPr>
    </w:p>
    <w:p w14:paraId="1A53050F"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Le triple test correspond aux trois conditions posées pour que la nullité des décisions sociales puisse être prononcée par le juge</w:t>
      </w:r>
      <w:r>
        <w:rPr>
          <w:rStyle w:val="Aucun"/>
          <w:rFonts w:ascii="Times New Roman" w:eastAsia="Times New Roman" w:hAnsi="Times New Roman" w:cs="Times New Roman"/>
          <w:sz w:val="24"/>
          <w:szCs w:val="24"/>
          <w:vertAlign w:val="superscript"/>
        </w:rPr>
        <w:footnoteReference w:id="72"/>
      </w:r>
      <w:r>
        <w:rPr>
          <w:rStyle w:val="Aucun"/>
          <w:rFonts w:ascii="Times New Roman" w:hAnsi="Times New Roman"/>
          <w:sz w:val="24"/>
          <w:szCs w:val="24"/>
        </w:rPr>
        <w:t>: un grief du demandeur résultant d'une atteinte à l'intérêt protégé par la règle dont la violation est invoquée, l’influence de l’irrégularité sur le sens de la décision, et l’absence de conséquences excessives de la nullité pour l'intérêt social au jour de la décision la prononçant, au regard de l'atteinte à l'intérêt dont la protection est invoquée. Ces critères sont raisonnablement clairs et ne seront pas commentés dans cette étude; le lecteur est renvoyé pour des analyses plus approfondies aux commentaires de droit des sociétés.</w:t>
      </w:r>
    </w:p>
    <w:p w14:paraId="7DF5DD19" w14:textId="77777777" w:rsidR="00B4419E" w:rsidRDefault="00B4419E">
      <w:pPr>
        <w:pStyle w:val="CorpsA"/>
        <w:jc w:val="both"/>
        <w:rPr>
          <w:rStyle w:val="Aucun"/>
          <w:rFonts w:ascii="Times New Roman" w:eastAsia="Times New Roman" w:hAnsi="Times New Roman" w:cs="Times New Roman"/>
          <w:sz w:val="24"/>
          <w:szCs w:val="24"/>
        </w:rPr>
      </w:pPr>
    </w:p>
    <w:p w14:paraId="5C300151"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Mais une question mérite d’être éclairée ici: celle de savoir quelles sont les nullités soumises au triple test et celles qui y échappent. Les premières seraient des nullités facultatives souveraines</w:t>
      </w:r>
      <w:r>
        <w:rPr>
          <w:rStyle w:val="Aucun"/>
          <w:rFonts w:ascii="Times New Roman" w:eastAsia="Times New Roman" w:hAnsi="Times New Roman" w:cs="Times New Roman"/>
          <w:sz w:val="24"/>
          <w:szCs w:val="24"/>
          <w:vertAlign w:val="superscript"/>
        </w:rPr>
        <w:footnoteReference w:id="73"/>
      </w:r>
      <w:r>
        <w:rPr>
          <w:rStyle w:val="Aucun"/>
          <w:rFonts w:ascii="Times New Roman" w:hAnsi="Times New Roman"/>
          <w:sz w:val="24"/>
          <w:szCs w:val="24"/>
        </w:rPr>
        <w:t xml:space="preserve"> tandis que les secondes seraient des nullités obligatoires</w:t>
      </w:r>
      <w:r>
        <w:rPr>
          <w:rStyle w:val="Aucun"/>
          <w:rFonts w:ascii="Times New Roman" w:eastAsia="Times New Roman" w:hAnsi="Times New Roman" w:cs="Times New Roman"/>
          <w:sz w:val="24"/>
          <w:szCs w:val="24"/>
          <w:vertAlign w:val="superscript"/>
        </w:rPr>
        <w:footnoteReference w:id="74"/>
      </w:r>
      <w:r>
        <w:rPr>
          <w:rStyle w:val="Aucun"/>
          <w:rFonts w:ascii="Times New Roman" w:hAnsi="Times New Roman"/>
          <w:sz w:val="24"/>
          <w:szCs w:val="24"/>
        </w:rPr>
        <w:t>. Cette distinction est évidemment fondamentale, puisque les secondes seront systématiquement prononcées, sans égard au contexte dans lequel elles se situent. A l’inverse, sans considérer qu’elles sont à proprement parler facultatives pour le juge, le prononcé des premières n’interviendra que dans des circonstances particulières au terme du triple test. Or la méthode logistique choisie pour déterminer les deux catégories a consisté à insérer la formule « L</w:t>
      </w:r>
      <w:r>
        <w:rPr>
          <w:rStyle w:val="Aucun"/>
          <w:rFonts w:ascii="Times New Roman" w:hAnsi="Times New Roman"/>
          <w:sz w:val="24"/>
          <w:szCs w:val="24"/>
          <w:rtl/>
          <w:lang w:val="ar-SA"/>
        </w:rPr>
        <w:t>’</w:t>
      </w:r>
      <w:r>
        <w:rPr>
          <w:rStyle w:val="Aucun"/>
          <w:rFonts w:ascii="Times New Roman" w:hAnsi="Times New Roman"/>
          <w:sz w:val="24"/>
          <w:szCs w:val="24"/>
        </w:rPr>
        <w:t>article 1844-12-1 du Code civil n</w:t>
      </w:r>
      <w:r>
        <w:rPr>
          <w:rStyle w:val="Aucun"/>
          <w:rFonts w:ascii="Times New Roman" w:hAnsi="Times New Roman"/>
          <w:sz w:val="24"/>
          <w:szCs w:val="24"/>
          <w:rtl/>
          <w:lang w:val="ar-SA"/>
        </w:rPr>
        <w:t>’</w:t>
      </w:r>
      <w:r>
        <w:rPr>
          <w:rStyle w:val="Aucun"/>
          <w:rFonts w:ascii="Times New Roman" w:hAnsi="Times New Roman"/>
          <w:sz w:val="24"/>
          <w:szCs w:val="24"/>
        </w:rPr>
        <w:t>est pas applicable » dans les dispositions concernées. Le choix est apparemment simple et n’ouvre pas matière à discussion, ce dont il serait permis de se réjouir. Caroline Coupet relève toutefois une difficulté pour les futures nullités textuelles pour lesquelles le législateur aura omis de préciser l’inapplication du triple test et qui seraient donc sujettes à interprétation, tout comme pour les nullités statutaires dans les SAS</w:t>
      </w:r>
      <w:r>
        <w:rPr>
          <w:rStyle w:val="Aucun"/>
          <w:rFonts w:ascii="Times New Roman" w:eastAsia="Times New Roman" w:hAnsi="Times New Roman" w:cs="Times New Roman"/>
          <w:sz w:val="24"/>
          <w:szCs w:val="24"/>
          <w:vertAlign w:val="superscript"/>
        </w:rPr>
        <w:footnoteReference w:id="75"/>
      </w:r>
      <w:r>
        <w:rPr>
          <w:rStyle w:val="Aucun"/>
          <w:rFonts w:ascii="Times New Roman" w:hAnsi="Times New Roman"/>
          <w:sz w:val="24"/>
          <w:szCs w:val="24"/>
        </w:rPr>
        <w:t>.</w:t>
      </w:r>
    </w:p>
    <w:p w14:paraId="38AF565F" w14:textId="77777777" w:rsidR="00B4419E" w:rsidRDefault="00B4419E">
      <w:pPr>
        <w:pStyle w:val="CorpsA"/>
        <w:jc w:val="both"/>
        <w:rPr>
          <w:rStyle w:val="Aucun"/>
          <w:rFonts w:ascii="Times New Roman" w:eastAsia="Times New Roman" w:hAnsi="Times New Roman" w:cs="Times New Roman"/>
          <w:sz w:val="24"/>
          <w:szCs w:val="24"/>
        </w:rPr>
      </w:pPr>
    </w:p>
    <w:p w14:paraId="39913B1A"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Il y a peut-être une incertitude beaucoup plus large, pour toutes nullités virtuelles, c’est-à-dire des dispositions impératives du droit des sociétés qui n’indiquent pas explicitement qu’elles sont la base d’une possible nullité mais qui le sont par nature. Certes, il serait possible d’inférer de l’absence d’exclusion de l’application de l’article 1844-12-1 son application systématique. La solution présente toutefois des inconvénients graves quant au fond. Qui plus est, si les nullités textuelles futures sont sujettes à interprétation, le silence présent dans les nullités virtuelles est a fortiori de nature à susciter des hésitations. Sur le fond, le problème est lié aux défauts de principe du triple test. En effet, la soumission du prononcé de la nullité à des conditions lui fait perdre de sa force et ceci rejaillit sur la règle sanctionnée par la nullité. Il est parfaitement cohérent de ne prononcer la nullité qu’à certaines conditions pour tenir compte de ses effets dévastateurs; il n’en demeure pas moins que l’absence d’automaticité de la sanction réduit son caractère dissuasif et affaiblit l’impérativité de la règle sanctionnée.</w:t>
      </w:r>
    </w:p>
    <w:p w14:paraId="13951DF4" w14:textId="77777777" w:rsidR="00B4419E" w:rsidRDefault="00B4419E">
      <w:pPr>
        <w:pStyle w:val="CorpsA"/>
        <w:jc w:val="both"/>
        <w:rPr>
          <w:rStyle w:val="Aucun"/>
          <w:rFonts w:ascii="Times New Roman" w:eastAsia="Times New Roman" w:hAnsi="Times New Roman" w:cs="Times New Roman"/>
          <w:sz w:val="24"/>
          <w:szCs w:val="24"/>
        </w:rPr>
      </w:pPr>
    </w:p>
    <w:p w14:paraId="5AAAD462"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Le débat présente une particulière acuité en droit coopératif puisque toutes les nullités y sont virtuelles, en dehors des rares exemples du droit coopératif agricole. Exclure l’hypothèse de la nullité obligatoire pour toutes les nullités virtuelles revient donc à ne pas admettre leur existence en droit coopératif. Compte tenu de la sévérité des trois critères du triple test, notamment l’influence de l’irrégularité sur la décision, cela reviendrait peu ou prou à reprendre de l’autre ce que l’extension du champ de la nullité avait semblé donner d’une main au droit coopératif. L’argument d’opportunité ne peut être central pour trancher mais il est permis de l’invoquer lorsque le débat exégétique et technique n’est pas décisif.</w:t>
      </w:r>
    </w:p>
    <w:p w14:paraId="66A29D06" w14:textId="77777777" w:rsidR="00B4419E" w:rsidRDefault="00B4419E">
      <w:pPr>
        <w:pStyle w:val="CorpsA"/>
        <w:jc w:val="both"/>
        <w:rPr>
          <w:rStyle w:val="Aucun"/>
          <w:rFonts w:ascii="Times New Roman" w:eastAsia="Times New Roman" w:hAnsi="Times New Roman" w:cs="Times New Roman"/>
          <w:sz w:val="24"/>
          <w:szCs w:val="24"/>
        </w:rPr>
      </w:pPr>
    </w:p>
    <w:p w14:paraId="076EDED4"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Tout en regrettant que le législateur n’ait pas consacré la distinction proposée par Mme Guégan dans sa thèse entre les irrégularités tenant au processus de décision, propices au double test, et les irrégularités dont le contenu même est illicite qui y serait rétive, </w:t>
      </w:r>
    </w:p>
    <w:p w14:paraId="436710DB"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Caroline Coupet propose une classification des nullités obligatoires explicitement consacrées par la réforme, tout en reconnaissant que cette classification ne constitue pas une systématisation satisfaisante</w:t>
      </w:r>
      <w:r>
        <w:rPr>
          <w:rStyle w:val="Aucun"/>
          <w:rFonts w:ascii="Times New Roman" w:eastAsia="Times New Roman" w:hAnsi="Times New Roman" w:cs="Times New Roman"/>
          <w:sz w:val="24"/>
          <w:szCs w:val="24"/>
          <w:vertAlign w:val="superscript"/>
        </w:rPr>
        <w:footnoteReference w:id="76"/>
      </w:r>
      <w:r>
        <w:rPr>
          <w:rStyle w:val="Aucun"/>
          <w:rFonts w:ascii="Times New Roman" w:hAnsi="Times New Roman"/>
          <w:sz w:val="24"/>
          <w:szCs w:val="24"/>
        </w:rPr>
        <w:t>: composition des organes de direction, d’administration et de surveillance, rémunération du dirigeant, compétence pour la nomination des membres des organes, gravité de la décision (dont l’obligation de constituer une réserve). La fragilité assumée de cette présentation ne permet pas de l’utiliser pour proposer un critère d’identification des nullités obligatoires en droit coopératif.</w:t>
      </w:r>
    </w:p>
    <w:p w14:paraId="63FE70FB"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Les rares nullités légales du droit coopératif agricole ne semblent pas avoir été considérées lors de la réforme, si bien qu’aucune d’entre elles n’intègre la clause de style qui la transformerait en nullité obligatoire. Il n’est donc pas possible d’y chercher une quelconque inspiration pour trouver un critère. L’exclusion du critère de l’absence de sanction pénale pour refuser à une disposition le qualificatif d’ « impérative » qui ouvre la voie à l’annulation peut peut-être être réintroduit pour refuser la qualification de nullité absolue. Au titre de la violation de règles spécialement coopératives, on relèvera notamment la répartition irrégulière d’excédents sous diverses formes</w:t>
      </w:r>
      <w:r>
        <w:rPr>
          <w:rStyle w:val="Aucun"/>
          <w:rFonts w:ascii="Times New Roman" w:eastAsia="Times New Roman" w:hAnsi="Times New Roman" w:cs="Times New Roman"/>
          <w:sz w:val="24"/>
          <w:szCs w:val="24"/>
          <w:vertAlign w:val="superscript"/>
        </w:rPr>
        <w:footnoteReference w:id="77"/>
      </w:r>
      <w:r>
        <w:rPr>
          <w:rStyle w:val="Aucun"/>
          <w:rFonts w:ascii="Times New Roman" w:hAnsi="Times New Roman"/>
          <w:sz w:val="24"/>
          <w:szCs w:val="24"/>
        </w:rPr>
        <w:t>. Mais il est clair qu’un raisonnement par analogie à l’égard du droit commun des sociétés, manié avec précaution, pourra aussi être utilisé. Un exemple probant peut être pris dans la composition irrégulière d’un organe, que ce soit en raison de la violation des règles relatives à l’âge ou au genre.</w:t>
      </w:r>
    </w:p>
    <w:p w14:paraId="33413BB4" w14:textId="77777777" w:rsidR="00B4419E" w:rsidRDefault="00B4419E">
      <w:pPr>
        <w:pStyle w:val="CorpsA"/>
        <w:jc w:val="both"/>
        <w:rPr>
          <w:rStyle w:val="Aucun"/>
          <w:rFonts w:ascii="Times New Roman" w:eastAsia="Times New Roman" w:hAnsi="Times New Roman" w:cs="Times New Roman"/>
          <w:sz w:val="24"/>
          <w:szCs w:val="24"/>
        </w:rPr>
      </w:pPr>
    </w:p>
    <w:p w14:paraId="689C3F28" w14:textId="77777777" w:rsidR="00B4419E" w:rsidRDefault="00BF3F37">
      <w:pPr>
        <w:pStyle w:val="CorpsA"/>
        <w:numPr>
          <w:ilvl w:val="0"/>
          <w:numId w:val="14"/>
        </w:numPr>
        <w:jc w:val="both"/>
        <w:rPr>
          <w:rFonts w:ascii="Times New Roman" w:hAnsi="Times New Roman"/>
          <w:sz w:val="24"/>
          <w:szCs w:val="24"/>
        </w:rPr>
      </w:pPr>
      <w:r>
        <w:rPr>
          <w:rStyle w:val="Aucun"/>
          <w:rFonts w:ascii="Times New Roman" w:hAnsi="Times New Roman"/>
          <w:sz w:val="24"/>
          <w:szCs w:val="24"/>
        </w:rPr>
        <w:t xml:space="preserve"> La modulation des effets dans le temps</w:t>
      </w:r>
    </w:p>
    <w:p w14:paraId="4D2FC868" w14:textId="77777777" w:rsidR="00B4419E" w:rsidRDefault="00B4419E">
      <w:pPr>
        <w:pStyle w:val="CorpsA"/>
        <w:jc w:val="both"/>
        <w:rPr>
          <w:rStyle w:val="Aucun"/>
          <w:rFonts w:ascii="Times New Roman" w:eastAsia="Times New Roman" w:hAnsi="Times New Roman" w:cs="Times New Roman"/>
          <w:sz w:val="24"/>
          <w:szCs w:val="24"/>
        </w:rPr>
      </w:pPr>
    </w:p>
    <w:p w14:paraId="3D2826AE"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A côté du triple test, le juge dispose d’une seconde marge d’appréciation au regard des effets de la décision pour en moduler les effets</w:t>
      </w:r>
      <w:r>
        <w:rPr>
          <w:rStyle w:val="Aucun"/>
          <w:rFonts w:ascii="Times New Roman" w:eastAsia="Times New Roman" w:hAnsi="Times New Roman" w:cs="Times New Roman"/>
          <w:sz w:val="24"/>
          <w:szCs w:val="24"/>
          <w:vertAlign w:val="superscript"/>
        </w:rPr>
        <w:footnoteReference w:id="78"/>
      </w:r>
      <w:r>
        <w:rPr>
          <w:rStyle w:val="Aucun"/>
          <w:rFonts w:ascii="Times New Roman" w:hAnsi="Times New Roman"/>
          <w:sz w:val="24"/>
          <w:szCs w:val="24"/>
        </w:rPr>
        <w:t>. En présence d’ « Effets manifestement excessifs pour l’intérêt social » de la rétroactivité de la nullité, ses effets peuvent être différés. Avec d’autres, l’auteur de cette présentation se contentera de relever la difficulté à trouver sa place précise au mécanisme dans le nouveau dispositif d’ensemble. En effet, le critère des effets excessifs se retrouve déjà au stade du triple test</w:t>
      </w:r>
      <w:r>
        <w:rPr>
          <w:rStyle w:val="Aucun"/>
          <w:rFonts w:ascii="Times New Roman" w:eastAsia="Times New Roman" w:hAnsi="Times New Roman" w:cs="Times New Roman"/>
          <w:sz w:val="24"/>
          <w:szCs w:val="24"/>
          <w:vertAlign w:val="superscript"/>
        </w:rPr>
        <w:footnoteReference w:id="79"/>
      </w:r>
      <w:r>
        <w:rPr>
          <w:rStyle w:val="Aucun"/>
          <w:rFonts w:ascii="Times New Roman" w:hAnsi="Times New Roman"/>
          <w:sz w:val="24"/>
          <w:szCs w:val="24"/>
        </w:rPr>
        <w:t>, qui lui peut faire obstacle au principe même du prononcé de la nullité, mais il est vrai qu’il existe des nullités qui échappent au triple test et que la lettre des deux dispositions n’est pas parfaitement identique. Ce pouvoir de modulation du juge est cette fois assez large: si la loi fournit un critère pour son déclenchement, qui devra être contrôlé par la Cour de cassation, il n’en va pas de même de l’exercice du pouvoir de différer les effets. Il est possible de proposer que ce pouvoir cesse dès lors que les effets de la rétroactivité ne sont plus jugés excessifs pour l’intérêt social, mais ceci demeure vague. Une seule certitude ressort de la lettre du texte: la modulation ne peut concerner que le passé puisqu’elle est liée à la rétroactivité; elle ne permet pas au juge de différer des effets postérieurement à la date d’introduction de l’instance.</w:t>
      </w:r>
    </w:p>
    <w:p w14:paraId="4860C670" w14:textId="77777777" w:rsidR="00B4419E" w:rsidRDefault="00B4419E">
      <w:pPr>
        <w:pStyle w:val="CorpsA"/>
        <w:jc w:val="both"/>
        <w:rPr>
          <w:rStyle w:val="Aucun"/>
          <w:rFonts w:ascii="Times New Roman" w:eastAsia="Times New Roman" w:hAnsi="Times New Roman" w:cs="Times New Roman"/>
          <w:sz w:val="24"/>
          <w:szCs w:val="24"/>
        </w:rPr>
      </w:pPr>
    </w:p>
    <w:p w14:paraId="43A99FBD" w14:textId="77777777" w:rsidR="00B4419E" w:rsidRDefault="00BF3F37">
      <w:pPr>
        <w:pStyle w:val="CorpsA"/>
        <w:numPr>
          <w:ilvl w:val="0"/>
          <w:numId w:val="15"/>
        </w:numPr>
        <w:jc w:val="both"/>
        <w:rPr>
          <w:rFonts w:ascii="Times New Roman" w:hAnsi="Times New Roman"/>
          <w:sz w:val="24"/>
          <w:szCs w:val="24"/>
        </w:rPr>
      </w:pPr>
      <w:r>
        <w:rPr>
          <w:rStyle w:val="Aucun"/>
          <w:rFonts w:ascii="Times New Roman" w:hAnsi="Times New Roman"/>
          <w:sz w:val="24"/>
          <w:szCs w:val="24"/>
        </w:rPr>
        <w:t xml:space="preserve"> Les instruments de modération des effets de la nullité qui s’imposent au juge</w:t>
      </w:r>
    </w:p>
    <w:p w14:paraId="5D61E276" w14:textId="77777777" w:rsidR="00B4419E" w:rsidRDefault="00B4419E">
      <w:pPr>
        <w:pStyle w:val="CorpsA"/>
        <w:jc w:val="both"/>
        <w:rPr>
          <w:rStyle w:val="Aucun"/>
          <w:rFonts w:ascii="Times New Roman" w:eastAsia="Times New Roman" w:hAnsi="Times New Roman" w:cs="Times New Roman"/>
          <w:sz w:val="24"/>
          <w:szCs w:val="24"/>
        </w:rPr>
      </w:pPr>
    </w:p>
    <w:p w14:paraId="0F39A9AE"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La première limite posée à l’extension pratique des nullités en dehors des pouvoirs des juges résulte, en droit coopératif comme en droit des sociétés, de la réduction du délai de prescription de trois à deux ans</w:t>
      </w:r>
      <w:r>
        <w:rPr>
          <w:rStyle w:val="Aucun"/>
          <w:rFonts w:ascii="Times New Roman" w:eastAsia="Times New Roman" w:hAnsi="Times New Roman" w:cs="Times New Roman"/>
          <w:sz w:val="24"/>
          <w:szCs w:val="24"/>
          <w:vertAlign w:val="superscript"/>
        </w:rPr>
        <w:footnoteReference w:id="80"/>
      </w:r>
      <w:r>
        <w:rPr>
          <w:rStyle w:val="Aucun"/>
          <w:rFonts w:ascii="Times New Roman" w:hAnsi="Times New Roman"/>
          <w:sz w:val="24"/>
          <w:szCs w:val="24"/>
        </w:rPr>
        <w:t>. Dans le silence des textes coopératifs, la règle s’y applique sans limite. En revanche, cette application produit un découplage entre le délai de prescription de la nullité et de la responsabilité des dirigeants qui peut l’accompagner, au moins en matière de coopération agricole: ce délai de responsabilité y est fixé à trois ans, voire dix ans lorsque les faits constitutifs de la nullité sont qualifiés de crime</w:t>
      </w:r>
      <w:r>
        <w:rPr>
          <w:rStyle w:val="Aucun"/>
          <w:rFonts w:ascii="Times New Roman" w:eastAsia="Times New Roman" w:hAnsi="Times New Roman" w:cs="Times New Roman"/>
          <w:sz w:val="24"/>
          <w:szCs w:val="24"/>
          <w:vertAlign w:val="superscript"/>
        </w:rPr>
        <w:footnoteReference w:id="81"/>
      </w:r>
      <w:r>
        <w:rPr>
          <w:rStyle w:val="Aucun"/>
          <w:rFonts w:ascii="Times New Roman" w:hAnsi="Times New Roman"/>
          <w:sz w:val="24"/>
          <w:szCs w:val="24"/>
        </w:rPr>
        <w:t>. Il est vrai que la prescription de l’action en responsabilité de droit commun demeure elle aussi de trois ans</w:t>
      </w:r>
      <w:r>
        <w:rPr>
          <w:rStyle w:val="Aucun"/>
          <w:rFonts w:ascii="Times New Roman" w:eastAsia="Times New Roman" w:hAnsi="Times New Roman" w:cs="Times New Roman"/>
          <w:sz w:val="24"/>
          <w:szCs w:val="24"/>
          <w:vertAlign w:val="superscript"/>
        </w:rPr>
        <w:footnoteReference w:id="82"/>
      </w:r>
      <w:r>
        <w:rPr>
          <w:rStyle w:val="Aucun"/>
          <w:rFonts w:ascii="Times New Roman" w:hAnsi="Times New Roman"/>
          <w:sz w:val="24"/>
          <w:szCs w:val="24"/>
        </w:rPr>
        <w:t>. En revanche, le point de départ du délai de droit commun diffère de la matière de la coopération agricole: la date à laquelle la décision d’annulation est passée en force de chose jugée en droit commun, la date du fait dommageable ou de sa révélation en coopération agricole. Les deux dates diffèrent, mais la lettre de l’article 1844-17 du code civil soulève une question beaucoup plus fondamentale.</w:t>
      </w:r>
    </w:p>
    <w:p w14:paraId="322F1F66" w14:textId="77777777" w:rsidR="00B4419E" w:rsidRDefault="00B4419E">
      <w:pPr>
        <w:pStyle w:val="CorpsA"/>
        <w:jc w:val="both"/>
        <w:rPr>
          <w:rStyle w:val="Aucun"/>
          <w:rFonts w:ascii="Times New Roman" w:eastAsia="Times New Roman" w:hAnsi="Times New Roman" w:cs="Times New Roman"/>
          <w:sz w:val="24"/>
          <w:szCs w:val="24"/>
        </w:rPr>
      </w:pPr>
    </w:p>
    <w:p w14:paraId="54D465D1"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Le nouvel article 1844-17 se substitue à l’ancien article 1844-14; or celui-ci fixait le point de départ de la prescription au  « jour où la nullité est encourue », ce qui est peu ou prou identique au code rural. La nouvelle formulation ne modifie pas seulement la date du point de départ, elle introduit en matière de responsabilité une référence qu’elle ne connaissait pas: la décision du juge sur la nullité de la décision. Or une incertitude existait à propos des relations entre nullité et responsabilité liée à cette nullité: est-il possible de mettre en jeu la responsabilité en lien avec une nullité de décision sociale sans invoquer cette nullité</w:t>
      </w:r>
      <w:r>
        <w:rPr>
          <w:rStyle w:val="Aucun"/>
          <w:rFonts w:ascii="Times New Roman" w:eastAsia="Times New Roman" w:hAnsi="Times New Roman" w:cs="Times New Roman"/>
          <w:sz w:val="24"/>
          <w:szCs w:val="24"/>
          <w:vertAlign w:val="superscript"/>
        </w:rPr>
        <w:footnoteReference w:id="83"/>
      </w:r>
      <w:r>
        <w:rPr>
          <w:rStyle w:val="Aucun"/>
          <w:rFonts w:ascii="Times New Roman" w:hAnsi="Times New Roman"/>
          <w:sz w:val="24"/>
          <w:szCs w:val="24"/>
        </w:rPr>
        <w:t>? La cour de cassation a répondu par l’affirmative en 2022</w:t>
      </w:r>
      <w:r>
        <w:rPr>
          <w:rStyle w:val="Aucun"/>
          <w:rFonts w:ascii="Times New Roman" w:eastAsia="Times New Roman" w:hAnsi="Times New Roman" w:cs="Times New Roman"/>
          <w:sz w:val="24"/>
          <w:szCs w:val="24"/>
          <w:vertAlign w:val="superscript"/>
        </w:rPr>
        <w:footnoteReference w:id="84"/>
      </w:r>
      <w:r>
        <w:rPr>
          <w:rStyle w:val="Aucun"/>
          <w:rFonts w:ascii="Times New Roman" w:hAnsi="Times New Roman"/>
          <w:sz w:val="24"/>
          <w:szCs w:val="24"/>
        </w:rPr>
        <w:t>, mais il n’est pas certain que cette réponse soit encore valide avec le nouvel article 1844-17. En effet, il est permis de supposer que la nouvelle disposition s’explique par le souhait de préserver un délai pour agir en responsabilité après avoir obtenu la nullité, mais ce raisonnement laisse de côté d’autres hypothèses, probablement plus nombreuses. Que se passe-t-il en cas d’action en responsabilité sans demande de nullité? Que se passe-t-il si l’action en nullité a été rejetée au titre des pouvoirs de cantonnement du juge? Il n’est pas sérieusement envisageable que le refus de l’annulation ferme à lui seul la voie de l’action en responsabilité, qui au contraire apparaît comme la seule mesure alternative susceptible d’apporter une satisfaction à la victime de la nullité. Il faut supposer qu’il ne sera pas interdit au demandeur en nullité d’une décision sociale de demander en même temps la mise en jeu de la responsabilité, mais les incertitudes subsistantes dans le détail sur le domaine de la nullité, la distinction des nullités facultatives et obligatoires…, milite en faveur du maintien de la possibilité d’agir en responsabilité sans recours préalable à l’action en nullité.</w:t>
      </w:r>
    </w:p>
    <w:p w14:paraId="7352F3FD" w14:textId="77777777" w:rsidR="00B4419E" w:rsidRDefault="00B4419E">
      <w:pPr>
        <w:pStyle w:val="CorpsA"/>
        <w:jc w:val="both"/>
        <w:rPr>
          <w:rStyle w:val="Aucun"/>
          <w:rFonts w:ascii="Times New Roman" w:eastAsia="Times New Roman" w:hAnsi="Times New Roman" w:cs="Times New Roman"/>
          <w:sz w:val="24"/>
          <w:szCs w:val="24"/>
        </w:rPr>
      </w:pPr>
    </w:p>
    <w:p w14:paraId="506734C9"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La seconde limite aux conséquences de la nullité concerne les nullités en cascade: « Sauf disposition législative contraire, la nullité de la nomination ou le maintien irrégulier d'un organe ou d'un membre d'un organe de la société n'entraîne pas la nullité des décisions prises par celui-ci »</w:t>
      </w:r>
      <w:r>
        <w:rPr>
          <w:rStyle w:val="Aucun"/>
          <w:rFonts w:ascii="Times New Roman" w:eastAsia="Times New Roman" w:hAnsi="Times New Roman" w:cs="Times New Roman"/>
          <w:sz w:val="24"/>
          <w:szCs w:val="24"/>
          <w:vertAlign w:val="superscript"/>
        </w:rPr>
        <w:footnoteReference w:id="85"/>
      </w:r>
      <w:r>
        <w:rPr>
          <w:rStyle w:val="Aucun"/>
          <w:rFonts w:ascii="Times New Roman" w:hAnsi="Times New Roman"/>
          <w:sz w:val="24"/>
          <w:szCs w:val="24"/>
        </w:rPr>
        <w:t>. Sans remettre en cause la solution, il est permis de s’interroger sur les conséquences concrètes de certaines nullités compte tenu de cette disposition. Certes, l’annulation automatique de toutes les décisions adoptées par un organe mal composé est problématique, mais l’impossibilité de se fonder sur cette composition irrégulière pour obtenir l’annulation d’une décision spécifique qu’il aurait prise conduit à s’interroger sur les conséquences effectives de l’annulation de la composition irrégulière. Ceci est si vrai que la spécialiste de la nullité des décisions sociales estime elle-même, avec d’autres, qu’il faut admettre la Nullité des décisions adoptées par un organe irrégulièrement composé lorsque la composition irrégulière résulte « de l</w:t>
      </w:r>
      <w:r>
        <w:rPr>
          <w:rStyle w:val="Aucun"/>
          <w:rFonts w:ascii="Times New Roman" w:hAnsi="Times New Roman"/>
          <w:sz w:val="24"/>
          <w:szCs w:val="24"/>
          <w:rtl/>
          <w:lang w:val="ar-SA"/>
        </w:rPr>
        <w:t>’</w:t>
      </w:r>
      <w:r>
        <w:rPr>
          <w:rStyle w:val="Aucun"/>
          <w:rFonts w:ascii="Times New Roman" w:hAnsi="Times New Roman"/>
          <w:sz w:val="24"/>
          <w:szCs w:val="24"/>
        </w:rPr>
        <w:t>absence de désignation d</w:t>
      </w:r>
      <w:r>
        <w:rPr>
          <w:rStyle w:val="Aucun"/>
          <w:rFonts w:ascii="Times New Roman" w:hAnsi="Times New Roman"/>
          <w:sz w:val="24"/>
          <w:szCs w:val="24"/>
          <w:rtl/>
          <w:lang w:val="ar-SA"/>
        </w:rPr>
        <w:t>’</w:t>
      </w:r>
      <w:r>
        <w:rPr>
          <w:rStyle w:val="Aucun"/>
          <w:rFonts w:ascii="Times New Roman" w:hAnsi="Times New Roman"/>
          <w:sz w:val="24"/>
          <w:szCs w:val="24"/>
        </w:rPr>
        <w:t>un membre d</w:t>
      </w:r>
      <w:r>
        <w:rPr>
          <w:rStyle w:val="Aucun"/>
          <w:rFonts w:ascii="Times New Roman" w:hAnsi="Times New Roman"/>
          <w:sz w:val="24"/>
          <w:szCs w:val="24"/>
          <w:rtl/>
          <w:lang w:val="ar-SA"/>
        </w:rPr>
        <w:t>’</w:t>
      </w:r>
      <w:r>
        <w:rPr>
          <w:rStyle w:val="Aucun"/>
          <w:rFonts w:ascii="Times New Roman" w:hAnsi="Times New Roman"/>
          <w:sz w:val="24"/>
          <w:szCs w:val="24"/>
        </w:rPr>
        <w:t>un organe, en violation pure et simple de l</w:t>
      </w:r>
      <w:r>
        <w:rPr>
          <w:rStyle w:val="Aucun"/>
          <w:rFonts w:ascii="Times New Roman" w:hAnsi="Times New Roman"/>
          <w:sz w:val="24"/>
          <w:szCs w:val="24"/>
          <w:rtl/>
          <w:lang w:val="ar-SA"/>
        </w:rPr>
        <w:t>’</w:t>
      </w:r>
      <w:r>
        <w:rPr>
          <w:rStyle w:val="Aucun"/>
          <w:rFonts w:ascii="Times New Roman" w:hAnsi="Times New Roman"/>
          <w:sz w:val="24"/>
          <w:szCs w:val="24"/>
        </w:rPr>
        <w:t>obligation posée par une disposition impérative », avec pour exemple emblématique un organe qui violerait les règles sur les représentants des salariés</w:t>
      </w:r>
      <w:r>
        <w:rPr>
          <w:rStyle w:val="Aucun"/>
          <w:rFonts w:ascii="Times New Roman" w:eastAsia="Times New Roman" w:hAnsi="Times New Roman" w:cs="Times New Roman"/>
          <w:sz w:val="24"/>
          <w:szCs w:val="24"/>
          <w:vertAlign w:val="superscript"/>
        </w:rPr>
        <w:footnoteReference w:id="86"/>
      </w:r>
      <w:r>
        <w:rPr>
          <w:rStyle w:val="Aucun"/>
          <w:rFonts w:ascii="Times New Roman" w:hAnsi="Times New Roman"/>
          <w:sz w:val="24"/>
          <w:szCs w:val="24"/>
        </w:rPr>
        <w:t>. L</w:t>
      </w:r>
      <w:r>
        <w:rPr>
          <w:rStyle w:val="Aucun"/>
          <w:rFonts w:ascii="Times New Roman" w:hAnsi="Times New Roman"/>
          <w:sz w:val="24"/>
          <w:szCs w:val="24"/>
          <w:rtl/>
        </w:rPr>
        <w:t>’</w:t>
      </w:r>
      <w:r>
        <w:rPr>
          <w:rStyle w:val="Aucun"/>
          <w:rFonts w:ascii="Times New Roman" w:hAnsi="Times New Roman"/>
          <w:sz w:val="24"/>
          <w:szCs w:val="24"/>
        </w:rPr>
        <w:t>exemple met en évidence le caract</w:t>
      </w:r>
      <w:r>
        <w:rPr>
          <w:rStyle w:val="Aucun"/>
          <w:rFonts w:ascii="Times New Roman" w:hAnsi="Times New Roman"/>
          <w:sz w:val="24"/>
          <w:szCs w:val="24"/>
          <w:lang w:val="it-IT"/>
        </w:rPr>
        <w:t>è</w:t>
      </w:r>
      <w:r>
        <w:rPr>
          <w:rStyle w:val="Aucun"/>
          <w:rFonts w:ascii="Times New Roman" w:hAnsi="Times New Roman"/>
          <w:sz w:val="24"/>
          <w:szCs w:val="24"/>
        </w:rPr>
        <w:t>re inacceptable de toutes les conséquences de la disposition, il n</w:t>
      </w:r>
      <w:r>
        <w:rPr>
          <w:rStyle w:val="Aucun"/>
          <w:rFonts w:ascii="Times New Roman" w:hAnsi="Times New Roman"/>
          <w:sz w:val="24"/>
          <w:szCs w:val="24"/>
          <w:rtl/>
        </w:rPr>
        <w:t>’</w:t>
      </w:r>
      <w:r>
        <w:rPr>
          <w:rStyle w:val="Aucun"/>
          <w:rFonts w:ascii="Times New Roman" w:hAnsi="Times New Roman"/>
          <w:sz w:val="24"/>
          <w:szCs w:val="24"/>
        </w:rPr>
        <w:t>est pas certain qu</w:t>
      </w:r>
      <w:r>
        <w:rPr>
          <w:rStyle w:val="Aucun"/>
          <w:rFonts w:ascii="Times New Roman" w:hAnsi="Times New Roman"/>
          <w:sz w:val="24"/>
          <w:szCs w:val="24"/>
          <w:rtl/>
        </w:rPr>
        <w:t>’</w:t>
      </w:r>
      <w:r>
        <w:rPr>
          <w:rStyle w:val="Aucun"/>
          <w:rFonts w:ascii="Times New Roman" w:hAnsi="Times New Roman"/>
          <w:sz w:val="24"/>
          <w:szCs w:val="24"/>
        </w:rPr>
        <w:t>elle fournisse un crit</w:t>
      </w:r>
      <w:r>
        <w:rPr>
          <w:rStyle w:val="Aucun"/>
          <w:rFonts w:ascii="Times New Roman" w:hAnsi="Times New Roman"/>
          <w:sz w:val="24"/>
          <w:szCs w:val="24"/>
          <w:lang w:val="it-IT"/>
        </w:rPr>
        <w:t>è</w:t>
      </w:r>
      <w:r>
        <w:rPr>
          <w:rStyle w:val="Aucun"/>
          <w:rFonts w:ascii="Times New Roman" w:hAnsi="Times New Roman"/>
          <w:sz w:val="24"/>
          <w:szCs w:val="24"/>
        </w:rPr>
        <w:t>re effectif de distinction entre décisions sujettes à nullité et les autres.</w:t>
      </w:r>
    </w:p>
    <w:p w14:paraId="2260D0DF" w14:textId="77777777" w:rsidR="00B4419E" w:rsidRDefault="00B4419E">
      <w:pPr>
        <w:pStyle w:val="CorpsA"/>
        <w:jc w:val="both"/>
        <w:rPr>
          <w:rStyle w:val="Aucun"/>
          <w:rFonts w:ascii="Times New Roman" w:eastAsia="Times New Roman" w:hAnsi="Times New Roman" w:cs="Times New Roman"/>
          <w:sz w:val="24"/>
          <w:szCs w:val="24"/>
        </w:rPr>
      </w:pPr>
    </w:p>
    <w:p w14:paraId="7739CA48" w14:textId="77777777" w:rsidR="00B4419E" w:rsidRDefault="00BF3F37">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Pour les cas, les plus fréquents, où la nullité des décisions prises par un organe irrégulièrement composé ne pourrait être annulée, au moins une sanction alternative est envisageable: l’absence de droit à rémunération du membre qui déclenche l’irrégularité</w:t>
      </w:r>
      <w:r>
        <w:rPr>
          <w:rStyle w:val="Aucun"/>
          <w:rFonts w:ascii="Times New Roman" w:eastAsia="Times New Roman" w:hAnsi="Times New Roman" w:cs="Times New Roman"/>
          <w:sz w:val="24"/>
          <w:szCs w:val="24"/>
          <w:vertAlign w:val="superscript"/>
        </w:rPr>
        <w:footnoteReference w:id="87"/>
      </w:r>
      <w:r>
        <w:rPr>
          <w:rStyle w:val="Aucun"/>
          <w:rFonts w:ascii="Times New Roman" w:hAnsi="Times New Roman"/>
          <w:sz w:val="24"/>
          <w:szCs w:val="24"/>
        </w:rPr>
        <w:t>. La solution est rassurante, à défaut d’être pleinement satisfaisante; elle devrait encore être affinée par la détermination des personnes susceptibles d’agir en répétition des rémunérations illégalement versées.</w:t>
      </w:r>
    </w:p>
    <w:p w14:paraId="7F123319" w14:textId="77777777" w:rsidR="00B4419E" w:rsidRDefault="00B4419E">
      <w:pPr>
        <w:pStyle w:val="CorpsA"/>
        <w:jc w:val="both"/>
        <w:rPr>
          <w:rStyle w:val="Aucun"/>
          <w:rFonts w:ascii="Times New Roman" w:eastAsia="Times New Roman" w:hAnsi="Times New Roman" w:cs="Times New Roman"/>
          <w:sz w:val="24"/>
          <w:szCs w:val="24"/>
        </w:rPr>
      </w:pPr>
    </w:p>
    <w:p w14:paraId="783F4B87" w14:textId="77777777" w:rsidR="00B4419E" w:rsidRDefault="00BF3F37">
      <w:pPr>
        <w:pStyle w:val="CorpsA"/>
        <w:jc w:val="both"/>
      </w:pPr>
      <w:r>
        <w:rPr>
          <w:rStyle w:val="Aucun"/>
          <w:rFonts w:ascii="Times New Roman" w:hAnsi="Times New Roman"/>
          <w:sz w:val="24"/>
          <w:szCs w:val="24"/>
        </w:rPr>
        <w:t>Un dernier débat doit être mentionné, relativement à l’inclusion ou non de l’assemblée générale parmi les organes dont les décisions sont prémunies contre les nullités en cascade. L’incertitude tient, dans l’analyse de la lettre de l’article 1844-15-1, à ce que la doctrine considère facilement l’assemblée générale comme un organe de la société alors qu’elle rechigne à admettre que les associés soient des membres de cet organe. Sans trancher le débat, deux remarques méritent d’être faites au regard du droit coopératif. D’une part, la question y occupe certainement une importance plus grande, dans la mesure où la composition de l’assemblée générale est susceptible de davantage de fluctuation en raison de la variabilité du capital et du personnel. De l’autre, même si la remarque n’est pas décisive, il faut observer que l’associé est fréquemment qualifié de membre de la coopérative, ce qui rend compte de la particularité de la coopérative et de la place qu’y occupe chaque membre puisqu’il est à la fois associé mais aussi usager des services de la coopérative. Ceci pourrait conduire à admettre l’application de la disposition du code civil aux assemblées des coopératives quand bien même elle ne le serait pas en droit commun des sociétés.</w:t>
      </w:r>
    </w:p>
    <w:sectPr w:rsidR="00B4419E">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12D6" w14:textId="77777777" w:rsidR="00D75B6D" w:rsidRDefault="00D75B6D">
      <w:r>
        <w:separator/>
      </w:r>
    </w:p>
  </w:endnote>
  <w:endnote w:type="continuationSeparator" w:id="0">
    <w:p w14:paraId="014ED886" w14:textId="77777777" w:rsidR="00D75B6D" w:rsidRDefault="00D75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C8A5" w14:textId="77777777" w:rsidR="00B4419E" w:rsidRDefault="00B4419E">
    <w:pPr>
      <w:pStyle w:val="En-tt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B501E" w14:textId="77777777" w:rsidR="00D75B6D" w:rsidRDefault="00D75B6D">
      <w:r>
        <w:separator/>
      </w:r>
    </w:p>
  </w:footnote>
  <w:footnote w:type="continuationSeparator" w:id="0">
    <w:p w14:paraId="212AED50" w14:textId="77777777" w:rsidR="00D75B6D" w:rsidRDefault="00D75B6D">
      <w:r>
        <w:continuationSeparator/>
      </w:r>
    </w:p>
  </w:footnote>
  <w:footnote w:type="continuationNotice" w:id="1">
    <w:p w14:paraId="2E170B96" w14:textId="77777777" w:rsidR="00D75B6D" w:rsidRDefault="00D75B6D"/>
  </w:footnote>
  <w:footnote w:id="2">
    <w:p w14:paraId="0D5123D9" w14:textId="77777777" w:rsidR="00B4419E" w:rsidRPr="00027CED" w:rsidRDefault="00BF3F37">
      <w:pPr>
        <w:pStyle w:val="Notedebasdepage"/>
        <w:rPr>
          <w:lang w:val="fr-FR"/>
        </w:rPr>
      </w:pPr>
      <w:r>
        <w:rPr>
          <w:rStyle w:val="Aucun"/>
          <w:sz w:val="24"/>
          <w:szCs w:val="24"/>
          <w:vertAlign w:val="superscript"/>
        </w:rPr>
        <w:footnoteRef/>
      </w:r>
      <w:r w:rsidRPr="00027CED">
        <w:rPr>
          <w:rStyle w:val="Aucun"/>
        </w:rPr>
        <w:t xml:space="preserve"> Ordonnance n</w:t>
      </w:r>
      <w:r>
        <w:rPr>
          <w:rStyle w:val="AucunA"/>
        </w:rPr>
        <w:t xml:space="preserve">° </w:t>
      </w:r>
      <w:r w:rsidRPr="00027CED">
        <w:rPr>
          <w:rStyle w:val="Aucun"/>
        </w:rPr>
        <w:t>2025-229 du 12 mars 2025 portant réforme du régime des nullités en droit des sociétés, JORF n. 0062, 13 mars 2025.</w:t>
      </w:r>
    </w:p>
  </w:footnote>
  <w:footnote w:id="3">
    <w:p w14:paraId="7CD8E32A" w14:textId="77777777" w:rsidR="00B4419E" w:rsidRDefault="00BF3F37">
      <w:pPr>
        <w:pStyle w:val="Corps"/>
        <w:spacing w:line="276" w:lineRule="atLeast"/>
      </w:pPr>
      <w:r>
        <w:rPr>
          <w:rStyle w:val="Aucun"/>
          <w:vertAlign w:val="superscript"/>
        </w:rPr>
        <w:footnoteRef/>
      </w:r>
      <w:r>
        <w:rPr>
          <w:rStyle w:val="Aucun"/>
          <w:sz w:val="20"/>
          <w:szCs w:val="20"/>
        </w:rPr>
        <w:t xml:space="preserve"> Sans exhaustivité, les commentaires qui nous ont le plus inspiré: </w:t>
      </w:r>
      <w:r>
        <w:rPr>
          <w:rStyle w:val="Aucun"/>
          <w:sz w:val="20"/>
          <w:szCs w:val="20"/>
          <w:lang w:val="it-IT"/>
        </w:rPr>
        <w:t xml:space="preserve">P. Battistini, </w:t>
      </w:r>
      <w:r>
        <w:rPr>
          <w:rStyle w:val="Aucun"/>
          <w:sz w:val="20"/>
          <w:szCs w:val="20"/>
        </w:rPr>
        <w:t>« Réforme des nullités relatives aux société</w:t>
      </w:r>
      <w:r w:rsidRPr="00027CED">
        <w:rPr>
          <w:rStyle w:val="Aucun"/>
          <w:sz w:val="20"/>
          <w:szCs w:val="20"/>
        </w:rPr>
        <w:t xml:space="preserve">s anonymes </w:t>
      </w:r>
      <w:r>
        <w:rPr>
          <w:rStyle w:val="Aucun"/>
          <w:sz w:val="20"/>
          <w:szCs w:val="20"/>
          <w:lang w:val="it-IT"/>
        </w:rPr>
        <w:t>»</w:t>
      </w:r>
      <w:r>
        <w:rPr>
          <w:rStyle w:val="Aucun"/>
          <w:sz w:val="20"/>
          <w:szCs w:val="20"/>
        </w:rPr>
        <w:t>, Ord. n</w:t>
      </w:r>
      <w:r>
        <w:rPr>
          <w:rStyle w:val="Aucun"/>
          <w:sz w:val="20"/>
          <w:szCs w:val="20"/>
          <w:lang w:val="it-IT"/>
        </w:rPr>
        <w:t xml:space="preserve">° </w:t>
      </w:r>
      <w:r>
        <w:rPr>
          <w:rStyle w:val="Aucun"/>
          <w:sz w:val="20"/>
          <w:szCs w:val="20"/>
        </w:rPr>
        <w:t xml:space="preserve">2025-229, 12 mars 2025. « La réforme du régime des nullités en droit des sociétés est actée </w:t>
      </w:r>
      <w:r>
        <w:rPr>
          <w:rStyle w:val="Aucun"/>
          <w:sz w:val="20"/>
          <w:szCs w:val="20"/>
          <w:lang w:val="it-IT"/>
        </w:rPr>
        <w:t>»</w:t>
      </w:r>
      <w:r>
        <w:rPr>
          <w:rStyle w:val="Aucun"/>
          <w:sz w:val="20"/>
          <w:szCs w:val="20"/>
        </w:rPr>
        <w:t xml:space="preserve">, L.P.A. C. Coupet, « L'ordonnance Nullités : une réforme radicale </w:t>
      </w:r>
      <w:r>
        <w:rPr>
          <w:rStyle w:val="Aucun"/>
          <w:sz w:val="20"/>
          <w:szCs w:val="20"/>
          <w:lang w:val="it-IT"/>
        </w:rPr>
        <w:t>»</w:t>
      </w:r>
      <w:r>
        <w:rPr>
          <w:rStyle w:val="Aucun"/>
          <w:sz w:val="20"/>
          <w:szCs w:val="20"/>
        </w:rPr>
        <w:t>, </w:t>
      </w:r>
      <w:r>
        <w:rPr>
          <w:rStyle w:val="Aucun"/>
          <w:i/>
          <w:iCs/>
          <w:sz w:val="20"/>
          <w:szCs w:val="20"/>
        </w:rPr>
        <w:t>Bulletin Joly Sociétés</w:t>
      </w:r>
      <w:r>
        <w:rPr>
          <w:rStyle w:val="Aucun"/>
          <w:sz w:val="20"/>
          <w:szCs w:val="20"/>
        </w:rPr>
        <w:t>, n</w:t>
      </w:r>
      <w:r>
        <w:rPr>
          <w:rStyle w:val="Aucun"/>
          <w:sz w:val="20"/>
          <w:szCs w:val="20"/>
          <w:lang w:val="it-IT"/>
        </w:rPr>
        <w:t>°</w:t>
      </w:r>
      <w:r>
        <w:rPr>
          <w:rStyle w:val="Aucun"/>
          <w:sz w:val="20"/>
          <w:szCs w:val="20"/>
        </w:rPr>
        <w:t xml:space="preserve">5 1er mai 2025, p.p. 29-47. C. Coupet, « Les conditions du prononcé de la nullité des décisions sociales </w:t>
      </w:r>
      <w:r>
        <w:rPr>
          <w:rStyle w:val="Aucun"/>
          <w:sz w:val="20"/>
          <w:szCs w:val="20"/>
          <w:lang w:val="it-IT"/>
        </w:rPr>
        <w:t>»</w:t>
      </w:r>
      <w:r>
        <w:rPr>
          <w:rStyle w:val="Aucun"/>
          <w:sz w:val="20"/>
          <w:szCs w:val="20"/>
        </w:rPr>
        <w:t>, </w:t>
      </w:r>
      <w:r>
        <w:rPr>
          <w:rStyle w:val="Aucun"/>
          <w:i/>
          <w:iCs/>
          <w:sz w:val="20"/>
          <w:szCs w:val="20"/>
        </w:rPr>
        <w:t>Revue des sociétés</w:t>
      </w:r>
      <w:r>
        <w:rPr>
          <w:rStyle w:val="Aucun"/>
          <w:sz w:val="20"/>
          <w:szCs w:val="20"/>
        </w:rPr>
        <w:t xml:space="preserve"> 2025, p. 317. </w:t>
      </w:r>
      <w:r>
        <w:rPr>
          <w:rStyle w:val="Aucun"/>
          <w:rFonts w:ascii="Helvetica" w:hAnsi="Helvetica"/>
          <w:sz w:val="18"/>
          <w:szCs w:val="18"/>
        </w:rPr>
        <w:t xml:space="preserve">C. Coupet, </w:t>
      </w:r>
      <w:r>
        <w:rPr>
          <w:rStyle w:val="Aucun"/>
          <w:sz w:val="20"/>
          <w:szCs w:val="20"/>
        </w:rPr>
        <w:t>« L'ordonnance réformant les nullités en droit des sociétés. Modifications du droit commun des nullités », BJS mai 2025, n° BJS203w0.</w:t>
      </w:r>
      <w:r>
        <w:rPr>
          <w:rStyle w:val="Aucun"/>
          <w:rFonts w:ascii="Helvetica" w:hAnsi="Helvetica"/>
          <w:sz w:val="18"/>
          <w:szCs w:val="18"/>
        </w:rPr>
        <w:t xml:space="preserve"> </w:t>
      </w:r>
      <w:r>
        <w:rPr>
          <w:rStyle w:val="Aucun"/>
          <w:sz w:val="20"/>
          <w:szCs w:val="20"/>
        </w:rPr>
        <w:t xml:space="preserve">A. Couret, « Propos conclusifs </w:t>
      </w:r>
      <w:r>
        <w:rPr>
          <w:rStyle w:val="Aucun"/>
          <w:sz w:val="20"/>
          <w:szCs w:val="20"/>
          <w:lang w:val="it-IT"/>
        </w:rPr>
        <w:t>»</w:t>
      </w:r>
      <w:r>
        <w:rPr>
          <w:rStyle w:val="Aucun"/>
          <w:sz w:val="20"/>
          <w:szCs w:val="20"/>
        </w:rPr>
        <w:t>, </w:t>
      </w:r>
      <w:r>
        <w:rPr>
          <w:rStyle w:val="Aucun"/>
          <w:i/>
          <w:iCs/>
          <w:sz w:val="20"/>
          <w:szCs w:val="20"/>
        </w:rPr>
        <w:t>Revue des sociétés</w:t>
      </w:r>
      <w:r>
        <w:rPr>
          <w:rStyle w:val="Aucun"/>
          <w:sz w:val="20"/>
          <w:szCs w:val="20"/>
        </w:rPr>
        <w:t xml:space="preserve"> 2025, p. 237. J. Delvallée, « Réforme du régime des nullités en droit des sociétés </w:t>
      </w:r>
      <w:r>
        <w:rPr>
          <w:rStyle w:val="Aucun"/>
          <w:sz w:val="20"/>
          <w:szCs w:val="20"/>
          <w:lang w:val="it-IT"/>
        </w:rPr>
        <w:t>»</w:t>
      </w:r>
      <w:r>
        <w:rPr>
          <w:rStyle w:val="Aucun"/>
          <w:sz w:val="20"/>
          <w:szCs w:val="20"/>
        </w:rPr>
        <w:t>, </w:t>
      </w:r>
      <w:r>
        <w:rPr>
          <w:rStyle w:val="Aucun"/>
          <w:i/>
          <w:iCs/>
          <w:sz w:val="20"/>
          <w:szCs w:val="20"/>
        </w:rPr>
        <w:t>Bulletin Joly Société</w:t>
      </w:r>
      <w:r>
        <w:rPr>
          <w:rStyle w:val="Aucun"/>
          <w:sz w:val="20"/>
          <w:szCs w:val="20"/>
        </w:rPr>
        <w:t>, n</w:t>
      </w:r>
      <w:r>
        <w:rPr>
          <w:rStyle w:val="Aucun"/>
          <w:sz w:val="20"/>
          <w:szCs w:val="20"/>
          <w:lang w:val="it-IT"/>
        </w:rPr>
        <w:t>°</w:t>
      </w:r>
      <w:r>
        <w:rPr>
          <w:rStyle w:val="Aucun"/>
          <w:sz w:val="20"/>
          <w:szCs w:val="20"/>
        </w:rPr>
        <w:t xml:space="preserve">04 – 1er avril 2025, p. 4. B. Dondero, « L'ordonnance réformant les nullités en droit des sociétés. - Observations générales </w:t>
      </w:r>
      <w:r>
        <w:rPr>
          <w:rStyle w:val="Aucun"/>
          <w:sz w:val="20"/>
          <w:szCs w:val="20"/>
          <w:lang w:val="it-IT"/>
        </w:rPr>
        <w:t>»</w:t>
      </w:r>
      <w:r>
        <w:rPr>
          <w:rStyle w:val="Aucun"/>
          <w:sz w:val="20"/>
          <w:szCs w:val="20"/>
        </w:rPr>
        <w:t>, Ordonnance n</w:t>
      </w:r>
      <w:r>
        <w:rPr>
          <w:rStyle w:val="Aucun"/>
          <w:sz w:val="20"/>
          <w:szCs w:val="20"/>
          <w:lang w:val="it-IT"/>
        </w:rPr>
        <w:t xml:space="preserve">° </w:t>
      </w:r>
      <w:r>
        <w:rPr>
          <w:rStyle w:val="Aucun"/>
          <w:sz w:val="20"/>
          <w:szCs w:val="20"/>
        </w:rPr>
        <w:t>2025-229, du 12 mars 2025, portant réforme du régime des nullités en droit des société</w:t>
      </w:r>
      <w:r>
        <w:rPr>
          <w:rStyle w:val="Aucun"/>
          <w:sz w:val="20"/>
          <w:szCs w:val="20"/>
          <w:lang w:val="pt-PT"/>
        </w:rPr>
        <w:t xml:space="preserve">s. </w:t>
      </w:r>
      <w:r>
        <w:rPr>
          <w:rStyle w:val="Aucun"/>
          <w:sz w:val="20"/>
          <w:szCs w:val="20"/>
        </w:rPr>
        <w:t xml:space="preserve">« L'ordonnance réformant les nullités en droit des sociétés. Modifications du droit commun des nullités </w:t>
      </w:r>
      <w:r>
        <w:rPr>
          <w:rStyle w:val="Aucun"/>
          <w:sz w:val="20"/>
          <w:szCs w:val="20"/>
          <w:lang w:val="it-IT"/>
        </w:rPr>
        <w:t>»</w:t>
      </w:r>
      <w:r>
        <w:rPr>
          <w:rStyle w:val="Aucun"/>
          <w:sz w:val="20"/>
          <w:szCs w:val="20"/>
        </w:rPr>
        <w:t>. « L'ordonnance réformant les nullités en droit des sociétés. Droit spé</w:t>
      </w:r>
      <w:r>
        <w:rPr>
          <w:rStyle w:val="Aucun"/>
          <w:sz w:val="20"/>
          <w:szCs w:val="20"/>
          <w:lang w:val="pt-PT"/>
        </w:rPr>
        <w:t xml:space="preserve">cial </w:t>
      </w:r>
      <w:r>
        <w:rPr>
          <w:rStyle w:val="Aucun"/>
          <w:sz w:val="20"/>
          <w:szCs w:val="20"/>
          <w:lang w:val="it-IT"/>
        </w:rPr>
        <w:t>»</w:t>
      </w:r>
      <w:r>
        <w:rPr>
          <w:rStyle w:val="Aucun"/>
          <w:sz w:val="20"/>
          <w:szCs w:val="20"/>
        </w:rPr>
        <w:t xml:space="preserve">. B. Dondero et P.-L. Périn, « SAS et nouveau régime des nullités </w:t>
      </w:r>
      <w:r>
        <w:rPr>
          <w:rStyle w:val="Aucun"/>
          <w:sz w:val="20"/>
          <w:szCs w:val="20"/>
          <w:lang w:val="it-IT"/>
        </w:rPr>
        <w:t>»</w:t>
      </w:r>
      <w:r>
        <w:rPr>
          <w:rStyle w:val="Aucun"/>
          <w:sz w:val="20"/>
          <w:szCs w:val="20"/>
        </w:rPr>
        <w:t>, </w:t>
      </w:r>
      <w:r>
        <w:rPr>
          <w:rStyle w:val="Aucun"/>
          <w:i/>
          <w:iCs/>
          <w:sz w:val="20"/>
          <w:szCs w:val="20"/>
        </w:rPr>
        <w:t>Bulletin Joly Sociétés</w:t>
      </w:r>
      <w:r>
        <w:rPr>
          <w:rStyle w:val="Aucun"/>
          <w:sz w:val="20"/>
          <w:szCs w:val="20"/>
        </w:rPr>
        <w:t>, n</w:t>
      </w:r>
      <w:r>
        <w:rPr>
          <w:rStyle w:val="Aucun"/>
          <w:sz w:val="20"/>
          <w:szCs w:val="20"/>
          <w:lang w:val="it-IT"/>
        </w:rPr>
        <w:t xml:space="preserve">° </w:t>
      </w:r>
      <w:r>
        <w:rPr>
          <w:rStyle w:val="Aucun"/>
          <w:sz w:val="20"/>
          <w:szCs w:val="20"/>
        </w:rPr>
        <w:t>7-8 - 1 juil. 2025. B. Dondero, « L'ordonnance réformant les nullités en droit des sociétés. Droit spé</w:t>
      </w:r>
      <w:r>
        <w:rPr>
          <w:rStyle w:val="Aucun"/>
          <w:sz w:val="20"/>
          <w:szCs w:val="20"/>
          <w:lang w:val="pt-PT"/>
        </w:rPr>
        <w:t xml:space="preserve">cial </w:t>
      </w:r>
      <w:r>
        <w:rPr>
          <w:rStyle w:val="Aucun"/>
          <w:sz w:val="20"/>
          <w:szCs w:val="20"/>
          <w:lang w:val="it-IT"/>
        </w:rPr>
        <w:t>»</w:t>
      </w:r>
      <w:r>
        <w:rPr>
          <w:rStyle w:val="Aucun"/>
          <w:sz w:val="20"/>
          <w:szCs w:val="20"/>
        </w:rPr>
        <w:t>, La Semaine Juridique Entreprise et Affaires n° 16, 17 avril 2025, p. 1117.</w:t>
      </w:r>
      <w:r>
        <w:rPr>
          <w:rStyle w:val="Aucun"/>
          <w:rFonts w:ascii="Helvetica" w:hAnsi="Helvetica"/>
          <w:sz w:val="18"/>
          <w:szCs w:val="18"/>
        </w:rPr>
        <w:t xml:space="preserve"> </w:t>
      </w:r>
      <w:r>
        <w:rPr>
          <w:rStyle w:val="Aucun"/>
          <w:sz w:val="20"/>
          <w:szCs w:val="20"/>
        </w:rPr>
        <w:t xml:space="preserve">E. Guégan, « Ordonnance portant réforme du régime des nullités en droit des sociétés : même crainte de la nullité, nouvelle méthode </w:t>
      </w:r>
      <w:r>
        <w:rPr>
          <w:rStyle w:val="Aucun"/>
          <w:sz w:val="20"/>
          <w:szCs w:val="20"/>
          <w:lang w:val="it-IT"/>
        </w:rPr>
        <w:t>»</w:t>
      </w:r>
      <w:r>
        <w:rPr>
          <w:rStyle w:val="Aucun"/>
          <w:sz w:val="20"/>
          <w:szCs w:val="20"/>
        </w:rPr>
        <w:t>, </w:t>
      </w:r>
      <w:r>
        <w:rPr>
          <w:rStyle w:val="Aucun"/>
          <w:i/>
          <w:iCs/>
          <w:sz w:val="20"/>
          <w:szCs w:val="20"/>
        </w:rPr>
        <w:t>rev. Société</w:t>
      </w:r>
      <w:r>
        <w:rPr>
          <w:rStyle w:val="Aucun"/>
          <w:i/>
          <w:iCs/>
          <w:sz w:val="20"/>
          <w:szCs w:val="20"/>
          <w:lang w:val="pt-PT"/>
        </w:rPr>
        <w:t>s.</w:t>
      </w:r>
      <w:r>
        <w:rPr>
          <w:rStyle w:val="Aucun"/>
          <w:sz w:val="20"/>
          <w:szCs w:val="20"/>
        </w:rPr>
        <w:t xml:space="preserve"> 2025, 5, p. 303. E. Guégan, « Les causes de nullité des décisions sociales </w:t>
      </w:r>
      <w:r>
        <w:rPr>
          <w:rStyle w:val="Aucun"/>
          <w:sz w:val="20"/>
          <w:szCs w:val="20"/>
          <w:lang w:val="it-IT"/>
        </w:rPr>
        <w:t>»</w:t>
      </w:r>
      <w:r>
        <w:rPr>
          <w:rStyle w:val="Aucun"/>
          <w:sz w:val="20"/>
          <w:szCs w:val="20"/>
        </w:rPr>
        <w:t>, </w:t>
      </w:r>
      <w:r>
        <w:rPr>
          <w:rStyle w:val="Aucun"/>
          <w:i/>
          <w:iCs/>
          <w:sz w:val="20"/>
          <w:szCs w:val="20"/>
        </w:rPr>
        <w:t>Revue des Sociétés [Journal des Société</w:t>
      </w:r>
      <w:r>
        <w:rPr>
          <w:rStyle w:val="Aucun"/>
          <w:i/>
          <w:iCs/>
          <w:sz w:val="20"/>
          <w:szCs w:val="20"/>
          <w:lang w:val="pt-PT"/>
        </w:rPr>
        <w:t>s]</w:t>
      </w:r>
      <w:r>
        <w:rPr>
          <w:rStyle w:val="Aucun"/>
          <w:sz w:val="20"/>
          <w:szCs w:val="20"/>
        </w:rPr>
        <w:t xml:space="preserve">, 2025, 5, p.313. E. Guégan, « La neutralisation radicale des nullités en cascade </w:t>
      </w:r>
      <w:r>
        <w:rPr>
          <w:rStyle w:val="Aucun"/>
          <w:sz w:val="20"/>
          <w:szCs w:val="20"/>
          <w:lang w:val="it-IT"/>
        </w:rPr>
        <w:t>»</w:t>
      </w:r>
      <w:r>
        <w:rPr>
          <w:rStyle w:val="Aucun"/>
          <w:sz w:val="20"/>
          <w:szCs w:val="20"/>
        </w:rPr>
        <w:t>, </w:t>
      </w:r>
      <w:r>
        <w:rPr>
          <w:rStyle w:val="Aucun"/>
          <w:i/>
          <w:iCs/>
          <w:sz w:val="20"/>
          <w:szCs w:val="20"/>
        </w:rPr>
        <w:t>Bulletin Joly Sociétés</w:t>
      </w:r>
      <w:r>
        <w:rPr>
          <w:rStyle w:val="Aucun"/>
          <w:sz w:val="20"/>
          <w:szCs w:val="20"/>
        </w:rPr>
        <w:t>, n</w:t>
      </w:r>
      <w:r>
        <w:rPr>
          <w:rStyle w:val="Aucun"/>
          <w:sz w:val="20"/>
          <w:szCs w:val="20"/>
          <w:lang w:val="it-IT"/>
        </w:rPr>
        <w:t xml:space="preserve">° </w:t>
      </w:r>
      <w:r>
        <w:rPr>
          <w:rStyle w:val="Aucun"/>
          <w:sz w:val="20"/>
          <w:szCs w:val="20"/>
        </w:rPr>
        <w:t xml:space="preserve">7-8 - 1 juil. 2025. D. Sahel, "L'essentiel de la réforme du régime des nullités en droit des sociétés </w:t>
      </w:r>
      <w:r>
        <w:rPr>
          <w:rStyle w:val="Aucun"/>
          <w:sz w:val="20"/>
          <w:szCs w:val="20"/>
          <w:lang w:val="it-IT"/>
        </w:rPr>
        <w:t>»</w:t>
      </w:r>
      <w:r>
        <w:rPr>
          <w:rStyle w:val="Aucun"/>
          <w:sz w:val="20"/>
          <w:szCs w:val="20"/>
        </w:rPr>
        <w:t>, </w:t>
      </w:r>
      <w:r>
        <w:rPr>
          <w:rStyle w:val="Aucun"/>
          <w:i/>
          <w:iCs/>
          <w:sz w:val="20"/>
          <w:szCs w:val="20"/>
        </w:rPr>
        <w:t>Petites affiches</w:t>
      </w:r>
      <w:r>
        <w:rPr>
          <w:rStyle w:val="Aucun"/>
          <w:sz w:val="20"/>
          <w:szCs w:val="20"/>
        </w:rPr>
        <w:t>, n</w:t>
      </w:r>
      <w:r>
        <w:rPr>
          <w:rStyle w:val="Aucun"/>
          <w:sz w:val="20"/>
          <w:szCs w:val="20"/>
          <w:lang w:val="it-IT"/>
        </w:rPr>
        <w:t xml:space="preserve">° </w:t>
      </w:r>
      <w:r>
        <w:rPr>
          <w:rStyle w:val="Aucun"/>
          <w:sz w:val="20"/>
          <w:szCs w:val="20"/>
          <w:lang w:val="pt-PT"/>
        </w:rPr>
        <w:t>7-8 - 31 ao</w:t>
      </w:r>
      <w:r>
        <w:rPr>
          <w:rStyle w:val="Aucun"/>
          <w:sz w:val="20"/>
          <w:szCs w:val="20"/>
        </w:rPr>
        <w:t>û</w:t>
      </w:r>
      <w:r>
        <w:rPr>
          <w:rStyle w:val="Aucun"/>
          <w:sz w:val="20"/>
          <w:szCs w:val="20"/>
          <w:lang w:val="de-DE"/>
        </w:rPr>
        <w:t xml:space="preserve">t 2025. E. Schlumberger, </w:t>
      </w:r>
      <w:r>
        <w:rPr>
          <w:rStyle w:val="Aucun"/>
          <w:sz w:val="20"/>
          <w:szCs w:val="20"/>
        </w:rPr>
        <w:t>« Nullité de la société et nullité de l</w:t>
      </w:r>
      <w:r>
        <w:rPr>
          <w:rStyle w:val="Aucun"/>
          <w:sz w:val="20"/>
          <w:szCs w:val="20"/>
          <w:rtl/>
        </w:rPr>
        <w:t>’</w:t>
      </w:r>
      <w:r>
        <w:rPr>
          <w:rStyle w:val="Aucun"/>
          <w:sz w:val="20"/>
          <w:szCs w:val="20"/>
        </w:rPr>
        <w:t xml:space="preserve">apport </w:t>
      </w:r>
      <w:r>
        <w:rPr>
          <w:rStyle w:val="Aucun"/>
          <w:sz w:val="20"/>
          <w:szCs w:val="20"/>
          <w:lang w:val="it-IT"/>
        </w:rPr>
        <w:t>»</w:t>
      </w:r>
      <w:r>
        <w:rPr>
          <w:rStyle w:val="Aucun"/>
          <w:sz w:val="20"/>
          <w:szCs w:val="20"/>
        </w:rPr>
        <w:t>, </w:t>
      </w:r>
      <w:r>
        <w:rPr>
          <w:rStyle w:val="Aucun"/>
          <w:i/>
          <w:iCs/>
          <w:sz w:val="20"/>
          <w:szCs w:val="20"/>
        </w:rPr>
        <w:t>Revue des Sociétés [Journal des Société</w:t>
      </w:r>
      <w:r>
        <w:rPr>
          <w:rStyle w:val="Aucun"/>
          <w:i/>
          <w:iCs/>
          <w:sz w:val="20"/>
          <w:szCs w:val="20"/>
          <w:lang w:val="pt-PT"/>
        </w:rPr>
        <w:t>s]</w:t>
      </w:r>
      <w:r>
        <w:rPr>
          <w:rStyle w:val="Aucun"/>
          <w:sz w:val="20"/>
          <w:szCs w:val="20"/>
          <w:lang w:val="pt-PT"/>
        </w:rPr>
        <w:t>, 2025, 05, pp.308.</w:t>
      </w:r>
    </w:p>
  </w:footnote>
  <w:footnote w:id="4">
    <w:p w14:paraId="278FD053" w14:textId="77777777" w:rsidR="00B4419E" w:rsidRPr="00027CED" w:rsidRDefault="00BF3F37">
      <w:pPr>
        <w:pStyle w:val="Notedebasdepage"/>
        <w:rPr>
          <w:lang w:val="fr-FR"/>
        </w:rPr>
      </w:pPr>
      <w:r>
        <w:rPr>
          <w:rStyle w:val="Aucun"/>
          <w:sz w:val="24"/>
          <w:szCs w:val="24"/>
          <w:vertAlign w:val="superscript"/>
        </w:rPr>
        <w:footnoteRef/>
      </w:r>
      <w:r w:rsidRPr="00027CED">
        <w:rPr>
          <w:rStyle w:val="Aucun"/>
        </w:rPr>
        <w:t xml:space="preserve"> L.-M. Savatier, « La réforme des nullités en droit des sociétés : un pas de trop en avant </w:t>
      </w:r>
      <w:r>
        <w:rPr>
          <w:rStyle w:val="Aucun"/>
          <w:lang w:val="zh-TW" w:eastAsia="zh-TW"/>
        </w:rPr>
        <w:t>?</w:t>
      </w:r>
      <w:r w:rsidRPr="00027CED">
        <w:rPr>
          <w:rStyle w:val="Aucun"/>
        </w:rPr>
        <w:t> », Gazette du Palais, 20 mai 2025.</w:t>
      </w:r>
    </w:p>
  </w:footnote>
  <w:footnote w:id="5">
    <w:p w14:paraId="5337C29D" w14:textId="77777777" w:rsidR="00B4419E" w:rsidRPr="00027CED" w:rsidRDefault="00BF3F37">
      <w:pPr>
        <w:pStyle w:val="Notedebasdepage"/>
        <w:rPr>
          <w:lang w:val="fr-FR"/>
        </w:rPr>
      </w:pPr>
      <w:r>
        <w:rPr>
          <w:rStyle w:val="Aucun"/>
          <w:sz w:val="24"/>
          <w:szCs w:val="24"/>
          <w:vertAlign w:val="superscript"/>
        </w:rPr>
        <w:footnoteRef/>
      </w:r>
      <w:r w:rsidRPr="00027CED">
        <w:rPr>
          <w:rStyle w:val="Aucun"/>
        </w:rPr>
        <w:t xml:space="preserve"> C. Coupet, art. préc., n</w:t>
      </w:r>
      <w:r>
        <w:rPr>
          <w:rStyle w:val="AucunA"/>
        </w:rPr>
        <w:t>°</w:t>
      </w:r>
      <w:r w:rsidRPr="00027CED">
        <w:rPr>
          <w:rStyle w:val="Aucun"/>
        </w:rPr>
        <w:t>4.</w:t>
      </w:r>
    </w:p>
  </w:footnote>
  <w:footnote w:id="6">
    <w:p w14:paraId="1D31DF4C" w14:textId="77777777" w:rsidR="00B4419E" w:rsidRPr="00D63176" w:rsidRDefault="00BF3F37">
      <w:pPr>
        <w:pStyle w:val="Notedebasdepage"/>
        <w:rPr>
          <w:lang w:val="fr-BE"/>
        </w:rPr>
      </w:pPr>
      <w:r>
        <w:rPr>
          <w:rStyle w:val="Aucun"/>
          <w:sz w:val="24"/>
          <w:szCs w:val="24"/>
          <w:vertAlign w:val="superscript"/>
        </w:rPr>
        <w:footnoteRef/>
      </w:r>
      <w:r w:rsidRPr="00027CED">
        <w:rPr>
          <w:rStyle w:val="Aucun"/>
        </w:rPr>
        <w:t xml:space="preserve"> Bien peu dauteurs mentionnent les coopératives:: tout de même </w:t>
      </w:r>
      <w:r w:rsidRPr="00D63176">
        <w:rPr>
          <w:rStyle w:val="Aucun"/>
          <w:lang w:val="fr-BE"/>
        </w:rPr>
        <w:t>J. Delvall</w:t>
      </w:r>
      <w:r w:rsidRPr="00027CED">
        <w:rPr>
          <w:rStyle w:val="Aucun"/>
        </w:rPr>
        <w:t>ée, art. préc., n</w:t>
      </w:r>
      <w:r>
        <w:rPr>
          <w:rStyle w:val="AucunA"/>
        </w:rPr>
        <w:t>°</w:t>
      </w:r>
      <w:r w:rsidRPr="00027CED">
        <w:rPr>
          <w:rStyle w:val="Aucun"/>
        </w:rPr>
        <w:t xml:space="preserve">26-1. B. Dondero, « L'ordonnance réformant les nullités en droit des sociétés. </w:t>
      </w:r>
      <w:r w:rsidRPr="00D63176">
        <w:rPr>
          <w:rStyle w:val="Aucun"/>
          <w:lang w:val="fr-BE"/>
        </w:rPr>
        <w:t>Modifications du droit commun des nullités », art. Prés., n°22.</w:t>
      </w:r>
    </w:p>
  </w:footnote>
  <w:footnote w:id="7">
    <w:p w14:paraId="1D502D6B" w14:textId="77777777" w:rsidR="00B4419E" w:rsidRPr="00027CED" w:rsidRDefault="00BF3F37">
      <w:pPr>
        <w:pStyle w:val="Notedebasdepage"/>
        <w:rPr>
          <w:lang w:val="fr-FR"/>
        </w:rPr>
      </w:pPr>
      <w:r>
        <w:rPr>
          <w:rStyle w:val="Aucun"/>
          <w:sz w:val="24"/>
          <w:szCs w:val="24"/>
          <w:vertAlign w:val="superscript"/>
        </w:rPr>
        <w:footnoteRef/>
      </w:r>
      <w:r w:rsidRPr="00027CED">
        <w:rPr>
          <w:rStyle w:val="Aucun"/>
        </w:rPr>
        <w:t xml:space="preserve"> J.-J. Daigre, « Nullités du droit des sociétés. Une inversion des valeurs: l'intérêt social au secours d'une décision sociale irréguli</w:t>
      </w:r>
      <w:r>
        <w:rPr>
          <w:rStyle w:val="AucunA"/>
        </w:rPr>
        <w:t>è</w:t>
      </w:r>
      <w:r w:rsidRPr="00027CED">
        <w:rPr>
          <w:rStyle w:val="Aucun"/>
        </w:rPr>
        <w:t>re », Recueil Dalloz, 2025, 19, pp. 895.</w:t>
      </w:r>
    </w:p>
  </w:footnote>
  <w:footnote w:id="8">
    <w:p w14:paraId="27EB2E4D" w14:textId="77777777" w:rsidR="00B4419E" w:rsidRPr="00CF3EC6" w:rsidRDefault="00BF3F37">
      <w:pPr>
        <w:pStyle w:val="Notedebasdepage"/>
        <w:rPr>
          <w:lang w:val="fr-FR"/>
        </w:rPr>
      </w:pPr>
      <w:r>
        <w:rPr>
          <w:rStyle w:val="Aucun"/>
          <w:sz w:val="24"/>
          <w:szCs w:val="24"/>
          <w:vertAlign w:val="superscript"/>
        </w:rPr>
        <w:footnoteRef/>
      </w:r>
      <w:r w:rsidRPr="00CF3EC6">
        <w:rPr>
          <w:rStyle w:val="Aucun"/>
          <w:rFonts w:eastAsia="Arial Unicode MS" w:cs="Arial Unicode MS"/>
        </w:rPr>
        <w:t xml:space="preserve"> C.com., art. L.231-1.</w:t>
      </w:r>
    </w:p>
  </w:footnote>
  <w:footnote w:id="9">
    <w:p w14:paraId="045BFDF1" w14:textId="03B3B806" w:rsidR="00B4419E" w:rsidRPr="00027CED" w:rsidRDefault="00BF3F37">
      <w:pPr>
        <w:pStyle w:val="Notedebasdepage"/>
        <w:rPr>
          <w:lang w:val="fr-FR"/>
        </w:rPr>
      </w:pPr>
      <w:r>
        <w:rPr>
          <w:rStyle w:val="Aucun"/>
          <w:sz w:val="24"/>
          <w:szCs w:val="24"/>
          <w:vertAlign w:val="superscript"/>
        </w:rPr>
        <w:footnoteRef/>
      </w:r>
      <w:r w:rsidRPr="00027CED">
        <w:rPr>
          <w:rStyle w:val="Aucun"/>
        </w:rPr>
        <w:t xml:space="preserve"> </w:t>
      </w:r>
      <w:r>
        <w:rPr>
          <w:rStyle w:val="Aucun"/>
        </w:rPr>
        <w:t>D. Hiez, Sociétés coopératives Création organisation fonctionnement, Dalloz, 3ème éd., 2023, n°</w:t>
      </w:r>
      <w:r w:rsidR="00027CED">
        <w:rPr>
          <w:rStyle w:val="Aucun"/>
        </w:rPr>
        <w:t>342.25</w:t>
      </w:r>
      <w:r>
        <w:rPr>
          <w:rStyle w:val="Aucun"/>
        </w:rPr>
        <w:t>.</w:t>
      </w:r>
    </w:p>
  </w:footnote>
  <w:footnote w:id="10">
    <w:p w14:paraId="5829C258" w14:textId="77777777" w:rsidR="00B4419E" w:rsidRDefault="00BF3F37">
      <w:pPr>
        <w:pStyle w:val="Notedebasdepage"/>
      </w:pPr>
      <w:r>
        <w:rPr>
          <w:rStyle w:val="Aucun"/>
          <w:sz w:val="24"/>
          <w:szCs w:val="24"/>
          <w:vertAlign w:val="superscript"/>
        </w:rPr>
        <w:footnoteRef/>
      </w:r>
      <w:r>
        <w:rPr>
          <w:rStyle w:val="Aucun"/>
          <w:lang w:val="en-US"/>
        </w:rPr>
        <w:t xml:space="preserve"> </w:t>
      </w:r>
      <w:r>
        <w:rPr>
          <w:rStyle w:val="Aucun"/>
          <w:lang w:val="de-DE"/>
        </w:rPr>
        <w:t>C.rur., art. L.521-1 al. 2.</w:t>
      </w:r>
    </w:p>
  </w:footnote>
  <w:footnote w:id="11">
    <w:p w14:paraId="551181DC" w14:textId="77777777" w:rsidR="00B4419E" w:rsidRPr="00027CED" w:rsidRDefault="00BF3F37">
      <w:pPr>
        <w:pStyle w:val="Notedebasdepage"/>
        <w:rPr>
          <w:lang w:val="fr-FR"/>
        </w:rPr>
      </w:pPr>
      <w:r>
        <w:rPr>
          <w:rStyle w:val="Aucun"/>
          <w:sz w:val="24"/>
          <w:szCs w:val="24"/>
          <w:vertAlign w:val="superscript"/>
        </w:rPr>
        <w:footnoteRef/>
      </w:r>
      <w:r>
        <w:rPr>
          <w:rStyle w:val="Aucun"/>
          <w:lang w:val="en-US"/>
        </w:rPr>
        <w:t xml:space="preserve"> Com. 13 juill. 2010, n</w:t>
      </w:r>
      <w:r>
        <w:rPr>
          <w:rStyle w:val="Aucun"/>
          <w:vertAlign w:val="superscript"/>
          <w:lang w:val="en-US"/>
        </w:rPr>
        <w:t>o</w:t>
      </w:r>
      <w:r>
        <w:rPr>
          <w:rStyle w:val="Aucun"/>
          <w:lang w:val="en-US"/>
        </w:rPr>
        <w:t> 09-16.156, P IV, n</w:t>
      </w:r>
      <w:r>
        <w:rPr>
          <w:rStyle w:val="Aucun"/>
          <w:vertAlign w:val="superscript"/>
          <w:lang w:val="en-US"/>
        </w:rPr>
        <w:t>o</w:t>
      </w:r>
      <w:r>
        <w:rPr>
          <w:rStyle w:val="Aucun"/>
          <w:lang w:val="en-US"/>
        </w:rPr>
        <w:t> 129; JCP E 2011, n</w:t>
      </w:r>
      <w:r>
        <w:rPr>
          <w:rStyle w:val="Aucun"/>
          <w:vertAlign w:val="superscript"/>
          <w:lang w:val="en-US"/>
        </w:rPr>
        <w:t>o</w:t>
      </w:r>
      <w:r>
        <w:rPr>
          <w:rStyle w:val="Aucun"/>
          <w:lang w:val="en-US"/>
        </w:rPr>
        <w:t> 41, 13 oct. 2011, 1712, n</w:t>
      </w:r>
      <w:r>
        <w:rPr>
          <w:rStyle w:val="Aucun"/>
          <w:vertAlign w:val="superscript"/>
          <w:lang w:val="en-US"/>
        </w:rPr>
        <w:t>o</w:t>
      </w:r>
      <w:r>
        <w:rPr>
          <w:rStyle w:val="Aucun"/>
          <w:lang w:val="en-US"/>
        </w:rPr>
        <w:t xml:space="preserve"> 18, obs. </w:t>
      </w:r>
      <w:r w:rsidRPr="00D63176">
        <w:rPr>
          <w:rStyle w:val="Aucun"/>
          <w:lang w:val="fr-BE"/>
        </w:rPr>
        <w:t xml:space="preserve">W. Tadjudje ; Bull. </w:t>
      </w:r>
      <w:r>
        <w:rPr>
          <w:rStyle w:val="Aucun"/>
        </w:rPr>
        <w:t>Joly 2010. 216, note P. Le Cannu.</w:t>
      </w:r>
    </w:p>
  </w:footnote>
  <w:footnote w:id="12">
    <w:p w14:paraId="1BAFB13C" w14:textId="77777777" w:rsidR="00B4419E" w:rsidRDefault="00BF3F37">
      <w:pPr>
        <w:pStyle w:val="Corps"/>
        <w:jc w:val="both"/>
      </w:pPr>
      <w:r>
        <w:rPr>
          <w:rStyle w:val="Aucun"/>
          <w:vertAlign w:val="superscript"/>
        </w:rPr>
        <w:footnoteRef/>
      </w:r>
      <w:r>
        <w:rPr>
          <w:rStyle w:val="Aucun"/>
          <w:sz w:val="20"/>
          <w:szCs w:val="20"/>
          <w14:textOutline w14:w="12700" w14:cap="flat" w14:cmpd="sng" w14:algn="ctr">
            <w14:noFill/>
            <w14:prstDash w14:val="solid"/>
            <w14:miter w14:lim="400000"/>
          </w14:textOutline>
        </w:rPr>
        <w:t xml:space="preserve"> Rennes, Chambre commerciale 3, 30 juin 2015 - n° 334, 13/05656. Angers, ch. com., 23 nov. 2004, GAEC des Vallons c/ CUMA Val de S</w:t>
      </w:r>
      <w:r>
        <w:rPr>
          <w:rStyle w:val="Aucun"/>
          <w:sz w:val="20"/>
          <w:szCs w:val="20"/>
          <w:lang w:val="it-IT"/>
          <w14:textOutline w14:w="12700" w14:cap="flat" w14:cmpd="sng" w14:algn="ctr">
            <w14:noFill/>
            <w14:prstDash w14:val="solid"/>
            <w14:miter w14:lim="400000"/>
          </w14:textOutline>
        </w:rPr>
        <w:t>è</w:t>
      </w:r>
      <w:r>
        <w:rPr>
          <w:rStyle w:val="Aucun"/>
          <w:sz w:val="20"/>
          <w:szCs w:val="20"/>
          <w14:textOutline w14:w="12700" w14:cap="flat" w14:cmpd="sng" w14:algn="ctr">
            <w14:noFill/>
            <w14:prstDash w14:val="solid"/>
            <w14:miter w14:lim="400000"/>
          </w14:textOutline>
        </w:rPr>
        <w:t xml:space="preserve">vre : Juris-Data n° 2004-266933, Droit des sociétés n° 6, </w:t>
      </w:r>
      <w:r>
        <w:rPr>
          <w:rStyle w:val="Aucun"/>
          <w:sz w:val="20"/>
          <w:szCs w:val="20"/>
          <w:u w:color="CC0033"/>
          <w14:textOutline w14:w="12700" w14:cap="flat" w14:cmpd="sng" w14:algn="ctr">
            <w14:noFill/>
            <w14:prstDash w14:val="solid"/>
            <w14:miter w14:lim="400000"/>
          </w14:textOutline>
        </w:rPr>
        <w:t>Juin 2005,</w:t>
      </w:r>
      <w:r>
        <w:rPr>
          <w:rStyle w:val="Aucun"/>
          <w:sz w:val="20"/>
          <w:szCs w:val="20"/>
          <w:lang w:val="it-IT"/>
          <w14:textOutline w14:w="12700" w14:cap="flat" w14:cmpd="sng" w14:algn="ctr">
            <w14:noFill/>
            <w14:prstDash w14:val="solid"/>
            <w14:miter w14:lim="400000"/>
          </w14:textOutline>
        </w:rPr>
        <w:t xml:space="preserve"> comm. 108, comm. F.-X. Lucas</w:t>
      </w:r>
      <w:r>
        <w:rPr>
          <w:rStyle w:val="Aucun"/>
          <w:sz w:val="20"/>
          <w:szCs w:val="20"/>
          <w14:textOutline w14:w="12700" w14:cap="flat" w14:cmpd="sng" w14:algn="ctr">
            <w14:noFill/>
            <w14:prstDash w14:val="solid"/>
            <w14:miter w14:lim="400000"/>
          </w14:textOutline>
        </w:rPr>
        <w:t>. Amiens, ch. économique, 5 nov. 2020, RG n</w:t>
      </w:r>
      <w:r>
        <w:rPr>
          <w:rStyle w:val="Aucun"/>
          <w:sz w:val="20"/>
          <w:szCs w:val="20"/>
          <w:vertAlign w:val="superscript"/>
          <w14:textOutline w14:w="12700" w14:cap="flat" w14:cmpd="sng" w14:algn="ctr">
            <w14:noFill/>
            <w14:prstDash w14:val="solid"/>
            <w14:miter w14:lim="400000"/>
          </w14:textOutline>
        </w:rPr>
        <w:t>o</w:t>
      </w:r>
      <w:r>
        <w:rPr>
          <w:rStyle w:val="Aucun"/>
          <w:sz w:val="20"/>
          <w:szCs w:val="20"/>
          <w14:textOutline w14:w="12700" w14:cap="flat" w14:cmpd="sng" w14:algn="ctr">
            <w14:noFill/>
            <w14:prstDash w14:val="solid"/>
            <w14:miter w14:lim="400000"/>
          </w14:textOutline>
        </w:rPr>
        <w:t> 18/03784.</w:t>
      </w:r>
    </w:p>
  </w:footnote>
  <w:footnote w:id="13">
    <w:p w14:paraId="3E2F1C3F" w14:textId="77777777" w:rsidR="00B4419E" w:rsidRPr="00027CED" w:rsidRDefault="00BF3F37">
      <w:pPr>
        <w:pStyle w:val="Notedebasdepage"/>
        <w:rPr>
          <w:lang w:val="fr-FR"/>
        </w:rPr>
      </w:pPr>
      <w:r>
        <w:rPr>
          <w:rStyle w:val="Aucun"/>
          <w:sz w:val="24"/>
          <w:szCs w:val="24"/>
          <w:vertAlign w:val="superscript"/>
        </w:rPr>
        <w:footnoteRef/>
      </w:r>
      <w:r w:rsidRPr="00027CED">
        <w:rPr>
          <w:rStyle w:val="Aucun"/>
          <w:rFonts w:eastAsia="Arial Unicode MS" w:cs="Arial Unicode MS"/>
        </w:rPr>
        <w:t xml:space="preserve"> C.rur., arts. R.524-29, R.524-37 R.524-38.</w:t>
      </w:r>
    </w:p>
  </w:footnote>
  <w:footnote w:id="14">
    <w:p w14:paraId="305B615F" w14:textId="77777777" w:rsidR="00B4419E" w:rsidRPr="00D63176" w:rsidRDefault="00BF3F37">
      <w:pPr>
        <w:pStyle w:val="Notedebasdepage"/>
        <w:rPr>
          <w:lang w:val="fr-BE"/>
        </w:rPr>
      </w:pPr>
      <w:r>
        <w:rPr>
          <w:rStyle w:val="Aucun"/>
          <w:sz w:val="24"/>
          <w:szCs w:val="24"/>
          <w:vertAlign w:val="superscript"/>
        </w:rPr>
        <w:footnoteRef/>
      </w:r>
      <w:r w:rsidRPr="00027CED">
        <w:rPr>
          <w:rStyle w:val="Aucun"/>
          <w:rFonts w:eastAsia="Arial Unicode MS" w:cs="Arial Unicode MS"/>
        </w:rPr>
        <w:t xml:space="preserve"> Com. 21 juin 2023, n° 21-19.985, Rev. sociétés 2023. </w:t>
      </w:r>
      <w:r>
        <w:rPr>
          <w:rStyle w:val="Aucun"/>
          <w:rFonts w:eastAsia="Arial Unicode MS" w:cs="Arial Unicode MS"/>
          <w:lang w:val="en-US"/>
        </w:rPr>
        <w:t xml:space="preserve">806, note E. Guégan; RTD com. 2023. </w:t>
      </w:r>
      <w:r w:rsidRPr="00D63176">
        <w:rPr>
          <w:rStyle w:val="Aucun"/>
          <w:rFonts w:eastAsia="Arial Unicode MS" w:cs="Arial Unicode MS"/>
          <w:lang w:val="fr-BE"/>
        </w:rPr>
        <w:t>681, obs. A. Lecourt.</w:t>
      </w:r>
    </w:p>
  </w:footnote>
  <w:footnote w:id="15">
    <w:p w14:paraId="3CB3541A" w14:textId="77777777" w:rsidR="00B4419E" w:rsidRPr="00027CED" w:rsidRDefault="00BF3F37">
      <w:pPr>
        <w:pStyle w:val="Notedebasdepage"/>
        <w:rPr>
          <w:lang w:val="fr-FR"/>
        </w:rPr>
      </w:pPr>
      <w:r>
        <w:rPr>
          <w:rStyle w:val="Aucun"/>
          <w:sz w:val="24"/>
          <w:szCs w:val="24"/>
          <w:vertAlign w:val="superscript"/>
        </w:rPr>
        <w:footnoteRef/>
      </w:r>
      <w:r w:rsidRPr="00027CED">
        <w:rPr>
          <w:rStyle w:val="Aucun"/>
          <w:rFonts w:eastAsia="Arial Unicode MS" w:cs="Arial Unicode MS"/>
        </w:rPr>
        <w:t xml:space="preserve"> Mixtes, 16 déc. 2005, n°04-10.986.</w:t>
      </w:r>
    </w:p>
  </w:footnote>
  <w:footnote w:id="16">
    <w:p w14:paraId="46AE3413" w14:textId="77777777" w:rsidR="00B4419E" w:rsidRPr="00027CED" w:rsidRDefault="00BF3F37">
      <w:pPr>
        <w:pStyle w:val="Notedebasdepage"/>
        <w:rPr>
          <w:lang w:val="fr-FR"/>
        </w:rPr>
      </w:pPr>
      <w:r>
        <w:rPr>
          <w:rStyle w:val="Aucun"/>
          <w:vertAlign w:val="superscript"/>
        </w:rPr>
        <w:footnoteRef/>
      </w:r>
      <w:r w:rsidRPr="00027CED">
        <w:rPr>
          <w:rStyle w:val="Aucun"/>
        </w:rPr>
        <w:t xml:space="preserve"> </w:t>
      </w:r>
      <w:r>
        <w:rPr>
          <w:rStyle w:val="Aucun"/>
        </w:rPr>
        <w:t>C.civ. art. 1844-10 al. 3.</w:t>
      </w:r>
    </w:p>
  </w:footnote>
  <w:footnote w:id="17">
    <w:p w14:paraId="24109372" w14:textId="77777777" w:rsidR="00B4419E" w:rsidRPr="00027CED" w:rsidRDefault="00BF3F37">
      <w:pPr>
        <w:pStyle w:val="Notedebasdepage"/>
        <w:rPr>
          <w:lang w:val="fr-FR"/>
        </w:rPr>
      </w:pPr>
      <w:r>
        <w:rPr>
          <w:rStyle w:val="Aucun"/>
          <w:sz w:val="24"/>
          <w:szCs w:val="24"/>
          <w:vertAlign w:val="superscript"/>
        </w:rPr>
        <w:footnoteRef/>
      </w:r>
      <w:r w:rsidRPr="00027CED">
        <w:rPr>
          <w:rStyle w:val="Aucun"/>
        </w:rPr>
        <w:t xml:space="preserve"> E. Guégan, « Les causes de nullité des décisions sociales », art. préc., n°18.</w:t>
      </w:r>
    </w:p>
  </w:footnote>
  <w:footnote w:id="18">
    <w:p w14:paraId="2AF54E63" w14:textId="77777777" w:rsidR="00B4419E" w:rsidRPr="00D63176" w:rsidRDefault="00BF3F37">
      <w:pPr>
        <w:pStyle w:val="Notedebasdepage"/>
        <w:rPr>
          <w:lang w:val="fr-BE"/>
        </w:rPr>
      </w:pPr>
      <w:r>
        <w:rPr>
          <w:rStyle w:val="Aucun"/>
          <w:sz w:val="24"/>
          <w:szCs w:val="24"/>
          <w:vertAlign w:val="superscript"/>
        </w:rPr>
        <w:footnoteRef/>
      </w:r>
      <w:r w:rsidRPr="00027CED">
        <w:rPr>
          <w:rStyle w:val="Aucun"/>
          <w:rFonts w:eastAsia="Arial Unicode MS" w:cs="Arial Unicode MS"/>
        </w:rPr>
        <w:t xml:space="preserve"> C. Coupet, « L'ordonnance Nullités: une réforme radicale », art. </w:t>
      </w:r>
      <w:r w:rsidRPr="00D63176">
        <w:rPr>
          <w:rStyle w:val="Aucun"/>
          <w:rFonts w:eastAsia="Arial Unicode MS" w:cs="Arial Unicode MS"/>
          <w:lang w:val="fr-BE"/>
        </w:rPr>
        <w:t>Prés., n°29.</w:t>
      </w:r>
    </w:p>
  </w:footnote>
  <w:footnote w:id="19">
    <w:p w14:paraId="1FCCFADE" w14:textId="77777777" w:rsidR="00B4419E" w:rsidRPr="00027CED" w:rsidRDefault="00BF3F37">
      <w:pPr>
        <w:pStyle w:val="Notedebasdepage"/>
        <w:rPr>
          <w:lang w:val="fr-FR"/>
        </w:rPr>
      </w:pPr>
      <w:r>
        <w:rPr>
          <w:rStyle w:val="Aucun"/>
          <w:sz w:val="24"/>
          <w:szCs w:val="24"/>
          <w:vertAlign w:val="superscript"/>
        </w:rPr>
        <w:footnoteRef/>
      </w:r>
      <w:r w:rsidRPr="00027CED">
        <w:rPr>
          <w:rStyle w:val="Aucun"/>
          <w:rFonts w:eastAsia="Arial Unicode MS" w:cs="Arial Unicode MS"/>
        </w:rPr>
        <w:t xml:space="preserve"> Ibid.</w:t>
      </w:r>
    </w:p>
  </w:footnote>
  <w:footnote w:id="20">
    <w:p w14:paraId="15C0D464" w14:textId="77777777" w:rsidR="00B4419E" w:rsidRPr="00D63176" w:rsidRDefault="00BF3F37">
      <w:pPr>
        <w:pStyle w:val="Notedebasdepage"/>
        <w:rPr>
          <w:lang w:val="fr-BE"/>
        </w:rPr>
      </w:pPr>
      <w:r>
        <w:rPr>
          <w:rStyle w:val="Aucun"/>
          <w:sz w:val="24"/>
          <w:szCs w:val="24"/>
          <w:vertAlign w:val="superscript"/>
        </w:rPr>
        <w:footnoteRef/>
      </w:r>
      <w:r w:rsidRPr="00027CED">
        <w:rPr>
          <w:rStyle w:val="Aucun"/>
          <w:rFonts w:eastAsia="Arial Unicode MS" w:cs="Arial Unicode MS"/>
        </w:rPr>
        <w:t xml:space="preserve"> ibid., n°30. Contra: B. Dondero, « L'ordonnance réformant les nullités en droit des sociétés. </w:t>
      </w:r>
      <w:r w:rsidRPr="00D63176">
        <w:rPr>
          <w:rStyle w:val="Aucun"/>
          <w:rFonts w:eastAsia="Arial Unicode MS" w:cs="Arial Unicode MS"/>
          <w:lang w:val="fr-BE"/>
        </w:rPr>
        <w:t>Modifications du droit commun des nullités », art. Prés., n°22.</w:t>
      </w:r>
    </w:p>
  </w:footnote>
  <w:footnote w:id="21">
    <w:p w14:paraId="21A0CD95" w14:textId="77777777" w:rsidR="00B4419E" w:rsidRPr="00027CED" w:rsidRDefault="00BF3F37">
      <w:pPr>
        <w:pStyle w:val="Notedebasdepage"/>
        <w:rPr>
          <w:lang w:val="fr-FR"/>
        </w:rPr>
      </w:pPr>
      <w:r>
        <w:rPr>
          <w:rStyle w:val="Aucun"/>
          <w:sz w:val="24"/>
          <w:szCs w:val="24"/>
          <w:vertAlign w:val="superscript"/>
        </w:rPr>
        <w:footnoteRef/>
      </w:r>
      <w:r w:rsidRPr="00D63176">
        <w:rPr>
          <w:rStyle w:val="Aucun"/>
          <w:lang w:val="fr-BE"/>
        </w:rPr>
        <w:t xml:space="preserve"> L. . N°47-1775, 10 sept. 1947, art. 26; C.rur., arts. </w:t>
      </w:r>
      <w:r w:rsidRPr="00027CED">
        <w:rPr>
          <w:rStyle w:val="Aucun"/>
        </w:rPr>
        <w:t>L.529-1 à L.529-6.</w:t>
      </w:r>
    </w:p>
  </w:footnote>
  <w:footnote w:id="22">
    <w:p w14:paraId="30FB8B05" w14:textId="0C38F5F4" w:rsidR="00B4419E" w:rsidRPr="00027CED" w:rsidRDefault="00BF3F37">
      <w:pPr>
        <w:pStyle w:val="Notedebasdepage"/>
        <w:rPr>
          <w:lang w:val="fr-FR"/>
        </w:rPr>
      </w:pPr>
      <w:r>
        <w:rPr>
          <w:rStyle w:val="Aucun"/>
          <w:sz w:val="24"/>
          <w:szCs w:val="24"/>
          <w:vertAlign w:val="superscript"/>
        </w:rPr>
        <w:footnoteRef/>
      </w:r>
      <w:r w:rsidRPr="00027CED">
        <w:rPr>
          <w:rStyle w:val="Aucun"/>
        </w:rPr>
        <w:t xml:space="preserve"> D. Hiez, </w:t>
      </w:r>
      <w:r>
        <w:rPr>
          <w:rStyle w:val="Aucun"/>
          <w:i/>
          <w:iCs/>
        </w:rPr>
        <w:t>Sociétés coopératives</w:t>
      </w:r>
      <w:r w:rsidRPr="00027CED">
        <w:rPr>
          <w:rStyle w:val="Aucun"/>
        </w:rPr>
        <w:t>, op.cit., n</w:t>
      </w:r>
      <w:r w:rsidR="00027CED">
        <w:rPr>
          <w:rStyle w:val="Aucun"/>
        </w:rPr>
        <w:t>s</w:t>
      </w:r>
      <w:r w:rsidRPr="00027CED">
        <w:rPr>
          <w:rStyle w:val="Aucun"/>
        </w:rPr>
        <w:t>°</w:t>
      </w:r>
      <w:r w:rsidR="00027CED">
        <w:rPr>
          <w:rStyle w:val="Aucun"/>
        </w:rPr>
        <w:t>021.91 s</w:t>
      </w:r>
      <w:r w:rsidRPr="00027CED">
        <w:rPr>
          <w:rStyle w:val="Aucun"/>
        </w:rPr>
        <w:t>.</w:t>
      </w:r>
    </w:p>
  </w:footnote>
  <w:footnote w:id="23">
    <w:p w14:paraId="3D111A01" w14:textId="0B02A6E0" w:rsidR="00B4419E" w:rsidRPr="00027CED" w:rsidRDefault="00BF3F37" w:rsidP="00CC1030">
      <w:pPr>
        <w:pStyle w:val="Notedebasdepage"/>
        <w:ind w:left="720" w:hanging="720"/>
        <w:rPr>
          <w:lang w:val="fr-FR"/>
        </w:rPr>
      </w:pPr>
      <w:r>
        <w:rPr>
          <w:rStyle w:val="Aucun"/>
          <w:sz w:val="24"/>
          <w:szCs w:val="24"/>
          <w:vertAlign w:val="superscript"/>
        </w:rPr>
        <w:footnoteRef/>
      </w:r>
      <w:r w:rsidRPr="00027CED">
        <w:rPr>
          <w:rStyle w:val="Aucun"/>
        </w:rPr>
        <w:t xml:space="preserve"> L. Coutant, </w:t>
      </w:r>
      <w:r>
        <w:rPr>
          <w:rStyle w:val="Aucun"/>
          <w:i/>
          <w:iCs/>
        </w:rPr>
        <w:t>L’évolution du droit coopératif de ses origines à 1950</w:t>
      </w:r>
      <w:r w:rsidRPr="00027CED">
        <w:rPr>
          <w:rStyle w:val="Aucun"/>
        </w:rPr>
        <w:t xml:space="preserve">, Matot-Braine, 1950, </w:t>
      </w:r>
      <w:r w:rsidR="00CC1030">
        <w:rPr>
          <w:rStyle w:val="Aucun"/>
        </w:rPr>
        <w:t>pp.183 s</w:t>
      </w:r>
      <w:r w:rsidRPr="00027CED">
        <w:rPr>
          <w:rStyle w:val="Aucun"/>
        </w:rPr>
        <w:t>.</w:t>
      </w:r>
    </w:p>
  </w:footnote>
  <w:footnote w:id="24">
    <w:p w14:paraId="541F7460" w14:textId="77777777" w:rsidR="00B4419E" w:rsidRPr="00027CED" w:rsidRDefault="00BF3F37">
      <w:pPr>
        <w:pStyle w:val="Notedebasdepage"/>
        <w:rPr>
          <w:lang w:val="fr-FR"/>
        </w:rPr>
      </w:pPr>
      <w:r>
        <w:rPr>
          <w:rStyle w:val="Aucun"/>
          <w:sz w:val="24"/>
          <w:szCs w:val="24"/>
          <w:vertAlign w:val="superscript"/>
        </w:rPr>
        <w:footnoteRef/>
      </w:r>
      <w:r w:rsidRPr="00027CED">
        <w:rPr>
          <w:rStyle w:val="Aucun"/>
          <w:rFonts w:eastAsia="Arial Unicode MS" w:cs="Arial Unicode MS"/>
        </w:rPr>
        <w:t xml:space="preserve"> </w:t>
      </w:r>
      <w:hyperlink r:id="rId1" w:history="1">
        <w:r>
          <w:rPr>
            <w:rStyle w:val="Hyperlink0"/>
            <w:rFonts w:eastAsia="Arial Unicode MS" w:cs="Arial Unicode MS"/>
          </w:rPr>
          <w:t>https://ica.coop/fr/coopératives/identite-cooperative</w:t>
        </w:r>
      </w:hyperlink>
      <w:r w:rsidRPr="00027CED">
        <w:rPr>
          <w:rStyle w:val="Aucun"/>
          <w:rFonts w:eastAsia="Arial Unicode MS" w:cs="Arial Unicode MS"/>
        </w:rPr>
        <w:t xml:space="preserve">. </w:t>
      </w:r>
    </w:p>
  </w:footnote>
  <w:footnote w:id="25">
    <w:p w14:paraId="55C062D0" w14:textId="2C406F4F" w:rsidR="00B4419E" w:rsidRPr="00027CED" w:rsidRDefault="00BF3F37">
      <w:pPr>
        <w:pStyle w:val="Notedebasdepage"/>
        <w:rPr>
          <w:lang w:val="fr-FR"/>
        </w:rPr>
      </w:pPr>
      <w:r>
        <w:rPr>
          <w:rStyle w:val="Aucun"/>
          <w:sz w:val="24"/>
          <w:szCs w:val="24"/>
          <w:vertAlign w:val="superscript"/>
        </w:rPr>
        <w:footnoteRef/>
      </w:r>
      <w:r w:rsidRPr="00027CED">
        <w:rPr>
          <w:rStyle w:val="Aucun"/>
          <w:rFonts w:eastAsia="Arial Unicode MS" w:cs="Arial Unicode MS"/>
        </w:rPr>
        <w:t xml:space="preserve"> Par ex. Dans l’acte uniforme OHADA du 15 déc. 2010</w:t>
      </w:r>
      <w:r w:rsidR="00B51BDC">
        <w:rPr>
          <w:rStyle w:val="Aucun"/>
          <w:rFonts w:eastAsia="Arial Unicode MS" w:cs="Arial Unicode MS"/>
        </w:rPr>
        <w:t xml:space="preserve"> sur les sociétés coopératives</w:t>
      </w:r>
      <w:r w:rsidRPr="00027CED">
        <w:rPr>
          <w:rStyle w:val="Aucun"/>
          <w:rFonts w:eastAsia="Arial Unicode MS" w:cs="Arial Unicode MS"/>
        </w:rPr>
        <w:t>, art. 6.</w:t>
      </w:r>
    </w:p>
  </w:footnote>
  <w:footnote w:id="26">
    <w:p w14:paraId="509B9A88" w14:textId="339DF4F0" w:rsidR="00B4419E" w:rsidRPr="00027CED" w:rsidRDefault="00BF3F37">
      <w:pPr>
        <w:pStyle w:val="Notedebasdepage"/>
        <w:rPr>
          <w:lang w:val="fr-FR"/>
        </w:rPr>
      </w:pPr>
      <w:r>
        <w:rPr>
          <w:rStyle w:val="Aucun"/>
          <w:sz w:val="24"/>
          <w:szCs w:val="24"/>
          <w:vertAlign w:val="superscript"/>
        </w:rPr>
        <w:footnoteRef/>
      </w:r>
      <w:r w:rsidRPr="00027CED">
        <w:rPr>
          <w:rStyle w:val="Aucun"/>
          <w:rFonts w:eastAsia="Arial Unicode MS" w:cs="Arial Unicode MS"/>
        </w:rPr>
        <w:t xml:space="preserve"> R193 — </w:t>
      </w:r>
      <w:r w:rsidR="00B51BDC">
        <w:rPr>
          <w:rStyle w:val="Aucun"/>
          <w:rFonts w:eastAsia="Arial Unicode MS" w:cs="Arial Unicode MS"/>
        </w:rPr>
        <w:t xml:space="preserve">OIT, </w:t>
      </w:r>
      <w:r w:rsidRPr="00027CED">
        <w:rPr>
          <w:rStyle w:val="Aucun"/>
          <w:rFonts w:eastAsia="Arial Unicode MS" w:cs="Arial Unicode MS"/>
        </w:rPr>
        <w:t>Recommandation (no 193) sur la promotion des coopératives, 2002.</w:t>
      </w:r>
    </w:p>
  </w:footnote>
  <w:footnote w:id="27">
    <w:p w14:paraId="7C842C7E" w14:textId="77777777" w:rsidR="00B4419E" w:rsidRDefault="00BF3F37">
      <w:pPr>
        <w:pStyle w:val="Notedebasdepage"/>
      </w:pPr>
      <w:r>
        <w:rPr>
          <w:rStyle w:val="Aucun"/>
          <w:sz w:val="24"/>
          <w:szCs w:val="24"/>
          <w:vertAlign w:val="superscript"/>
        </w:rPr>
        <w:footnoteRef/>
      </w:r>
      <w:r>
        <w:rPr>
          <w:rStyle w:val="Aucun"/>
          <w:lang w:val="en-US"/>
        </w:rPr>
        <w:t xml:space="preserve"> H. Henrÿ, </w:t>
      </w:r>
      <w:r w:rsidRPr="00027CED">
        <w:rPr>
          <w:rStyle w:val="Aucun"/>
          <w:i/>
          <w:iCs/>
          <w:lang w:val="en-US"/>
        </w:rPr>
        <w:t>Guidelines for cooperative legislation</w:t>
      </w:r>
      <w:r>
        <w:rPr>
          <w:rStyle w:val="Aucun"/>
          <w:lang w:val="en-US"/>
        </w:rPr>
        <w:t>, 3rd edition, 2012, ILO.</w:t>
      </w:r>
    </w:p>
  </w:footnote>
  <w:footnote w:id="28">
    <w:p w14:paraId="75ABDCD9"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L. 2014-856, 31 juill. 2014, art. 24 I. 1°.</w:t>
      </w:r>
    </w:p>
  </w:footnote>
  <w:footnote w:id="29">
    <w:p w14:paraId="5D44736E"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L. N°47-1947, 10 sept. 1947, art. 1 al. 2.</w:t>
      </w:r>
    </w:p>
  </w:footnote>
  <w:footnote w:id="30">
    <w:p w14:paraId="260D33E1" w14:textId="5C8C63A2" w:rsidR="00B4419E" w:rsidRPr="00027CED" w:rsidRDefault="00BF3F37">
      <w:pPr>
        <w:pStyle w:val="Notedebasdepage"/>
        <w:rPr>
          <w:lang w:val="fr-FR"/>
        </w:rPr>
      </w:pPr>
      <w:r>
        <w:rPr>
          <w:rStyle w:val="Aucun"/>
          <w:sz w:val="24"/>
          <w:szCs w:val="24"/>
          <w:vertAlign w:val="superscript"/>
        </w:rPr>
        <w:footnoteRef/>
      </w:r>
      <w:r w:rsidRPr="00027CED">
        <w:rPr>
          <w:rStyle w:val="Aucun"/>
        </w:rPr>
        <w:t xml:space="preserve"> D. Hiez, </w:t>
      </w:r>
      <w:r>
        <w:rPr>
          <w:rStyle w:val="Aucun"/>
          <w:i/>
          <w:iCs/>
        </w:rPr>
        <w:t>Sociétés coopératives</w:t>
      </w:r>
      <w:r w:rsidRPr="00027CED">
        <w:rPr>
          <w:rStyle w:val="Aucun"/>
        </w:rPr>
        <w:t xml:space="preserve">, op.cit., </w:t>
      </w:r>
      <w:r w:rsidR="00CF3EC6">
        <w:rPr>
          <w:rStyle w:val="Aucun"/>
        </w:rPr>
        <w:t>n°</w:t>
      </w:r>
      <w:r w:rsidR="00CF3EC6" w:rsidRPr="00CF3EC6">
        <w:rPr>
          <w:rStyle w:val="Paragraphenumro"/>
          <w:lang w:val="fr-FR"/>
        </w:rPr>
        <w:t>031.55</w:t>
      </w:r>
      <w:r w:rsidRPr="00027CED">
        <w:rPr>
          <w:rStyle w:val="Aucun"/>
        </w:rPr>
        <w:t>.</w:t>
      </w:r>
    </w:p>
  </w:footnote>
  <w:footnote w:id="31">
    <w:p w14:paraId="638C0E4F"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L. N°78-763, 19 juill. 1978, art.13 al. 2.</w:t>
      </w:r>
    </w:p>
  </w:footnote>
  <w:footnote w:id="32">
    <w:p w14:paraId="0F0DE929" w14:textId="77777777" w:rsidR="00B4419E" w:rsidRDefault="00BF3F37">
      <w:pPr>
        <w:pStyle w:val="Notedebasdepage"/>
      </w:pPr>
      <w:r>
        <w:rPr>
          <w:rStyle w:val="Aucun"/>
          <w:vertAlign w:val="superscript"/>
        </w:rPr>
        <w:footnoteRef/>
      </w:r>
      <w:r>
        <w:rPr>
          <w:rStyle w:val="Aucun"/>
          <w:lang w:val="en-US"/>
        </w:rPr>
        <w:t xml:space="preserve"> </w:t>
      </w:r>
      <w:r>
        <w:rPr>
          <w:rStyle w:val="Aucun"/>
          <w:lang w:val="de-DE"/>
        </w:rPr>
        <w:t>C.com., art. L.225-114.</w:t>
      </w:r>
    </w:p>
  </w:footnote>
  <w:footnote w:id="33">
    <w:p w14:paraId="23B6720F" w14:textId="77777777" w:rsidR="00B4419E" w:rsidRPr="00027CED" w:rsidRDefault="00BF3F37">
      <w:pPr>
        <w:pStyle w:val="Notedebasdepage"/>
        <w:rPr>
          <w:lang w:val="fr-FR"/>
        </w:rPr>
      </w:pPr>
      <w:r>
        <w:rPr>
          <w:rStyle w:val="Aucun"/>
          <w:vertAlign w:val="superscript"/>
        </w:rPr>
        <w:footnoteRef/>
      </w:r>
      <w:r>
        <w:rPr>
          <w:rStyle w:val="Aucun"/>
          <w:lang w:val="en-US"/>
        </w:rPr>
        <w:t xml:space="preserve"> </w:t>
      </w:r>
      <w:r>
        <w:rPr>
          <w:rStyle w:val="Aucun"/>
          <w:lang w:val="de-DE"/>
        </w:rPr>
        <w:t xml:space="preserve">C.rur., art. </w:t>
      </w:r>
      <w:r>
        <w:rPr>
          <w:rStyle w:val="Aucun"/>
        </w:rPr>
        <w:t>R.524-14 al. 4.</w:t>
      </w:r>
    </w:p>
  </w:footnote>
  <w:footnote w:id="34">
    <w:p w14:paraId="29426AB7" w14:textId="430836FB" w:rsidR="00B4419E" w:rsidRPr="00027CED" w:rsidRDefault="00BF3F37">
      <w:pPr>
        <w:pStyle w:val="Notedebasdepage"/>
        <w:rPr>
          <w:lang w:val="fr-FR"/>
        </w:rPr>
      </w:pPr>
      <w:r>
        <w:rPr>
          <w:rStyle w:val="Aucun"/>
          <w:sz w:val="24"/>
          <w:szCs w:val="24"/>
          <w:vertAlign w:val="superscript"/>
        </w:rPr>
        <w:footnoteRef/>
      </w:r>
      <w:r w:rsidRPr="00027CED">
        <w:rPr>
          <w:rStyle w:val="Aucun"/>
        </w:rPr>
        <w:t xml:space="preserve"> D. Hiez, </w:t>
      </w:r>
      <w:r>
        <w:rPr>
          <w:rStyle w:val="Aucun"/>
          <w:i/>
          <w:iCs/>
        </w:rPr>
        <w:t>Sociétés coopératives</w:t>
      </w:r>
      <w:r w:rsidRPr="00027CED">
        <w:rPr>
          <w:rStyle w:val="Aucun"/>
        </w:rPr>
        <w:t xml:space="preserve">, op.cit., </w:t>
      </w:r>
      <w:r w:rsidR="00CF3EC6">
        <w:rPr>
          <w:rStyle w:val="Aucun"/>
        </w:rPr>
        <w:t>n°</w:t>
      </w:r>
      <w:r w:rsidR="00CF3EC6" w:rsidRPr="00CF3EC6">
        <w:rPr>
          <w:rStyle w:val="Paragraphenumro"/>
          <w:lang w:val="fr-FR"/>
        </w:rPr>
        <w:t>031.55</w:t>
      </w:r>
      <w:r w:rsidRPr="00027CED">
        <w:rPr>
          <w:rStyle w:val="Aucun"/>
        </w:rPr>
        <w:t>.</w:t>
      </w:r>
    </w:p>
  </w:footnote>
  <w:footnote w:id="35">
    <w:p w14:paraId="7404A9F8" w14:textId="77777777" w:rsidR="00B4419E" w:rsidRPr="00D63176" w:rsidRDefault="00BF3F37">
      <w:pPr>
        <w:pStyle w:val="Notedebasdepage"/>
        <w:rPr>
          <w:lang w:val="fr-BE"/>
        </w:rPr>
      </w:pPr>
      <w:r>
        <w:rPr>
          <w:rStyle w:val="Aucun"/>
          <w:sz w:val="24"/>
          <w:szCs w:val="24"/>
          <w:vertAlign w:val="superscript"/>
        </w:rPr>
        <w:footnoteRef/>
      </w:r>
      <w:r w:rsidRPr="00D63176">
        <w:rPr>
          <w:rStyle w:val="Aucun"/>
          <w:rFonts w:eastAsia="Arial Unicode MS" w:cs="Arial Unicode MS"/>
          <w:lang w:val="fr-BE"/>
        </w:rPr>
        <w:t xml:space="preserve"> C.civ., art. 1844-10 al. 1.</w:t>
      </w:r>
    </w:p>
  </w:footnote>
  <w:footnote w:id="36">
    <w:p w14:paraId="71F997D6" w14:textId="77777777" w:rsidR="00B4419E" w:rsidRPr="00D63176" w:rsidRDefault="00BF3F37">
      <w:pPr>
        <w:pStyle w:val="Notedebasdepage"/>
        <w:rPr>
          <w:lang w:val="fr-BE"/>
        </w:rPr>
      </w:pPr>
      <w:r>
        <w:rPr>
          <w:rStyle w:val="Aucun"/>
          <w:sz w:val="24"/>
          <w:szCs w:val="24"/>
          <w:vertAlign w:val="superscript"/>
        </w:rPr>
        <w:footnoteRef/>
      </w:r>
      <w:r w:rsidRPr="00D63176">
        <w:rPr>
          <w:rStyle w:val="Aucun"/>
          <w:rFonts w:eastAsia="Arial Unicode MS" w:cs="Arial Unicode MS"/>
          <w:lang w:val="fr-BE"/>
        </w:rPr>
        <w:t xml:space="preserve"> C.civ., art. 1844-10 al. 2.</w:t>
      </w:r>
    </w:p>
  </w:footnote>
  <w:footnote w:id="37">
    <w:p w14:paraId="0F42D99E" w14:textId="77777777" w:rsidR="00B4419E" w:rsidRPr="00027CED" w:rsidRDefault="00BF3F37">
      <w:pPr>
        <w:pStyle w:val="Notedebasdepage"/>
        <w:rPr>
          <w:lang w:val="fr-FR"/>
        </w:rPr>
      </w:pPr>
      <w:r>
        <w:rPr>
          <w:rStyle w:val="Aucun"/>
          <w:sz w:val="24"/>
          <w:szCs w:val="24"/>
          <w:vertAlign w:val="superscript"/>
        </w:rPr>
        <w:footnoteRef/>
      </w:r>
      <w:r w:rsidRPr="00027CED">
        <w:rPr>
          <w:rStyle w:val="Aucun"/>
        </w:rPr>
        <w:t xml:space="preserve"> E. Guégan, « Ordonnance portant réforme du régime des nullités en droit des sociétés: même crainte de la nullité, nouvelle méthode », art.pré</w:t>
      </w:r>
      <w:r>
        <w:rPr>
          <w:rStyle w:val="Aucun"/>
          <w:lang w:val="pt-PT"/>
        </w:rPr>
        <w:t xml:space="preserve">s., </w:t>
      </w:r>
      <w:r w:rsidRPr="00027CED">
        <w:rPr>
          <w:rStyle w:val="Aucun"/>
        </w:rPr>
        <w:t>n°20.</w:t>
      </w:r>
    </w:p>
  </w:footnote>
  <w:footnote w:id="38">
    <w:p w14:paraId="12A33308" w14:textId="77777777" w:rsidR="00B4419E" w:rsidRDefault="00BF3F37">
      <w:pPr>
        <w:pStyle w:val="Notedebasdepage"/>
      </w:pPr>
      <w:r>
        <w:rPr>
          <w:rStyle w:val="Aucun"/>
          <w:sz w:val="24"/>
          <w:szCs w:val="24"/>
          <w:vertAlign w:val="superscript"/>
        </w:rPr>
        <w:footnoteRef/>
      </w:r>
      <w:r>
        <w:rPr>
          <w:rStyle w:val="Aucun"/>
          <w:lang w:val="en-US"/>
        </w:rPr>
        <w:t xml:space="preserve"> C. civ., art. 1844-10 al. 4.</w:t>
      </w:r>
    </w:p>
  </w:footnote>
  <w:footnote w:id="39">
    <w:p w14:paraId="19E968F7"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Com., 18 mai 2010, n°09-14.855.</w:t>
      </w:r>
    </w:p>
  </w:footnote>
  <w:footnote w:id="40">
    <w:p w14:paraId="2A6C81E8"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L. N°47-1775, 10 sept. 1947, art. 7 al. 1.</w:t>
      </w:r>
    </w:p>
  </w:footnote>
  <w:footnote w:id="41">
    <w:p w14:paraId="1FC06146" w14:textId="77777777" w:rsidR="00B4419E" w:rsidRPr="00027CED" w:rsidRDefault="00BF3F37">
      <w:pPr>
        <w:pStyle w:val="Notedebasdepage"/>
        <w:rPr>
          <w:lang w:val="fr-FR"/>
        </w:rPr>
      </w:pPr>
      <w:r>
        <w:rPr>
          <w:rStyle w:val="Aucun"/>
          <w:sz w:val="24"/>
          <w:szCs w:val="24"/>
          <w:vertAlign w:val="superscript"/>
        </w:rPr>
        <w:footnoteRef/>
      </w:r>
      <w:r w:rsidRPr="00027CED">
        <w:rPr>
          <w:rStyle w:val="Aucun"/>
          <w:rFonts w:eastAsia="Arial Unicode MS" w:cs="Arial Unicode MS"/>
        </w:rPr>
        <w:t xml:space="preserve"> voir supra.</w:t>
      </w:r>
    </w:p>
  </w:footnote>
  <w:footnote w:id="42">
    <w:p w14:paraId="3260728D" w14:textId="77777777" w:rsidR="00B4419E" w:rsidRPr="00CF3EC6" w:rsidRDefault="00BF3F37">
      <w:pPr>
        <w:pStyle w:val="Notedebasdepage"/>
        <w:rPr>
          <w:lang w:val="fr-FR"/>
        </w:rPr>
      </w:pPr>
      <w:r>
        <w:rPr>
          <w:rStyle w:val="Aucun"/>
          <w:sz w:val="24"/>
          <w:szCs w:val="24"/>
          <w:vertAlign w:val="superscript"/>
        </w:rPr>
        <w:footnoteRef/>
      </w:r>
      <w:r w:rsidRPr="00027CED">
        <w:rPr>
          <w:rStyle w:val="Aucun"/>
          <w:rFonts w:eastAsia="Arial Unicode MS" w:cs="Arial Unicode MS"/>
        </w:rPr>
        <w:t xml:space="preserve"> C.rur., art. </w:t>
      </w:r>
      <w:r w:rsidRPr="00CF3EC6">
        <w:rPr>
          <w:rStyle w:val="Aucun"/>
          <w:rFonts w:eastAsia="Arial Unicode MS" w:cs="Arial Unicode MS"/>
        </w:rPr>
        <w:t>L.525-1.</w:t>
      </w:r>
    </w:p>
  </w:footnote>
  <w:footnote w:id="43">
    <w:p w14:paraId="40F0DA04" w14:textId="77777777" w:rsidR="00CF3EC6" w:rsidRDefault="00CF3EC6" w:rsidP="00CF3EC6">
      <w:pPr>
        <w:pStyle w:val="Notedebasdepage"/>
      </w:pPr>
      <w:r>
        <w:rPr>
          <w:rStyle w:val="Appelnotedebasdep"/>
        </w:rPr>
        <w:footnoteRef/>
      </w:r>
      <w:r w:rsidRPr="00CF3EC6">
        <w:rPr>
          <w:lang w:val="fr-FR"/>
        </w:rPr>
        <w:t xml:space="preserve"> CE 11 juin 2014, 3</w:t>
      </w:r>
      <w:r w:rsidRPr="00CF3EC6">
        <w:rPr>
          <w:vertAlign w:val="superscript"/>
          <w:lang w:val="fr-FR"/>
        </w:rPr>
        <w:t>e</w:t>
      </w:r>
      <w:r w:rsidRPr="00CF3EC6">
        <w:rPr>
          <w:lang w:val="fr-FR"/>
        </w:rPr>
        <w:t> et 8</w:t>
      </w:r>
      <w:r w:rsidRPr="00CF3EC6">
        <w:rPr>
          <w:vertAlign w:val="superscript"/>
          <w:lang w:val="fr-FR"/>
        </w:rPr>
        <w:t>e</w:t>
      </w:r>
      <w:r w:rsidRPr="00CF3EC6">
        <w:rPr>
          <w:lang w:val="fr-FR"/>
        </w:rPr>
        <w:t> SSR, req. n</w:t>
      </w:r>
      <w:r w:rsidRPr="00CF3EC6">
        <w:rPr>
          <w:vertAlign w:val="superscript"/>
          <w:lang w:val="fr-FR"/>
        </w:rPr>
        <w:t>o</w:t>
      </w:r>
      <w:r w:rsidRPr="00CF3EC6">
        <w:rPr>
          <w:lang w:val="fr-FR"/>
        </w:rPr>
        <w:t xml:space="preserve"> 365623, NP ; </w:t>
      </w:r>
      <w:r w:rsidRPr="00CF3EC6">
        <w:rPr>
          <w:i/>
          <w:lang w:val="fr-FR"/>
        </w:rPr>
        <w:t>JCP E</w:t>
      </w:r>
      <w:r w:rsidRPr="00CF3EC6">
        <w:rPr>
          <w:lang w:val="fr-FR"/>
        </w:rPr>
        <w:t xml:space="preserve"> 2015. </w:t>
      </w:r>
      <w:r w:rsidRPr="00AB2640">
        <w:t>1607, n</w:t>
      </w:r>
      <w:r w:rsidRPr="00AB2640">
        <w:rPr>
          <w:vertAlign w:val="superscript"/>
        </w:rPr>
        <w:t>o</w:t>
      </w:r>
      <w:r w:rsidRPr="00AB2640">
        <w:t> 7, obs. D. Hiez.</w:t>
      </w:r>
    </w:p>
  </w:footnote>
  <w:footnote w:id="44">
    <w:p w14:paraId="51D4C540" w14:textId="77777777" w:rsidR="00B4419E" w:rsidRDefault="00BF3F37">
      <w:pPr>
        <w:pStyle w:val="Notedebasdepage"/>
      </w:pPr>
      <w:r>
        <w:rPr>
          <w:rStyle w:val="Aucun"/>
          <w:sz w:val="24"/>
          <w:szCs w:val="24"/>
          <w:vertAlign w:val="superscript"/>
        </w:rPr>
        <w:footnoteRef/>
      </w:r>
      <w:r>
        <w:rPr>
          <w:rStyle w:val="Aucun"/>
          <w:lang w:val="en-US"/>
        </w:rPr>
        <w:t xml:space="preserve"> C. com., art. L.227-20-1.</w:t>
      </w:r>
    </w:p>
  </w:footnote>
  <w:footnote w:id="45">
    <w:p w14:paraId="6AA00DB3" w14:textId="77777777" w:rsidR="00B4419E" w:rsidRDefault="00BF3F37">
      <w:pPr>
        <w:pStyle w:val="Notedebasdepage"/>
      </w:pPr>
      <w:r>
        <w:rPr>
          <w:rStyle w:val="Aucun"/>
          <w:sz w:val="24"/>
          <w:szCs w:val="24"/>
          <w:vertAlign w:val="superscript"/>
        </w:rPr>
        <w:footnoteRef/>
      </w:r>
      <w:r w:rsidRPr="00D63176">
        <w:rPr>
          <w:rStyle w:val="Aucun"/>
          <w:rFonts w:eastAsia="Arial Unicode MS" w:cs="Arial Unicode MS"/>
          <w:lang w:val="en-GB"/>
        </w:rPr>
        <w:t xml:space="preserve"> B. Dondero et L. Périn, art. </w:t>
      </w:r>
      <w:r>
        <w:rPr>
          <w:rStyle w:val="Aucun"/>
          <w:rFonts w:eastAsia="Arial Unicode MS" w:cs="Arial Unicode MS"/>
          <w:lang w:val="en-US"/>
        </w:rPr>
        <w:t>Prés.</w:t>
      </w:r>
    </w:p>
  </w:footnote>
  <w:footnote w:id="46">
    <w:p w14:paraId="193A89FC"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ibid. n°7.</w:t>
      </w:r>
    </w:p>
  </w:footnote>
  <w:footnote w:id="47">
    <w:p w14:paraId="75CC48FB"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ibid. n°9.</w:t>
      </w:r>
    </w:p>
  </w:footnote>
  <w:footnote w:id="48">
    <w:p w14:paraId="3918CD7B" w14:textId="77777777" w:rsidR="00B4419E" w:rsidRPr="00D63176" w:rsidRDefault="00BF3F37">
      <w:pPr>
        <w:pStyle w:val="Notedebasdepage"/>
        <w:rPr>
          <w:lang w:val="fr-BE"/>
        </w:rPr>
      </w:pPr>
      <w:r>
        <w:rPr>
          <w:rStyle w:val="Aucun"/>
          <w:sz w:val="24"/>
          <w:szCs w:val="24"/>
          <w:vertAlign w:val="superscript"/>
        </w:rPr>
        <w:footnoteRef/>
      </w:r>
      <w:r>
        <w:rPr>
          <w:rStyle w:val="Aucun"/>
          <w:rFonts w:eastAsia="Arial Unicode MS" w:cs="Arial Unicode MS"/>
          <w:lang w:val="en-US"/>
        </w:rPr>
        <w:t xml:space="preserve"> C.com., art. </w:t>
      </w:r>
      <w:r w:rsidRPr="00D63176">
        <w:rPr>
          <w:rStyle w:val="Aucun"/>
          <w:rFonts w:eastAsia="Arial Unicode MS" w:cs="Arial Unicode MS"/>
          <w:lang w:val="fr-BE"/>
        </w:rPr>
        <w:t>L.236-2-1.</w:t>
      </w:r>
    </w:p>
  </w:footnote>
  <w:footnote w:id="49">
    <w:p w14:paraId="078FAAC0" w14:textId="77777777" w:rsidR="00B4419E" w:rsidRPr="00027CED" w:rsidRDefault="00BF3F37">
      <w:pPr>
        <w:pStyle w:val="Notedebasdepage"/>
        <w:rPr>
          <w:lang w:val="fr-FR"/>
        </w:rPr>
      </w:pPr>
      <w:r>
        <w:rPr>
          <w:rStyle w:val="Aucun"/>
          <w:sz w:val="24"/>
          <w:szCs w:val="24"/>
          <w:vertAlign w:val="superscript"/>
        </w:rPr>
        <w:footnoteRef/>
      </w:r>
      <w:r w:rsidRPr="00027CED">
        <w:rPr>
          <w:rStyle w:val="Aucun"/>
          <w:rFonts w:eastAsia="Arial Unicode MS" w:cs="Arial Unicode MS"/>
        </w:rPr>
        <w:t xml:space="preserve"> voir supra.</w:t>
      </w:r>
    </w:p>
  </w:footnote>
  <w:footnote w:id="50">
    <w:p w14:paraId="2D962AAB" w14:textId="77777777" w:rsidR="00B4419E" w:rsidRDefault="00BF3F37">
      <w:pPr>
        <w:pStyle w:val="Notedebasdepage"/>
      </w:pPr>
      <w:r>
        <w:rPr>
          <w:rStyle w:val="Aucun"/>
          <w:sz w:val="24"/>
          <w:szCs w:val="24"/>
          <w:vertAlign w:val="superscript"/>
        </w:rPr>
        <w:footnoteRef/>
      </w:r>
      <w:r w:rsidRPr="00027CED">
        <w:rPr>
          <w:rStyle w:val="Aucun"/>
          <w:rFonts w:eastAsia="Arial Unicode MS" w:cs="Arial Unicode MS"/>
        </w:rPr>
        <w:t xml:space="preserve"> C.rur., art. </w:t>
      </w:r>
      <w:r>
        <w:rPr>
          <w:rStyle w:val="Aucun"/>
          <w:rFonts w:eastAsia="Arial Unicode MS" w:cs="Arial Unicode MS"/>
          <w:lang w:val="en-US"/>
        </w:rPr>
        <w:t>L.526-7-1.</w:t>
      </w:r>
    </w:p>
  </w:footnote>
  <w:footnote w:id="51">
    <w:p w14:paraId="74EFAE52"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C.com., art. L.236-17.</w:t>
      </w:r>
    </w:p>
  </w:footnote>
  <w:footnote w:id="52">
    <w:p w14:paraId="29FF7594"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C.rur., art. L.525-1 al. 4.</w:t>
      </w:r>
    </w:p>
  </w:footnote>
  <w:footnote w:id="53">
    <w:p w14:paraId="484E76EC"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C.rur., art. R.525-8 al. 8.</w:t>
      </w:r>
    </w:p>
  </w:footnote>
  <w:footnote w:id="54">
    <w:p w14:paraId="05351281"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C.rur., art. L.527-1-4.</w:t>
      </w:r>
    </w:p>
  </w:footnote>
  <w:footnote w:id="55">
    <w:p w14:paraId="60139F60" w14:textId="77777777" w:rsidR="00B4419E" w:rsidRDefault="00BF3F37">
      <w:pPr>
        <w:pStyle w:val="Notedebasdepage"/>
      </w:pPr>
      <w:r>
        <w:rPr>
          <w:rStyle w:val="Aucun"/>
          <w:sz w:val="24"/>
          <w:szCs w:val="24"/>
          <w:vertAlign w:val="superscript"/>
        </w:rPr>
        <w:footnoteRef/>
      </w:r>
      <w:r>
        <w:rPr>
          <w:rStyle w:val="Aucun"/>
          <w:lang w:val="en-US"/>
        </w:rPr>
        <w:t xml:space="preserve"> C.rur., art. L.</w:t>
      </w:r>
      <w:r>
        <w:rPr>
          <w:rStyle w:val="AucunA"/>
        </w:rPr>
        <w:t>526-4 al. 5.</w:t>
      </w:r>
    </w:p>
  </w:footnote>
  <w:footnote w:id="56">
    <w:p w14:paraId="6BD60EC6"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L. N°47-1775, 10 sept. 1947, arts. 25-1 s.</w:t>
      </w:r>
    </w:p>
  </w:footnote>
  <w:footnote w:id="57">
    <w:p w14:paraId="0E01A729" w14:textId="77777777" w:rsidR="00B4419E" w:rsidRPr="00D63176" w:rsidRDefault="00BF3F37">
      <w:pPr>
        <w:pStyle w:val="Notedebasdepage"/>
        <w:rPr>
          <w:lang w:val="fr-BE"/>
        </w:rPr>
      </w:pPr>
      <w:r>
        <w:rPr>
          <w:rStyle w:val="Aucun"/>
          <w:sz w:val="24"/>
          <w:szCs w:val="24"/>
          <w:vertAlign w:val="superscript"/>
        </w:rPr>
        <w:footnoteRef/>
      </w:r>
      <w:r>
        <w:rPr>
          <w:rStyle w:val="Aucun"/>
          <w:rFonts w:eastAsia="Arial Unicode MS" w:cs="Arial Unicode MS"/>
          <w:lang w:val="en-US"/>
        </w:rPr>
        <w:t xml:space="preserve"> C.civ., art. 1844-10-1. E. Schlumberger, Art. </w:t>
      </w:r>
      <w:r w:rsidRPr="00D63176">
        <w:rPr>
          <w:rStyle w:val="Aucun"/>
          <w:rFonts w:eastAsia="Arial Unicode MS" w:cs="Arial Unicode MS"/>
          <w:lang w:val="fr-BE"/>
        </w:rPr>
        <w:t>Prés., ns° 21 s.</w:t>
      </w:r>
    </w:p>
  </w:footnote>
  <w:footnote w:id="58">
    <w:p w14:paraId="707692A7" w14:textId="77777777" w:rsidR="00B4419E" w:rsidRPr="00D63176" w:rsidRDefault="00BF3F37">
      <w:pPr>
        <w:pStyle w:val="Notedebasdepage"/>
        <w:rPr>
          <w:lang w:val="fr-BE"/>
        </w:rPr>
      </w:pPr>
      <w:r>
        <w:rPr>
          <w:rStyle w:val="Aucun"/>
          <w:sz w:val="24"/>
          <w:szCs w:val="24"/>
          <w:vertAlign w:val="superscript"/>
        </w:rPr>
        <w:footnoteRef/>
      </w:r>
      <w:r w:rsidRPr="00D63176">
        <w:rPr>
          <w:rStyle w:val="Aucun"/>
          <w:rFonts w:eastAsia="Arial Unicode MS" w:cs="Arial Unicode MS"/>
          <w:lang w:val="fr-BE"/>
        </w:rPr>
        <w:t xml:space="preserve"> C.civ., art. 1844-10 al. 1.</w:t>
      </w:r>
    </w:p>
  </w:footnote>
  <w:footnote w:id="59">
    <w:p w14:paraId="0FE50ACE" w14:textId="77777777" w:rsidR="00B4419E" w:rsidRDefault="00BF3F37">
      <w:pPr>
        <w:pStyle w:val="Notedebasdepage"/>
      </w:pPr>
      <w:r>
        <w:rPr>
          <w:rStyle w:val="Aucun"/>
          <w:sz w:val="24"/>
          <w:szCs w:val="24"/>
          <w:vertAlign w:val="superscript"/>
        </w:rPr>
        <w:footnoteRef/>
      </w:r>
      <w:r>
        <w:rPr>
          <w:rStyle w:val="Aucun"/>
          <w:lang w:val="en-US"/>
        </w:rPr>
        <w:t xml:space="preserve"> C. com., art. L.235-1.</w:t>
      </w:r>
    </w:p>
  </w:footnote>
  <w:footnote w:id="60">
    <w:p w14:paraId="60DC374F" w14:textId="77777777" w:rsidR="00B4419E" w:rsidRPr="00D63176" w:rsidRDefault="00BF3F37">
      <w:pPr>
        <w:pStyle w:val="Notedebasdepage"/>
        <w:rPr>
          <w:lang w:val="fr-BE"/>
        </w:rPr>
      </w:pPr>
      <w:r>
        <w:rPr>
          <w:rStyle w:val="Aucun"/>
          <w:sz w:val="24"/>
          <w:szCs w:val="24"/>
          <w:vertAlign w:val="superscript"/>
        </w:rPr>
        <w:footnoteRef/>
      </w:r>
      <w:r>
        <w:rPr>
          <w:rStyle w:val="Aucun"/>
          <w:rFonts w:eastAsia="Arial Unicode MS" w:cs="Arial Unicode MS"/>
          <w:lang w:val="en-US"/>
        </w:rPr>
        <w:t xml:space="preserve"> E. Schlumberger, art. </w:t>
      </w:r>
      <w:r w:rsidRPr="00D63176">
        <w:rPr>
          <w:rStyle w:val="Aucun"/>
          <w:rFonts w:eastAsia="Arial Unicode MS" w:cs="Arial Unicode MS"/>
          <w:lang w:val="fr-BE"/>
        </w:rPr>
        <w:t>Prés., n°21.</w:t>
      </w:r>
    </w:p>
  </w:footnote>
  <w:footnote w:id="61">
    <w:p w14:paraId="7B42AD8F" w14:textId="77777777" w:rsidR="00B4419E" w:rsidRPr="00027CED" w:rsidRDefault="00BF3F37">
      <w:pPr>
        <w:pStyle w:val="Notedebasdepage"/>
        <w:rPr>
          <w:lang w:val="fr-FR"/>
        </w:rPr>
      </w:pPr>
      <w:r>
        <w:rPr>
          <w:rStyle w:val="Aucun"/>
          <w:sz w:val="24"/>
          <w:szCs w:val="24"/>
          <w:vertAlign w:val="superscript"/>
        </w:rPr>
        <w:footnoteRef/>
      </w:r>
      <w:r w:rsidRPr="00027CED">
        <w:rPr>
          <w:rStyle w:val="Aucun"/>
        </w:rPr>
        <w:t xml:space="preserve"> </w:t>
      </w:r>
      <w:r w:rsidRPr="00D63176">
        <w:rPr>
          <w:rStyle w:val="Aucun"/>
          <w:lang w:val="fr-BE"/>
        </w:rPr>
        <w:t>J. Delvall</w:t>
      </w:r>
      <w:r w:rsidRPr="00027CED">
        <w:rPr>
          <w:rStyle w:val="Aucun"/>
        </w:rPr>
        <w:t>ée, art. préc.,  ns</w:t>
      </w:r>
      <w:r>
        <w:rPr>
          <w:rStyle w:val="AucunA"/>
        </w:rPr>
        <w:t>°</w:t>
      </w:r>
      <w:r>
        <w:rPr>
          <w:rStyle w:val="Aucun"/>
          <w:lang w:val="ru-RU"/>
        </w:rPr>
        <w:t>16-17</w:t>
      </w:r>
      <w:r w:rsidRPr="00027CED">
        <w:rPr>
          <w:rStyle w:val="Aucun"/>
        </w:rPr>
        <w:t>.</w:t>
      </w:r>
    </w:p>
  </w:footnote>
  <w:footnote w:id="62">
    <w:p w14:paraId="48093B50" w14:textId="77777777" w:rsidR="00B4419E" w:rsidRPr="00027CED" w:rsidRDefault="00BF3F37">
      <w:pPr>
        <w:pStyle w:val="Notedebasdepage"/>
        <w:rPr>
          <w:lang w:val="fr-FR"/>
        </w:rPr>
      </w:pPr>
      <w:r>
        <w:rPr>
          <w:rStyle w:val="Aucun"/>
          <w:sz w:val="24"/>
          <w:szCs w:val="24"/>
          <w:vertAlign w:val="superscript"/>
        </w:rPr>
        <w:footnoteRef/>
      </w:r>
      <w:r w:rsidRPr="00027CED">
        <w:rPr>
          <w:rStyle w:val="Aucun"/>
          <w:rFonts w:eastAsia="Arial Unicode MS" w:cs="Arial Unicode MS"/>
        </w:rPr>
        <w:t xml:space="preserve"> voir infra.</w:t>
      </w:r>
    </w:p>
  </w:footnote>
  <w:footnote w:id="63">
    <w:p w14:paraId="2535495A" w14:textId="77777777" w:rsidR="00B4419E" w:rsidRPr="00027CED" w:rsidRDefault="00BF3F37">
      <w:pPr>
        <w:pStyle w:val="Notedebasdepage"/>
        <w:rPr>
          <w:lang w:val="fr-FR"/>
        </w:rPr>
      </w:pPr>
      <w:r>
        <w:rPr>
          <w:rStyle w:val="Aucun"/>
          <w:sz w:val="24"/>
          <w:szCs w:val="24"/>
          <w:vertAlign w:val="superscript"/>
        </w:rPr>
        <w:footnoteRef/>
      </w:r>
      <w:r w:rsidRPr="00027CED">
        <w:rPr>
          <w:rStyle w:val="Aucun"/>
        </w:rPr>
        <w:t xml:space="preserve"> D. Poracchia, « Réforme des nullités en droit des sociétés: </w:t>
      </w:r>
      <w:r>
        <w:rPr>
          <w:rStyle w:val="Aucun"/>
        </w:rPr>
        <w:t> </w:t>
      </w:r>
      <w:r w:rsidRPr="00027CED">
        <w:rPr>
          <w:rStyle w:val="Aucun"/>
        </w:rPr>
        <w:t>nullité des apports et clauses statutaires non écrites », Defrénois, 16 octobre 2025, p.17.</w:t>
      </w:r>
    </w:p>
  </w:footnote>
  <w:footnote w:id="64">
    <w:p w14:paraId="084BBAA5"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C.const.hab., art. L.201-13.</w:t>
      </w:r>
    </w:p>
  </w:footnote>
  <w:footnote w:id="65">
    <w:p w14:paraId="5C440137" w14:textId="77777777" w:rsidR="00B4419E" w:rsidRDefault="00BF3F37">
      <w:pPr>
        <w:pStyle w:val="Notedebasdepage"/>
      </w:pPr>
      <w:r>
        <w:rPr>
          <w:rStyle w:val="Aucun"/>
          <w:sz w:val="24"/>
          <w:szCs w:val="24"/>
          <w:vertAlign w:val="superscript"/>
        </w:rPr>
        <w:footnoteRef/>
      </w:r>
      <w:r>
        <w:rPr>
          <w:rStyle w:val="Aucun"/>
          <w:lang w:val="en-US"/>
        </w:rPr>
        <w:t xml:space="preserve"> L.N°47-1775, 10 sept. 1947, art. 19 septies.</w:t>
      </w:r>
    </w:p>
  </w:footnote>
  <w:footnote w:id="66">
    <w:p w14:paraId="37EF7A71"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C.civ., art. 1844-10 al. 1.</w:t>
      </w:r>
    </w:p>
  </w:footnote>
  <w:footnote w:id="67">
    <w:p w14:paraId="79390442" w14:textId="77777777" w:rsidR="00B4419E" w:rsidRDefault="00BF3F37">
      <w:pPr>
        <w:pStyle w:val="Notedebasdepage"/>
      </w:pPr>
      <w:r>
        <w:rPr>
          <w:rStyle w:val="Aucun"/>
          <w:sz w:val="24"/>
          <w:szCs w:val="24"/>
          <w:vertAlign w:val="superscript"/>
        </w:rPr>
        <w:footnoteRef/>
      </w:r>
      <w:r>
        <w:rPr>
          <w:rStyle w:val="Aucun"/>
          <w:lang w:val="en-US"/>
        </w:rPr>
        <w:t xml:space="preserve"> L. N</w:t>
      </w:r>
      <w:r>
        <w:rPr>
          <w:rStyle w:val="AucunA"/>
        </w:rPr>
        <w:t>°</w:t>
      </w:r>
      <w:r>
        <w:rPr>
          <w:rStyle w:val="Aucun"/>
          <w:lang w:val="en-US"/>
        </w:rPr>
        <w:t>47-1775, 10 sept. 1947, art. 19 sep</w:t>
      </w:r>
      <w:r w:rsidRPr="00D63176">
        <w:rPr>
          <w:rStyle w:val="Aucun"/>
          <w:lang w:val="en-GB"/>
        </w:rPr>
        <w:t>ties</w:t>
      </w:r>
      <w:r>
        <w:rPr>
          <w:rStyle w:val="Aucun"/>
          <w:lang w:val="en-US"/>
        </w:rPr>
        <w:t xml:space="preserve"> al. 2.</w:t>
      </w:r>
    </w:p>
  </w:footnote>
  <w:footnote w:id="68">
    <w:p w14:paraId="1B65558F"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C.civ., art. 1186.</w:t>
      </w:r>
    </w:p>
  </w:footnote>
  <w:footnote w:id="69">
    <w:p w14:paraId="199012E9"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C.civ., art. 1187.</w:t>
      </w:r>
    </w:p>
  </w:footnote>
  <w:footnote w:id="70">
    <w:p w14:paraId="473244D1"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C.civ., art. 1844-7.</w:t>
      </w:r>
    </w:p>
  </w:footnote>
  <w:footnote w:id="71">
    <w:p w14:paraId="6E86ED66" w14:textId="77777777" w:rsidR="00B4419E" w:rsidRDefault="00BF3F37">
      <w:pPr>
        <w:pStyle w:val="Notedebasdepage"/>
      </w:pPr>
      <w:r>
        <w:rPr>
          <w:rStyle w:val="Aucun"/>
          <w:sz w:val="24"/>
          <w:szCs w:val="24"/>
          <w:vertAlign w:val="superscript"/>
        </w:rPr>
        <w:footnoteRef/>
      </w:r>
      <w:r>
        <w:rPr>
          <w:rStyle w:val="Aucun"/>
          <w:lang w:val="en-US"/>
        </w:rPr>
        <w:t xml:space="preserve"> C. civ., art. 1844-7 5°.</w:t>
      </w:r>
    </w:p>
  </w:footnote>
  <w:footnote w:id="72">
    <w:p w14:paraId="494E5C56"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C.civ., art. 1844-12-1.</w:t>
      </w:r>
    </w:p>
  </w:footnote>
  <w:footnote w:id="73">
    <w:p w14:paraId="5E3939DD" w14:textId="77777777" w:rsidR="00B4419E" w:rsidRPr="00D63176" w:rsidRDefault="00BF3F37">
      <w:pPr>
        <w:pStyle w:val="Notedebasdepage"/>
        <w:rPr>
          <w:lang w:val="fr-BE"/>
        </w:rPr>
      </w:pPr>
      <w:r>
        <w:rPr>
          <w:rStyle w:val="Aucun"/>
          <w:sz w:val="24"/>
          <w:szCs w:val="24"/>
          <w:vertAlign w:val="superscript"/>
        </w:rPr>
        <w:footnoteRef/>
      </w:r>
      <w:r>
        <w:rPr>
          <w:rStyle w:val="Aucun"/>
          <w:lang w:val="en-US"/>
        </w:rPr>
        <w:t xml:space="preserve"> A. Couret, art. </w:t>
      </w:r>
      <w:r w:rsidRPr="00D63176">
        <w:rPr>
          <w:rStyle w:val="Aucun"/>
          <w:lang w:val="fr-BE"/>
        </w:rPr>
        <w:t>Prés., n°34.</w:t>
      </w:r>
    </w:p>
  </w:footnote>
  <w:footnote w:id="74">
    <w:p w14:paraId="546DBF55" w14:textId="77777777" w:rsidR="00B4419E" w:rsidRPr="00027CED" w:rsidRDefault="00BF3F37">
      <w:pPr>
        <w:pStyle w:val="Notedebasdepage"/>
        <w:rPr>
          <w:lang w:val="fr-FR"/>
        </w:rPr>
      </w:pPr>
      <w:r>
        <w:rPr>
          <w:rStyle w:val="Aucun"/>
          <w:sz w:val="24"/>
          <w:szCs w:val="24"/>
          <w:vertAlign w:val="superscript"/>
        </w:rPr>
        <w:footnoteRef/>
      </w:r>
      <w:r w:rsidRPr="00027CED">
        <w:rPr>
          <w:rStyle w:val="Aucun"/>
          <w:rFonts w:eastAsia="Arial Unicode MS" w:cs="Arial Unicode MS"/>
        </w:rPr>
        <w:t xml:space="preserve"> C. Coupet, « Les conditions du prononcé de la nullité des décisions sociales », art. préc., n°5.</w:t>
      </w:r>
    </w:p>
  </w:footnote>
  <w:footnote w:id="75">
    <w:p w14:paraId="1151F6E0"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C. Coupet, art. préc., n°36.</w:t>
      </w:r>
    </w:p>
  </w:footnote>
  <w:footnote w:id="76">
    <w:p w14:paraId="10789E6F" w14:textId="77777777" w:rsidR="00B4419E" w:rsidRPr="00D63176" w:rsidRDefault="00BF3F37">
      <w:pPr>
        <w:pStyle w:val="Notedebasdepage"/>
        <w:rPr>
          <w:lang w:val="fr-BE"/>
        </w:rPr>
      </w:pPr>
      <w:r>
        <w:rPr>
          <w:rStyle w:val="Aucun"/>
          <w:sz w:val="24"/>
          <w:szCs w:val="24"/>
          <w:vertAlign w:val="superscript"/>
        </w:rPr>
        <w:footnoteRef/>
      </w:r>
      <w:r>
        <w:rPr>
          <w:rStyle w:val="Aucun"/>
          <w:rFonts w:eastAsia="Arial Unicode MS" w:cs="Arial Unicode MS"/>
          <w:lang w:val="en-US"/>
        </w:rPr>
        <w:t xml:space="preserve"> C. Coupet, art. </w:t>
      </w:r>
      <w:r w:rsidRPr="00D63176">
        <w:rPr>
          <w:rStyle w:val="Aucun"/>
          <w:rFonts w:eastAsia="Arial Unicode MS" w:cs="Arial Unicode MS"/>
          <w:lang w:val="fr-BE"/>
        </w:rPr>
        <w:t>Prés., n°36.</w:t>
      </w:r>
    </w:p>
  </w:footnote>
  <w:footnote w:id="77">
    <w:p w14:paraId="7E62BE7E" w14:textId="77777777" w:rsidR="00B4419E" w:rsidRPr="00027CED" w:rsidRDefault="00BF3F37">
      <w:pPr>
        <w:pStyle w:val="Notedebasdepage"/>
        <w:rPr>
          <w:lang w:val="fr-FR"/>
        </w:rPr>
      </w:pPr>
      <w:r>
        <w:rPr>
          <w:rStyle w:val="Aucun"/>
          <w:sz w:val="24"/>
          <w:szCs w:val="24"/>
          <w:vertAlign w:val="superscript"/>
        </w:rPr>
        <w:footnoteRef/>
      </w:r>
      <w:r w:rsidRPr="00027CED">
        <w:rPr>
          <w:rStyle w:val="Aucun"/>
          <w:rFonts w:eastAsia="Arial Unicode MS" w:cs="Arial Unicode MS"/>
        </w:rPr>
        <w:t xml:space="preserve"> L. N°47-1775, 10 sept. 1947, art. 26 4° et 5°.</w:t>
      </w:r>
    </w:p>
  </w:footnote>
  <w:footnote w:id="78">
    <w:p w14:paraId="2D32F47E"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C.civ., art. 1844-15-2.</w:t>
      </w:r>
    </w:p>
  </w:footnote>
  <w:footnote w:id="79">
    <w:p w14:paraId="16DA3E0C"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C.civ., art. 1845-12-1.</w:t>
      </w:r>
    </w:p>
  </w:footnote>
  <w:footnote w:id="80">
    <w:p w14:paraId="4D8B15A5"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C.civ., art. 1844-14.</w:t>
      </w:r>
    </w:p>
  </w:footnote>
  <w:footnote w:id="81">
    <w:p w14:paraId="6BCA3920"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C.rur., art. L.524-5-1 al. 3.</w:t>
      </w:r>
    </w:p>
  </w:footnote>
  <w:footnote w:id="82">
    <w:p w14:paraId="47FE66D4" w14:textId="77777777" w:rsidR="00B4419E" w:rsidRPr="00D63176" w:rsidRDefault="00BF3F37">
      <w:pPr>
        <w:pStyle w:val="Notedebasdepage"/>
        <w:rPr>
          <w:lang w:val="en-GB"/>
        </w:rPr>
      </w:pPr>
      <w:r>
        <w:rPr>
          <w:rStyle w:val="Aucun"/>
          <w:sz w:val="24"/>
          <w:szCs w:val="24"/>
          <w:vertAlign w:val="superscript"/>
        </w:rPr>
        <w:footnoteRef/>
      </w:r>
      <w:r w:rsidRPr="00D63176">
        <w:rPr>
          <w:rStyle w:val="Aucun"/>
          <w:rFonts w:eastAsia="Arial Unicode MS" w:cs="Arial Unicode MS"/>
          <w:lang w:val="en-GB"/>
        </w:rPr>
        <w:t xml:space="preserve"> C.civ., art. 1844-17.</w:t>
      </w:r>
    </w:p>
  </w:footnote>
  <w:footnote w:id="83">
    <w:p w14:paraId="05BBA391" w14:textId="77777777" w:rsidR="00B4419E" w:rsidRPr="00027CED" w:rsidRDefault="00BF3F37">
      <w:pPr>
        <w:pStyle w:val="Notedebasdepage"/>
        <w:rPr>
          <w:lang w:val="fr-FR"/>
        </w:rPr>
      </w:pPr>
      <w:r>
        <w:rPr>
          <w:rStyle w:val="Aucun"/>
          <w:sz w:val="24"/>
          <w:szCs w:val="24"/>
          <w:vertAlign w:val="superscript"/>
        </w:rPr>
        <w:footnoteRef/>
      </w:r>
      <w:r w:rsidRPr="00027CED">
        <w:rPr>
          <w:rStyle w:val="Aucun"/>
        </w:rPr>
        <w:t xml:space="preserve"> D. Hiez, « </w:t>
      </w:r>
      <w:r>
        <w:rPr>
          <w:rStyle w:val="Aucun"/>
        </w:rPr>
        <w:t xml:space="preserve">La responsabilité </w:t>
      </w:r>
      <w:r>
        <w:rPr>
          <w:rStyle w:val="AucunA"/>
        </w:rPr>
        <w:t>d</w:t>
      </w:r>
      <w:r>
        <w:rPr>
          <w:rStyle w:val="Aucun"/>
        </w:rPr>
        <w:t xml:space="preserve">élictuelle, bonne </w:t>
      </w:r>
      <w:r>
        <w:rPr>
          <w:rStyle w:val="AucunA"/>
        </w:rPr>
        <w:t xml:space="preserve">à </w:t>
      </w:r>
      <w:r>
        <w:rPr>
          <w:rStyle w:val="Aucun"/>
        </w:rPr>
        <w:t>ne pas tout faire en droit coopératif », RTDcom., 2023, p. 693.</w:t>
      </w:r>
    </w:p>
  </w:footnote>
  <w:footnote w:id="84">
    <w:p w14:paraId="0A7EAF45" w14:textId="77777777" w:rsidR="00B4419E" w:rsidRDefault="00BF3F37">
      <w:pPr>
        <w:pStyle w:val="Notedebasdepage"/>
      </w:pPr>
      <w:r>
        <w:rPr>
          <w:rStyle w:val="Aucun"/>
          <w:sz w:val="24"/>
          <w:szCs w:val="24"/>
          <w:vertAlign w:val="superscript"/>
        </w:rPr>
        <w:footnoteRef/>
      </w:r>
      <w:r>
        <w:rPr>
          <w:rStyle w:val="Aucun"/>
          <w:lang w:val="en-US"/>
        </w:rPr>
        <w:t xml:space="preserve"> </w:t>
      </w:r>
      <w:r>
        <w:rPr>
          <w:rStyle w:val="AucunA"/>
        </w:rPr>
        <w:t>Com., 9 nov. 2022, n° 20-16.454</w:t>
      </w:r>
      <w:r>
        <w:rPr>
          <w:rStyle w:val="Aucun"/>
          <w:lang w:val="de-DE"/>
        </w:rPr>
        <w:t>.</w:t>
      </w:r>
    </w:p>
  </w:footnote>
  <w:footnote w:id="85">
    <w:p w14:paraId="3916A962" w14:textId="77777777" w:rsidR="00B4419E" w:rsidRDefault="00BF3F37">
      <w:pPr>
        <w:pStyle w:val="Notedebasdepage"/>
      </w:pPr>
      <w:r>
        <w:rPr>
          <w:rStyle w:val="Aucun"/>
          <w:sz w:val="24"/>
          <w:szCs w:val="24"/>
          <w:vertAlign w:val="superscript"/>
        </w:rPr>
        <w:footnoteRef/>
      </w:r>
      <w:r>
        <w:rPr>
          <w:rStyle w:val="Aucun"/>
          <w:rFonts w:eastAsia="Arial Unicode MS" w:cs="Arial Unicode MS"/>
          <w:lang w:val="en-US"/>
        </w:rPr>
        <w:t xml:space="preserve"> C.civ., art. 1844-15-1</w:t>
      </w:r>
      <w:r>
        <w:rPr>
          <w:rStyle w:val="Aucun"/>
          <w:rFonts w:eastAsia="Arial Unicode MS" w:cs="Arial Unicode MS"/>
          <w:sz w:val="24"/>
          <w:szCs w:val="24"/>
          <w:lang w:val="en-US"/>
        </w:rPr>
        <w:t>.</w:t>
      </w:r>
    </w:p>
  </w:footnote>
  <w:footnote w:id="86">
    <w:p w14:paraId="356CDABC" w14:textId="77777777" w:rsidR="00B4419E" w:rsidRPr="00CF3EC6" w:rsidRDefault="00BF3F37">
      <w:pPr>
        <w:pStyle w:val="Notedebasdepage"/>
        <w:rPr>
          <w:lang w:val="fr-FR"/>
        </w:rPr>
      </w:pPr>
      <w:r>
        <w:rPr>
          <w:rStyle w:val="Aucun"/>
          <w:sz w:val="24"/>
          <w:szCs w:val="24"/>
          <w:vertAlign w:val="superscript"/>
        </w:rPr>
        <w:footnoteRef/>
      </w:r>
      <w:r w:rsidRPr="00027CED">
        <w:rPr>
          <w:rStyle w:val="Aucun"/>
        </w:rPr>
        <w:t xml:space="preserve"> E. Guégan, « La neutralisation radicale des nullité</w:t>
      </w:r>
      <w:r>
        <w:rPr>
          <w:rStyle w:val="Aucun"/>
          <w:lang w:val="es-ES_tradnl"/>
        </w:rPr>
        <w:t>s en cascade</w:t>
      </w:r>
      <w:r w:rsidRPr="00027CED">
        <w:rPr>
          <w:rStyle w:val="Aucun"/>
        </w:rPr>
        <w:t xml:space="preserve"> », art. préc. Différemment: B. Dondero, « L'ordonnance réformant les nullités en droit des sociétés. </w:t>
      </w:r>
      <w:r w:rsidRPr="00CF3EC6">
        <w:rPr>
          <w:rStyle w:val="Aucun"/>
        </w:rPr>
        <w:t>Modifications du droit commun des nullités », art. Prés., ns° 50-51.</w:t>
      </w:r>
    </w:p>
  </w:footnote>
  <w:footnote w:id="87">
    <w:p w14:paraId="2C1038BD" w14:textId="77777777" w:rsidR="00B4419E" w:rsidRPr="00CF3EC6" w:rsidRDefault="00BF3F37">
      <w:pPr>
        <w:pStyle w:val="Notedebasdepage"/>
        <w:rPr>
          <w:lang w:val="fr-FR"/>
        </w:rPr>
      </w:pPr>
      <w:r>
        <w:rPr>
          <w:rStyle w:val="Aucun"/>
          <w:vertAlign w:val="superscript"/>
        </w:rPr>
        <w:footnoteRef/>
      </w:r>
      <w:r w:rsidRPr="00CF3EC6">
        <w:rPr>
          <w:lang w:val="fr-FR"/>
        </w:rPr>
        <w:t xml:space="preserve"> </w:t>
      </w:r>
      <w:r>
        <w:rPr>
          <w:rStyle w:val="Aucun"/>
          <w:sz w:val="24"/>
          <w:szCs w:val="24"/>
        </w:rPr>
        <w:t>C. Coupet, art. Pré</w:t>
      </w:r>
      <w:r>
        <w:rPr>
          <w:rStyle w:val="Aucun"/>
          <w:sz w:val="24"/>
          <w:szCs w:val="24"/>
          <w:lang w:val="pt-PT"/>
        </w:rPr>
        <w:t>s., n</w:t>
      </w:r>
      <w:r>
        <w:rPr>
          <w:rStyle w:val="Aucun"/>
          <w:sz w:val="24"/>
          <w:szCs w:val="24"/>
          <w:lang w:val="it-IT"/>
        </w:rPr>
        <w:t>°</w:t>
      </w:r>
      <w:r>
        <w:rPr>
          <w:rStyle w:val="Aucun"/>
          <w:sz w:val="24"/>
          <w:szCs w:val="24"/>
        </w:rPr>
        <w:t>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65E1" w14:textId="77777777" w:rsidR="00B4419E" w:rsidRDefault="00B4419E">
    <w:pPr>
      <w:pStyle w:val="En-tt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0F6E"/>
    <w:multiLevelType w:val="hybridMultilevel"/>
    <w:tmpl w:val="87E4C718"/>
    <w:numStyleLink w:val="Style5import"/>
  </w:abstractNum>
  <w:abstractNum w:abstractNumId="1" w15:restartNumberingAfterBreak="0">
    <w:nsid w:val="067E45E5"/>
    <w:multiLevelType w:val="hybridMultilevel"/>
    <w:tmpl w:val="3DB25E7C"/>
    <w:styleLink w:val="Style3import"/>
    <w:lvl w:ilvl="0" w:tplc="522489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38007D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5E7D5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5A839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7418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72FA0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5B8F5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142E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468B8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AC5FF7"/>
    <w:multiLevelType w:val="hybridMultilevel"/>
    <w:tmpl w:val="87E4C718"/>
    <w:styleLink w:val="Style5import"/>
    <w:lvl w:ilvl="0" w:tplc="8D6C1140">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AA5C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02B31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8FECA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AECA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F8F1E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E2C70F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0C88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3629F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5C60956"/>
    <w:multiLevelType w:val="hybridMultilevel"/>
    <w:tmpl w:val="66FAF098"/>
    <w:numStyleLink w:val="Style2import"/>
  </w:abstractNum>
  <w:abstractNum w:abstractNumId="4" w15:restartNumberingAfterBreak="0">
    <w:nsid w:val="1D7C44C9"/>
    <w:multiLevelType w:val="hybridMultilevel"/>
    <w:tmpl w:val="BC1C3942"/>
    <w:numStyleLink w:val="Style1import"/>
  </w:abstractNum>
  <w:abstractNum w:abstractNumId="5" w15:restartNumberingAfterBreak="0">
    <w:nsid w:val="1EBA013C"/>
    <w:multiLevelType w:val="hybridMultilevel"/>
    <w:tmpl w:val="64F43F50"/>
    <w:numStyleLink w:val="Style4import"/>
  </w:abstractNum>
  <w:abstractNum w:abstractNumId="6" w15:restartNumberingAfterBreak="0">
    <w:nsid w:val="29A37E68"/>
    <w:multiLevelType w:val="hybridMultilevel"/>
    <w:tmpl w:val="3DB25E7C"/>
    <w:numStyleLink w:val="Style3import"/>
  </w:abstractNum>
  <w:abstractNum w:abstractNumId="7" w15:restartNumberingAfterBreak="0">
    <w:nsid w:val="49DE7FC0"/>
    <w:multiLevelType w:val="hybridMultilevel"/>
    <w:tmpl w:val="66FAF098"/>
    <w:styleLink w:val="Style2import"/>
    <w:lvl w:ilvl="0" w:tplc="B9AC9A8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3E5A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D2937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D5A32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A6AD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84FA8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EBEE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75EA41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086C4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08C5019"/>
    <w:multiLevelType w:val="hybridMultilevel"/>
    <w:tmpl w:val="2570BF5E"/>
    <w:styleLink w:val="Style6import"/>
    <w:lvl w:ilvl="0" w:tplc="174C44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8824D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18977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A8F5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6CA1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246E7D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A9E4F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32E76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5AE608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5B110D1"/>
    <w:multiLevelType w:val="hybridMultilevel"/>
    <w:tmpl w:val="BC1C3942"/>
    <w:styleLink w:val="Style1import"/>
    <w:lvl w:ilvl="0" w:tplc="F6CEEBE6">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5E888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CE37A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CA4D5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4E65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5A787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D904B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D6E8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A0304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E16168F"/>
    <w:multiLevelType w:val="hybridMultilevel"/>
    <w:tmpl w:val="64F43F50"/>
    <w:styleLink w:val="Style4import"/>
    <w:lvl w:ilvl="0" w:tplc="5FFCB1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EC6E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763C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EB8FC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EE779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48226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12CB0C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48FA8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963AA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CB44F74"/>
    <w:multiLevelType w:val="hybridMultilevel"/>
    <w:tmpl w:val="2570BF5E"/>
    <w:numStyleLink w:val="Style6import"/>
  </w:abstractNum>
  <w:num w:numId="1" w16cid:durableId="861013801">
    <w:abstractNumId w:val="9"/>
  </w:num>
  <w:num w:numId="2" w16cid:durableId="115099092">
    <w:abstractNumId w:val="4"/>
  </w:num>
  <w:num w:numId="3" w16cid:durableId="798914894">
    <w:abstractNumId w:val="7"/>
  </w:num>
  <w:num w:numId="4" w16cid:durableId="294607039">
    <w:abstractNumId w:val="3"/>
  </w:num>
  <w:num w:numId="5" w16cid:durableId="600376542">
    <w:abstractNumId w:val="1"/>
  </w:num>
  <w:num w:numId="6" w16cid:durableId="872889620">
    <w:abstractNumId w:val="6"/>
  </w:num>
  <w:num w:numId="7" w16cid:durableId="1983803460">
    <w:abstractNumId w:val="3"/>
    <w:lvlOverride w:ilvl="0">
      <w:startOverride w:val="2"/>
    </w:lvlOverride>
  </w:num>
  <w:num w:numId="8" w16cid:durableId="2144351114">
    <w:abstractNumId w:val="10"/>
  </w:num>
  <w:num w:numId="9" w16cid:durableId="1135637366">
    <w:abstractNumId w:val="5"/>
  </w:num>
  <w:num w:numId="10" w16cid:durableId="1253127351">
    <w:abstractNumId w:val="4"/>
    <w:lvlOverride w:ilvl="0">
      <w:startOverride w:val="2"/>
    </w:lvlOverride>
  </w:num>
  <w:num w:numId="11" w16cid:durableId="434444857">
    <w:abstractNumId w:val="2"/>
  </w:num>
  <w:num w:numId="12" w16cid:durableId="953053720">
    <w:abstractNumId w:val="0"/>
  </w:num>
  <w:num w:numId="13" w16cid:durableId="1875922751">
    <w:abstractNumId w:val="8"/>
  </w:num>
  <w:num w:numId="14" w16cid:durableId="1366641076">
    <w:abstractNumId w:val="11"/>
  </w:num>
  <w:num w:numId="15" w16cid:durableId="205357699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savePreviewPicture/>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19E"/>
    <w:rsid w:val="00027CED"/>
    <w:rsid w:val="003326A8"/>
    <w:rsid w:val="00B4419E"/>
    <w:rsid w:val="00B51BDC"/>
    <w:rsid w:val="00BF3F37"/>
    <w:rsid w:val="00C0534C"/>
    <w:rsid w:val="00CC1030"/>
    <w:rsid w:val="00CF3EC6"/>
    <w:rsid w:val="00D63176"/>
    <w:rsid w:val="00D75B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2DE7"/>
  <w15:docId w15:val="{A9F16492-64EE-4A06-BE4B-91D6C58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En-tte1">
    <w:name w:val="En-tête1"/>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rPr>
      <w:lang w:val="fr-FR"/>
    </w:rPr>
  </w:style>
  <w:style w:type="paragraph" w:styleId="Notedebasdepage">
    <w:name w:val="footnote text"/>
    <w:link w:val="NotedebasdepageCar"/>
    <w:rPr>
      <w:rFonts w:eastAsia="Times New Roman"/>
      <w:color w:val="000000"/>
      <w:u w:color="000000"/>
      <w:lang w:val="en-US"/>
    </w:rPr>
  </w:style>
  <w:style w:type="character" w:customStyle="1" w:styleId="AucunA">
    <w:name w:val="Aucun A"/>
    <w:basedOn w:val="Aucun"/>
    <w:rPr>
      <w:lang w:val="it-IT"/>
    </w:rPr>
  </w:style>
  <w:style w:type="paragraph" w:customStyle="1" w:styleId="Corps">
    <w:name w:val="Corps"/>
    <w:rPr>
      <w:rFonts w:eastAsia="Times New Roman"/>
      <w:color w:val="000000"/>
      <w:sz w:val="24"/>
      <w:szCs w:val="24"/>
      <w:u w:color="000000"/>
      <w14:textOutline w14:w="0" w14:cap="flat" w14:cmpd="sng" w14:algn="ctr">
        <w14:noFill/>
        <w14:prstDash w14:val="solid"/>
        <w14:bevel/>
      </w14:textOutline>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numbering" w:customStyle="1" w:styleId="Style3import">
    <w:name w:val="Style 3 importé"/>
    <w:pPr>
      <w:numPr>
        <w:numId w:val="5"/>
      </w:numPr>
    </w:pPr>
  </w:style>
  <w:style w:type="paragraph" w:customStyle="1" w:styleId="PardfautA">
    <w:name w:val="Par défaut A"/>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Hyperlink0">
    <w:name w:val="Hyperlink.0"/>
    <w:basedOn w:val="Aucun"/>
    <w:rPr>
      <w:outline w:val="0"/>
      <w:color w:val="0000FF"/>
      <w:u w:val="single" w:color="0000FF"/>
      <w:lang w:val="fr-FR"/>
    </w:rPr>
  </w:style>
  <w:style w:type="numbering" w:customStyle="1" w:styleId="Style4import">
    <w:name w:val="Style 4 importé"/>
    <w:pPr>
      <w:numPr>
        <w:numId w:val="8"/>
      </w:numPr>
    </w:pPr>
  </w:style>
  <w:style w:type="numbering" w:customStyle="1" w:styleId="Style5import">
    <w:name w:val="Style 5 importé"/>
    <w:pPr>
      <w:numPr>
        <w:numId w:val="11"/>
      </w:numPr>
    </w:pPr>
  </w:style>
  <w:style w:type="numbering" w:customStyle="1" w:styleId="Style6import">
    <w:name w:val="Style 6 importé"/>
    <w:pPr>
      <w:numPr>
        <w:numId w:val="13"/>
      </w:numPr>
    </w:pPr>
  </w:style>
  <w:style w:type="character" w:customStyle="1" w:styleId="Paragraphenumro">
    <w:name w:val="Paragraphe (numéro)"/>
    <w:basedOn w:val="Policepardfaut"/>
    <w:qFormat/>
    <w:rsid w:val="00CF3EC6"/>
    <w:rPr>
      <w:b/>
      <w:color w:val="C0504D"/>
    </w:rPr>
  </w:style>
  <w:style w:type="character" w:customStyle="1" w:styleId="NotedebasdepageCar">
    <w:name w:val="Note de bas de page Car"/>
    <w:basedOn w:val="Policepardfaut"/>
    <w:link w:val="Notedebasdepage"/>
    <w:rsid w:val="00CF3EC6"/>
    <w:rPr>
      <w:rFonts w:eastAsia="Times New Roman"/>
      <w:color w:val="000000"/>
      <w:u w:color="000000"/>
      <w:lang w:val="en-US"/>
    </w:rPr>
  </w:style>
  <w:style w:type="character" w:styleId="Appelnotedebasdep">
    <w:name w:val="footnote reference"/>
    <w:basedOn w:val="Policepardfaut"/>
    <w:semiHidden/>
    <w:unhideWhenUsed/>
    <w:rsid w:val="00CF3E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ca.coop/fr/coop%25C3%25A9ratives/identite-cooperative"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6680</Words>
  <Characters>36745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43339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HIEZ</dc:creator>
  <cp:lastModifiedBy>gerardaxel269@gmail.com</cp:lastModifiedBy>
  <cp:revision>3</cp:revision>
  <dcterms:created xsi:type="dcterms:W3CDTF">2025-11-25T14:18:00Z</dcterms:created>
  <dcterms:modified xsi:type="dcterms:W3CDTF">2026-04-20T16:57:00Z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c87f68fc-2e55-4c35-9de7-e4077b74b163</vt:lpwstr>
  </property>
</Properties>
</file>