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B6A8" w14:textId="77777777" w:rsidR="00776B45" w:rsidRPr="00776B45" w:rsidRDefault="00776B45" w:rsidP="00776B45">
      <w:pPr>
        <w:spacing w:after="150" w:line="360" w:lineRule="atLeast"/>
        <w:textAlignment w:val="baseline"/>
        <w:outlineLvl w:val="0"/>
        <w:rPr>
          <w:rFonts w:ascii="Arial" w:eastAsia="Times New Roman" w:hAnsi="Arial" w:cs="Arial"/>
          <w:color w:val="444444"/>
          <w:spacing w:val="-15"/>
          <w:kern w:val="36"/>
          <w:sz w:val="63"/>
          <w:szCs w:val="63"/>
          <w:lang w:eastAsia="it-IT"/>
          <w14:ligatures w14:val="none"/>
        </w:rPr>
      </w:pPr>
      <w:r w:rsidRPr="00776B45">
        <w:rPr>
          <w:rFonts w:ascii="Arial" w:eastAsia="Times New Roman" w:hAnsi="Arial" w:cs="Arial"/>
          <w:color w:val="444444"/>
          <w:spacing w:val="-15"/>
          <w:kern w:val="36"/>
          <w:sz w:val="63"/>
          <w:szCs w:val="63"/>
          <w:lang w:eastAsia="it-IT"/>
          <w14:ligatures w14:val="none"/>
        </w:rPr>
        <w:t>Labour Law Utopias: Post-Growth &amp; Post-Productive Work Approaches | Nicolas Bueno, Beryl ter Haar and Nuna Zekić (Eds.)</w:t>
      </w:r>
    </w:p>
    <w:p w14:paraId="1332FCC9" w14:textId="77777777" w:rsidR="00776B45" w:rsidRPr="00776B45" w:rsidRDefault="00776B45" w:rsidP="00776B45">
      <w:pPr>
        <w:spacing w:after="0" w:line="240" w:lineRule="auto"/>
        <w:textAlignment w:val="baseline"/>
        <w:rPr>
          <w:rFonts w:ascii="Arial" w:eastAsia="Times New Roman" w:hAnsi="Arial" w:cs="Arial"/>
          <w:caps/>
          <w:color w:val="AAAAAA"/>
          <w:kern w:val="0"/>
          <w:sz w:val="21"/>
          <w:szCs w:val="21"/>
          <w:lang w:eastAsia="it-IT"/>
          <w14:ligatures w14:val="none"/>
        </w:rPr>
      </w:pPr>
      <w:r w:rsidRPr="00776B45">
        <w:rPr>
          <w:rFonts w:ascii="Arial" w:eastAsia="Times New Roman" w:hAnsi="Arial" w:cs="Arial"/>
          <w:caps/>
          <w:color w:val="AAAAAA"/>
          <w:kern w:val="0"/>
          <w:sz w:val="21"/>
          <w:szCs w:val="21"/>
          <w:lang w:eastAsia="it-IT"/>
          <w14:ligatures w14:val="none"/>
        </w:rPr>
        <w:t>PAR  </w:t>
      </w:r>
      <w:hyperlink r:id="rId5" w:tooltip="Articles par ds" w:history="1">
        <w:r w:rsidRPr="00776B45">
          <w:rPr>
            <w:rFonts w:ascii="inherit" w:eastAsia="Times New Roman" w:hAnsi="inherit" w:cs="Arial"/>
            <w:caps/>
            <w:color w:val="08ACB2"/>
            <w:kern w:val="0"/>
            <w:sz w:val="21"/>
            <w:szCs w:val="21"/>
            <w:u w:val="single"/>
            <w:bdr w:val="none" w:sz="0" w:space="0" w:color="auto" w:frame="1"/>
            <w:lang w:eastAsia="it-IT"/>
            <w14:ligatures w14:val="none"/>
          </w:rPr>
          <w:t>DS</w:t>
        </w:r>
      </w:hyperlink>
      <w:r w:rsidRPr="00776B45">
        <w:rPr>
          <w:rFonts w:ascii="inherit" w:eastAsia="Times New Roman" w:hAnsi="inherit" w:cs="Arial"/>
          <w:caps/>
          <w:color w:val="AAAAAA"/>
          <w:kern w:val="0"/>
          <w:sz w:val="21"/>
          <w:szCs w:val="21"/>
          <w:bdr w:val="none" w:sz="0" w:space="0" w:color="auto" w:frame="1"/>
          <w:lang w:eastAsia="it-IT"/>
          <w14:ligatures w14:val="none"/>
        </w:rPr>
        <w:t> </w:t>
      </w:r>
      <w:r w:rsidRPr="00776B45">
        <w:rPr>
          <w:rFonts w:ascii="Arial" w:eastAsia="Times New Roman" w:hAnsi="Arial" w:cs="Arial"/>
          <w:caps/>
          <w:color w:val="AAAAAA"/>
          <w:kern w:val="0"/>
          <w:sz w:val="21"/>
          <w:szCs w:val="21"/>
          <w:lang w:eastAsia="it-IT"/>
          <w14:ligatures w14:val="none"/>
        </w:rPr>
        <w:t>· 26/11/2025</w:t>
      </w:r>
    </w:p>
    <w:p w14:paraId="261875E0" w14:textId="3F7F1B76"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b/>
          <w:bCs/>
          <w:noProof/>
          <w:color w:val="08ACB2"/>
          <w:kern w:val="0"/>
          <w:sz w:val="27"/>
          <w:szCs w:val="27"/>
          <w:bdr w:val="none" w:sz="0" w:space="0" w:color="auto" w:frame="1"/>
          <w:lang w:eastAsia="it-IT"/>
          <w14:ligatures w14:val="none"/>
        </w:rPr>
        <w:drawing>
          <wp:inline distT="0" distB="0" distL="0" distR="0" wp14:anchorId="4F492406" wp14:editId="39029B24">
            <wp:extent cx="2525395" cy="3812540"/>
            <wp:effectExtent l="0" t="0" r="1905" b="0"/>
            <wp:docPr id="874112080" name="Immagine 1" descr="Immagine che contiene testo, libro, Carattere, grafica&#10;&#10;Il contenuto generato dall'IA potrebbe non essere corrett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12080" name="Immagine 1" descr="Immagine che contiene testo, libro, Carattere, grafica&#10;&#10;Il contenuto generato dall'IA potrebbe non essere corretto.">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5395" cy="3812540"/>
                    </a:xfrm>
                    <a:prstGeom prst="rect">
                      <a:avLst/>
                    </a:prstGeom>
                    <a:noFill/>
                    <a:ln>
                      <a:noFill/>
                    </a:ln>
                  </pic:spPr>
                </pic:pic>
              </a:graphicData>
            </a:graphic>
          </wp:inline>
        </w:drawing>
      </w:r>
      <w:r w:rsidRPr="00776B45">
        <w:rPr>
          <w:rFonts w:ascii="inherit" w:eastAsia="Times New Roman" w:hAnsi="inherit" w:cs="Arial"/>
          <w:b/>
          <w:bCs/>
          <w:color w:val="111111"/>
          <w:kern w:val="0"/>
          <w:sz w:val="27"/>
          <w:szCs w:val="27"/>
          <w:bdr w:val="none" w:sz="0" w:space="0" w:color="auto" w:frame="1"/>
          <w:lang w:eastAsia="it-IT"/>
          <w14:ligatures w14:val="none"/>
        </w:rPr>
        <w:t>Nicolas Bueno, Beryl ter Haar and Nuna Zekić (Eds.),</w:t>
      </w:r>
      <w:r w:rsidRPr="00776B45">
        <w:rPr>
          <w:rFonts w:ascii="inherit" w:eastAsia="Times New Roman" w:hAnsi="inherit" w:cs="Arial"/>
          <w:b/>
          <w:bCs/>
          <w:i/>
          <w:iCs/>
          <w:color w:val="111111"/>
          <w:kern w:val="0"/>
          <w:sz w:val="27"/>
          <w:szCs w:val="27"/>
          <w:bdr w:val="none" w:sz="0" w:space="0" w:color="auto" w:frame="1"/>
          <w:lang w:eastAsia="it-IT"/>
          <w14:ligatures w14:val="none"/>
        </w:rPr>
        <w:t>Labour Law Utopias: Post-Growth &amp; Post-Productive Work Approaches</w:t>
      </w:r>
      <w:r w:rsidRPr="00776B45">
        <w:rPr>
          <w:rFonts w:ascii="inherit" w:eastAsia="Times New Roman" w:hAnsi="inherit" w:cs="Arial"/>
          <w:color w:val="111111"/>
          <w:kern w:val="0"/>
          <w:sz w:val="27"/>
          <w:szCs w:val="27"/>
          <w:lang w:eastAsia="it-IT"/>
          <w14:ligatures w14:val="none"/>
        </w:rPr>
        <w:t>, Oxford: Oxford University Press, 2024, 259 p.</w:t>
      </w:r>
    </w:p>
    <w:p w14:paraId="136ED776"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b/>
          <w:bCs/>
          <w:color w:val="111111"/>
          <w:kern w:val="0"/>
          <w:sz w:val="27"/>
          <w:szCs w:val="27"/>
          <w:bdr w:val="none" w:sz="0" w:space="0" w:color="auto" w:frame="1"/>
          <w:lang w:eastAsia="it-IT"/>
          <w14:ligatures w14:val="none"/>
        </w:rPr>
        <w:t>Compte rendu par Luca Ratti (Université du Luxembourg)</w:t>
      </w:r>
    </w:p>
    <w:p w14:paraId="1E4C8F7A" w14:textId="77777777" w:rsidR="00776B45" w:rsidRPr="00776B45" w:rsidRDefault="00776B45" w:rsidP="00776B45">
      <w:pPr>
        <w:spacing w:after="24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 </w:t>
      </w:r>
    </w:p>
    <w:p w14:paraId="7A290B57"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Comment concilier une perspective utopique, qui affirme la nécessité de la décroissance et de la reconnaissance du travail non productif, avec la discipline juridique qui régule les relations de travail ? Quelles pistes s’ouvrent pour le droit du travail dans le contexte utopique de la « post-croissance » et du « travail post-productif » ?</w:t>
      </w:r>
      <w:r w:rsidRPr="00776B45">
        <w:rPr>
          <w:rFonts w:ascii="inherit" w:eastAsia="Times New Roman" w:hAnsi="inherit" w:cs="Arial"/>
          <w:color w:val="111111"/>
          <w:kern w:val="0"/>
          <w:sz w:val="27"/>
          <w:szCs w:val="27"/>
          <w:lang w:eastAsia="it-IT"/>
          <w14:ligatures w14:val="none"/>
        </w:rPr>
        <w:br/>
      </w:r>
      <w:r w:rsidRPr="00776B45">
        <w:rPr>
          <w:rFonts w:ascii="inherit" w:eastAsia="Times New Roman" w:hAnsi="inherit" w:cs="Arial"/>
          <w:color w:val="111111"/>
          <w:kern w:val="0"/>
          <w:sz w:val="27"/>
          <w:szCs w:val="27"/>
          <w:lang w:eastAsia="it-IT"/>
          <w14:ligatures w14:val="none"/>
        </w:rPr>
        <w:lastRenderedPageBreak/>
        <w:t>Le livre </w:t>
      </w:r>
      <w:r w:rsidRPr="00776B45">
        <w:rPr>
          <w:rFonts w:ascii="inherit" w:eastAsia="Times New Roman" w:hAnsi="inherit" w:cs="Arial"/>
          <w:i/>
          <w:iCs/>
          <w:color w:val="111111"/>
          <w:kern w:val="0"/>
          <w:sz w:val="27"/>
          <w:szCs w:val="27"/>
          <w:bdr w:val="none" w:sz="0" w:space="0" w:color="auto" w:frame="1"/>
          <w:lang w:eastAsia="it-IT"/>
          <w14:ligatures w14:val="none"/>
        </w:rPr>
        <w:t>Labour Law Utopias</w:t>
      </w:r>
      <w:r w:rsidRPr="00776B45">
        <w:rPr>
          <w:rFonts w:ascii="inherit" w:eastAsia="Times New Roman" w:hAnsi="inherit" w:cs="Arial"/>
          <w:color w:val="111111"/>
          <w:kern w:val="0"/>
          <w:sz w:val="27"/>
          <w:szCs w:val="27"/>
          <w:lang w:eastAsia="it-IT"/>
          <w14:ligatures w14:val="none"/>
        </w:rPr>
        <w:t>, dirigé par Nicolas Bueno, Beryl ter Haar et Nuna Zekić, se propose d’explorer ces pistes en imaginant des scénarios alternatifs au paradigme dominant centré sur la croissance économique, la productivité et le travail comme valeurs centrales. Cet ouvrage s’inscrit dans un courant de pensée radical, critique de la réalité contemporaine, qui va jusqu’à élaborer des utopies à la fois comme scénarios possibles et comme méthode même de construction de la critique du réel, dans la lignée de grands penseurs</w:t>
      </w:r>
      <w:bookmarkStart w:id="0" w:name="_ftnref1"/>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"_ftn1"</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[1]</w:t>
      </w:r>
      <w:r w:rsidRPr="00776B45">
        <w:rPr>
          <w:rFonts w:ascii="inherit" w:eastAsia="Times New Roman" w:hAnsi="inherit" w:cs="Arial"/>
          <w:color w:val="111111"/>
          <w:kern w:val="0"/>
          <w:sz w:val="27"/>
          <w:szCs w:val="27"/>
          <w:lang w:eastAsia="it-IT"/>
          <w14:ligatures w14:val="none"/>
        </w:rPr>
        <w:fldChar w:fldCharType="end"/>
      </w:r>
      <w:bookmarkEnd w:id="0"/>
      <w:r w:rsidRPr="00776B45">
        <w:rPr>
          <w:rFonts w:ascii="inherit" w:eastAsia="Times New Roman" w:hAnsi="inherit" w:cs="Arial"/>
          <w:color w:val="111111"/>
          <w:kern w:val="0"/>
          <w:sz w:val="27"/>
          <w:szCs w:val="27"/>
          <w:lang w:eastAsia="it-IT"/>
          <w14:ligatures w14:val="none"/>
        </w:rPr>
        <w:t>.</w:t>
      </w:r>
    </w:p>
    <w:p w14:paraId="13A50883" w14:textId="77777777" w:rsidR="00776B45" w:rsidRPr="00776B45" w:rsidRDefault="00776B45" w:rsidP="00776B45">
      <w:pPr>
        <w:spacing w:after="24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br/>
        <w:t>Deux objectifs caractérisent ce travail collectif : sur le plan théorique, les auteurs utilisent l’idée d’utopie comme méthode de recherche pour repenser le droit du travail non seulement comme critique, mais comme projection d’alternatives concrètes face à un présent marqué par des limites environnementales, sociales et économiques. Sur le plan plus programmatique et, en dernière analyse, politique, il s’agit d’explorer comment les systèmes juridiques du travail peuvent évoluer ou être transformés pour répondre aux défis émergents : crise écologique, inégalités croissantes, précarité, automatisation, travail de soin, durabilité.</w:t>
      </w:r>
    </w:p>
    <w:p w14:paraId="3D443F77"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Pour développer ces objectifs, les chapitres de cet opus s’organisent autour de deux grands axes conceptuels : la </w:t>
      </w:r>
      <w:r w:rsidRPr="00776B45">
        <w:rPr>
          <w:rFonts w:ascii="inherit" w:eastAsia="Times New Roman" w:hAnsi="inherit" w:cs="Arial"/>
          <w:i/>
          <w:iCs/>
          <w:color w:val="111111"/>
          <w:kern w:val="0"/>
          <w:sz w:val="27"/>
          <w:szCs w:val="27"/>
          <w:bdr w:val="none" w:sz="0" w:space="0" w:color="auto" w:frame="1"/>
          <w:lang w:eastAsia="it-IT"/>
          <w14:ligatures w14:val="none"/>
        </w:rPr>
        <w:t>post-growth</w:t>
      </w:r>
      <w:r w:rsidRPr="00776B45">
        <w:rPr>
          <w:rFonts w:ascii="inherit" w:eastAsia="Times New Roman" w:hAnsi="inherit" w:cs="Arial"/>
          <w:color w:val="111111"/>
          <w:kern w:val="0"/>
          <w:sz w:val="27"/>
          <w:szCs w:val="27"/>
          <w:lang w:eastAsia="it-IT"/>
          <w14:ligatures w14:val="none"/>
        </w:rPr>
        <w:t> et le </w:t>
      </w:r>
      <w:r w:rsidRPr="00776B45">
        <w:rPr>
          <w:rFonts w:ascii="inherit" w:eastAsia="Times New Roman" w:hAnsi="inherit" w:cs="Arial"/>
          <w:i/>
          <w:iCs/>
          <w:color w:val="111111"/>
          <w:kern w:val="0"/>
          <w:sz w:val="27"/>
          <w:szCs w:val="27"/>
          <w:bdr w:val="none" w:sz="0" w:space="0" w:color="auto" w:frame="1"/>
          <w:lang w:eastAsia="it-IT"/>
          <w14:ligatures w14:val="none"/>
        </w:rPr>
        <w:t>post-productive work</w:t>
      </w:r>
      <w:r w:rsidRPr="00776B45">
        <w:rPr>
          <w:rFonts w:ascii="inherit" w:eastAsia="Times New Roman" w:hAnsi="inherit" w:cs="Arial"/>
          <w:color w:val="111111"/>
          <w:kern w:val="0"/>
          <w:sz w:val="27"/>
          <w:szCs w:val="27"/>
          <w:lang w:eastAsia="it-IT"/>
          <w14:ligatures w14:val="none"/>
        </w:rPr>
        <w:t>.</w:t>
      </w:r>
      <w:r w:rsidRPr="00776B45">
        <w:rPr>
          <w:rFonts w:ascii="inherit" w:eastAsia="Times New Roman" w:hAnsi="inherit" w:cs="Arial"/>
          <w:color w:val="111111"/>
          <w:kern w:val="0"/>
          <w:sz w:val="27"/>
          <w:szCs w:val="27"/>
          <w:lang w:eastAsia="it-IT"/>
          <w14:ligatures w14:val="none"/>
        </w:rPr>
        <w:br/>
        <w:t>Par </w:t>
      </w:r>
      <w:r w:rsidRPr="00776B45">
        <w:rPr>
          <w:rFonts w:ascii="inherit" w:eastAsia="Times New Roman" w:hAnsi="inherit" w:cs="Arial"/>
          <w:i/>
          <w:iCs/>
          <w:color w:val="111111"/>
          <w:kern w:val="0"/>
          <w:sz w:val="27"/>
          <w:szCs w:val="27"/>
          <w:bdr w:val="none" w:sz="0" w:space="0" w:color="auto" w:frame="1"/>
          <w:lang w:eastAsia="it-IT"/>
          <w14:ligatures w14:val="none"/>
        </w:rPr>
        <w:t>post-growth</w:t>
      </w:r>
      <w:r w:rsidRPr="00776B45">
        <w:rPr>
          <w:rFonts w:ascii="inherit" w:eastAsia="Times New Roman" w:hAnsi="inherit" w:cs="Arial"/>
          <w:color w:val="111111"/>
          <w:kern w:val="0"/>
          <w:sz w:val="27"/>
          <w:szCs w:val="27"/>
          <w:lang w:eastAsia="it-IT"/>
          <w14:ligatures w14:val="none"/>
        </w:rPr>
        <w:t> l’on entend une perspective qui critique radicalement la croissance continue du PIB, de la consommation et de la production, jugée ni soutenable ni souhaitable. Il s’agit de repenser la finalité de l’économie en termes de bien-être, de durabilité, de justice sociale et d’équité intergénérationnelle.</w:t>
      </w:r>
      <w:r w:rsidRPr="00776B45">
        <w:rPr>
          <w:rFonts w:ascii="inherit" w:eastAsia="Times New Roman" w:hAnsi="inherit" w:cs="Arial"/>
          <w:color w:val="111111"/>
          <w:kern w:val="0"/>
          <w:sz w:val="27"/>
          <w:szCs w:val="27"/>
          <w:lang w:eastAsia="it-IT"/>
          <w14:ligatures w14:val="none"/>
        </w:rPr>
        <w:br/>
        <w:t>L’expression </w:t>
      </w:r>
      <w:r w:rsidRPr="00776B45">
        <w:rPr>
          <w:rFonts w:ascii="inherit" w:eastAsia="Times New Roman" w:hAnsi="inherit" w:cs="Arial"/>
          <w:i/>
          <w:iCs/>
          <w:color w:val="111111"/>
          <w:kern w:val="0"/>
          <w:sz w:val="27"/>
          <w:szCs w:val="27"/>
          <w:bdr w:val="none" w:sz="0" w:space="0" w:color="auto" w:frame="1"/>
          <w:lang w:eastAsia="it-IT"/>
          <w14:ligatures w14:val="none"/>
        </w:rPr>
        <w:t>post-productive work</w:t>
      </w:r>
      <w:r w:rsidRPr="00776B45">
        <w:rPr>
          <w:rFonts w:ascii="inherit" w:eastAsia="Times New Roman" w:hAnsi="inherit" w:cs="Arial"/>
          <w:color w:val="111111"/>
          <w:kern w:val="0"/>
          <w:sz w:val="27"/>
          <w:szCs w:val="27"/>
          <w:lang w:eastAsia="it-IT"/>
          <w14:ligatures w14:val="none"/>
        </w:rPr>
        <w:t> désigne la remise en cause du paradigme du travail comme activité productive, mesurable en résultats, utile à la croissance économique, et comme critère principal d’organisation et de régulation des relations de travail. Cette perspective ouvre sur une revalorisation du travail non productif au sens traditionnel, tel que le travail de soin, le bénévolat ou le travail communautaire.</w:t>
      </w:r>
    </w:p>
    <w:p w14:paraId="7E4382B5" w14:textId="77777777" w:rsidR="00776B45" w:rsidRPr="00776B45" w:rsidRDefault="00776B45" w:rsidP="00776B45">
      <w:pPr>
        <w:spacing w:after="24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 xml:space="preserve">Ces deux axes sont enrichis, dans certains chapitres, par d’autres perspectives prometteuses : la socio-écologie juridique, qui interroge la capacité du droit du travail à intégrer des principes écologiques et de durabilité, ou encore l’attention portée à la diversité mondiale, en mettant en avant le Sud global, </w:t>
      </w:r>
      <w:r w:rsidRPr="00776B45">
        <w:rPr>
          <w:rFonts w:ascii="inherit" w:eastAsia="Times New Roman" w:hAnsi="inherit" w:cs="Arial"/>
          <w:color w:val="111111"/>
          <w:kern w:val="0"/>
          <w:sz w:val="27"/>
          <w:szCs w:val="27"/>
          <w:lang w:eastAsia="it-IT"/>
          <w14:ligatures w14:val="none"/>
        </w:rPr>
        <w:lastRenderedPageBreak/>
        <w:t>les chaînes d’approvisionnement internationales et les rapports coloniaux et post-coloniaux.</w:t>
      </w:r>
    </w:p>
    <w:p w14:paraId="7EFA48B8"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L’effort collectif des auteurs conduit à questionner la notion même de valeur et de signification du travail. Bien qu’il ne s’agisse pas du premier ouvrage à s’interroger sur les limites du droit du travail en raison de l’évolution des conditions socio-économiques des sociétés contemporaines</w:t>
      </w:r>
      <w:bookmarkStart w:id="1" w:name="_ftnref2"/>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"_ftn2"</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[2]</w:t>
      </w:r>
      <w:r w:rsidRPr="00776B45">
        <w:rPr>
          <w:rFonts w:ascii="inherit" w:eastAsia="Times New Roman" w:hAnsi="inherit" w:cs="Arial"/>
          <w:color w:val="111111"/>
          <w:kern w:val="0"/>
          <w:sz w:val="27"/>
          <w:szCs w:val="27"/>
          <w:lang w:eastAsia="it-IT"/>
          <w14:ligatures w14:val="none"/>
        </w:rPr>
        <w:fldChar w:fldCharType="end"/>
      </w:r>
      <w:bookmarkEnd w:id="1"/>
      <w:r w:rsidRPr="00776B45">
        <w:rPr>
          <w:rFonts w:ascii="inherit" w:eastAsia="Times New Roman" w:hAnsi="inherit" w:cs="Arial"/>
          <w:color w:val="111111"/>
          <w:kern w:val="0"/>
          <w:sz w:val="27"/>
          <w:szCs w:val="27"/>
          <w:lang w:eastAsia="it-IT"/>
          <w14:ligatures w14:val="none"/>
        </w:rPr>
        <w:t>, ce livre est appréciable dans la mesure où il rappelle que le droit du travail, qui détermine ce qui constitue aujourd’hui la « valeur du travail », doit pouvoir inclure des valeurs telles que la dignité, le bien-être, le soin, la liberté et le temps libre. Cet exercice n’est pas purement théorique : il prend en compte des conséquences concrètes comme l’impact de l’automatisation et de la numérisation, ainsi que des dispositifs de protection sociale tels que le revenu de base ou même le « droit à l’inaction » comme alternatives au travail productif.</w:t>
      </w:r>
    </w:p>
    <w:p w14:paraId="62C4BB7E"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L’ouvrage se distingue par son audace théorique : au lieu de se limiter à une critique du paradigme dominant, il propose de véritables hypothèses alternatives, articulées avec courage et précision. L’usage de l’« utopie » comme instrument épistémologique et normatif mobilise des imaginaires juridiques susceptibles de stimuler des réformes radicales.</w:t>
      </w:r>
      <w:r w:rsidRPr="00776B45">
        <w:rPr>
          <w:rFonts w:ascii="inherit" w:eastAsia="Times New Roman" w:hAnsi="inherit" w:cs="Arial"/>
          <w:color w:val="111111"/>
          <w:kern w:val="0"/>
          <w:sz w:val="27"/>
          <w:szCs w:val="27"/>
          <w:lang w:eastAsia="it-IT"/>
          <w14:ligatures w14:val="none"/>
        </w:rPr>
        <w:br/>
        <w:t>Les analyses incluent l’économie, la philosophie politique, les études environnementales, la sociologie, la théorie critique, ainsi que le droit, permettant d’aborder le travail comme phénomène social complexe, inscrit dans des écosystèmes humains et naturels.</w:t>
      </w:r>
      <w:r w:rsidRPr="00776B45">
        <w:rPr>
          <w:rFonts w:ascii="inherit" w:eastAsia="Times New Roman" w:hAnsi="inherit" w:cs="Arial"/>
          <w:color w:val="111111"/>
          <w:kern w:val="0"/>
          <w:sz w:val="27"/>
          <w:szCs w:val="27"/>
          <w:lang w:eastAsia="it-IT"/>
          <w14:ligatures w14:val="none"/>
        </w:rPr>
        <w:br/>
        <w:t>La diversité des contributions, provenant de différentes régions du monde, prévient une perspective purement ‘occidentale’ et met en lumière la pluralité des formes que prennent les défis de la post-croissance et du post-productivisme dans les pays du Sud global</w:t>
      </w:r>
      <w:bookmarkStart w:id="2" w:name="_ftnref3"/>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"_ftn3"</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[3]</w:t>
      </w:r>
      <w:r w:rsidRPr="00776B45">
        <w:rPr>
          <w:rFonts w:ascii="inherit" w:eastAsia="Times New Roman" w:hAnsi="inherit" w:cs="Arial"/>
          <w:color w:val="111111"/>
          <w:kern w:val="0"/>
          <w:sz w:val="27"/>
          <w:szCs w:val="27"/>
          <w:lang w:eastAsia="it-IT"/>
          <w14:ligatures w14:val="none"/>
        </w:rPr>
        <w:fldChar w:fldCharType="end"/>
      </w:r>
      <w:bookmarkEnd w:id="2"/>
      <w:r w:rsidRPr="00776B45">
        <w:rPr>
          <w:rFonts w:ascii="inherit" w:eastAsia="Times New Roman" w:hAnsi="inherit" w:cs="Arial"/>
          <w:color w:val="111111"/>
          <w:kern w:val="0"/>
          <w:sz w:val="27"/>
          <w:szCs w:val="27"/>
          <w:lang w:eastAsia="it-IT"/>
          <w14:ligatures w14:val="none"/>
        </w:rPr>
        <w:t>.</w:t>
      </w:r>
    </w:p>
    <w:p w14:paraId="3059CC55"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Certains chapitres méritent une attention particulière en raison de leurs implications théoriques et de leur impact sur le débat juridique.</w:t>
      </w:r>
      <w:r w:rsidRPr="00776B45">
        <w:rPr>
          <w:rFonts w:ascii="inherit" w:eastAsia="Times New Roman" w:hAnsi="inherit" w:cs="Arial"/>
          <w:color w:val="111111"/>
          <w:kern w:val="0"/>
          <w:sz w:val="27"/>
          <w:szCs w:val="27"/>
          <w:lang w:eastAsia="it-IT"/>
          <w14:ligatures w14:val="none"/>
        </w:rPr>
        <w:br/>
        <w:t>Le chapitre 4, rédigé par </w:t>
      </w:r>
      <w:r w:rsidRPr="00776B45">
        <w:rPr>
          <w:rFonts w:ascii="inherit" w:eastAsia="Times New Roman" w:hAnsi="inherit" w:cs="Arial"/>
          <w:b/>
          <w:bCs/>
          <w:color w:val="111111"/>
          <w:kern w:val="0"/>
          <w:sz w:val="27"/>
          <w:szCs w:val="27"/>
          <w:bdr w:val="none" w:sz="0" w:space="0" w:color="auto" w:frame="1"/>
          <w:lang w:eastAsia="it-IT"/>
          <w14:ligatures w14:val="none"/>
        </w:rPr>
        <w:t>Nuna Zekić</w:t>
      </w:r>
      <w:r w:rsidRPr="00776B45">
        <w:rPr>
          <w:rFonts w:ascii="inherit" w:eastAsia="Times New Roman" w:hAnsi="inherit" w:cs="Arial"/>
          <w:color w:val="111111"/>
          <w:kern w:val="0"/>
          <w:sz w:val="27"/>
          <w:szCs w:val="27"/>
          <w:lang w:eastAsia="it-IT"/>
          <w14:ligatures w14:val="none"/>
        </w:rPr>
        <w:t xml:space="preserve">, se concentre sur la perspective de la décroissance afin d’explorer comment le droit du travail peut réinterpréter le concept de travail au-delà de la simple production, en tenant compte du bien-être psychologique, social et écologique de la personne qui travaille. Il est particulièrement intéressant – et tout à fait fondé – de lier le droit au travail, affirmé par de nombreuses chartes internationales et constitutions nationales, à la nécessité de reconnaître une valeur à la création d’emploi au-delà de la </w:t>
      </w:r>
      <w:r w:rsidRPr="00776B45">
        <w:rPr>
          <w:rFonts w:ascii="inherit" w:eastAsia="Times New Roman" w:hAnsi="inherit" w:cs="Arial"/>
          <w:color w:val="111111"/>
          <w:kern w:val="0"/>
          <w:sz w:val="27"/>
          <w:szCs w:val="27"/>
          <w:lang w:eastAsia="it-IT"/>
          <w14:ligatures w14:val="none"/>
        </w:rPr>
        <w:lastRenderedPageBreak/>
        <w:t>perspective productiviste</w:t>
      </w:r>
      <w:bookmarkStart w:id="3" w:name="_ftnref4"/>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"_ftn4"</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[4]</w:t>
      </w:r>
      <w:r w:rsidRPr="00776B45">
        <w:rPr>
          <w:rFonts w:ascii="inherit" w:eastAsia="Times New Roman" w:hAnsi="inherit" w:cs="Arial"/>
          <w:color w:val="111111"/>
          <w:kern w:val="0"/>
          <w:sz w:val="27"/>
          <w:szCs w:val="27"/>
          <w:lang w:eastAsia="it-IT"/>
          <w14:ligatures w14:val="none"/>
        </w:rPr>
        <w:fldChar w:fldCharType="end"/>
      </w:r>
      <w:bookmarkEnd w:id="3"/>
      <w:r w:rsidRPr="00776B45">
        <w:rPr>
          <w:rFonts w:ascii="inherit" w:eastAsia="Times New Roman" w:hAnsi="inherit" w:cs="Arial"/>
          <w:color w:val="111111"/>
          <w:kern w:val="0"/>
          <w:sz w:val="27"/>
          <w:szCs w:val="27"/>
          <w:lang w:eastAsia="it-IT"/>
          <w14:ligatures w14:val="none"/>
        </w:rPr>
        <w:t>. N. Zekić nous oblige ainsi à interroger la fonction redistributive du droit du travail et à nous demander si le modèle de travail standard (subordination, temps plein et durée indéterminée) pourra encore être considéré comme la norme dans un futur post-productif.</w:t>
      </w:r>
    </w:p>
    <w:p w14:paraId="0000A084"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Le chapitre 7, rédigé par </w:t>
      </w:r>
      <w:r w:rsidRPr="00776B45">
        <w:rPr>
          <w:rFonts w:ascii="inherit" w:eastAsia="Times New Roman" w:hAnsi="inherit" w:cs="Arial"/>
          <w:b/>
          <w:bCs/>
          <w:color w:val="111111"/>
          <w:kern w:val="0"/>
          <w:sz w:val="27"/>
          <w:szCs w:val="27"/>
          <w:bdr w:val="none" w:sz="0" w:space="0" w:color="auto" w:frame="1"/>
          <w:lang w:eastAsia="it-IT"/>
          <w14:ligatures w14:val="none"/>
        </w:rPr>
        <w:t>Nicolas Bueno</w:t>
      </w:r>
      <w:r w:rsidRPr="00776B45">
        <w:rPr>
          <w:rFonts w:ascii="inherit" w:eastAsia="Times New Roman" w:hAnsi="inherit" w:cs="Arial"/>
          <w:color w:val="111111"/>
          <w:kern w:val="0"/>
          <w:sz w:val="27"/>
          <w:szCs w:val="27"/>
          <w:lang w:eastAsia="it-IT"/>
          <w14:ligatures w14:val="none"/>
        </w:rPr>
        <w:t>, porte sur la valeur du travail et remet en cause la conception néolibérale selon laquelle le fonctionnement du marché régulerait également la distribution des opportunités d’emploi. S’appuyant sur des travaux antérieurs, N. Bueno plaide pour l’identification de besoins essentiels pour la société et l’environnement, auxquels pourraient être associées des prestations de travail également considérées comme essentielles et donc mieux rémunérées</w:t>
      </w:r>
      <w:bookmarkStart w:id="4" w:name="_ftnref5"/>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"_ftn5"</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[5]</w:t>
      </w:r>
      <w:r w:rsidRPr="00776B45">
        <w:rPr>
          <w:rFonts w:ascii="inherit" w:eastAsia="Times New Roman" w:hAnsi="inherit" w:cs="Arial"/>
          <w:color w:val="111111"/>
          <w:kern w:val="0"/>
          <w:sz w:val="27"/>
          <w:szCs w:val="27"/>
          <w:lang w:eastAsia="it-IT"/>
          <w14:ligatures w14:val="none"/>
        </w:rPr>
        <w:fldChar w:fldCharType="end"/>
      </w:r>
      <w:bookmarkEnd w:id="4"/>
      <w:r w:rsidRPr="00776B45">
        <w:rPr>
          <w:rFonts w:ascii="inherit" w:eastAsia="Times New Roman" w:hAnsi="inherit" w:cs="Arial"/>
          <w:color w:val="111111"/>
          <w:kern w:val="0"/>
          <w:sz w:val="27"/>
          <w:szCs w:val="27"/>
          <w:lang w:eastAsia="it-IT"/>
          <w14:ligatures w14:val="none"/>
        </w:rPr>
        <w:t>. À l’inverse, les prestations de travail non essentielles – par exemple lorsqu’elles s’avèrent nuisibles pour la société ou l’environnement – devraient être évaluées et rémunérées à un niveau inférieur.</w:t>
      </w:r>
    </w:p>
    <w:p w14:paraId="331A8DF1"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Le chapitre 8, sous la plume de </w:t>
      </w:r>
      <w:r w:rsidRPr="00776B45">
        <w:rPr>
          <w:rFonts w:ascii="inherit" w:eastAsia="Times New Roman" w:hAnsi="inherit" w:cs="Arial"/>
          <w:b/>
          <w:bCs/>
          <w:color w:val="111111"/>
          <w:kern w:val="0"/>
          <w:sz w:val="27"/>
          <w:szCs w:val="27"/>
          <w:bdr w:val="none" w:sz="0" w:space="0" w:color="auto" w:frame="1"/>
          <w:lang w:eastAsia="it-IT"/>
          <w14:ligatures w14:val="none"/>
        </w:rPr>
        <w:t>Paolo Tomassetti,</w:t>
      </w:r>
      <w:r w:rsidRPr="00776B45">
        <w:rPr>
          <w:rFonts w:ascii="inherit" w:eastAsia="Times New Roman" w:hAnsi="inherit" w:cs="Arial"/>
          <w:color w:val="111111"/>
          <w:kern w:val="0"/>
          <w:sz w:val="27"/>
          <w:szCs w:val="27"/>
          <w:lang w:eastAsia="it-IT"/>
          <w14:ligatures w14:val="none"/>
        </w:rPr>
        <w:t> retient tout particulièrement l’attention en se focalisant sur l’utopie des biens communs. Malgré une « colonisation » constante de ces biens par des acteurs privés à travers des décisions politiques, les sociétés contemporaines promeuvent les biens communs grâce à des initiatives spontanées d’activistes et de communautés locales qui se les réapproprient et les partagent. On parle ainsi de biens communs collaboratifs, qui marquent le dépassement de l’opposition entre État et marché. En appliquant cette logique au droit du travail, P. Tomassetti transforme le concept même de travail subordonné – pierre angulaire historique de la discipline – en un travail relationnel, associatif et fondé sur la solidarité, imprégné d’éléments non marchands et détaché de la logique contractuelle (et donc conflictuelle). Cette conception du travail trouve son pendant dans l’idée de l’entreprise, développée notamment par Simon Deakin</w:t>
      </w:r>
      <w:bookmarkStart w:id="5" w:name="_ftnref6"/>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"_ftn6"</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[6]</w:t>
      </w:r>
      <w:r w:rsidRPr="00776B45">
        <w:rPr>
          <w:rFonts w:ascii="inherit" w:eastAsia="Times New Roman" w:hAnsi="inherit" w:cs="Arial"/>
          <w:color w:val="111111"/>
          <w:kern w:val="0"/>
          <w:sz w:val="27"/>
          <w:szCs w:val="27"/>
          <w:lang w:eastAsia="it-IT"/>
          <w14:ligatures w14:val="none"/>
        </w:rPr>
        <w:fldChar w:fldCharType="end"/>
      </w:r>
      <w:bookmarkEnd w:id="5"/>
      <w:r w:rsidRPr="00776B45">
        <w:rPr>
          <w:rFonts w:ascii="inherit" w:eastAsia="Times New Roman" w:hAnsi="inherit" w:cs="Arial"/>
          <w:color w:val="111111"/>
          <w:kern w:val="0"/>
          <w:sz w:val="27"/>
          <w:szCs w:val="27"/>
          <w:lang w:eastAsia="it-IT"/>
          <w14:ligatures w14:val="none"/>
        </w:rPr>
        <w:t>, comme ressource organisée collectivement et vers laquelle convergent plusieurs parties prenantes également dignes de protection. En s’appuyant sur John Rawls</w:t>
      </w:r>
      <w:bookmarkStart w:id="6" w:name="_ftnref7"/>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"_ftn7"</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[7]</w:t>
      </w:r>
      <w:r w:rsidRPr="00776B45">
        <w:rPr>
          <w:rFonts w:ascii="inherit" w:eastAsia="Times New Roman" w:hAnsi="inherit" w:cs="Arial"/>
          <w:color w:val="111111"/>
          <w:kern w:val="0"/>
          <w:sz w:val="27"/>
          <w:szCs w:val="27"/>
          <w:lang w:eastAsia="it-IT"/>
          <w14:ligatures w14:val="none"/>
        </w:rPr>
        <w:fldChar w:fldCharType="end"/>
      </w:r>
      <w:bookmarkEnd w:id="6"/>
      <w:r w:rsidRPr="00776B45">
        <w:rPr>
          <w:rFonts w:ascii="inherit" w:eastAsia="Times New Roman" w:hAnsi="inherit" w:cs="Arial"/>
          <w:color w:val="111111"/>
          <w:kern w:val="0"/>
          <w:sz w:val="27"/>
          <w:szCs w:val="27"/>
          <w:lang w:eastAsia="it-IT"/>
          <w14:ligatures w14:val="none"/>
        </w:rPr>
        <w:t>, P. Tomassetti conclut que, de même que la justice résulte de l’équité, l’équité peut à son tour résulter de la justice.</w:t>
      </w:r>
    </w:p>
    <w:p w14:paraId="1CC433EA"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L’ouvrage se conclut avec le chapitre d’</w:t>
      </w:r>
      <w:r w:rsidRPr="00776B45">
        <w:rPr>
          <w:rFonts w:ascii="inherit" w:eastAsia="Times New Roman" w:hAnsi="inherit" w:cs="Arial"/>
          <w:b/>
          <w:bCs/>
          <w:color w:val="111111"/>
          <w:kern w:val="0"/>
          <w:sz w:val="27"/>
          <w:szCs w:val="27"/>
          <w:bdr w:val="none" w:sz="0" w:space="0" w:color="auto" w:frame="1"/>
          <w:lang w:eastAsia="it-IT"/>
          <w14:ligatures w14:val="none"/>
        </w:rPr>
        <w:t>Elise Dermine</w:t>
      </w:r>
      <w:r w:rsidRPr="00776B45">
        <w:rPr>
          <w:rFonts w:ascii="inherit" w:eastAsia="Times New Roman" w:hAnsi="inherit" w:cs="Arial"/>
          <w:color w:val="111111"/>
          <w:kern w:val="0"/>
          <w:sz w:val="27"/>
          <w:szCs w:val="27"/>
          <w:lang w:eastAsia="it-IT"/>
          <w14:ligatures w14:val="none"/>
        </w:rPr>
        <w:t> et </w:t>
      </w:r>
      <w:r w:rsidRPr="00776B45">
        <w:rPr>
          <w:rFonts w:ascii="inherit" w:eastAsia="Times New Roman" w:hAnsi="inherit" w:cs="Arial"/>
          <w:b/>
          <w:bCs/>
          <w:color w:val="111111"/>
          <w:kern w:val="0"/>
          <w:sz w:val="27"/>
          <w:szCs w:val="27"/>
          <w:bdr w:val="none" w:sz="0" w:space="0" w:color="auto" w:frame="1"/>
          <w:lang w:eastAsia="it-IT"/>
          <w14:ligatures w14:val="none"/>
        </w:rPr>
        <w:t>Daniel Dumont</w:t>
      </w:r>
      <w:r w:rsidRPr="00776B45">
        <w:rPr>
          <w:rFonts w:ascii="inherit" w:eastAsia="Times New Roman" w:hAnsi="inherit" w:cs="Arial"/>
          <w:color w:val="111111"/>
          <w:kern w:val="0"/>
          <w:sz w:val="27"/>
          <w:szCs w:val="27"/>
          <w:lang w:eastAsia="it-IT"/>
          <w14:ligatures w14:val="none"/>
        </w:rPr>
        <w:t xml:space="preserve">, proposant que le droit du travail dépasse la simple régulation des rapports capital-travail pour intégrer une dimension écologique : durabilité environnementale, limites des ressources naturelles, besoins des générations futures. L’utopie n’y est pas un rêve irréaliste mais un instrument de pensée </w:t>
      </w:r>
      <w:r w:rsidRPr="00776B45">
        <w:rPr>
          <w:rFonts w:ascii="inherit" w:eastAsia="Times New Roman" w:hAnsi="inherit" w:cs="Arial"/>
          <w:color w:val="111111"/>
          <w:kern w:val="0"/>
          <w:sz w:val="27"/>
          <w:szCs w:val="27"/>
          <w:lang w:eastAsia="it-IT"/>
          <w14:ligatures w14:val="none"/>
        </w:rPr>
        <w:lastRenderedPageBreak/>
        <w:t>permettant de rompre l’inertie des institutions et d’orienter les réformes. E. Dermine et D. Dumont identifient cependant de nombreux obstacles : dépendance à la croissance, intérêts établis (entreprises, lobbies), inégalités Nord-Sud, contraintes technologiques et culturelles liées à la tradition productiviste. Ils suggèrent des stratégies concrètes : réforme des systèmes de protection sociale pour inclure les activités non productives, révision des définitions légales du travail, intégration de critères écologiques dans les obligations des entreprises et leurs chaînes de valeur, fiscalité écologique, incitations aux activités durables.</w:t>
      </w:r>
    </w:p>
    <w:p w14:paraId="2E0865B6"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i/>
          <w:iCs/>
          <w:color w:val="111111"/>
          <w:kern w:val="0"/>
          <w:sz w:val="27"/>
          <w:szCs w:val="27"/>
          <w:bdr w:val="none" w:sz="0" w:space="0" w:color="auto" w:frame="1"/>
          <w:lang w:eastAsia="it-IT"/>
          <w14:ligatures w14:val="none"/>
        </w:rPr>
        <w:t>Labour Law Utopias: Post-Growth &amp; Post-Productive Work Approaches</w:t>
      </w:r>
      <w:r w:rsidRPr="00776B45">
        <w:rPr>
          <w:rFonts w:ascii="inherit" w:eastAsia="Times New Roman" w:hAnsi="inherit" w:cs="Arial"/>
          <w:color w:val="111111"/>
          <w:kern w:val="0"/>
          <w:sz w:val="27"/>
          <w:szCs w:val="27"/>
          <w:lang w:eastAsia="it-IT"/>
          <w14:ligatures w14:val="none"/>
        </w:rPr>
        <w:t> est ainsi une contribution importante, stimulante et solidement argumentée. Au fil de ses 13 chapitres – et des points de vue parfois divergents de ses auteurs et autrices sur la nécessité ou non de se fier aux utopies pour comprendre les problèmes de l’ère contemporaine –, l’ouvrage enrichit la littérature critique en proposant non seulement des diagnostics, mais aussi des scénarios normatifs alternatifs. Cette contribution interroge le droit du travail à l’ère de la crise écologique, des inégalités globales et des nouvelles technologies, et offre un point de référence essentiel pour réfléchir au droit du travail que nous voulons pour demain.</w:t>
      </w:r>
    </w:p>
    <w:p w14:paraId="1332B875" w14:textId="77777777" w:rsidR="00776B45" w:rsidRPr="00776B45" w:rsidRDefault="00776B45" w:rsidP="00776B45">
      <w:pPr>
        <w:spacing w:after="24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t> </w:t>
      </w:r>
    </w:p>
    <w:bookmarkStart w:id="7" w:name="_ftn1"/>
    <w:p w14:paraId="1BDB22F8"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"_ftnref1"</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[1]</w:t>
      </w:r>
      <w:r w:rsidRPr="00776B45">
        <w:rPr>
          <w:rFonts w:ascii="inherit" w:eastAsia="Times New Roman" w:hAnsi="inherit" w:cs="Arial"/>
          <w:color w:val="111111"/>
          <w:kern w:val="0"/>
          <w:sz w:val="27"/>
          <w:szCs w:val="27"/>
          <w:lang w:eastAsia="it-IT"/>
          <w14:ligatures w14:val="none"/>
        </w:rPr>
        <w:fldChar w:fldCharType="end"/>
      </w:r>
      <w:bookmarkEnd w:id="7"/>
      <w:r w:rsidRPr="00776B45">
        <w:rPr>
          <w:rFonts w:ascii="inherit" w:eastAsia="Times New Roman" w:hAnsi="inherit" w:cs="Arial"/>
          <w:color w:val="111111"/>
          <w:kern w:val="0"/>
          <w:sz w:val="27"/>
          <w:szCs w:val="27"/>
          <w:lang w:eastAsia="it-IT"/>
          <w14:ligatures w14:val="none"/>
        </w:rPr>
        <w:t> Au premier rang desquels André Gorz, </w:t>
      </w:r>
      <w:r w:rsidRPr="00776B45">
        <w:rPr>
          <w:rFonts w:ascii="inherit" w:eastAsia="Times New Roman" w:hAnsi="inherit" w:cs="Arial"/>
          <w:i/>
          <w:iCs/>
          <w:color w:val="111111"/>
          <w:kern w:val="0"/>
          <w:sz w:val="27"/>
          <w:szCs w:val="27"/>
          <w:bdr w:val="none" w:sz="0" w:space="0" w:color="auto" w:frame="1"/>
          <w:lang w:eastAsia="it-IT"/>
          <w14:ligatures w14:val="none"/>
        </w:rPr>
        <w:t>L’immatériel : connaissance, valeur et capital</w:t>
      </w:r>
      <w:r w:rsidRPr="00776B45">
        <w:rPr>
          <w:rFonts w:ascii="inherit" w:eastAsia="Times New Roman" w:hAnsi="inherit" w:cs="Arial"/>
          <w:color w:val="111111"/>
          <w:kern w:val="0"/>
          <w:sz w:val="27"/>
          <w:szCs w:val="27"/>
          <w:lang w:eastAsia="it-IT"/>
          <w14:ligatures w14:val="none"/>
        </w:rPr>
        <w:t>, Paris : Galilée, 2003.</w:t>
      </w:r>
    </w:p>
    <w:bookmarkStart w:id="8" w:name="_ftn2"/>
    <w:p w14:paraId="40D93BFE"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"_ftnref2"</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[2]</w:t>
      </w:r>
      <w:r w:rsidRPr="00776B45">
        <w:rPr>
          <w:rFonts w:ascii="inherit" w:eastAsia="Times New Roman" w:hAnsi="inherit" w:cs="Arial"/>
          <w:color w:val="111111"/>
          <w:kern w:val="0"/>
          <w:sz w:val="27"/>
          <w:szCs w:val="27"/>
          <w:lang w:eastAsia="it-IT"/>
          <w14:ligatures w14:val="none"/>
        </w:rPr>
        <w:fldChar w:fldCharType="end"/>
      </w:r>
      <w:bookmarkEnd w:id="8"/>
      <w:r w:rsidRPr="00776B45">
        <w:rPr>
          <w:rFonts w:ascii="inherit" w:eastAsia="Times New Roman" w:hAnsi="inherit" w:cs="Arial"/>
          <w:color w:val="111111"/>
          <w:kern w:val="0"/>
          <w:sz w:val="27"/>
          <w:szCs w:val="27"/>
          <w:lang w:eastAsia="it-IT"/>
          <w14:ligatures w14:val="none"/>
        </w:rPr>
        <w:t> Alain Supiot, </w:t>
      </w:r>
      <w:r w:rsidRPr="00776B45">
        <w:rPr>
          <w:rFonts w:ascii="inherit" w:eastAsia="Times New Roman" w:hAnsi="inherit" w:cs="Arial"/>
          <w:i/>
          <w:iCs/>
          <w:color w:val="111111"/>
          <w:kern w:val="0"/>
          <w:sz w:val="27"/>
          <w:szCs w:val="27"/>
          <w:bdr w:val="none" w:sz="0" w:space="0" w:color="auto" w:frame="1"/>
          <w:lang w:eastAsia="it-IT"/>
          <w14:ligatures w14:val="none"/>
        </w:rPr>
        <w:t>Au-delà de l’emploi : transformations du travail et devenir du droit du travail en Europe</w:t>
      </w:r>
      <w:r w:rsidRPr="00776B45">
        <w:rPr>
          <w:rFonts w:ascii="inherit" w:eastAsia="Times New Roman" w:hAnsi="inherit" w:cs="Arial"/>
          <w:color w:val="111111"/>
          <w:kern w:val="0"/>
          <w:sz w:val="27"/>
          <w:szCs w:val="27"/>
          <w:lang w:eastAsia="it-IT"/>
          <w14:ligatures w14:val="none"/>
        </w:rPr>
        <w:t>, Paris : Flammarion, 1999 ; plus récemment, Alain Supiot (dir.), </w:t>
      </w:r>
      <w:r w:rsidRPr="00776B45">
        <w:rPr>
          <w:rFonts w:ascii="inherit" w:eastAsia="Times New Roman" w:hAnsi="inherit" w:cs="Arial"/>
          <w:i/>
          <w:iCs/>
          <w:color w:val="111111"/>
          <w:kern w:val="0"/>
          <w:sz w:val="27"/>
          <w:szCs w:val="27"/>
          <w:bdr w:val="none" w:sz="0" w:space="0" w:color="auto" w:frame="1"/>
          <w:lang w:eastAsia="it-IT"/>
          <w14:ligatures w14:val="none"/>
        </w:rPr>
        <w:t>Au-delà de l’emploi</w:t>
      </w:r>
      <w:r w:rsidRPr="00776B45">
        <w:rPr>
          <w:rFonts w:ascii="inherit" w:eastAsia="Times New Roman" w:hAnsi="inherit" w:cs="Arial"/>
          <w:color w:val="111111"/>
          <w:kern w:val="0"/>
          <w:sz w:val="27"/>
          <w:szCs w:val="27"/>
          <w:lang w:eastAsia="it-IT"/>
          <w14:ligatures w14:val="none"/>
        </w:rPr>
        <w:t>, Paris : Flammarion, nouvelle édition 2016. </w:t>
      </w:r>
    </w:p>
    <w:bookmarkStart w:id="9" w:name="_ftn3"/>
    <w:p w14:paraId="68DF4614"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"_ftnref3"</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[3]</w:t>
      </w:r>
      <w:r w:rsidRPr="00776B45">
        <w:rPr>
          <w:rFonts w:ascii="inherit" w:eastAsia="Times New Roman" w:hAnsi="inherit" w:cs="Arial"/>
          <w:color w:val="111111"/>
          <w:kern w:val="0"/>
          <w:sz w:val="27"/>
          <w:szCs w:val="27"/>
          <w:lang w:eastAsia="it-IT"/>
          <w14:ligatures w14:val="none"/>
        </w:rPr>
        <w:fldChar w:fldCharType="end"/>
      </w:r>
      <w:bookmarkEnd w:id="9"/>
      <w:r w:rsidRPr="00776B45">
        <w:rPr>
          <w:rFonts w:ascii="inherit" w:eastAsia="Times New Roman" w:hAnsi="inherit" w:cs="Arial"/>
          <w:color w:val="111111"/>
          <w:kern w:val="0"/>
          <w:sz w:val="27"/>
          <w:szCs w:val="27"/>
          <w:lang w:eastAsia="it-IT"/>
          <w14:ligatures w14:val="none"/>
        </w:rPr>
        <w:t> Cf. aussi James Suzman, </w:t>
      </w:r>
      <w:r w:rsidRPr="00776B45">
        <w:rPr>
          <w:rFonts w:ascii="inherit" w:eastAsia="Times New Roman" w:hAnsi="inherit" w:cs="Arial"/>
          <w:i/>
          <w:iCs/>
          <w:color w:val="111111"/>
          <w:kern w:val="0"/>
          <w:sz w:val="27"/>
          <w:szCs w:val="27"/>
          <w:bdr w:val="none" w:sz="0" w:space="0" w:color="auto" w:frame="1"/>
          <w:lang w:eastAsia="it-IT"/>
          <w14:ligatures w14:val="none"/>
        </w:rPr>
        <w:t>Travailler. La grande affaire de l’humanité</w:t>
      </w:r>
      <w:r w:rsidRPr="00776B45">
        <w:rPr>
          <w:rFonts w:ascii="inherit" w:eastAsia="Times New Roman" w:hAnsi="inherit" w:cs="Arial"/>
          <w:color w:val="111111"/>
          <w:kern w:val="0"/>
          <w:sz w:val="27"/>
          <w:szCs w:val="27"/>
          <w:lang w:eastAsia="it-IT"/>
          <w14:ligatures w14:val="none"/>
        </w:rPr>
        <w:t>, Paris : Flammarion, 2021.</w:t>
      </w:r>
    </w:p>
    <w:bookmarkStart w:id="10" w:name="_ftn4"/>
    <w:p w14:paraId="5890600E"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"_ftnref4"</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[4]</w:t>
      </w:r>
      <w:r w:rsidRPr="00776B45">
        <w:rPr>
          <w:rFonts w:ascii="inherit" w:eastAsia="Times New Roman" w:hAnsi="inherit" w:cs="Arial"/>
          <w:color w:val="111111"/>
          <w:kern w:val="0"/>
          <w:sz w:val="27"/>
          <w:szCs w:val="27"/>
          <w:lang w:eastAsia="it-IT"/>
          <w14:ligatures w14:val="none"/>
        </w:rPr>
        <w:fldChar w:fldCharType="end"/>
      </w:r>
      <w:bookmarkEnd w:id="10"/>
      <w:r w:rsidRPr="00776B45">
        <w:rPr>
          <w:rFonts w:ascii="inherit" w:eastAsia="Times New Roman" w:hAnsi="inherit" w:cs="Arial"/>
          <w:color w:val="111111"/>
          <w:kern w:val="0"/>
          <w:sz w:val="27"/>
          <w:szCs w:val="27"/>
          <w:lang w:eastAsia="it-IT"/>
          <w14:ligatures w14:val="none"/>
        </w:rPr>
        <w:t> Comme déjà argumenté par Jason Hickel, </w:t>
      </w:r>
      <w:r w:rsidRPr="00776B45">
        <w:rPr>
          <w:rFonts w:ascii="inherit" w:eastAsia="Times New Roman" w:hAnsi="inherit" w:cs="Arial"/>
          <w:i/>
          <w:iCs/>
          <w:color w:val="111111"/>
          <w:kern w:val="0"/>
          <w:sz w:val="27"/>
          <w:szCs w:val="27"/>
          <w:bdr w:val="none" w:sz="0" w:space="0" w:color="auto" w:frame="1"/>
          <w:lang w:eastAsia="it-IT"/>
          <w14:ligatures w14:val="none"/>
        </w:rPr>
        <w:t>Moins pour plus. Comment la décroissance sauvera le monde</w:t>
      </w:r>
      <w:r w:rsidRPr="00776B45">
        <w:rPr>
          <w:rFonts w:ascii="inherit" w:eastAsia="Times New Roman" w:hAnsi="inherit" w:cs="Arial"/>
          <w:color w:val="111111"/>
          <w:kern w:val="0"/>
          <w:sz w:val="27"/>
          <w:szCs w:val="27"/>
          <w:lang w:eastAsia="it-IT"/>
          <w14:ligatures w14:val="none"/>
        </w:rPr>
        <w:t>, Paris : Éditions Marabout, 2022.</w:t>
      </w:r>
    </w:p>
    <w:bookmarkStart w:id="11" w:name="_ftn5"/>
    <w:p w14:paraId="35C1DD6A"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"_ftnref5"</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[5]</w:t>
      </w:r>
      <w:r w:rsidRPr="00776B45">
        <w:rPr>
          <w:rFonts w:ascii="inherit" w:eastAsia="Times New Roman" w:hAnsi="inherit" w:cs="Arial"/>
          <w:color w:val="111111"/>
          <w:kern w:val="0"/>
          <w:sz w:val="27"/>
          <w:szCs w:val="27"/>
          <w:lang w:eastAsia="it-IT"/>
          <w14:ligatures w14:val="none"/>
        </w:rPr>
        <w:fldChar w:fldCharType="end"/>
      </w:r>
      <w:bookmarkEnd w:id="11"/>
      <w:r w:rsidRPr="00776B45">
        <w:rPr>
          <w:rFonts w:ascii="inherit" w:eastAsia="Times New Roman" w:hAnsi="inherit" w:cs="Arial"/>
          <w:color w:val="111111"/>
          <w:kern w:val="0"/>
          <w:sz w:val="27"/>
          <w:szCs w:val="27"/>
          <w:lang w:eastAsia="it-IT"/>
          <w14:ligatures w14:val="none"/>
        </w:rPr>
        <w:t> Dans la même perspective cf. Olivier De Schutter, </w:t>
      </w:r>
      <w:r w:rsidRPr="00776B45">
        <w:rPr>
          <w:rFonts w:ascii="inherit" w:eastAsia="Times New Roman" w:hAnsi="inherit" w:cs="Arial"/>
          <w:i/>
          <w:iCs/>
          <w:color w:val="111111"/>
          <w:kern w:val="0"/>
          <w:sz w:val="27"/>
          <w:szCs w:val="27"/>
          <w:bdr w:val="none" w:sz="0" w:space="0" w:color="auto" w:frame="1"/>
          <w:lang w:eastAsia="it-IT"/>
          <w14:ligatures w14:val="none"/>
        </w:rPr>
        <w:t>Les travailleurs pauvres : une approche des salaires fondée sur les droits humains.</w:t>
      </w:r>
      <w:r w:rsidRPr="00776B45">
        <w:rPr>
          <w:rFonts w:ascii="inherit" w:eastAsia="Times New Roman" w:hAnsi="inherit" w:cs="Arial"/>
          <w:color w:val="111111"/>
          <w:kern w:val="0"/>
          <w:sz w:val="27"/>
          <w:szCs w:val="27"/>
          <w:lang w:eastAsia="it-IT"/>
          <w14:ligatures w14:val="none"/>
        </w:rPr>
        <w:t> Rapport à l’Assemblée générale des Nations unies du rapporteur spécial sur les droits de l’Homme et l’extrême pauvreté, 13 juillet 2023.</w:t>
      </w:r>
    </w:p>
    <w:bookmarkStart w:id="12" w:name="_ftn6"/>
    <w:p w14:paraId="69580DA9"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lastRenderedPageBreak/>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"_ftnref6"</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[6]</w:t>
      </w:r>
      <w:r w:rsidRPr="00776B45">
        <w:rPr>
          <w:rFonts w:ascii="inherit" w:eastAsia="Times New Roman" w:hAnsi="inherit" w:cs="Arial"/>
          <w:color w:val="111111"/>
          <w:kern w:val="0"/>
          <w:sz w:val="27"/>
          <w:szCs w:val="27"/>
          <w:lang w:eastAsia="it-IT"/>
          <w14:ligatures w14:val="none"/>
        </w:rPr>
        <w:fldChar w:fldCharType="end"/>
      </w:r>
      <w:bookmarkEnd w:id="12"/>
      <w:r w:rsidRPr="00776B45">
        <w:rPr>
          <w:rFonts w:ascii="inherit" w:eastAsia="Times New Roman" w:hAnsi="inherit" w:cs="Arial"/>
          <w:color w:val="111111"/>
          <w:kern w:val="0"/>
          <w:sz w:val="27"/>
          <w:szCs w:val="27"/>
          <w:lang w:eastAsia="it-IT"/>
          <w14:ligatures w14:val="none"/>
        </w:rPr>
        <w:t> Simon Deakin, “The Corporation as Commons: Rethinking Property Rights, Governance and Sustainability in the Business Enterprise”, </w:t>
      </w:r>
      <w:r w:rsidRPr="00776B45">
        <w:rPr>
          <w:rFonts w:ascii="inherit" w:eastAsia="Times New Roman" w:hAnsi="inherit" w:cs="Arial"/>
          <w:i/>
          <w:iCs/>
          <w:color w:val="111111"/>
          <w:kern w:val="0"/>
          <w:sz w:val="27"/>
          <w:szCs w:val="27"/>
          <w:bdr w:val="none" w:sz="0" w:space="0" w:color="auto" w:frame="1"/>
          <w:lang w:eastAsia="it-IT"/>
          <w14:ligatures w14:val="none"/>
        </w:rPr>
        <w:t>Queen’s Law Journal</w:t>
      </w:r>
      <w:r w:rsidRPr="00776B45">
        <w:rPr>
          <w:rFonts w:ascii="inherit" w:eastAsia="Times New Roman" w:hAnsi="inherit" w:cs="Arial"/>
          <w:color w:val="111111"/>
          <w:kern w:val="0"/>
          <w:sz w:val="27"/>
          <w:szCs w:val="27"/>
          <w:lang w:eastAsia="it-IT"/>
          <w14:ligatures w14:val="none"/>
        </w:rPr>
        <w:t>, 2012, 37(2), 339-381.</w:t>
      </w:r>
    </w:p>
    <w:bookmarkStart w:id="13" w:name="_ftn7"/>
    <w:p w14:paraId="72110AA5"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color w:val="111111"/>
          <w:kern w:val="0"/>
          <w:sz w:val="27"/>
          <w:szCs w:val="27"/>
          <w:lang w:eastAsia="it-IT"/>
          <w14:ligatures w14:val="none"/>
        </w:rPr>
        <w:fldChar w:fldCharType="begin"/>
      </w:r>
      <w:r w:rsidRPr="00776B45">
        <w:rPr>
          <w:rFonts w:ascii="inherit" w:eastAsia="Times New Roman" w:hAnsi="inherit" w:cs="Arial"/>
          <w:color w:val="111111"/>
          <w:kern w:val="0"/>
          <w:sz w:val="27"/>
          <w:szCs w:val="27"/>
          <w:lang w:eastAsia="it-IT"/>
          <w14:ligatures w14:val="none"/>
        </w:rPr>
        <w:instrText>HYPERLINK "https://ds.hypotheses.org/17511" \l "_ftnref7"</w:instrText>
      </w:r>
      <w:r w:rsidRPr="00776B45">
        <w:rPr>
          <w:rFonts w:ascii="inherit" w:eastAsia="Times New Roman" w:hAnsi="inherit" w:cs="Arial"/>
          <w:color w:val="111111"/>
          <w:kern w:val="0"/>
          <w:sz w:val="27"/>
          <w:szCs w:val="27"/>
          <w:lang w:eastAsia="it-IT"/>
          <w14:ligatures w14:val="none"/>
        </w:rPr>
      </w:r>
      <w:r w:rsidRPr="00776B45">
        <w:rPr>
          <w:rFonts w:ascii="inherit" w:eastAsia="Times New Roman" w:hAnsi="inherit" w:cs="Arial"/>
          <w:color w:val="111111"/>
          <w:kern w:val="0"/>
          <w:sz w:val="27"/>
          <w:szCs w:val="27"/>
          <w:lang w:eastAsia="it-IT"/>
          <w14:ligatures w14:val="none"/>
        </w:rPr>
        <w:fldChar w:fldCharType="separate"/>
      </w:r>
      <w:r w:rsidRPr="00776B45">
        <w:rPr>
          <w:rFonts w:ascii="inherit" w:eastAsia="Times New Roman" w:hAnsi="inherit" w:cs="Arial"/>
          <w:color w:val="08ACB2"/>
          <w:kern w:val="0"/>
          <w:sz w:val="27"/>
          <w:szCs w:val="27"/>
          <w:u w:val="single"/>
          <w:bdr w:val="none" w:sz="0" w:space="0" w:color="auto" w:frame="1"/>
          <w:lang w:eastAsia="it-IT"/>
          <w14:ligatures w14:val="none"/>
        </w:rPr>
        <w:t>[7]</w:t>
      </w:r>
      <w:r w:rsidRPr="00776B45">
        <w:rPr>
          <w:rFonts w:ascii="inherit" w:eastAsia="Times New Roman" w:hAnsi="inherit" w:cs="Arial"/>
          <w:color w:val="111111"/>
          <w:kern w:val="0"/>
          <w:sz w:val="27"/>
          <w:szCs w:val="27"/>
          <w:lang w:eastAsia="it-IT"/>
          <w14:ligatures w14:val="none"/>
        </w:rPr>
        <w:fldChar w:fldCharType="end"/>
      </w:r>
      <w:bookmarkEnd w:id="13"/>
      <w:r w:rsidRPr="00776B45">
        <w:rPr>
          <w:rFonts w:ascii="inherit" w:eastAsia="Times New Roman" w:hAnsi="inherit" w:cs="Arial"/>
          <w:color w:val="111111"/>
          <w:kern w:val="0"/>
          <w:sz w:val="27"/>
          <w:szCs w:val="27"/>
          <w:lang w:eastAsia="it-IT"/>
          <w14:ligatures w14:val="none"/>
        </w:rPr>
        <w:t> John Rawls, </w:t>
      </w:r>
      <w:r w:rsidRPr="00776B45">
        <w:rPr>
          <w:rFonts w:ascii="inherit" w:eastAsia="Times New Roman" w:hAnsi="inherit" w:cs="Arial"/>
          <w:i/>
          <w:iCs/>
          <w:color w:val="111111"/>
          <w:kern w:val="0"/>
          <w:sz w:val="27"/>
          <w:szCs w:val="27"/>
          <w:bdr w:val="none" w:sz="0" w:space="0" w:color="auto" w:frame="1"/>
          <w:lang w:eastAsia="it-IT"/>
          <w14:ligatures w14:val="none"/>
        </w:rPr>
        <w:t>Justice as Fairness: A Restatement</w:t>
      </w:r>
      <w:r w:rsidRPr="00776B45">
        <w:rPr>
          <w:rFonts w:ascii="inherit" w:eastAsia="Times New Roman" w:hAnsi="inherit" w:cs="Arial"/>
          <w:color w:val="111111"/>
          <w:kern w:val="0"/>
          <w:sz w:val="27"/>
          <w:szCs w:val="27"/>
          <w:lang w:eastAsia="it-IT"/>
          <w14:ligatures w14:val="none"/>
        </w:rPr>
        <w:t>, Harvard University Press, 2001.</w:t>
      </w:r>
    </w:p>
    <w:p w14:paraId="12D25E9F" w14:textId="77777777" w:rsidR="00776B45" w:rsidRPr="00776B45" w:rsidRDefault="00776B45" w:rsidP="00776B45">
      <w:pPr>
        <w:spacing w:before="450" w:after="45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noProof/>
          <w:color w:val="111111"/>
          <w:kern w:val="0"/>
          <w:sz w:val="27"/>
          <w:szCs w:val="27"/>
          <w:lang w:eastAsia="it-IT"/>
          <w14:ligatures w14:val="none"/>
        </w:rPr>
      </w:r>
      <w:r w:rsidR="00776B45" w:rsidRPr="00776B45">
        <w:rPr>
          <w:rFonts w:ascii="inherit" w:eastAsia="Times New Roman" w:hAnsi="inherit" w:cs="Arial"/>
          <w:noProof/>
          <w:color w:val="111111"/>
          <w:kern w:val="0"/>
          <w:sz w:val="27"/>
          <w:szCs w:val="27"/>
          <w:lang w:eastAsia="it-IT"/>
          <w14:ligatures w14:val="none"/>
        </w:rPr>
        <w:pict w14:anchorId="43F7D358">
          <v:rect id="_x0000_i1026" alt="" style="width:451.3pt;height:.05pt;mso-width-percent:0;mso-height-percent:0;mso-width-percent:0;mso-height-percent:0" o:hralign="center" o:hrstd="t" o:hr="t" fillcolor="#a0a0a0" stroked="f"/>
        </w:pict>
      </w:r>
    </w:p>
    <w:p w14:paraId="2B84A4D9" w14:textId="77777777" w:rsidR="00776B45" w:rsidRPr="00776B45" w:rsidRDefault="00776B45" w:rsidP="00776B45">
      <w:pPr>
        <w:spacing w:after="0" w:line="384" w:lineRule="atLeast"/>
        <w:textAlignment w:val="baseline"/>
        <w:rPr>
          <w:rFonts w:ascii="inherit" w:eastAsia="Times New Roman" w:hAnsi="inherit" w:cs="Arial"/>
          <w:color w:val="111111"/>
          <w:kern w:val="0"/>
          <w:sz w:val="27"/>
          <w:szCs w:val="27"/>
          <w:lang w:eastAsia="it-IT"/>
          <w14:ligatures w14:val="none"/>
        </w:rPr>
      </w:pPr>
      <w:r w:rsidRPr="00776B45">
        <w:rPr>
          <w:rFonts w:ascii="inherit" w:eastAsia="Times New Roman" w:hAnsi="inherit" w:cs="Arial"/>
          <w:b/>
          <w:bCs/>
          <w:color w:val="111111"/>
          <w:kern w:val="0"/>
          <w:sz w:val="27"/>
          <w:szCs w:val="27"/>
          <w:bdr w:val="none" w:sz="0" w:space="0" w:color="auto" w:frame="1"/>
          <w:lang w:eastAsia="it-IT"/>
          <w14:ligatures w14:val="none"/>
        </w:rPr>
        <w:t>OpenEdition vous propose de citer ce billet de la manière suivante :</w:t>
      </w:r>
      <w:r w:rsidRPr="00776B45">
        <w:rPr>
          <w:rFonts w:ascii="inherit" w:eastAsia="Times New Roman" w:hAnsi="inherit" w:cs="Arial"/>
          <w:color w:val="111111"/>
          <w:kern w:val="0"/>
          <w:sz w:val="27"/>
          <w:szCs w:val="27"/>
          <w:lang w:eastAsia="it-IT"/>
          <w14:ligatures w14:val="none"/>
        </w:rPr>
        <w:br/>
        <w:t>ds (26 novembre 2025). Labour Law Utopias: Post-Growth &amp; Post-Productive Work Approaches | Nicolas Bueno, Beryl ter Haar and Nuna Zekić (Eds.). </w:t>
      </w:r>
      <w:r w:rsidRPr="00776B45">
        <w:rPr>
          <w:rFonts w:ascii="inherit" w:eastAsia="Times New Roman" w:hAnsi="inherit" w:cs="Arial"/>
          <w:i/>
          <w:iCs/>
          <w:color w:val="111111"/>
          <w:kern w:val="0"/>
          <w:sz w:val="27"/>
          <w:szCs w:val="27"/>
          <w:bdr w:val="none" w:sz="0" w:space="0" w:color="auto" w:frame="1"/>
          <w:lang w:eastAsia="it-IT"/>
          <w14:ligatures w14:val="none"/>
        </w:rPr>
        <w:t>Droit &amp; Société</w:t>
      </w:r>
      <w:r w:rsidRPr="00776B45">
        <w:rPr>
          <w:rFonts w:ascii="inherit" w:eastAsia="Times New Roman" w:hAnsi="inherit" w:cs="Arial"/>
          <w:color w:val="111111"/>
          <w:kern w:val="0"/>
          <w:sz w:val="27"/>
          <w:szCs w:val="27"/>
          <w:lang w:eastAsia="it-IT"/>
          <w14:ligatures w14:val="none"/>
        </w:rPr>
        <w:t>. Consulté le 27 novembre 2025 à l’adresse https://doi.org/10.58079/1584e</w:t>
      </w:r>
    </w:p>
    <w:p w14:paraId="482F6D40" w14:textId="77777777" w:rsidR="00286228" w:rsidRDefault="00286228"/>
    <w:sectPr w:rsidR="002862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71D7"/>
    <w:multiLevelType w:val="multilevel"/>
    <w:tmpl w:val="2F40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2D1A3A"/>
    <w:multiLevelType w:val="multilevel"/>
    <w:tmpl w:val="AF2A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C23033"/>
    <w:multiLevelType w:val="multilevel"/>
    <w:tmpl w:val="92A2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397471"/>
    <w:multiLevelType w:val="multilevel"/>
    <w:tmpl w:val="D94A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1914337">
    <w:abstractNumId w:val="0"/>
  </w:num>
  <w:num w:numId="2" w16cid:durableId="1414469367">
    <w:abstractNumId w:val="3"/>
  </w:num>
  <w:num w:numId="3" w16cid:durableId="1033848218">
    <w:abstractNumId w:val="1"/>
  </w:num>
  <w:num w:numId="4" w16cid:durableId="1958565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D8"/>
    <w:rsid w:val="00286228"/>
    <w:rsid w:val="00361743"/>
    <w:rsid w:val="00522BD8"/>
    <w:rsid w:val="006E175F"/>
    <w:rsid w:val="00776B45"/>
    <w:rsid w:val="00F72C84"/>
  </w:rsids>
  <m:mathPr>
    <m:mathFont m:val="Cambria Math"/>
    <m:brkBin m:val="before"/>
    <m:brkBinSub m:val="--"/>
    <m:smallFrac m:val="0"/>
    <m:dispDef/>
    <m:lMargin m:val="0"/>
    <m:rMargin m:val="0"/>
    <m:defJc m:val="centerGroup"/>
    <m:wrapIndent m:val="1440"/>
    <m:intLim m:val="subSup"/>
    <m:naryLim m:val="undOvr"/>
  </m:mathPr>
  <w:themeFontLang w:val="it-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577C"/>
  <w15:chartTrackingRefBased/>
  <w15:docId w15:val="{74A53E23-4439-9A4E-B5C5-51847BD80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22B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2B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2BD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22BD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2BD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2BD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2BD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2BD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2BD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2BD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2BD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2BD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22BD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2BD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2BD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2BD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2BD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2BD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2B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2BD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2BD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2BD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2BD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2BD8"/>
    <w:rPr>
      <w:i/>
      <w:iCs/>
      <w:color w:val="404040" w:themeColor="text1" w:themeTint="BF"/>
    </w:rPr>
  </w:style>
  <w:style w:type="paragraph" w:styleId="Paragrafoelenco">
    <w:name w:val="List Paragraph"/>
    <w:basedOn w:val="Normale"/>
    <w:uiPriority w:val="34"/>
    <w:qFormat/>
    <w:rsid w:val="00522BD8"/>
    <w:pPr>
      <w:ind w:left="720"/>
      <w:contextualSpacing/>
    </w:pPr>
  </w:style>
  <w:style w:type="character" w:styleId="Enfasiintensa">
    <w:name w:val="Intense Emphasis"/>
    <w:basedOn w:val="Carpredefinitoparagrafo"/>
    <w:uiPriority w:val="21"/>
    <w:qFormat/>
    <w:rsid w:val="00522BD8"/>
    <w:rPr>
      <w:i/>
      <w:iCs/>
      <w:color w:val="0F4761" w:themeColor="accent1" w:themeShade="BF"/>
    </w:rPr>
  </w:style>
  <w:style w:type="paragraph" w:styleId="Citazioneintensa">
    <w:name w:val="Intense Quote"/>
    <w:basedOn w:val="Normale"/>
    <w:next w:val="Normale"/>
    <w:link w:val="CitazioneintensaCarattere"/>
    <w:uiPriority w:val="30"/>
    <w:qFormat/>
    <w:rsid w:val="00522B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2BD8"/>
    <w:rPr>
      <w:i/>
      <w:iCs/>
      <w:color w:val="0F4761" w:themeColor="accent1" w:themeShade="BF"/>
    </w:rPr>
  </w:style>
  <w:style w:type="character" w:styleId="Riferimentointenso">
    <w:name w:val="Intense Reference"/>
    <w:basedOn w:val="Carpredefinitoparagrafo"/>
    <w:uiPriority w:val="32"/>
    <w:qFormat/>
    <w:rsid w:val="00522BD8"/>
    <w:rPr>
      <w:b/>
      <w:bCs/>
      <w:smallCaps/>
      <w:color w:val="0F4761" w:themeColor="accent1" w:themeShade="BF"/>
      <w:spacing w:val="5"/>
    </w:rPr>
  </w:style>
  <w:style w:type="paragraph" w:customStyle="1" w:styleId="xmsolistparagraph">
    <w:name w:val="x_msolistparagraph"/>
    <w:basedOn w:val="Normale"/>
    <w:rsid w:val="00522BD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paragraph" w:customStyle="1" w:styleId="xmsonormal">
    <w:name w:val="x_msonormal"/>
    <w:basedOn w:val="Normale"/>
    <w:rsid w:val="00522BD8"/>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522BD8"/>
  </w:style>
  <w:style w:type="paragraph" w:customStyle="1" w:styleId="post-byline">
    <w:name w:val="post-byline"/>
    <w:basedOn w:val="Normale"/>
    <w:rsid w:val="00776B4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fn">
    <w:name w:val="fn"/>
    <w:basedOn w:val="Carpredefinitoparagrafo"/>
    <w:rsid w:val="00776B45"/>
  </w:style>
  <w:style w:type="character" w:styleId="Collegamentoipertestuale">
    <w:name w:val="Hyperlink"/>
    <w:basedOn w:val="Carpredefinitoparagrafo"/>
    <w:uiPriority w:val="99"/>
    <w:semiHidden/>
    <w:unhideWhenUsed/>
    <w:rsid w:val="00776B45"/>
    <w:rPr>
      <w:color w:val="0000FF"/>
      <w:u w:val="single"/>
    </w:rPr>
  </w:style>
  <w:style w:type="paragraph" w:styleId="NormaleWeb">
    <w:name w:val="Normal (Web)"/>
    <w:basedOn w:val="Normale"/>
    <w:uiPriority w:val="99"/>
    <w:semiHidden/>
    <w:unhideWhenUsed/>
    <w:rsid w:val="00776B45"/>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776B45"/>
    <w:rPr>
      <w:b/>
      <w:bCs/>
    </w:rPr>
  </w:style>
  <w:style w:type="character" w:styleId="Enfasicorsivo">
    <w:name w:val="Emphasis"/>
    <w:basedOn w:val="Carpredefinitoparagrafo"/>
    <w:uiPriority w:val="20"/>
    <w:qFormat/>
    <w:rsid w:val="00776B45"/>
    <w:rPr>
      <w:i/>
      <w:iCs/>
    </w:rPr>
  </w:style>
  <w:style w:type="character" w:customStyle="1" w:styleId="citation-title">
    <w:name w:val="citation-title"/>
    <w:basedOn w:val="Carpredefinitoparagrafo"/>
    <w:rsid w:val="0077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s.hypotheses.org/files/2025/11/COUV-Bueno.jpg" TargetMode="External"/><Relationship Id="rId5" Type="http://schemas.openxmlformats.org/officeDocument/2006/relationships/hyperlink" Target="https://ds.hypotheses.org/author/d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1778</Words>
  <Characters>10141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RATTI</dc:creator>
  <cp:keywords/>
  <dc:description/>
  <cp:lastModifiedBy>Luca RATTI</cp:lastModifiedBy>
  <cp:revision>1</cp:revision>
  <dcterms:created xsi:type="dcterms:W3CDTF">2025-11-28T15:44:00Z</dcterms:created>
  <dcterms:modified xsi:type="dcterms:W3CDTF">2025-11-28T16:13:00Z</dcterms:modified>
</cp:coreProperties>
</file>