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EEB8" w14:textId="68A9C2B8" w:rsidR="007847BA" w:rsidRPr="003C1F54" w:rsidRDefault="001172EA" w:rsidP="003342F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6378">
        <w:rPr>
          <w:rFonts w:ascii="Times New Roman" w:hAnsi="Times New Roman" w:cs="Times New Roman"/>
          <w:b/>
          <w:bCs/>
          <w:sz w:val="24"/>
          <w:szCs w:val="24"/>
          <w:lang w:val="en-US"/>
        </w:rPr>
        <w:t>Literature Review:</w:t>
      </w:r>
      <w:r w:rsidR="00EF7F6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Juliane Kokott,</w:t>
      </w: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1F54">
        <w:rPr>
          <w:rFonts w:ascii="Times New Roman" w:hAnsi="Times New Roman" w:cs="Times New Roman"/>
          <w:i/>
          <w:iCs/>
          <w:sz w:val="24"/>
          <w:szCs w:val="24"/>
          <w:lang w:val="en-US"/>
        </w:rPr>
        <w:t>EU Tax Law – A Handbook</w:t>
      </w: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F68" w:rsidRPr="003C1F5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E764A" w:rsidRPr="003C1F5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7B6378">
        <w:rPr>
          <w:rFonts w:ascii="Times New Roman" w:hAnsi="Times New Roman" w:cs="Times New Roman"/>
          <w:sz w:val="24"/>
          <w:szCs w:val="24"/>
          <w:lang w:val="en-US"/>
        </w:rPr>
        <w:t>omos/ Beck/ Hart</w:t>
      </w:r>
      <w:r w:rsidR="008E764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F68" w:rsidRPr="003C1F54">
        <w:rPr>
          <w:rFonts w:ascii="Times New Roman" w:hAnsi="Times New Roman" w:cs="Times New Roman"/>
          <w:sz w:val="24"/>
          <w:szCs w:val="24"/>
          <w:lang w:val="en-US"/>
        </w:rPr>
        <w:t>2022)</w:t>
      </w:r>
    </w:p>
    <w:p w14:paraId="75291F27" w14:textId="548822D7" w:rsidR="001A38C7" w:rsidRPr="003C1F54" w:rsidRDefault="00FF0DA1" w:rsidP="003342F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EU </w:t>
      </w:r>
      <w:r w:rsidR="00F9690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ax </w:t>
      </w:r>
      <w:r w:rsidR="00F9690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aw has been </w:t>
      </w:r>
      <w:r w:rsidR="00F9690D">
        <w:rPr>
          <w:rFonts w:ascii="Times New Roman" w:hAnsi="Times New Roman" w:cs="Times New Roman"/>
          <w:sz w:val="24"/>
          <w:szCs w:val="24"/>
          <w:lang w:val="en-US"/>
        </w:rPr>
        <w:t>considerably</w:t>
      </w:r>
      <w:r w:rsidR="00F9690D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31B9">
        <w:rPr>
          <w:rFonts w:ascii="Times New Roman" w:hAnsi="Times New Roman" w:cs="Times New Roman"/>
          <w:sz w:val="24"/>
          <w:szCs w:val="24"/>
          <w:lang w:val="en-US"/>
        </w:rPr>
        <w:t xml:space="preserve">influenced </w:t>
      </w:r>
      <w:r w:rsidRPr="003C1F54">
        <w:rPr>
          <w:rFonts w:ascii="Times New Roman" w:hAnsi="Times New Roman" w:cs="Times New Roman"/>
          <w:sz w:val="24"/>
          <w:szCs w:val="24"/>
          <w:lang w:val="en-US"/>
        </w:rPr>
        <w:t>by the case law of the Court of Justice of the EU (CJEU). While an increasing recourse</w:t>
      </w:r>
      <w:r w:rsidR="00F9690D" w:rsidRPr="00F9690D">
        <w:t xml:space="preserve"> </w:t>
      </w:r>
      <w:r w:rsidR="00F9690D" w:rsidRPr="00BE31B9">
        <w:rPr>
          <w:rFonts w:ascii="Times New Roman" w:hAnsi="Times New Roman" w:cs="Times New Roman"/>
          <w:sz w:val="24"/>
          <w:szCs w:val="24"/>
        </w:rPr>
        <w:t>can be noticed</w:t>
      </w:r>
      <w:r w:rsidR="00F9690D" w:rsidRPr="00F9690D">
        <w:t xml:space="preserve"> </w:t>
      </w:r>
      <w:r w:rsidR="00F9690D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F9690D" w:rsidRPr="00F9690D">
        <w:rPr>
          <w:rFonts w:ascii="Times New Roman" w:hAnsi="Times New Roman" w:cs="Times New Roman"/>
          <w:sz w:val="24"/>
          <w:szCs w:val="24"/>
          <w:lang w:val="en-US"/>
        </w:rPr>
        <w:t xml:space="preserve"> the past years</w:t>
      </w: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69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9690D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harmonizing measures </w:t>
      </w:r>
      <w:proofErr w:type="gramStart"/>
      <w:r w:rsidRPr="003C1F54">
        <w:rPr>
          <w:rFonts w:ascii="Times New Roman" w:hAnsi="Times New Roman" w:cs="Times New Roman"/>
          <w:sz w:val="24"/>
          <w:szCs w:val="24"/>
          <w:lang w:val="en-US"/>
        </w:rPr>
        <w:t>on the basis of</w:t>
      </w:r>
      <w:proofErr w:type="gramEnd"/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Article 115 TFEU (the ATAD, the DACs, the GloBE directive), this does not take away any of the CJEU’s stature</w:t>
      </w:r>
      <w:r w:rsidR="00754B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4B2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55706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is and </w:t>
      </w: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will be </w:t>
      </w:r>
      <w:r w:rsidR="0055706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the one </w:t>
      </w:r>
      <w:r w:rsidRPr="003C1F54">
        <w:rPr>
          <w:rFonts w:ascii="Times New Roman" w:hAnsi="Times New Roman" w:cs="Times New Roman"/>
          <w:sz w:val="24"/>
          <w:szCs w:val="24"/>
          <w:lang w:val="en-US"/>
        </w:rPr>
        <w:t>to interpret some controversial (and</w:t>
      </w:r>
      <w:r w:rsidR="00754B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at times, very complicated</w:t>
      </w:r>
      <w:r w:rsidR="003342FB" w:rsidRPr="003C1F5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provisions</w:t>
      </w:r>
      <w:r w:rsidR="003342F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of these directives</w:t>
      </w:r>
      <w:r w:rsidR="0065375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through the reference for a preliminary ruling procedure</w:t>
      </w:r>
      <w:r w:rsidR="003342F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. At the same time, it is widely accepted that tax law is a very technical topic that requires a </w:t>
      </w:r>
      <w:r w:rsidR="00754B29">
        <w:rPr>
          <w:rFonts w:ascii="Times New Roman" w:hAnsi="Times New Roman" w:cs="Times New Roman"/>
          <w:sz w:val="24"/>
          <w:szCs w:val="24"/>
          <w:lang w:val="en-US"/>
        </w:rPr>
        <w:t>comprehensive</w:t>
      </w:r>
      <w:r w:rsidR="00754B2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42F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understanding of how tax systems work and how they interact with each other and EU rules. </w:t>
      </w:r>
      <w:proofErr w:type="gramStart"/>
      <w:r w:rsidR="00991159" w:rsidRPr="003C1F54">
        <w:rPr>
          <w:rFonts w:ascii="Times New Roman" w:hAnsi="Times New Roman" w:cs="Times New Roman"/>
          <w:sz w:val="24"/>
          <w:szCs w:val="24"/>
          <w:lang w:val="en-US"/>
        </w:rPr>
        <w:t>Considering</w:t>
      </w:r>
      <w:r w:rsidR="003342F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this, it</w:t>
      </w:r>
      <w:proofErr w:type="gramEnd"/>
      <w:r w:rsidR="003342F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603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is probably </w:t>
      </w:r>
      <w:r w:rsidR="00F9690D">
        <w:rPr>
          <w:rFonts w:ascii="Times New Roman" w:hAnsi="Times New Roman" w:cs="Times New Roman"/>
          <w:sz w:val="24"/>
          <w:szCs w:val="24"/>
          <w:lang w:val="en-US"/>
        </w:rPr>
        <w:t>perceivable</w:t>
      </w:r>
      <w:r w:rsidR="00754B2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603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that tax law is not a very </w:t>
      </w:r>
      <w:r w:rsidR="00BC3AD1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‘popular’ field </w:t>
      </w:r>
      <w:r w:rsidR="006B1D34" w:rsidRPr="003C1F54">
        <w:rPr>
          <w:rFonts w:ascii="Times New Roman" w:hAnsi="Times New Roman" w:cs="Times New Roman"/>
          <w:sz w:val="24"/>
          <w:szCs w:val="24"/>
          <w:lang w:val="en-US"/>
        </w:rPr>
        <w:t>among the CJEU’s Advocates General</w:t>
      </w:r>
      <w:r w:rsidR="00597A7D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(AG). </w:t>
      </w:r>
    </w:p>
    <w:p w14:paraId="23087AC8" w14:textId="26C18D08" w:rsidR="00B814D3" w:rsidRPr="003C1F54" w:rsidRDefault="00D54062" w:rsidP="003342F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AG Kokott has been the ‘unofficial’ AG for tax matters (among many others) in </w:t>
      </w:r>
      <w:r w:rsidR="00DA3157" w:rsidRPr="003C1F54">
        <w:rPr>
          <w:rFonts w:ascii="Times New Roman" w:hAnsi="Times New Roman" w:cs="Times New Roman"/>
          <w:sz w:val="24"/>
          <w:szCs w:val="24"/>
          <w:lang w:val="en-US"/>
        </w:rPr>
        <w:t>the past</w:t>
      </w: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years. </w:t>
      </w:r>
      <w:r w:rsidR="0065375E" w:rsidRPr="003C1F54">
        <w:rPr>
          <w:rFonts w:ascii="Times New Roman" w:hAnsi="Times New Roman" w:cs="Times New Roman"/>
          <w:sz w:val="24"/>
          <w:szCs w:val="24"/>
          <w:lang w:val="en-US"/>
        </w:rPr>
        <w:t>Given that</w:t>
      </w:r>
      <w:r w:rsidR="00F06A1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she</w:t>
      </w:r>
      <w:r w:rsidR="0065375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has been </w:t>
      </w:r>
      <w:r w:rsidR="00754B29">
        <w:rPr>
          <w:rFonts w:ascii="Times New Roman" w:hAnsi="Times New Roman" w:cs="Times New Roman"/>
          <w:sz w:val="24"/>
          <w:szCs w:val="24"/>
          <w:lang w:val="en-US"/>
        </w:rPr>
        <w:t>the author of</w:t>
      </w:r>
      <w:r w:rsidR="00754B2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375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some of the most cited </w:t>
      </w:r>
      <w:r w:rsidR="00F9690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65375E" w:rsidRPr="003C1F54">
        <w:rPr>
          <w:rFonts w:ascii="Times New Roman" w:hAnsi="Times New Roman" w:cs="Times New Roman"/>
          <w:sz w:val="24"/>
          <w:szCs w:val="24"/>
          <w:lang w:val="en-US"/>
        </w:rPr>
        <w:t>pinions in tax cases and has contributed enormously to shaping the CJEU tax case law as we know it, her Handbook on EU Tax Law</w:t>
      </w:r>
      <w:r w:rsidR="009B359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4B29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65375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3597" w:rsidRPr="003C1F54">
        <w:rPr>
          <w:rFonts w:ascii="Times New Roman" w:hAnsi="Times New Roman" w:cs="Times New Roman"/>
          <w:sz w:val="24"/>
          <w:szCs w:val="24"/>
          <w:lang w:val="en-US"/>
        </w:rPr>
        <w:t>the revised</w:t>
      </w:r>
      <w:r w:rsidR="00812F96" w:rsidRPr="003C1F5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B359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updated</w:t>
      </w:r>
      <w:r w:rsidR="00754B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B359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F9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and translated </w:t>
      </w:r>
      <w:r w:rsidR="009B359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edition of her </w:t>
      </w:r>
      <w:r w:rsidR="00754B29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9B359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Das </w:t>
      </w:r>
      <w:proofErr w:type="spellStart"/>
      <w:r w:rsidR="009B3597" w:rsidRPr="003C1F54">
        <w:rPr>
          <w:rFonts w:ascii="Times New Roman" w:hAnsi="Times New Roman" w:cs="Times New Roman"/>
          <w:sz w:val="24"/>
          <w:szCs w:val="24"/>
          <w:lang w:val="en-US"/>
        </w:rPr>
        <w:t>Steuerrecht</w:t>
      </w:r>
      <w:proofErr w:type="spellEnd"/>
      <w:r w:rsidR="009B359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="009B3597" w:rsidRPr="003C1F54">
        <w:rPr>
          <w:rFonts w:ascii="Times New Roman" w:hAnsi="Times New Roman" w:cs="Times New Roman"/>
          <w:sz w:val="24"/>
          <w:szCs w:val="24"/>
          <w:lang w:val="en-US"/>
        </w:rPr>
        <w:t>Europäischen</w:t>
      </w:r>
      <w:proofErr w:type="spellEnd"/>
      <w:r w:rsidR="009B359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Union</w:t>
      </w:r>
      <w:r w:rsidR="00754B2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812F9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, is </w:t>
      </w:r>
      <w:r w:rsidR="00A22341" w:rsidRPr="003C1F54">
        <w:rPr>
          <w:rFonts w:ascii="Times New Roman" w:hAnsi="Times New Roman" w:cs="Times New Roman"/>
          <w:sz w:val="24"/>
          <w:szCs w:val="24"/>
          <w:lang w:val="en-US"/>
        </w:rPr>
        <w:t>pa</w:t>
      </w:r>
      <w:r w:rsidR="0051780B" w:rsidRPr="003C1F54">
        <w:rPr>
          <w:rFonts w:ascii="Times New Roman" w:hAnsi="Times New Roman" w:cs="Times New Roman"/>
          <w:sz w:val="24"/>
          <w:szCs w:val="24"/>
          <w:lang w:val="en-US"/>
        </w:rPr>
        <w:t>rticula</w:t>
      </w:r>
      <w:r w:rsidR="00F154B1" w:rsidRPr="003C1F54">
        <w:rPr>
          <w:rFonts w:ascii="Times New Roman" w:hAnsi="Times New Roman" w:cs="Times New Roman"/>
          <w:sz w:val="24"/>
          <w:szCs w:val="24"/>
          <w:lang w:val="en-US"/>
        </w:rPr>
        <w:t>rly</w:t>
      </w:r>
      <w:r w:rsidR="00A22341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80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appreciated by the non-German speaking </w:t>
      </w:r>
      <w:r w:rsidR="00AB503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tax </w:t>
      </w:r>
      <w:r w:rsidR="0051780B" w:rsidRPr="003C1F54">
        <w:rPr>
          <w:rFonts w:ascii="Times New Roman" w:hAnsi="Times New Roman" w:cs="Times New Roman"/>
          <w:sz w:val="24"/>
          <w:szCs w:val="24"/>
          <w:lang w:val="en-US"/>
        </w:rPr>
        <w:t>scholars</w:t>
      </w:r>
      <w:r w:rsidR="00AB503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and practitioners</w:t>
      </w:r>
      <w:r w:rsidR="00F154B1" w:rsidRPr="003C1F54">
        <w:rPr>
          <w:rFonts w:ascii="Times New Roman" w:hAnsi="Times New Roman" w:cs="Times New Roman"/>
          <w:sz w:val="24"/>
          <w:szCs w:val="24"/>
          <w:lang w:val="en-US"/>
        </w:rPr>
        <w:t>. It is also very much welcomed by anyone (even non</w:t>
      </w:r>
      <w:r w:rsidR="00754B2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154B1" w:rsidRPr="003C1F54">
        <w:rPr>
          <w:rFonts w:ascii="Times New Roman" w:hAnsi="Times New Roman" w:cs="Times New Roman"/>
          <w:sz w:val="24"/>
          <w:szCs w:val="24"/>
          <w:lang w:val="en-US"/>
        </w:rPr>
        <w:t>tax</w:t>
      </w:r>
      <w:r w:rsidR="00754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54B1" w:rsidRPr="003C1F54">
        <w:rPr>
          <w:rFonts w:ascii="Times New Roman" w:hAnsi="Times New Roman" w:cs="Times New Roman"/>
          <w:sz w:val="24"/>
          <w:szCs w:val="24"/>
          <w:lang w:val="en-US"/>
        </w:rPr>
        <w:t>specialists)</w:t>
      </w:r>
      <w:r w:rsidR="0051780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who would like to gain some insight on the </w:t>
      </w:r>
      <w:r w:rsidR="00B63554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AG’s </w:t>
      </w:r>
      <w:r w:rsidR="00DC735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comprehensive work and her </w:t>
      </w:r>
      <w:r w:rsidR="00B63554" w:rsidRPr="003C1F54">
        <w:rPr>
          <w:rFonts w:ascii="Times New Roman" w:hAnsi="Times New Roman" w:cs="Times New Roman"/>
          <w:sz w:val="24"/>
          <w:szCs w:val="24"/>
          <w:lang w:val="en-US"/>
        </w:rPr>
        <w:t>coherent understanding of the application of EU principles in diverse areas of tax law</w:t>
      </w:r>
      <w:r w:rsidR="00754B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814D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4B29">
        <w:rPr>
          <w:rFonts w:ascii="Times New Roman" w:hAnsi="Times New Roman" w:cs="Times New Roman"/>
          <w:sz w:val="24"/>
          <w:szCs w:val="24"/>
          <w:lang w:val="en-US"/>
        </w:rPr>
        <w:t>It also provides</w:t>
      </w:r>
      <w:r w:rsidR="00B814D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4B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an insider’s view </w:t>
      </w:r>
      <w:r w:rsidR="001F1F8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4618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how these principles have been applied through </w:t>
      </w:r>
      <w:r w:rsidR="001F1F8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landmark </w:t>
      </w:r>
      <w:r w:rsidR="0004618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(or less known) </w:t>
      </w:r>
      <w:r w:rsidR="001F1F8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judgments that span across VAT, fundamental freedoms, state aid </w:t>
      </w:r>
      <w:r w:rsidR="00212032" w:rsidRPr="003C1F54">
        <w:rPr>
          <w:rFonts w:ascii="Times New Roman" w:hAnsi="Times New Roman" w:cs="Times New Roman"/>
          <w:sz w:val="24"/>
          <w:szCs w:val="24"/>
          <w:lang w:val="en-US"/>
        </w:rPr>
        <w:t>law</w:t>
      </w:r>
      <w:r w:rsidR="00754B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1203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and taxpayers</w:t>
      </w:r>
      <w:r w:rsidR="00754B2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21203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fundamental rights. </w:t>
      </w:r>
    </w:p>
    <w:p w14:paraId="32D100B6" w14:textId="58F7F317" w:rsidR="00571110" w:rsidRPr="003C1F54" w:rsidRDefault="007724C2" w:rsidP="001607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78341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elaborating on the merits of each section, </w:t>
      </w:r>
      <w:r w:rsidR="009C05D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it is </w:t>
      </w:r>
      <w:r w:rsidR="00473C0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worth attempting to </w:t>
      </w:r>
      <w:r w:rsidR="009C05D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understand how this </w:t>
      </w:r>
      <w:r w:rsidR="00754B2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C05DA" w:rsidRPr="003C1F54">
        <w:rPr>
          <w:rFonts w:ascii="Times New Roman" w:hAnsi="Times New Roman" w:cs="Times New Roman"/>
          <w:sz w:val="24"/>
          <w:szCs w:val="24"/>
          <w:lang w:val="en-US"/>
        </w:rPr>
        <w:t>andbook distinguishes itself from similar</w:t>
      </w:r>
      <w:r w:rsidR="00BE31B9">
        <w:rPr>
          <w:rFonts w:ascii="Times New Roman" w:hAnsi="Times New Roman" w:cs="Times New Roman"/>
          <w:sz w:val="24"/>
          <w:szCs w:val="24"/>
          <w:lang w:val="en-US"/>
        </w:rPr>
        <w:t xml:space="preserve"> manuals and textbooks in EU tax law.</w:t>
      </w:r>
      <w:r w:rsidR="00FA2E3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61A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42056">
        <w:rPr>
          <w:rFonts w:ascii="Times New Roman" w:hAnsi="Times New Roman" w:cs="Times New Roman"/>
          <w:sz w:val="24"/>
          <w:szCs w:val="24"/>
          <w:lang w:val="en-US"/>
        </w:rPr>
        <w:t>this author’s</w:t>
      </w:r>
      <w:r w:rsidR="0094205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61A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view, </w:t>
      </w:r>
      <w:r w:rsidR="00DE218D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7702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DE218D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47702E" w:rsidRPr="003C1F54">
        <w:rPr>
          <w:rFonts w:ascii="Times New Roman" w:hAnsi="Times New Roman" w:cs="Times New Roman"/>
          <w:sz w:val="24"/>
          <w:szCs w:val="24"/>
          <w:lang w:val="en-US"/>
        </w:rPr>
        <w:t>make the book unique in its kind</w:t>
      </w:r>
      <w:r w:rsidR="00DE218D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are the following</w:t>
      </w:r>
      <w:r w:rsidR="0047702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: i) the AG’s systematization and structure </w:t>
      </w:r>
      <w:r w:rsidR="005D70B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in that it </w:t>
      </w:r>
      <w:r w:rsidR="00AA183F" w:rsidRPr="003C1F54">
        <w:rPr>
          <w:rFonts w:ascii="Times New Roman" w:hAnsi="Times New Roman" w:cs="Times New Roman"/>
          <w:sz w:val="24"/>
          <w:szCs w:val="24"/>
          <w:lang w:val="en-US"/>
        </w:rPr>
        <w:t>treats</w:t>
      </w:r>
      <w:r w:rsidR="004C518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EU</w:t>
      </w:r>
      <w:r w:rsidR="00AA183F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tax law not as </w:t>
      </w:r>
      <w:r w:rsidR="00A2063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 combination of </w:t>
      </w:r>
      <w:r w:rsidR="006B0A9F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fragmented and </w:t>
      </w:r>
      <w:r w:rsidR="00A2063B" w:rsidRPr="003C1F54">
        <w:rPr>
          <w:rFonts w:ascii="Times New Roman" w:hAnsi="Times New Roman" w:cs="Times New Roman"/>
          <w:sz w:val="24"/>
          <w:szCs w:val="24"/>
          <w:lang w:val="en-US"/>
        </w:rPr>
        <w:t>distinct sub-</w:t>
      </w:r>
      <w:r w:rsidR="00F90022" w:rsidRPr="003C1F54">
        <w:rPr>
          <w:rFonts w:ascii="Times New Roman" w:hAnsi="Times New Roman" w:cs="Times New Roman"/>
          <w:sz w:val="24"/>
          <w:szCs w:val="24"/>
          <w:lang w:val="en-US"/>
        </w:rPr>
        <w:t>elements</w:t>
      </w:r>
      <w:r w:rsidR="00A2063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but rather as a </w:t>
      </w:r>
      <w:r w:rsidR="00274542" w:rsidRPr="003C1F54">
        <w:rPr>
          <w:rFonts w:ascii="Times New Roman" w:hAnsi="Times New Roman" w:cs="Times New Roman"/>
          <w:sz w:val="24"/>
          <w:szCs w:val="24"/>
          <w:lang w:val="en-US"/>
        </w:rPr>
        <w:t>‘unity’</w:t>
      </w:r>
      <w:r w:rsidR="00C44311" w:rsidRPr="003C1F54">
        <w:rPr>
          <w:rFonts w:ascii="Times New Roman" w:hAnsi="Times New Roman" w:cs="Times New Roman"/>
          <w:sz w:val="24"/>
          <w:szCs w:val="24"/>
          <w:lang w:val="en-US"/>
        </w:rPr>
        <w:t>. Specifically,</w:t>
      </w:r>
      <w:r w:rsidR="00A2326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2056">
        <w:rPr>
          <w:rFonts w:ascii="Times New Roman" w:hAnsi="Times New Roman" w:cs="Times New Roman"/>
          <w:sz w:val="24"/>
          <w:szCs w:val="24"/>
          <w:lang w:val="en-US"/>
        </w:rPr>
        <w:t xml:space="preserve">it is </w:t>
      </w:r>
      <w:r w:rsidR="003A5B7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 field </w:t>
      </w:r>
      <w:r w:rsidR="0074435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where the ‘distinct’ </w:t>
      </w:r>
      <w:r w:rsidR="00C44311" w:rsidRPr="003C1F54">
        <w:rPr>
          <w:rFonts w:ascii="Times New Roman" w:hAnsi="Times New Roman" w:cs="Times New Roman"/>
          <w:sz w:val="24"/>
          <w:szCs w:val="24"/>
          <w:lang w:val="en-US"/>
        </w:rPr>
        <w:t>sub-</w:t>
      </w:r>
      <w:r w:rsidR="0074435E" w:rsidRPr="003C1F54">
        <w:rPr>
          <w:rFonts w:ascii="Times New Roman" w:hAnsi="Times New Roman" w:cs="Times New Roman"/>
          <w:sz w:val="24"/>
          <w:szCs w:val="24"/>
          <w:lang w:val="en-US"/>
        </w:rPr>
        <w:t>areas of direct and indirect taxation</w:t>
      </w:r>
      <w:r w:rsidR="000A514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are presented together and</w:t>
      </w:r>
      <w:r w:rsidR="0074435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may learn from each other and where </w:t>
      </w:r>
      <w:r w:rsidR="00DA47B4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international taxation and </w:t>
      </w:r>
      <w:r w:rsidR="0012300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fiscal sovereignty and </w:t>
      </w:r>
      <w:r w:rsidR="00DA47B4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domestic tax systems may be reconciled </w:t>
      </w:r>
      <w:r w:rsidR="00263AC3" w:rsidRPr="003C1F54">
        <w:rPr>
          <w:rFonts w:ascii="Times New Roman" w:hAnsi="Times New Roman" w:cs="Times New Roman"/>
          <w:sz w:val="24"/>
          <w:szCs w:val="24"/>
          <w:lang w:val="en-US"/>
        </w:rPr>
        <w:t>(or not) under the</w:t>
      </w:r>
      <w:r w:rsidR="00E6281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uniting</w:t>
      </w:r>
      <w:r w:rsidR="00263AC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umbrella principles of EU law</w:t>
      </w:r>
      <w:r w:rsidR="00E6281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E4C4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ii) </w:t>
      </w:r>
      <w:r w:rsidR="008142FC" w:rsidRPr="003C1F5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E4C4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0568E3" w:rsidRPr="003C1F54">
        <w:rPr>
          <w:rFonts w:ascii="Times New Roman" w:hAnsi="Times New Roman" w:cs="Times New Roman"/>
          <w:sz w:val="24"/>
          <w:szCs w:val="24"/>
          <w:lang w:val="en-US"/>
        </w:rPr>
        <w:t>AG’s</w:t>
      </w:r>
      <w:r w:rsidR="003F4C7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comprehensive and</w:t>
      </w:r>
      <w:r w:rsidR="000568E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2A4" w:rsidRPr="003C1F54">
        <w:rPr>
          <w:rFonts w:ascii="Times New Roman" w:hAnsi="Times New Roman" w:cs="Times New Roman"/>
          <w:sz w:val="24"/>
          <w:szCs w:val="24"/>
          <w:lang w:val="en-US"/>
        </w:rPr>
        <w:t>contextual approach</w:t>
      </w:r>
      <w:r w:rsidR="001B4E21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that is expressed, </w:t>
      </w:r>
      <w:r w:rsidR="001B4E21" w:rsidRPr="003C1F54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 alia</w:t>
      </w:r>
      <w:r w:rsidR="001B4E21" w:rsidRPr="003C1F5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552A4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through </w:t>
      </w:r>
      <w:r w:rsidR="000568E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references </w:t>
      </w:r>
      <w:r w:rsidR="003F2B2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552A4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other areas of (EU) law </w:t>
      </w:r>
      <w:r w:rsidR="00942056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94205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2A4" w:rsidRPr="003C1F54">
        <w:rPr>
          <w:rFonts w:ascii="Times New Roman" w:hAnsi="Times New Roman" w:cs="Times New Roman"/>
          <w:sz w:val="24"/>
          <w:szCs w:val="24"/>
          <w:lang w:val="en-US"/>
        </w:rPr>
        <w:t>relevant, such as environmental law</w:t>
      </w:r>
      <w:r w:rsidR="00702FD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and IP</w:t>
      </w:r>
      <w:r w:rsidR="00A552A4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law; iii) </w:t>
      </w:r>
      <w:r w:rsidR="002E78F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3744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laudable pedagogical approach that includes </w:t>
      </w:r>
      <w:r w:rsidR="002E78FA" w:rsidRPr="003C1F54">
        <w:rPr>
          <w:rFonts w:ascii="Times New Roman" w:hAnsi="Times New Roman" w:cs="Times New Roman"/>
          <w:sz w:val="24"/>
          <w:szCs w:val="24"/>
          <w:lang w:val="en-US"/>
        </w:rPr>
        <w:t>quasi-introductory references to tax</w:t>
      </w:r>
      <w:r w:rsidR="00737440" w:rsidRPr="003C1F54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2E78F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E93" w:rsidRPr="003C1F54">
        <w:rPr>
          <w:rFonts w:ascii="Times New Roman" w:hAnsi="Times New Roman" w:cs="Times New Roman"/>
          <w:sz w:val="24"/>
          <w:szCs w:val="24"/>
          <w:lang w:val="en-US"/>
        </w:rPr>
        <w:t>that allow even non</w:t>
      </w:r>
      <w:r w:rsidR="0094205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43E93" w:rsidRPr="003C1F54">
        <w:rPr>
          <w:rFonts w:ascii="Times New Roman" w:hAnsi="Times New Roman" w:cs="Times New Roman"/>
          <w:sz w:val="24"/>
          <w:szCs w:val="24"/>
          <w:lang w:val="en-US"/>
        </w:rPr>
        <w:t>tax</w:t>
      </w:r>
      <w:r w:rsidR="00942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E9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specialists to understand </w:t>
      </w:r>
      <w:r w:rsidR="00C44CD4" w:rsidRPr="003C1F54">
        <w:rPr>
          <w:rFonts w:ascii="Times New Roman" w:hAnsi="Times New Roman" w:cs="Times New Roman"/>
          <w:sz w:val="24"/>
          <w:szCs w:val="24"/>
          <w:lang w:val="en-US"/>
        </w:rPr>
        <w:t>how tax systems work</w:t>
      </w:r>
      <w:r w:rsidR="003F75F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; iv) </w:t>
      </w:r>
      <w:r w:rsidR="00A552A4" w:rsidRPr="003C1F5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B4F6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18" w:rsidRPr="003C1F54">
        <w:rPr>
          <w:rFonts w:ascii="Times New Roman" w:hAnsi="Times New Roman" w:cs="Times New Roman"/>
          <w:sz w:val="24"/>
          <w:szCs w:val="24"/>
          <w:lang w:val="en-US"/>
        </w:rPr>
        <w:t>references to</w:t>
      </w:r>
      <w:r w:rsidR="00B4510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public international law and</w:t>
      </w:r>
      <w:r w:rsidR="00BA4C1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2056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081343" w:rsidRPr="003C1F54">
        <w:rPr>
          <w:rFonts w:ascii="Times New Roman" w:hAnsi="Times New Roman" w:cs="Times New Roman"/>
          <w:sz w:val="24"/>
          <w:szCs w:val="24"/>
          <w:lang w:val="en-US"/>
        </w:rPr>
        <w:t>international tax law</w:t>
      </w:r>
      <w:r w:rsidR="00942056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7F147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1343" w:rsidRPr="003C1F5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A0271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 critical appraisal of</w:t>
      </w:r>
      <w:r w:rsidR="0008134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the increasing role of the OECD </w:t>
      </w:r>
      <w:r w:rsidR="0094205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4205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1343" w:rsidRPr="003C1F54">
        <w:rPr>
          <w:rFonts w:ascii="Times New Roman" w:hAnsi="Times New Roman" w:cs="Times New Roman"/>
          <w:sz w:val="24"/>
          <w:szCs w:val="24"/>
          <w:lang w:val="en-US"/>
        </w:rPr>
        <w:t>EU tax law</w:t>
      </w:r>
      <w:r w:rsidR="00BE31B9">
        <w:rPr>
          <w:rFonts w:ascii="Times New Roman" w:hAnsi="Times New Roman" w:cs="Times New Roman"/>
          <w:sz w:val="24"/>
          <w:szCs w:val="24"/>
          <w:lang w:val="en-US"/>
        </w:rPr>
        <w:t xml:space="preserve"> are interspersed throughout the entire book</w:t>
      </w:r>
      <w:r w:rsidR="0008134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; v) </w:t>
      </w:r>
      <w:r w:rsidR="00E0112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the many references to national tax systems </w:t>
      </w:r>
      <w:r w:rsidR="00B4510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and practices </w:t>
      </w:r>
      <w:r w:rsidR="00E01128" w:rsidRPr="003C1F54">
        <w:rPr>
          <w:rFonts w:ascii="Times New Roman" w:hAnsi="Times New Roman" w:cs="Times New Roman"/>
          <w:sz w:val="24"/>
          <w:szCs w:val="24"/>
          <w:lang w:val="en-US"/>
        </w:rPr>
        <w:t>(even of third states)</w:t>
      </w:r>
      <w:r w:rsidR="00B4510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9005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4510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bilateral/multilateral agreements</w:t>
      </w:r>
      <w:r w:rsidR="00E0112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2B41" w:rsidRPr="003C1F54">
        <w:rPr>
          <w:rFonts w:ascii="Times New Roman" w:hAnsi="Times New Roman" w:cs="Times New Roman"/>
          <w:sz w:val="24"/>
          <w:szCs w:val="24"/>
          <w:lang w:val="en-US"/>
        </w:rPr>
        <w:t>in an effort to highlight certain difficulties and ‘mismatches’ that may arise in the context of the application of EU tax law</w:t>
      </w:r>
      <w:r w:rsidR="00F611A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at domestic level(s)</w:t>
      </w:r>
      <w:r w:rsidR="00884941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9690D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84941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vi) the ample references across the book </w:t>
      </w:r>
      <w:r w:rsidR="00BE2EA9" w:rsidRPr="003C1F54">
        <w:rPr>
          <w:rFonts w:ascii="Times New Roman" w:hAnsi="Times New Roman" w:cs="Times New Roman"/>
          <w:sz w:val="24"/>
          <w:szCs w:val="24"/>
          <w:lang w:val="en-US"/>
        </w:rPr>
        <w:t>on how the ongoing digitalization of the economy</w:t>
      </w:r>
      <w:r w:rsidR="00F611A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challenges</w:t>
      </w:r>
      <w:r w:rsidR="00FA280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EU </w:t>
      </w:r>
      <w:r w:rsidR="00F611A5" w:rsidRPr="003C1F54">
        <w:rPr>
          <w:rFonts w:ascii="Times New Roman" w:hAnsi="Times New Roman" w:cs="Times New Roman"/>
          <w:sz w:val="24"/>
          <w:szCs w:val="24"/>
          <w:lang w:val="en-US"/>
        </w:rPr>
        <w:t>and tax</w:t>
      </w:r>
      <w:r w:rsidR="00FA280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law</w:t>
      </w:r>
      <w:r w:rsidR="00BE2EA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concepts</w:t>
      </w:r>
      <w:r w:rsidR="00942056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E2EA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principles and their understanding</w:t>
      </w:r>
      <w:r w:rsidR="00FA280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94205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A280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ourts and the legislature. </w:t>
      </w:r>
    </w:p>
    <w:p w14:paraId="3DE8E0DF" w14:textId="31B3ED4E" w:rsidR="00931268" w:rsidRPr="003C1F54" w:rsidRDefault="000E10AD" w:rsidP="003342F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4205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andbook is divided into </w:t>
      </w:r>
      <w:r w:rsidR="00046186" w:rsidRPr="003C1F54">
        <w:rPr>
          <w:rFonts w:ascii="Times New Roman" w:hAnsi="Times New Roman" w:cs="Times New Roman"/>
          <w:sz w:val="24"/>
          <w:szCs w:val="24"/>
          <w:lang w:val="en-US"/>
        </w:rPr>
        <w:t>4 parts</w:t>
      </w:r>
      <w:r w:rsidR="00942056">
        <w:rPr>
          <w:rFonts w:ascii="Times New Roman" w:hAnsi="Times New Roman" w:cs="Times New Roman"/>
          <w:sz w:val="24"/>
          <w:szCs w:val="24"/>
          <w:lang w:val="en-US"/>
        </w:rPr>
        <w:t xml:space="preserve"> that are</w:t>
      </w:r>
      <w:r w:rsidR="00BE31B9">
        <w:rPr>
          <w:rFonts w:ascii="Times New Roman" w:hAnsi="Times New Roman" w:cs="Times New Roman"/>
          <w:sz w:val="24"/>
          <w:szCs w:val="24"/>
          <w:lang w:val="en-US"/>
        </w:rPr>
        <w:t xml:space="preserve"> of different lengths</w:t>
      </w:r>
      <w:r w:rsidR="0004618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E0B8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The first part </w:t>
      </w:r>
      <w:r w:rsidR="006C4C66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FE0B8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titled ‘General Part’ </w:t>
      </w:r>
      <w:r w:rsidR="006C4C6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E0B82" w:rsidRPr="003C1F54">
        <w:rPr>
          <w:rFonts w:ascii="Times New Roman" w:hAnsi="Times New Roman" w:cs="Times New Roman"/>
          <w:sz w:val="24"/>
          <w:szCs w:val="24"/>
          <w:lang w:val="en-US"/>
        </w:rPr>
        <w:t>deals with t</w:t>
      </w:r>
      <w:r w:rsidR="00434D4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he general principles and sources of EU law applied in direct and indirect taxation. Unlike what might </w:t>
      </w:r>
      <w:r w:rsidR="0094205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4205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4D4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expected, Part I does not exhaust the theoretical background of </w:t>
      </w:r>
      <w:r w:rsidR="00434D42" w:rsidRPr="003C1F54">
        <w:rPr>
          <w:rFonts w:ascii="Times New Roman" w:hAnsi="Times New Roman" w:cs="Times New Roman"/>
          <w:sz w:val="24"/>
          <w:szCs w:val="24"/>
          <w:lang w:val="en-US"/>
        </w:rPr>
        <w:lastRenderedPageBreak/>
        <w:t>principles and sources of EU law</w:t>
      </w:r>
      <w:r w:rsidR="006C4C6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42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4C66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942056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434D4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an undertaking that would </w:t>
      </w:r>
      <w:r w:rsidR="0084451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possibly be a repetition of previous works, but it instead </w:t>
      </w:r>
      <w:r w:rsidR="00131F64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explains </w:t>
      </w:r>
      <w:r w:rsidR="00D93E91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9B4C40" w:rsidRPr="003C1F54">
        <w:rPr>
          <w:rFonts w:ascii="Times New Roman" w:hAnsi="Times New Roman" w:cs="Times New Roman"/>
          <w:sz w:val="24"/>
          <w:szCs w:val="24"/>
          <w:lang w:val="en-US"/>
        </w:rPr>
        <w:t>through blending different areas of tax l</w:t>
      </w:r>
      <w:r w:rsidR="00D93E91" w:rsidRPr="003C1F54">
        <w:rPr>
          <w:rFonts w:ascii="Times New Roman" w:hAnsi="Times New Roman" w:cs="Times New Roman"/>
          <w:sz w:val="24"/>
          <w:szCs w:val="24"/>
          <w:lang w:val="en-US"/>
        </w:rPr>
        <w:t>aw and the relevant case</w:t>
      </w:r>
      <w:r w:rsidR="00C07F1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law</w:t>
      </w:r>
      <w:r w:rsidR="00D93E91" w:rsidRPr="003C1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4C91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5B1C" w:rsidRPr="003C1F54">
        <w:rPr>
          <w:rFonts w:ascii="Times New Roman" w:hAnsi="Times New Roman" w:cs="Times New Roman"/>
          <w:sz w:val="24"/>
          <w:szCs w:val="24"/>
          <w:lang w:val="en-US"/>
        </w:rPr>
        <w:t>It is noteworthy that</w:t>
      </w:r>
      <w:r w:rsidR="0094205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45B1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throughout the book, the AG</w:t>
      </w:r>
      <w:r w:rsidR="00DA1634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5B1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does not </w:t>
      </w:r>
      <w:bookmarkStart w:id="0" w:name="_Hlk154655595"/>
      <w:r w:rsidR="00942056">
        <w:rPr>
          <w:rFonts w:ascii="Times New Roman" w:hAnsi="Times New Roman" w:cs="Times New Roman"/>
          <w:sz w:val="24"/>
          <w:szCs w:val="24"/>
          <w:lang w:val="en-US"/>
        </w:rPr>
        <w:t>avoid</w:t>
      </w:r>
      <w:r w:rsidR="00E45B1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  <w:r w:rsidR="00E45B1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discussing and </w:t>
      </w:r>
      <w:r w:rsidR="00942056">
        <w:rPr>
          <w:rFonts w:ascii="Times New Roman" w:hAnsi="Times New Roman" w:cs="Times New Roman"/>
          <w:sz w:val="24"/>
          <w:szCs w:val="24"/>
          <w:lang w:val="en-US"/>
        </w:rPr>
        <w:t>positing</w:t>
      </w:r>
      <w:r w:rsidR="00E45B1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on difficult questions. For instance</w:t>
      </w:r>
      <w:r w:rsidR="00586155" w:rsidRPr="003C1F5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704D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already in the first section of the book</w:t>
      </w:r>
      <w:r w:rsidR="004C729D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21F6" w:rsidRPr="003C1F54">
        <w:rPr>
          <w:rFonts w:ascii="Times New Roman" w:hAnsi="Times New Roman" w:cs="Times New Roman"/>
          <w:sz w:val="24"/>
          <w:szCs w:val="24"/>
          <w:lang w:val="en-US"/>
        </w:rPr>
        <w:t>(§1)</w:t>
      </w:r>
      <w:r w:rsidR="00E45B1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B14C91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6C4C66">
        <w:rPr>
          <w:rFonts w:ascii="Times New Roman" w:hAnsi="Times New Roman" w:cs="Times New Roman"/>
          <w:sz w:val="24"/>
          <w:szCs w:val="24"/>
          <w:lang w:val="en-US"/>
        </w:rPr>
        <w:t>exploring</w:t>
      </w:r>
      <w:r w:rsidR="006C4C6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6BDF" w:rsidRPr="003C1F54">
        <w:rPr>
          <w:rFonts w:ascii="Times New Roman" w:hAnsi="Times New Roman" w:cs="Times New Roman"/>
          <w:sz w:val="24"/>
          <w:szCs w:val="24"/>
          <w:lang w:val="en-US"/>
        </w:rPr>
        <w:t>the sources of EU tax law, AG Kokott</w:t>
      </w:r>
      <w:r w:rsidR="00E45B1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addresses the very topical question of the </w:t>
      </w:r>
      <w:r w:rsidR="00686D0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legitimacy of the use of soft law </w:t>
      </w:r>
      <w:r w:rsidR="00D626FF" w:rsidRPr="003C1F54">
        <w:rPr>
          <w:rFonts w:ascii="Times New Roman" w:hAnsi="Times New Roman" w:cs="Times New Roman"/>
          <w:sz w:val="24"/>
          <w:szCs w:val="24"/>
          <w:lang w:val="en-US"/>
        </w:rPr>
        <w:t>(including the OECD MC)</w:t>
      </w:r>
      <w:r w:rsidR="009021F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3126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the influence the OECD exercises </w:t>
      </w:r>
      <w:r w:rsidR="009021F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in courts </w:t>
      </w:r>
      <w:r w:rsidR="00931268" w:rsidRPr="003C1F54">
        <w:rPr>
          <w:rFonts w:ascii="Times New Roman" w:hAnsi="Times New Roman" w:cs="Times New Roman"/>
          <w:sz w:val="24"/>
          <w:szCs w:val="24"/>
          <w:lang w:val="en-US"/>
        </w:rPr>
        <w:t>worldwide</w:t>
      </w:r>
      <w:r w:rsidR="00C6138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3126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21F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and the challenges </w:t>
      </w:r>
      <w:r w:rsidR="00C61382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021F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this reliance may pose on the principle of democracy. </w:t>
      </w:r>
    </w:p>
    <w:p w14:paraId="732ECCB4" w14:textId="4D06C7A8" w:rsidR="00B73A54" w:rsidRPr="003C1F54" w:rsidRDefault="006F6F9C" w:rsidP="00B73A5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The second section (§2) of the book </w:t>
      </w:r>
      <w:r w:rsidR="00586155" w:rsidRPr="00BE31B9">
        <w:rPr>
          <w:rFonts w:ascii="Times New Roman" w:hAnsi="Times New Roman" w:cs="Times New Roman"/>
          <w:i/>
          <w:iCs/>
          <w:sz w:val="24"/>
          <w:szCs w:val="24"/>
          <w:lang w:val="en-US"/>
        </w:rPr>
        <w:t>exhaustively</w:t>
      </w:r>
      <w:r w:rsidR="0058615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1382" w:rsidRPr="00C61382">
        <w:rPr>
          <w:rFonts w:ascii="Times New Roman" w:hAnsi="Times New Roman" w:cs="Times New Roman"/>
          <w:sz w:val="24"/>
          <w:szCs w:val="24"/>
          <w:lang w:val="en-US"/>
        </w:rPr>
        <w:t xml:space="preserve">addresses </w:t>
      </w:r>
      <w:r w:rsidR="0058615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the general principles of EU </w:t>
      </w:r>
      <w:r w:rsidR="00C6138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8615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ax law. </w:t>
      </w:r>
      <w:r w:rsidR="00625DB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In this</w:t>
      </w:r>
      <w:r w:rsidR="00C67B41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voluminous part</w:t>
      </w:r>
      <w:r w:rsidR="00625DB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, AG Kokott </w:t>
      </w:r>
      <w:r w:rsidR="00C61382">
        <w:rPr>
          <w:rFonts w:ascii="Times New Roman" w:hAnsi="Times New Roman" w:cs="Times New Roman"/>
          <w:sz w:val="24"/>
          <w:szCs w:val="24"/>
          <w:lang w:val="en-US"/>
        </w:rPr>
        <w:t>examines</w:t>
      </w:r>
      <w:r w:rsidR="00625DB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the different ‘general principles’ of EU law through the </w:t>
      </w:r>
      <w:r w:rsidR="00C61382">
        <w:rPr>
          <w:rFonts w:ascii="Times New Roman" w:hAnsi="Times New Roman" w:cs="Times New Roman"/>
          <w:sz w:val="24"/>
          <w:szCs w:val="24"/>
          <w:lang w:val="en-US"/>
        </w:rPr>
        <w:t>perspective</w:t>
      </w:r>
      <w:r w:rsidR="00C6138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5DB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5270F" w:rsidRPr="003C1F54">
        <w:rPr>
          <w:rFonts w:ascii="Times New Roman" w:hAnsi="Times New Roman" w:cs="Times New Roman"/>
          <w:sz w:val="24"/>
          <w:szCs w:val="24"/>
          <w:lang w:val="en-US"/>
        </w:rPr>
        <w:t>VAT law (and case law)</w:t>
      </w:r>
      <w:r w:rsidR="00B4546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and direct tax-related case law </w:t>
      </w:r>
      <w:r w:rsidR="00F90B5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C6138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C6138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5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has been developed in relation </w:t>
      </w:r>
      <w:r w:rsidR="00B4546B" w:rsidRPr="003C1F5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5270F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4A31" w:rsidRPr="003C1F54">
        <w:rPr>
          <w:rFonts w:ascii="Times New Roman" w:hAnsi="Times New Roman" w:cs="Times New Roman"/>
          <w:sz w:val="24"/>
          <w:szCs w:val="24"/>
          <w:lang w:val="en-US"/>
        </w:rPr>
        <w:t>the Charter</w:t>
      </w:r>
      <w:r w:rsidR="00F144D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5270F" w:rsidRPr="003C1F54">
        <w:rPr>
          <w:rFonts w:ascii="Times New Roman" w:hAnsi="Times New Roman" w:cs="Times New Roman"/>
          <w:sz w:val="24"/>
          <w:szCs w:val="24"/>
          <w:lang w:val="en-US"/>
        </w:rPr>
        <w:t>fundamental freedoms</w:t>
      </w:r>
      <w:r w:rsidR="00C6138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5270F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and state aid</w:t>
      </w:r>
      <w:r w:rsidR="00AB22F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law</w:t>
      </w:r>
      <w:r w:rsidR="00603389" w:rsidRPr="003C1F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412C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31B9">
        <w:rPr>
          <w:rFonts w:ascii="Times New Roman" w:hAnsi="Times New Roman" w:cs="Times New Roman"/>
          <w:sz w:val="24"/>
          <w:szCs w:val="24"/>
          <w:lang w:val="en-US"/>
        </w:rPr>
        <w:t>To do so,</w:t>
      </w:r>
      <w:r w:rsidR="0012078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the author very carefully and appropriately</w:t>
      </w:r>
      <w:r w:rsidR="00FB5F29">
        <w:rPr>
          <w:rFonts w:ascii="Times New Roman" w:hAnsi="Times New Roman" w:cs="Times New Roman"/>
          <w:sz w:val="24"/>
          <w:szCs w:val="24"/>
          <w:lang w:val="en-US"/>
        </w:rPr>
        <w:t xml:space="preserve"> chooses</w:t>
      </w:r>
      <w:r w:rsidR="0012078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the most ‘representative’ cases to highlight the most contentious issues relating to each principle. For instance, when </w:t>
      </w:r>
      <w:r w:rsidR="00FB5F29">
        <w:rPr>
          <w:rFonts w:ascii="Times New Roman" w:hAnsi="Times New Roman" w:cs="Times New Roman"/>
          <w:sz w:val="24"/>
          <w:szCs w:val="24"/>
          <w:lang w:val="en-US"/>
        </w:rPr>
        <w:t>considering</w:t>
      </w:r>
      <w:r w:rsidR="0012078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the principles of legal certainty, the AG reference</w:t>
      </w:r>
      <w:r w:rsidR="00FB5F2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2078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the (at times inconsistent) VAT CJEU case law whereas </w:t>
      </w:r>
      <w:r w:rsidR="00D2793E" w:rsidRPr="00D2793E">
        <w:rPr>
          <w:rFonts w:ascii="Times New Roman" w:hAnsi="Times New Roman" w:cs="Times New Roman"/>
          <w:sz w:val="24"/>
          <w:szCs w:val="24"/>
          <w:lang w:val="en-US"/>
        </w:rPr>
        <w:t xml:space="preserve">she draws from the recent high profile state aid cases </w:t>
      </w:r>
      <w:r w:rsidR="0012078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when she discusses the principle of legitimate </w:t>
      </w:r>
      <w:r w:rsidR="001A3D54" w:rsidRPr="003C1F54">
        <w:rPr>
          <w:rFonts w:ascii="Times New Roman" w:hAnsi="Times New Roman" w:cs="Times New Roman"/>
          <w:sz w:val="24"/>
          <w:szCs w:val="24"/>
          <w:lang w:val="en-US"/>
        </w:rPr>
        <w:t>expectations</w:t>
      </w:r>
      <w:r w:rsidR="0012078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. At the same time, </w:t>
      </w:r>
      <w:r w:rsidR="00FB5F29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12078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in this part, the AG gives the </w:t>
      </w:r>
      <w:proofErr w:type="gramStart"/>
      <w:r w:rsidR="00FB5F2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20789" w:rsidRPr="003C1F54">
        <w:rPr>
          <w:rFonts w:ascii="Times New Roman" w:hAnsi="Times New Roman" w:cs="Times New Roman"/>
          <w:sz w:val="24"/>
          <w:szCs w:val="24"/>
          <w:lang w:val="en-US"/>
        </w:rPr>
        <w:t>ourt’s</w:t>
      </w:r>
      <w:proofErr w:type="gramEnd"/>
      <w:r w:rsidR="0012078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and her </w:t>
      </w:r>
      <w:r w:rsidR="00FB5F29">
        <w:rPr>
          <w:rFonts w:ascii="Times New Roman" w:hAnsi="Times New Roman" w:cs="Times New Roman"/>
          <w:sz w:val="24"/>
          <w:szCs w:val="24"/>
          <w:lang w:val="en-US"/>
        </w:rPr>
        <w:t xml:space="preserve">own </w:t>
      </w:r>
      <w:r w:rsidR="00120789" w:rsidRPr="003C1F54">
        <w:rPr>
          <w:rFonts w:ascii="Times New Roman" w:hAnsi="Times New Roman" w:cs="Times New Roman"/>
          <w:sz w:val="24"/>
          <w:szCs w:val="24"/>
          <w:lang w:val="en-US"/>
        </w:rPr>
        <w:t>perspective on complicated questions including the delimitation between the concepts of abuse, evasion, avoidance, fraud, and aggressive and legitimate tax planning</w:t>
      </w:r>
      <w:r w:rsidR="00FB5F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2078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5F29">
        <w:rPr>
          <w:rFonts w:ascii="Times New Roman" w:hAnsi="Times New Roman" w:cs="Times New Roman"/>
          <w:sz w:val="24"/>
          <w:szCs w:val="24"/>
          <w:lang w:val="en-US"/>
        </w:rPr>
        <w:t xml:space="preserve">She also </w:t>
      </w:r>
      <w:r w:rsidR="00D2793E">
        <w:rPr>
          <w:rFonts w:ascii="Times New Roman" w:hAnsi="Times New Roman" w:cs="Times New Roman"/>
          <w:sz w:val="24"/>
          <w:szCs w:val="24"/>
          <w:lang w:val="en-US"/>
        </w:rPr>
        <w:t>opines</w:t>
      </w:r>
      <w:r w:rsidR="00FB5F29">
        <w:rPr>
          <w:rFonts w:ascii="Times New Roman" w:hAnsi="Times New Roman" w:cs="Times New Roman"/>
          <w:sz w:val="24"/>
          <w:szCs w:val="24"/>
          <w:lang w:val="en-US"/>
        </w:rPr>
        <w:t xml:space="preserve"> regarding</w:t>
      </w:r>
      <w:r w:rsidR="0012078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the ensuing questions of how much substance is </w:t>
      </w:r>
      <w:r w:rsidR="00FB5F29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FB5F2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078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to exclude artificiality and the finding of a </w:t>
      </w:r>
      <w:r w:rsidR="00FB5F29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120789" w:rsidRPr="003C1F54">
        <w:rPr>
          <w:rFonts w:ascii="Times New Roman" w:hAnsi="Times New Roman" w:cs="Times New Roman"/>
          <w:sz w:val="24"/>
          <w:szCs w:val="24"/>
          <w:lang w:val="en-US"/>
        </w:rPr>
        <w:t>wholly artificial arrangement’.</w:t>
      </w:r>
      <w:r w:rsidR="001A3D54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2CC" w:rsidRPr="003C1F54">
        <w:rPr>
          <w:rFonts w:ascii="Times New Roman" w:hAnsi="Times New Roman" w:cs="Times New Roman"/>
          <w:sz w:val="24"/>
          <w:szCs w:val="24"/>
          <w:lang w:val="en-US"/>
        </w:rPr>
        <w:t>Interestingly</w:t>
      </w:r>
      <w:r w:rsidR="00EF0DB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and innovatively</w:t>
      </w:r>
      <w:r w:rsidR="006412C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A3D54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this section </w:t>
      </w:r>
      <w:r w:rsidR="00D7640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does not confine itself to primary EU law, but the author </w:t>
      </w:r>
      <w:r w:rsidR="006412CC" w:rsidRPr="003C1F54">
        <w:rPr>
          <w:rFonts w:ascii="Times New Roman" w:hAnsi="Times New Roman" w:cs="Times New Roman"/>
          <w:sz w:val="24"/>
          <w:szCs w:val="24"/>
          <w:lang w:val="en-US"/>
        </w:rPr>
        <w:t>explores th</w:t>
      </w:r>
      <w:r w:rsidR="00D7640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e expressions of those principles also in </w:t>
      </w:r>
      <w:r w:rsidR="006412C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secondary EU </w:t>
      </w:r>
      <w:r w:rsidR="00FB528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tax </w:t>
      </w:r>
      <w:r w:rsidR="006412CC" w:rsidRPr="003C1F54">
        <w:rPr>
          <w:rFonts w:ascii="Times New Roman" w:hAnsi="Times New Roman" w:cs="Times New Roman"/>
          <w:sz w:val="24"/>
          <w:szCs w:val="24"/>
          <w:lang w:val="en-US"/>
        </w:rPr>
        <w:t>law</w:t>
      </w:r>
      <w:r w:rsidR="00D7640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. One such example is </w:t>
      </w:r>
      <w:r w:rsidR="0002265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2C38E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the principle of mutual recognition materializes through </w:t>
      </w:r>
      <w:r w:rsidR="00CA2E4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the DAC and </w:t>
      </w:r>
      <w:r w:rsidR="00FF4FD2" w:rsidRPr="003C1F5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75EE1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requirement </w:t>
      </w:r>
      <w:r w:rsidR="00EF0DB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for the provision of </w:t>
      </w:r>
      <w:r w:rsidR="00CA2E4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EF0DB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by the requested state </w:t>
      </w:r>
      <w:proofErr w:type="gramStart"/>
      <w:r w:rsidR="00EF0DB0" w:rsidRPr="003C1F54">
        <w:rPr>
          <w:rFonts w:ascii="Times New Roman" w:hAnsi="Times New Roman" w:cs="Times New Roman"/>
          <w:sz w:val="24"/>
          <w:szCs w:val="24"/>
          <w:lang w:val="en-US"/>
        </w:rPr>
        <w:t>as long as</w:t>
      </w:r>
      <w:proofErr w:type="gramEnd"/>
      <w:r w:rsidR="00EF0DB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the information </w:t>
      </w:r>
      <w:r w:rsidR="00CA2E4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sought is not devoid of any foreseeable relevance. </w:t>
      </w:r>
      <w:r w:rsidR="00C93061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In addition, the </w:t>
      </w:r>
      <w:r w:rsidR="00AA2D3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93061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andbook goes beyond the </w:t>
      </w:r>
      <w:r w:rsidR="001E58ED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‘traditional’ EU </w:t>
      </w:r>
      <w:r w:rsidR="00D2793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E58ED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ax law principles </w:t>
      </w:r>
      <w:r w:rsidR="00CD453F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to consider </w:t>
      </w:r>
      <w:r w:rsidR="00AA2D30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="00AA2D3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453F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that derive from </w:t>
      </w:r>
      <w:r w:rsidR="00AD16AA" w:rsidRPr="003C1F54">
        <w:rPr>
          <w:rFonts w:ascii="Times New Roman" w:hAnsi="Times New Roman" w:cs="Times New Roman"/>
          <w:sz w:val="24"/>
          <w:szCs w:val="24"/>
          <w:lang w:val="en-US"/>
        </w:rPr>
        <w:t>international law like the territoriality principle</w:t>
      </w:r>
      <w:r w:rsidR="00AA2D30">
        <w:rPr>
          <w:rFonts w:ascii="Times New Roman" w:hAnsi="Times New Roman" w:cs="Times New Roman"/>
          <w:sz w:val="24"/>
          <w:szCs w:val="24"/>
          <w:lang w:val="en-US"/>
        </w:rPr>
        <w:t>. This is</w:t>
      </w:r>
      <w:r w:rsidR="00AD16A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3F3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 principle that has </w:t>
      </w:r>
      <w:r w:rsidR="00A76AD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also been recognized and integrated into EU </w:t>
      </w:r>
      <w:r w:rsidR="000451CE" w:rsidRPr="003C1F54">
        <w:rPr>
          <w:rFonts w:ascii="Times New Roman" w:hAnsi="Times New Roman" w:cs="Times New Roman"/>
          <w:sz w:val="24"/>
          <w:szCs w:val="24"/>
          <w:lang w:val="en-US"/>
        </w:rPr>
        <w:t>tax law</w:t>
      </w:r>
      <w:r w:rsidR="009C3F3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and has been repeatedly used to (subtly)</w:t>
      </w:r>
      <w:r w:rsidR="000451C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delimit the taxing powers of competing Member States</w:t>
      </w:r>
      <w:r w:rsidR="00A4278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. It also investigates whether EU law can guarantee a principle of no double </w:t>
      </w:r>
      <w:r w:rsidR="008048FC" w:rsidRPr="003C1F54">
        <w:rPr>
          <w:rFonts w:ascii="Times New Roman" w:hAnsi="Times New Roman" w:cs="Times New Roman"/>
          <w:sz w:val="24"/>
          <w:szCs w:val="24"/>
          <w:lang w:val="en-US"/>
        </w:rPr>
        <w:t>taxation</w:t>
      </w:r>
      <w:r w:rsidR="0015576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(economic and/or juridical) or even a principle of single taxation. </w:t>
      </w:r>
    </w:p>
    <w:p w14:paraId="05854B20" w14:textId="1C46808D" w:rsidR="00BD4DCB" w:rsidRPr="003C1F54" w:rsidRDefault="00BD13EA" w:rsidP="003342F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1F54">
        <w:rPr>
          <w:rFonts w:ascii="Times New Roman" w:hAnsi="Times New Roman" w:cs="Times New Roman"/>
          <w:sz w:val="24"/>
          <w:szCs w:val="24"/>
        </w:rPr>
        <w:t xml:space="preserve">The principle of equality as </w:t>
      </w:r>
      <w:r w:rsidR="00DE243C" w:rsidRPr="003C1F54">
        <w:rPr>
          <w:rFonts w:ascii="Times New Roman" w:hAnsi="Times New Roman" w:cs="Times New Roman"/>
          <w:sz w:val="24"/>
          <w:szCs w:val="24"/>
        </w:rPr>
        <w:t xml:space="preserve">a foundation of tax law has a special place in AG </w:t>
      </w:r>
      <w:proofErr w:type="spellStart"/>
      <w:r w:rsidR="00DE243C" w:rsidRPr="003C1F54">
        <w:rPr>
          <w:rFonts w:ascii="Times New Roman" w:hAnsi="Times New Roman" w:cs="Times New Roman"/>
          <w:sz w:val="24"/>
          <w:szCs w:val="24"/>
        </w:rPr>
        <w:t>Kokott’s</w:t>
      </w:r>
      <w:proofErr w:type="spellEnd"/>
      <w:r w:rsidR="00DE243C" w:rsidRPr="003C1F54">
        <w:rPr>
          <w:rFonts w:ascii="Times New Roman" w:hAnsi="Times New Roman" w:cs="Times New Roman"/>
          <w:sz w:val="24"/>
          <w:szCs w:val="24"/>
        </w:rPr>
        <w:t xml:space="preserve"> </w:t>
      </w:r>
      <w:r w:rsidR="00AA2D30">
        <w:rPr>
          <w:rFonts w:ascii="Times New Roman" w:hAnsi="Times New Roman" w:cs="Times New Roman"/>
          <w:sz w:val="24"/>
          <w:szCs w:val="24"/>
        </w:rPr>
        <w:t>h</w:t>
      </w:r>
      <w:r w:rsidR="00DE243C" w:rsidRPr="003C1F54">
        <w:rPr>
          <w:rFonts w:ascii="Times New Roman" w:hAnsi="Times New Roman" w:cs="Times New Roman"/>
          <w:sz w:val="24"/>
          <w:szCs w:val="24"/>
        </w:rPr>
        <w:t>andbook (</w:t>
      </w:r>
      <w:r w:rsidR="00DE243C" w:rsidRPr="003C1F54">
        <w:rPr>
          <w:rFonts w:ascii="Times New Roman" w:hAnsi="Times New Roman" w:cs="Times New Roman"/>
          <w:sz w:val="24"/>
          <w:szCs w:val="24"/>
          <w:lang w:val="en-US"/>
        </w:rPr>
        <w:t>§3)</w:t>
      </w:r>
      <w:r w:rsidR="006E059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. The author examines the principle of equality both in </w:t>
      </w:r>
      <w:r w:rsidR="00AA2D30">
        <w:rPr>
          <w:rFonts w:ascii="Times New Roman" w:hAnsi="Times New Roman" w:cs="Times New Roman"/>
          <w:sz w:val="24"/>
          <w:szCs w:val="24"/>
          <w:lang w:val="en-US"/>
        </w:rPr>
        <w:t>the context</w:t>
      </w:r>
      <w:r w:rsidR="00AA2D3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059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of direct and indirect </w:t>
      </w:r>
      <w:r w:rsidR="00685FFC" w:rsidRPr="003C1F54">
        <w:rPr>
          <w:rFonts w:ascii="Times New Roman" w:hAnsi="Times New Roman" w:cs="Times New Roman"/>
          <w:sz w:val="24"/>
          <w:szCs w:val="24"/>
          <w:lang w:val="en-US"/>
        </w:rPr>
        <w:t>taxes</w:t>
      </w:r>
      <w:r w:rsidR="00AA2D3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F705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3D6EB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she divides the principles across </w:t>
      </w:r>
      <w:r w:rsidR="00C1413F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several </w:t>
      </w:r>
      <w:r w:rsidR="003D6EB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 w:rsidR="00077E31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‘expressions’ (or </w:t>
      </w:r>
      <w:r w:rsidR="003D6EBE" w:rsidRPr="003C1F54">
        <w:rPr>
          <w:rFonts w:ascii="Times New Roman" w:hAnsi="Times New Roman" w:cs="Times New Roman"/>
          <w:sz w:val="24"/>
          <w:szCs w:val="24"/>
          <w:lang w:val="en-US"/>
        </w:rPr>
        <w:t>understandings</w:t>
      </w:r>
      <w:r w:rsidR="00077E31" w:rsidRPr="003C1F5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D6EB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in primary EU law; Article 20 of the Charter </w:t>
      </w:r>
      <w:r w:rsidR="0057439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is, according to the AG, the </w:t>
      </w:r>
      <w:r w:rsidR="00095EB5" w:rsidRPr="003C1F54">
        <w:rPr>
          <w:rFonts w:ascii="Times New Roman" w:hAnsi="Times New Roman" w:cs="Times New Roman"/>
          <w:sz w:val="24"/>
          <w:szCs w:val="24"/>
          <w:lang w:val="en-US"/>
        </w:rPr>
        <w:t>foundation of the equality principl</w:t>
      </w:r>
      <w:r w:rsidR="00DC194D" w:rsidRPr="003C1F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D056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AA2D30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CD0566" w:rsidRPr="003C1F54">
        <w:rPr>
          <w:rFonts w:ascii="Times New Roman" w:hAnsi="Times New Roman" w:cs="Times New Roman"/>
          <w:sz w:val="24"/>
          <w:szCs w:val="24"/>
          <w:lang w:val="en-US"/>
        </w:rPr>
        <w:t>could have further reaching implications for taxation</w:t>
      </w:r>
      <w:r w:rsidR="00AA2D30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CD056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(p. 118)</w:t>
      </w:r>
      <w:r w:rsidR="00707EC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. It is the </w:t>
      </w:r>
      <w:r w:rsidR="005B738C">
        <w:rPr>
          <w:rFonts w:ascii="Times New Roman" w:hAnsi="Times New Roman" w:cs="Times New Roman"/>
          <w:sz w:val="24"/>
          <w:szCs w:val="24"/>
          <w:lang w:val="en-US"/>
        </w:rPr>
        <w:t>basis o</w:t>
      </w:r>
      <w:r w:rsidR="000A2FE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r w:rsidR="00AA2D30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AA2D3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2FE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different manifestations such as </w:t>
      </w:r>
      <w:r w:rsidR="00AE64C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the principles of </w:t>
      </w:r>
      <w:r w:rsidR="000A2FEC" w:rsidRPr="003C1F54">
        <w:rPr>
          <w:rFonts w:ascii="Times New Roman" w:hAnsi="Times New Roman" w:cs="Times New Roman"/>
          <w:sz w:val="24"/>
          <w:szCs w:val="24"/>
          <w:lang w:val="en-US"/>
        </w:rPr>
        <w:t>competition neutrality (as enshrined in the VAT Directive), consistency</w:t>
      </w:r>
      <w:r w:rsidR="00AA2D3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A2FE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and the ability to pay in both direct and indirect taxation.</w:t>
      </w:r>
      <w:r w:rsidR="0015261D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04E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Being so fundamental, the author inevitably </w:t>
      </w:r>
      <w:r w:rsidR="00AA2D30">
        <w:rPr>
          <w:rFonts w:ascii="Times New Roman" w:hAnsi="Times New Roman" w:cs="Times New Roman"/>
          <w:sz w:val="24"/>
          <w:szCs w:val="24"/>
          <w:lang w:val="en-US"/>
        </w:rPr>
        <w:t>begins</w:t>
      </w:r>
      <w:r w:rsidR="00AA2D3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04E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her analysis by </w:t>
      </w:r>
      <w:r w:rsidR="006578AC" w:rsidRPr="003C1F54">
        <w:rPr>
          <w:rFonts w:ascii="Times New Roman" w:hAnsi="Times New Roman" w:cs="Times New Roman"/>
          <w:sz w:val="24"/>
          <w:szCs w:val="24"/>
          <w:lang w:val="en-US"/>
        </w:rPr>
        <w:t>delv</w:t>
      </w:r>
      <w:r w:rsidR="001F04E7" w:rsidRPr="003C1F54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6578A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into the ‘implementation of EU law’ requirement for the applicability of the </w:t>
      </w:r>
      <w:r w:rsidR="00AA2D3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578A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harter and the possibilities of this </w:t>
      </w:r>
      <w:r w:rsidR="00AA2D30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6578AC" w:rsidRPr="003C1F54">
        <w:rPr>
          <w:rFonts w:ascii="Times New Roman" w:hAnsi="Times New Roman" w:cs="Times New Roman"/>
          <w:sz w:val="24"/>
          <w:szCs w:val="24"/>
          <w:lang w:val="en-US"/>
        </w:rPr>
        <w:t>qualification</w:t>
      </w:r>
      <w:r w:rsidR="00AA2D30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6578A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in direct and indirect tax law.</w:t>
      </w:r>
      <w:r w:rsidR="001F04E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261D" w:rsidRPr="003C1F54">
        <w:rPr>
          <w:rFonts w:ascii="Times New Roman" w:hAnsi="Times New Roman" w:cs="Times New Roman"/>
          <w:sz w:val="24"/>
          <w:szCs w:val="24"/>
          <w:lang w:val="en-US"/>
        </w:rPr>
        <w:t>AG Kokott</w:t>
      </w:r>
      <w:r w:rsidR="00121D6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then </w:t>
      </w:r>
      <w:r w:rsidR="00AA2D30">
        <w:rPr>
          <w:rFonts w:ascii="Times New Roman" w:hAnsi="Times New Roman" w:cs="Times New Roman"/>
          <w:sz w:val="24"/>
          <w:szCs w:val="24"/>
          <w:lang w:val="en-US"/>
        </w:rPr>
        <w:t>proceeds further</w:t>
      </w:r>
      <w:r w:rsidR="00121D6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to review ‘equality’ as non-discrimination in the context of the fundamental freedoms </w:t>
      </w:r>
      <w:r w:rsidR="00AA2D3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53DF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equality expressed as </w:t>
      </w:r>
      <w:r w:rsidR="00095EB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fair competition </w:t>
      </w:r>
      <w:r w:rsidR="0015152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through the prohibition of state aid. </w:t>
      </w:r>
      <w:r w:rsidR="00DA507B" w:rsidRPr="003C1F54">
        <w:rPr>
          <w:rFonts w:ascii="Times New Roman" w:hAnsi="Times New Roman" w:cs="Times New Roman"/>
          <w:sz w:val="24"/>
          <w:szCs w:val="24"/>
          <w:lang w:val="en-US"/>
        </w:rPr>
        <w:t>In this undertaking</w:t>
      </w:r>
      <w:r w:rsidR="00AA2D3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A507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the AG </w:t>
      </w:r>
      <w:r w:rsidR="005D507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follows </w:t>
      </w:r>
      <w:r w:rsidR="00EE2E1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 well-structured contextual analysis of </w:t>
      </w:r>
      <w:proofErr w:type="gramStart"/>
      <w:r w:rsidR="00EE2E18" w:rsidRPr="003C1F5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AA2D3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proofErr w:type="gramEnd"/>
      <w:r w:rsidR="00EE2E1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the possibilities </w:t>
      </w:r>
      <w:r w:rsidR="00775F8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for discrimination and restrictions vis-à-vis non-resident taxpayers. She also </w:t>
      </w:r>
      <w:r w:rsidR="006128F9" w:rsidRPr="003C1F5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thoroughly analyses each of the elements of Article 107 TFEU </w:t>
      </w:r>
      <w:proofErr w:type="gramStart"/>
      <w:r w:rsidR="006128F9" w:rsidRPr="003C1F54">
        <w:rPr>
          <w:rFonts w:ascii="Times New Roman" w:hAnsi="Times New Roman" w:cs="Times New Roman"/>
          <w:sz w:val="24"/>
          <w:szCs w:val="24"/>
          <w:lang w:val="en-US"/>
        </w:rPr>
        <w:t>in light of</w:t>
      </w:r>
      <w:proofErr w:type="gramEnd"/>
      <w:r w:rsidR="006128F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1412D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case law of the EU 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1412D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ourts and </w:t>
      </w:r>
      <w:r w:rsidR="00E5630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secondary EU law. The </w:t>
      </w:r>
      <w:r w:rsidR="00A62843" w:rsidRPr="003C1F54">
        <w:rPr>
          <w:rFonts w:ascii="Times New Roman" w:hAnsi="Times New Roman" w:cs="Times New Roman"/>
          <w:sz w:val="24"/>
          <w:szCs w:val="24"/>
          <w:lang w:val="en-US"/>
        </w:rPr>
        <w:t>section con</w:t>
      </w:r>
      <w:r w:rsidR="00056967" w:rsidRPr="003C1F54">
        <w:rPr>
          <w:rFonts w:ascii="Times New Roman" w:hAnsi="Times New Roman" w:cs="Times New Roman"/>
          <w:sz w:val="24"/>
          <w:szCs w:val="24"/>
          <w:lang w:val="en-US"/>
        </w:rPr>
        <w:t>tinues</w:t>
      </w:r>
      <w:r w:rsidR="00A6284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with an </w:t>
      </w:r>
      <w:proofErr w:type="gramStart"/>
      <w:r w:rsidR="00A62843" w:rsidRPr="003C1F54">
        <w:rPr>
          <w:rFonts w:ascii="Times New Roman" w:hAnsi="Times New Roman" w:cs="Times New Roman"/>
          <w:sz w:val="24"/>
          <w:szCs w:val="24"/>
          <w:lang w:val="en-US"/>
        </w:rPr>
        <w:t>often overlooked</w:t>
      </w:r>
      <w:proofErr w:type="gramEnd"/>
      <w:r w:rsidR="00A6284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96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provision in the context of </w:t>
      </w:r>
      <w:r w:rsidR="002D61C7" w:rsidRPr="003C1F54">
        <w:rPr>
          <w:rFonts w:ascii="Times New Roman" w:hAnsi="Times New Roman" w:cs="Times New Roman"/>
          <w:sz w:val="24"/>
          <w:szCs w:val="24"/>
          <w:lang w:val="en-US"/>
        </w:rPr>
        <w:t>non-discrimination in ta</w:t>
      </w:r>
      <w:r w:rsidR="00C76D80" w:rsidRPr="003C1F54">
        <w:rPr>
          <w:rFonts w:ascii="Times New Roman" w:hAnsi="Times New Roman" w:cs="Times New Roman"/>
          <w:sz w:val="24"/>
          <w:szCs w:val="24"/>
          <w:lang w:val="en-US"/>
        </w:rPr>
        <w:t>xation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C76D8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Article 110 TFEU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76D8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76D8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="00C76D8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concludes </w:t>
      </w:r>
      <w:r w:rsidR="002D61C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proofErr w:type="gramStart"/>
      <w:r w:rsidR="00A613FC">
        <w:rPr>
          <w:rFonts w:ascii="Times New Roman" w:hAnsi="Times New Roman" w:cs="Times New Roman"/>
          <w:sz w:val="24"/>
          <w:szCs w:val="24"/>
          <w:lang w:val="en-US"/>
        </w:rPr>
        <w:t>a number of</w:t>
      </w:r>
      <w:proofErr w:type="gramEnd"/>
      <w:r w:rsidR="00A613F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61C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6144B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tax-relevant </w:t>
      </w:r>
      <w:r w:rsidR="002D61C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examples of </w:t>
      </w:r>
      <w:r w:rsidR="001C70D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prohibition of discrimination </w:t>
      </w:r>
      <w:r w:rsidR="00ED164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on grounds of property and age (Article 21 of the 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D164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harter) and in the context of the Equal Treatment Framework Directive. </w:t>
      </w:r>
    </w:p>
    <w:p w14:paraId="3A025780" w14:textId="15B84BE0" w:rsidR="00BD4DCB" w:rsidRPr="003C1F54" w:rsidRDefault="004C7274" w:rsidP="003342F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The next section (§4) is devoted to the </w:t>
      </w:r>
      <w:r w:rsidR="00197A8D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protection of taxpayers’ fundamental rights. By </w:t>
      </w:r>
      <w:r w:rsidR="00A613FC" w:rsidRPr="00A613FC">
        <w:rPr>
          <w:rFonts w:ascii="Times New Roman" w:hAnsi="Times New Roman" w:cs="Times New Roman"/>
          <w:sz w:val="24"/>
          <w:szCs w:val="24"/>
          <w:lang w:val="en-US"/>
        </w:rPr>
        <w:t xml:space="preserve">already </w:t>
      </w:r>
      <w:r w:rsidR="00197A8D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explaining in the previous section how the 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97A8D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harter 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A613F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become a factor</w:t>
      </w:r>
      <w:r w:rsidR="00CB3B9F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in direct and indirect taxation, </w:t>
      </w:r>
      <w:r w:rsidR="00422C3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the author engages in </w:t>
      </w:r>
      <w:r w:rsidR="00E64E8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this part with many topical and upcoming questions </w:t>
      </w:r>
      <w:proofErr w:type="gramStart"/>
      <w:r w:rsidR="00E64E85" w:rsidRPr="003C1F54">
        <w:rPr>
          <w:rFonts w:ascii="Times New Roman" w:hAnsi="Times New Roman" w:cs="Times New Roman"/>
          <w:sz w:val="24"/>
          <w:szCs w:val="24"/>
          <w:lang w:val="en-US"/>
        </w:rPr>
        <w:t>in light of</w:t>
      </w:r>
      <w:proofErr w:type="gramEnd"/>
      <w:r w:rsidR="00E64E8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increasing number of</w:t>
      </w:r>
      <w:r w:rsidR="00A613F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82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taxpayers’ data exchanges among states. </w:t>
      </w:r>
      <w:r w:rsidR="009C4E0B" w:rsidRPr="003C1F54">
        <w:rPr>
          <w:rFonts w:ascii="Times New Roman" w:hAnsi="Times New Roman" w:cs="Times New Roman"/>
          <w:sz w:val="24"/>
          <w:szCs w:val="24"/>
          <w:lang w:val="en-US"/>
        </w:rPr>
        <w:t>The section inevitably</w:t>
      </w:r>
      <w:r w:rsidR="000B064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includes </w:t>
      </w:r>
      <w:r w:rsidR="005268F5" w:rsidRPr="003C1F54">
        <w:rPr>
          <w:rFonts w:ascii="Times New Roman" w:hAnsi="Times New Roman" w:cs="Times New Roman"/>
          <w:sz w:val="24"/>
          <w:szCs w:val="24"/>
          <w:lang w:val="en-US"/>
        </w:rPr>
        <w:t>many references to the</w:t>
      </w:r>
      <w:r w:rsidR="00F5358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European Convention on Human Rights (ECHR)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5358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68F5" w:rsidRPr="003C1F54">
        <w:rPr>
          <w:rFonts w:ascii="Times New Roman" w:hAnsi="Times New Roman" w:cs="Times New Roman"/>
          <w:sz w:val="24"/>
          <w:szCs w:val="24"/>
          <w:lang w:val="en-US"/>
        </w:rPr>
        <w:t>case law from the European Court of Human Rights (ECtHR)</w:t>
      </w:r>
      <w:r w:rsidR="00E12C1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12C1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as a ‘relatively’ new topic before the CJEU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12C1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66E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many references to recent </w:t>
      </w:r>
      <w:r w:rsidR="00E50DC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high profile CJEU cases. </w:t>
      </w:r>
      <w:r w:rsidR="00873384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In this context, AG Kokott </w:t>
      </w:r>
      <w:r w:rsidR="000D14B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does not confine her analysis 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D14B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taxpayers’ data protection but examines other </w:t>
      </w:r>
      <w:r w:rsidR="003570F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(taxpayers’) </w:t>
      </w:r>
      <w:r w:rsidR="000D14B6" w:rsidRPr="003C1F54">
        <w:rPr>
          <w:rFonts w:ascii="Times New Roman" w:hAnsi="Times New Roman" w:cs="Times New Roman"/>
          <w:sz w:val="24"/>
          <w:szCs w:val="24"/>
          <w:lang w:val="en-US"/>
        </w:rPr>
        <w:t>fundamental rights</w:t>
      </w:r>
      <w:r w:rsidR="008140D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, including the right to property, good administration, </w:t>
      </w:r>
      <w:r w:rsidR="003570FE" w:rsidRPr="003C1F54">
        <w:rPr>
          <w:rFonts w:ascii="Times New Roman" w:hAnsi="Times New Roman" w:cs="Times New Roman"/>
          <w:sz w:val="24"/>
          <w:szCs w:val="24"/>
          <w:lang w:val="en-US"/>
        </w:rPr>
        <w:t>effective remedy and a fair trial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B18E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and the principles of legality and proportionality </w:t>
      </w:r>
      <w:r w:rsidR="00957AC4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in criminal offences. </w:t>
      </w:r>
    </w:p>
    <w:p w14:paraId="477627FA" w14:textId="2ED57F4A" w:rsidR="001B5948" w:rsidRPr="003C1F54" w:rsidRDefault="001B5948" w:rsidP="003342F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The last section of the ‘General Part’ </w:t>
      </w:r>
      <w:r w:rsidRPr="003C1F54">
        <w:rPr>
          <w:rFonts w:ascii="Times New Roman" w:hAnsi="Times New Roman" w:cs="Times New Roman"/>
          <w:sz w:val="24"/>
          <w:szCs w:val="24"/>
        </w:rPr>
        <w:t>(</w:t>
      </w: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§5) addresses a rather complex </w:t>
      </w:r>
      <w:r w:rsidR="0095127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and contentious topic; under what circumstances </w:t>
      </w:r>
      <w:r w:rsidR="00774F4D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Member States’ fiscal sovereignty </w:t>
      </w:r>
      <w:r w:rsidR="00D2793E" w:rsidRPr="00D2793E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774F4D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be protected </w:t>
      </w:r>
      <w:proofErr w:type="gramStart"/>
      <w:r w:rsidR="00774F4D" w:rsidRPr="003C1F54">
        <w:rPr>
          <w:rFonts w:ascii="Times New Roman" w:hAnsi="Times New Roman" w:cs="Times New Roman"/>
          <w:sz w:val="24"/>
          <w:szCs w:val="24"/>
          <w:lang w:val="en-US"/>
        </w:rPr>
        <w:t>through the use of</w:t>
      </w:r>
      <w:proofErr w:type="gramEnd"/>
      <w:r w:rsidR="00774F4D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justifications in cases of infringements of taxpayers’ fundamental freedoms. </w:t>
      </w:r>
      <w:r w:rsidR="002E728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In this context, </w:t>
      </w:r>
      <w:r w:rsidR="00DF17E3" w:rsidRPr="003C1F54">
        <w:rPr>
          <w:rFonts w:ascii="Times New Roman" w:hAnsi="Times New Roman" w:cs="Times New Roman"/>
          <w:sz w:val="24"/>
          <w:szCs w:val="24"/>
          <w:lang w:val="en-US"/>
        </w:rPr>
        <w:t>the AG</w:t>
      </w:r>
      <w:r w:rsidR="0049598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not only examines all </w:t>
      </w:r>
      <w:r w:rsidR="00F34249" w:rsidRPr="003C1F54">
        <w:rPr>
          <w:rFonts w:ascii="Times New Roman" w:hAnsi="Times New Roman" w:cs="Times New Roman"/>
          <w:sz w:val="24"/>
          <w:szCs w:val="24"/>
          <w:lang w:val="en-US"/>
        </w:rPr>
        <w:t>frequently invoked justifications in the field of taxation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3424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but she also considers </w:t>
      </w:r>
      <w:r w:rsidR="00FE0C1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the revenue/budgetary side of the Union and the Member States </w:t>
      </w:r>
      <w:r w:rsidR="002A3410" w:rsidRPr="003C1F54">
        <w:rPr>
          <w:rFonts w:ascii="Times New Roman" w:hAnsi="Times New Roman" w:cs="Times New Roman"/>
          <w:sz w:val="24"/>
          <w:szCs w:val="24"/>
          <w:lang w:val="en-US"/>
        </w:rPr>
        <w:t>in what affects the</w:t>
      </w:r>
      <w:r w:rsidR="0005294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vertical and horizontal</w:t>
      </w:r>
      <w:r w:rsidR="002A341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allocation of taxing rights. </w:t>
      </w:r>
      <w:r w:rsidR="00FC323B" w:rsidRPr="003C1F5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A4FA3" w:rsidRPr="003C1F54">
        <w:rPr>
          <w:rFonts w:ascii="Times New Roman" w:hAnsi="Times New Roman" w:cs="Times New Roman"/>
          <w:sz w:val="24"/>
          <w:szCs w:val="24"/>
          <w:lang w:val="en-US"/>
        </w:rPr>
        <w:t>he section</w:t>
      </w:r>
      <w:r w:rsidR="00FC323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concludes with a welcomed analysis of rarely </w:t>
      </w:r>
      <w:r w:rsidR="00770D2D" w:rsidRPr="003C1F54">
        <w:rPr>
          <w:rFonts w:ascii="Times New Roman" w:hAnsi="Times New Roman" w:cs="Times New Roman"/>
          <w:sz w:val="24"/>
          <w:szCs w:val="24"/>
          <w:lang w:val="en-US"/>
        </w:rPr>
        <w:t>discussed justifications in the context of taxation, labelled</w:t>
      </w:r>
      <w:r w:rsidR="000B09F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by the author</w:t>
      </w:r>
      <w:r w:rsidR="00770D2D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FD128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‘further justifications’</w:t>
      </w:r>
      <w:r w:rsidR="002D6E31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, including </w:t>
      </w:r>
      <w:r w:rsidR="00FD1283" w:rsidRPr="003C1F54">
        <w:rPr>
          <w:rFonts w:ascii="Times New Roman" w:hAnsi="Times New Roman" w:cs="Times New Roman"/>
          <w:sz w:val="24"/>
          <w:szCs w:val="24"/>
          <w:lang w:val="en-US"/>
        </w:rPr>
        <w:t>those that pursue economic and social policy objectives</w:t>
      </w:r>
      <w:r w:rsidR="002D6E31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7494D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charitable activities. </w:t>
      </w:r>
    </w:p>
    <w:p w14:paraId="66FF48F8" w14:textId="2B44A9E1" w:rsidR="00A51331" w:rsidRPr="003C1F54" w:rsidRDefault="00A51331" w:rsidP="003342F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1F54">
        <w:rPr>
          <w:rFonts w:ascii="Times New Roman" w:hAnsi="Times New Roman" w:cs="Times New Roman"/>
          <w:sz w:val="24"/>
          <w:szCs w:val="24"/>
          <w:lang w:val="en-US"/>
        </w:rPr>
        <w:t>Part 2, the ‘Special Part’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6F5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delves into more specific fields of taxation that are 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primarily</w:t>
      </w:r>
      <w:r w:rsidR="00A613F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6F5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regulated by EU secondary law. </w:t>
      </w:r>
      <w:r w:rsidR="00E84B71" w:rsidRPr="003C1F54">
        <w:rPr>
          <w:rFonts w:ascii="Times New Roman" w:hAnsi="Times New Roman" w:cs="Times New Roman"/>
          <w:sz w:val="24"/>
          <w:szCs w:val="24"/>
          <w:lang w:val="en-US"/>
        </w:rPr>
        <w:t>§</w:t>
      </w:r>
      <w:r w:rsidR="00470BB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6 discusses </w:t>
      </w:r>
      <w:r w:rsidR="00520A7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direct taxation and </w:t>
      </w:r>
      <w:r w:rsidR="001B0C1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commences by showing how the case law on fundamental freedoms has shaped </w:t>
      </w:r>
      <w:r w:rsidR="00CF59C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taxpayers’ tax liability </w:t>
      </w:r>
      <w:r w:rsidR="00E607C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in general but also </w:t>
      </w:r>
      <w:proofErr w:type="gramStart"/>
      <w:r w:rsidR="00E607CA" w:rsidRPr="003C1F54">
        <w:rPr>
          <w:rFonts w:ascii="Times New Roman" w:hAnsi="Times New Roman" w:cs="Times New Roman"/>
          <w:sz w:val="24"/>
          <w:szCs w:val="24"/>
          <w:lang w:val="en-US"/>
        </w:rPr>
        <w:t>with regard to</w:t>
      </w:r>
      <w:proofErr w:type="gramEnd"/>
      <w:r w:rsidR="00E607C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specific taxes (e.g., inheritance taxes). </w:t>
      </w:r>
      <w:r w:rsidR="006F623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The author then analyses the 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6F623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arent 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F623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ubsidiary 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F623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irective, the 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56D2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ax 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56D2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erger 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56D27" w:rsidRPr="003C1F54">
        <w:rPr>
          <w:rFonts w:ascii="Times New Roman" w:hAnsi="Times New Roman" w:cs="Times New Roman"/>
          <w:sz w:val="24"/>
          <w:szCs w:val="24"/>
          <w:lang w:val="en-US"/>
        </w:rPr>
        <w:t>irective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56D2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and the 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56D2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nterest and </w:t>
      </w:r>
      <w:proofErr w:type="gramStart"/>
      <w:r w:rsidR="00A613F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56D27" w:rsidRPr="003C1F54">
        <w:rPr>
          <w:rFonts w:ascii="Times New Roman" w:hAnsi="Times New Roman" w:cs="Times New Roman"/>
          <w:sz w:val="24"/>
          <w:szCs w:val="24"/>
          <w:lang w:val="en-US"/>
        </w:rPr>
        <w:t>oyalties</w:t>
      </w:r>
      <w:proofErr w:type="gramEnd"/>
      <w:r w:rsidR="00256D2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56D2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irective. 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It might be</w:t>
      </w:r>
      <w:r w:rsidR="00256D2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notice</w:t>
      </w:r>
      <w:r w:rsidR="00A613F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56D2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that certain </w:t>
      </w:r>
      <w:r w:rsidR="00933F8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tax directives are missing in this analysis: </w:t>
      </w:r>
      <w:r w:rsidR="005B738C">
        <w:rPr>
          <w:rFonts w:ascii="Times New Roman" w:hAnsi="Times New Roman" w:cs="Times New Roman"/>
          <w:sz w:val="24"/>
          <w:szCs w:val="24"/>
          <w:lang w:val="en-US"/>
        </w:rPr>
        <w:t>references to</w:t>
      </w:r>
      <w:r w:rsidR="00CE18BC">
        <w:rPr>
          <w:rFonts w:ascii="Times New Roman" w:hAnsi="Times New Roman" w:cs="Times New Roman"/>
          <w:sz w:val="24"/>
          <w:szCs w:val="24"/>
          <w:lang w:val="en-US"/>
        </w:rPr>
        <w:t xml:space="preserve"> and analyses of the different provisions of</w:t>
      </w:r>
      <w:r w:rsidR="005B73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3F8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the ATAD (same as </w:t>
      </w:r>
      <w:r w:rsidR="00E17EB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BEPS) </w:t>
      </w:r>
      <w:r w:rsidR="005B738C">
        <w:rPr>
          <w:rFonts w:ascii="Times New Roman" w:hAnsi="Times New Roman" w:cs="Times New Roman"/>
          <w:sz w:val="24"/>
          <w:szCs w:val="24"/>
          <w:lang w:val="en-US"/>
        </w:rPr>
        <w:t xml:space="preserve">are present throughout the </w:t>
      </w:r>
      <w:r w:rsidR="00CE18BC">
        <w:rPr>
          <w:rFonts w:ascii="Times New Roman" w:hAnsi="Times New Roman" w:cs="Times New Roman"/>
          <w:sz w:val="24"/>
          <w:szCs w:val="24"/>
          <w:lang w:val="en-US"/>
        </w:rPr>
        <w:t xml:space="preserve">entire book </w:t>
      </w:r>
      <w:r w:rsidR="00E17EB6" w:rsidRPr="003C1F54">
        <w:rPr>
          <w:rFonts w:ascii="Times New Roman" w:hAnsi="Times New Roman" w:cs="Times New Roman"/>
          <w:sz w:val="24"/>
          <w:szCs w:val="24"/>
          <w:lang w:val="en-US"/>
        </w:rPr>
        <w:t>and particularly discussed in §2.</w:t>
      </w:r>
      <w:r w:rsidR="00D778C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The absence of the DAC in this section is not an omission but </w:t>
      </w:r>
      <w:r w:rsidR="00D279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F3917" w:rsidRPr="002F39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78C0" w:rsidRPr="003C1F54">
        <w:rPr>
          <w:rFonts w:ascii="Times New Roman" w:hAnsi="Times New Roman" w:cs="Times New Roman"/>
          <w:sz w:val="24"/>
          <w:szCs w:val="24"/>
          <w:lang w:val="en-US"/>
        </w:rPr>
        <w:t>deliberate choice to discuss the directives on administrative cooperation under</w:t>
      </w:r>
      <w:r w:rsidR="0027380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section</w:t>
      </w:r>
      <w:r w:rsidR="008531B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380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§9 </w:t>
      </w:r>
      <w:r w:rsidR="00F103B0" w:rsidRPr="003C1F54">
        <w:rPr>
          <w:rFonts w:ascii="Times New Roman" w:hAnsi="Times New Roman" w:cs="Times New Roman"/>
          <w:sz w:val="24"/>
          <w:szCs w:val="24"/>
          <w:lang w:val="en-US"/>
        </w:rPr>
        <w:t>(‘</w:t>
      </w:r>
      <w:r w:rsidR="005B738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103B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dministrative </w:t>
      </w:r>
      <w:r w:rsidR="005B738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103B0" w:rsidRPr="003C1F54">
        <w:rPr>
          <w:rFonts w:ascii="Times New Roman" w:hAnsi="Times New Roman" w:cs="Times New Roman"/>
          <w:sz w:val="24"/>
          <w:szCs w:val="24"/>
          <w:lang w:val="en-US"/>
        </w:rPr>
        <w:t>mplementation’)</w:t>
      </w:r>
      <w:r w:rsidR="0055506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whereas the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5506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ax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5506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ispute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55506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esolution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5506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irective is discussed </w:t>
      </w:r>
      <w:r w:rsidR="00757D22" w:rsidRPr="003C1F54">
        <w:rPr>
          <w:rFonts w:ascii="Times New Roman" w:hAnsi="Times New Roman" w:cs="Times New Roman"/>
          <w:sz w:val="24"/>
          <w:szCs w:val="24"/>
          <w:lang w:val="en-US"/>
        </w:rPr>
        <w:t>subsequently in §10</w:t>
      </w:r>
      <w:r w:rsidR="006828A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as alternative </w:t>
      </w:r>
      <w:r w:rsidR="000B0865" w:rsidRPr="003C1F54">
        <w:rPr>
          <w:rFonts w:ascii="Times New Roman" w:hAnsi="Times New Roman" w:cs="Times New Roman"/>
          <w:sz w:val="24"/>
          <w:szCs w:val="24"/>
          <w:lang w:val="en-US"/>
        </w:rPr>
        <w:t>means of implementation of</w:t>
      </w:r>
      <w:r w:rsidR="006828A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EU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828A2" w:rsidRPr="003C1F54">
        <w:rPr>
          <w:rFonts w:ascii="Times New Roman" w:hAnsi="Times New Roman" w:cs="Times New Roman"/>
          <w:sz w:val="24"/>
          <w:szCs w:val="24"/>
          <w:lang w:val="en-US"/>
        </w:rPr>
        <w:t>ax law.</w:t>
      </w:r>
      <w:r w:rsidR="007A1634" w:rsidRPr="003C1F54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"/>
      </w:r>
    </w:p>
    <w:p w14:paraId="10921FA7" w14:textId="11A1F2CC" w:rsidR="00B511DC" w:rsidRPr="003C1F54" w:rsidRDefault="00A77CFC" w:rsidP="003342F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1F54">
        <w:rPr>
          <w:rFonts w:ascii="Times New Roman" w:hAnsi="Times New Roman" w:cs="Times New Roman"/>
          <w:sz w:val="24"/>
          <w:szCs w:val="24"/>
        </w:rPr>
        <w:t>The next section (</w:t>
      </w:r>
      <w:r w:rsidR="00783D9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§7) is the most voluminous section of the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entire</w:t>
      </w:r>
      <w:r w:rsidR="002F391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83D9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andbook. It </w:t>
      </w:r>
      <w:r w:rsidR="0062412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covers </w:t>
      </w:r>
      <w:r w:rsidR="004477A6" w:rsidRPr="003C1F54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BE31B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477A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ndirect </w:t>
      </w:r>
      <w:r w:rsidR="00BE31B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477A6" w:rsidRPr="003C1F54">
        <w:rPr>
          <w:rFonts w:ascii="Times New Roman" w:hAnsi="Times New Roman" w:cs="Times New Roman"/>
          <w:sz w:val="24"/>
          <w:szCs w:val="24"/>
          <w:lang w:val="en-US"/>
        </w:rPr>
        <w:t>axation’ and the more than 300 pages</w:t>
      </w:r>
      <w:r w:rsidR="00C9402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it devote</w:t>
      </w:r>
      <w:r w:rsidR="003A567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51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4027" w:rsidRPr="003C1F5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 xml:space="preserve"> this topic</w:t>
      </w:r>
      <w:r w:rsidR="005621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1339">
        <w:rPr>
          <w:rFonts w:ascii="Times New Roman" w:hAnsi="Times New Roman" w:cs="Times New Roman"/>
          <w:sz w:val="24"/>
          <w:szCs w:val="24"/>
          <w:lang w:val="en-US"/>
        </w:rPr>
        <w:t xml:space="preserve">could easily stand alone </w:t>
      </w:r>
      <w:r w:rsidR="003A567F">
        <w:rPr>
          <w:rFonts w:ascii="Times New Roman" w:hAnsi="Times New Roman" w:cs="Times New Roman"/>
          <w:sz w:val="24"/>
          <w:szCs w:val="24"/>
          <w:lang w:val="en-US"/>
        </w:rPr>
        <w:t>as a handbook on VAT. The section</w:t>
      </w:r>
      <w:r w:rsidR="00C9402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covers </w:t>
      </w:r>
      <w:r w:rsidR="007A21EB" w:rsidRPr="003C1F54">
        <w:rPr>
          <w:rFonts w:ascii="Times New Roman" w:hAnsi="Times New Roman" w:cs="Times New Roman"/>
          <w:sz w:val="24"/>
          <w:szCs w:val="24"/>
          <w:lang w:val="en-US"/>
        </w:rPr>
        <w:t>and critically discu</w:t>
      </w:r>
      <w:r w:rsidR="00DA0C7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sses </w:t>
      </w:r>
      <w:r w:rsidR="00100BE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practically every aspect of VAT and the VAT </w:t>
      </w:r>
      <w:r w:rsidR="00D2793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00BEB" w:rsidRPr="003C1F54">
        <w:rPr>
          <w:rFonts w:ascii="Times New Roman" w:hAnsi="Times New Roman" w:cs="Times New Roman"/>
          <w:sz w:val="24"/>
          <w:szCs w:val="24"/>
          <w:lang w:val="en-US"/>
        </w:rPr>
        <w:t>irective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00BEB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excise duties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E777D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the taxation of energy products </w:t>
      </w:r>
      <w:r w:rsidR="00B76F9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and electricity </w:t>
      </w:r>
      <w:proofErr w:type="gramStart"/>
      <w:r w:rsidR="00B76F9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on the </w:t>
      </w:r>
      <w:r w:rsidR="00B76F99" w:rsidRPr="003C1F54">
        <w:rPr>
          <w:rFonts w:ascii="Times New Roman" w:hAnsi="Times New Roman" w:cs="Times New Roman"/>
          <w:sz w:val="24"/>
          <w:szCs w:val="24"/>
          <w:lang w:val="en-US"/>
        </w:rPr>
        <w:lastRenderedPageBreak/>
        <w:t>basis of</w:t>
      </w:r>
      <w:proofErr w:type="gramEnd"/>
      <w:r w:rsidR="00B76F9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76F9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nergy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76F9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ax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76F99" w:rsidRPr="003C1F54">
        <w:rPr>
          <w:rFonts w:ascii="Times New Roman" w:hAnsi="Times New Roman" w:cs="Times New Roman"/>
          <w:sz w:val="24"/>
          <w:szCs w:val="24"/>
          <w:lang w:val="en-US"/>
        </w:rPr>
        <w:t>irective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B76F9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76F9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the imposition of indirect taxes on capital </w:t>
      </w:r>
      <w:r w:rsidR="009E339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as provided in the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E339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apital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E339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uty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E339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irective. </w:t>
      </w:r>
      <w:r w:rsidR="003617D4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Part 2 is concluded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2F391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17D4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 very brief discussion on ‘EU Taxes’ </w:t>
      </w:r>
      <w:r w:rsidR="003617D4" w:rsidRPr="003C1F54">
        <w:rPr>
          <w:rFonts w:ascii="Times New Roman" w:hAnsi="Times New Roman" w:cs="Times New Roman"/>
          <w:sz w:val="24"/>
          <w:szCs w:val="24"/>
        </w:rPr>
        <w:t>(</w:t>
      </w:r>
      <w:r w:rsidR="003617D4" w:rsidRPr="003C1F54">
        <w:rPr>
          <w:rFonts w:ascii="Times New Roman" w:hAnsi="Times New Roman" w:cs="Times New Roman"/>
          <w:sz w:val="24"/>
          <w:szCs w:val="24"/>
          <w:lang w:val="en-US"/>
        </w:rPr>
        <w:t>§8)</w:t>
      </w:r>
      <w:r w:rsidR="00BE3CA8" w:rsidRPr="003C1F54">
        <w:rPr>
          <w:rFonts w:ascii="Times New Roman" w:hAnsi="Times New Roman" w:cs="Times New Roman"/>
          <w:sz w:val="24"/>
          <w:szCs w:val="24"/>
          <w:lang w:val="en-US"/>
        </w:rPr>
        <w:t>, noting the</w:t>
      </w:r>
      <w:r w:rsidR="005B425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57AF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impossibility of the EU to raise its own taxes. </w:t>
      </w:r>
    </w:p>
    <w:p w14:paraId="1B7E2A8E" w14:textId="0C1C4F85" w:rsidR="002A016D" w:rsidRPr="003C1F54" w:rsidRDefault="002A016D" w:rsidP="003342F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Part 3 on the ‘Implementation of EU Tax Law’ commences with the </w:t>
      </w:r>
      <w:r w:rsidR="00C925B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‘Administrative Implementation’ </w:t>
      </w:r>
      <w:bookmarkStart w:id="1" w:name="_Hlk154066064"/>
      <w:r w:rsidR="00D3374F" w:rsidRPr="003C1F54">
        <w:rPr>
          <w:rFonts w:ascii="Times New Roman" w:hAnsi="Times New Roman" w:cs="Times New Roman"/>
          <w:sz w:val="24"/>
          <w:szCs w:val="24"/>
        </w:rPr>
        <w:t>(</w:t>
      </w:r>
      <w:r w:rsidR="00D3374F" w:rsidRPr="003C1F54">
        <w:rPr>
          <w:rFonts w:ascii="Times New Roman" w:hAnsi="Times New Roman" w:cs="Times New Roman"/>
          <w:sz w:val="24"/>
          <w:szCs w:val="24"/>
          <w:lang w:val="en-US"/>
        </w:rPr>
        <w:t>§9)</w:t>
      </w:r>
      <w:bookmarkEnd w:id="1"/>
      <w:r w:rsidR="00D3374F" w:rsidRPr="003C1F54">
        <w:rPr>
          <w:rFonts w:ascii="Times New Roman" w:hAnsi="Times New Roman" w:cs="Times New Roman"/>
          <w:sz w:val="24"/>
          <w:szCs w:val="24"/>
          <w:lang w:val="en-US"/>
        </w:rPr>
        <w:t>. Here, AG Kokott</w:t>
      </w:r>
      <w:r w:rsidR="005623D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00CA" w:rsidRPr="003C1F54">
        <w:rPr>
          <w:rFonts w:ascii="Times New Roman" w:hAnsi="Times New Roman" w:cs="Times New Roman"/>
          <w:sz w:val="24"/>
          <w:szCs w:val="24"/>
          <w:lang w:val="en-US"/>
        </w:rPr>
        <w:t>examines the limits of procedural autonomy, the principles of equivalence and effectiveness in VAT</w:t>
      </w:r>
      <w:r w:rsidR="00CE18B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A00C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and direct tax law. </w:t>
      </w:r>
      <w:r w:rsidR="00C0148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The author focuses more on the effective </w:t>
      </w:r>
      <w:r w:rsidR="006B0034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application of EU law in domestic orders </w:t>
      </w:r>
      <w:r w:rsidR="001E420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in both VAT and direct taxation. </w:t>
      </w:r>
      <w:proofErr w:type="gramStart"/>
      <w:r w:rsidR="001E4200" w:rsidRPr="003C1F54">
        <w:rPr>
          <w:rFonts w:ascii="Times New Roman" w:hAnsi="Times New Roman" w:cs="Times New Roman"/>
          <w:sz w:val="24"/>
          <w:szCs w:val="24"/>
          <w:lang w:val="en-US"/>
        </w:rPr>
        <w:t>With regard to</w:t>
      </w:r>
      <w:proofErr w:type="gramEnd"/>
      <w:r w:rsidR="001E420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the former, </w:t>
      </w:r>
      <w:r w:rsidR="00945AC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effectiveness is assessed </w:t>
      </w:r>
      <w:r w:rsidR="0051311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(also) in light of the </w:t>
      </w:r>
      <w:r w:rsidR="00E26F7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necessity to impose criminal penalties in cases </w:t>
      </w:r>
      <w:r w:rsidR="000B6A51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of serious </w:t>
      </w:r>
      <w:r w:rsidR="00BE5AE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VAT </w:t>
      </w:r>
      <w:r w:rsidR="000B6A51" w:rsidRPr="003C1F54">
        <w:rPr>
          <w:rFonts w:ascii="Times New Roman" w:hAnsi="Times New Roman" w:cs="Times New Roman"/>
          <w:sz w:val="24"/>
          <w:szCs w:val="24"/>
          <w:lang w:val="en-US"/>
        </w:rPr>
        <w:t>fraud that affects the financial interests of the Union</w:t>
      </w:r>
      <w:r w:rsidR="00BE5AE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and the tensions this requirement </w:t>
      </w:r>
      <w:r w:rsidR="00DF02D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creates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regarding</w:t>
      </w:r>
      <w:r w:rsidR="00DF02D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unharmonized criminal law as evinced</w:t>
      </w:r>
      <w:r w:rsidR="00D57FE0" w:rsidRPr="003C1F54">
        <w:rPr>
          <w:rFonts w:ascii="Times New Roman" w:hAnsi="Times New Roman" w:cs="Times New Roman"/>
          <w:sz w:val="24"/>
          <w:szCs w:val="24"/>
          <w:lang w:val="en-US"/>
        </w:rPr>
        <w:t>, for instance,</w:t>
      </w:r>
      <w:r w:rsidR="00DF02D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="00DF02D5" w:rsidRPr="00CE18BC">
        <w:rPr>
          <w:rFonts w:ascii="Times New Roman" w:hAnsi="Times New Roman" w:cs="Times New Roman"/>
          <w:i/>
          <w:iCs/>
          <w:sz w:val="24"/>
          <w:szCs w:val="24"/>
          <w:lang w:val="en-US"/>
        </w:rPr>
        <w:t>Taric</w:t>
      </w:r>
      <w:r w:rsidR="00CA48FE" w:rsidRPr="00CE18BC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="00DF02D5" w:rsidRPr="00CE18BC"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="00DF02D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judgments</w:t>
      </w:r>
      <w:r w:rsidR="00354DB9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5F5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The section continues with an analysis of the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F5F5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irectives on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F5F5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dministrative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F5F52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ooperation </w:t>
      </w:r>
      <w:r w:rsidR="003B690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and the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B690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ecovery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B690C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irective. </w:t>
      </w:r>
    </w:p>
    <w:p w14:paraId="45DEFFF3" w14:textId="74C33409" w:rsidR="00340B74" w:rsidRPr="003C1F54" w:rsidRDefault="00340B74" w:rsidP="003342F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After the ‘Administrative Implementation’, the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C1F54">
        <w:rPr>
          <w:rFonts w:ascii="Times New Roman" w:hAnsi="Times New Roman" w:cs="Times New Roman"/>
          <w:sz w:val="24"/>
          <w:szCs w:val="24"/>
          <w:lang w:val="en-US"/>
        </w:rPr>
        <w:t>andbook discusses the ‘Judicial Implementation’ (§10)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 xml:space="preserve">This is </w:t>
      </w: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where the author </w:t>
      </w:r>
      <w:proofErr w:type="gramStart"/>
      <w:r w:rsidR="007F6ADA" w:rsidRPr="003C1F54">
        <w:rPr>
          <w:rFonts w:ascii="Times New Roman" w:hAnsi="Times New Roman" w:cs="Times New Roman"/>
          <w:sz w:val="24"/>
          <w:szCs w:val="24"/>
          <w:lang w:val="en-US"/>
        </w:rPr>
        <w:t>has the opportunity to</w:t>
      </w:r>
      <w:proofErr w:type="gramEnd"/>
      <w:r w:rsidR="007F6AD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return</w:t>
      </w:r>
      <w:r w:rsidR="003D4D11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="000E297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fundamental role of EU courts </w:t>
      </w:r>
      <w:r w:rsidR="00171804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84F5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interpreting EU law </w:t>
      </w:r>
      <w:r w:rsidR="00A464A8" w:rsidRPr="003C1F54">
        <w:rPr>
          <w:rFonts w:ascii="Times New Roman" w:hAnsi="Times New Roman" w:cs="Times New Roman"/>
          <w:sz w:val="24"/>
          <w:szCs w:val="24"/>
          <w:lang w:val="en-US"/>
        </w:rPr>
        <w:t>that effectively contributes to the implementation of EU tax law by national courts</w:t>
      </w:r>
      <w:r w:rsidR="00A01BD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and/or </w:t>
      </w:r>
      <w:r w:rsidR="00F71BCC" w:rsidRPr="003C1F54">
        <w:rPr>
          <w:rFonts w:ascii="Times New Roman" w:hAnsi="Times New Roman" w:cs="Times New Roman"/>
          <w:sz w:val="24"/>
          <w:szCs w:val="24"/>
          <w:lang w:val="en-US"/>
        </w:rPr>
        <w:t>EU institutions (in state aid, for instance)</w:t>
      </w:r>
      <w:r w:rsidR="00A464A8" w:rsidRPr="003C1F54">
        <w:rPr>
          <w:rFonts w:ascii="Times New Roman" w:hAnsi="Times New Roman" w:cs="Times New Roman"/>
          <w:sz w:val="24"/>
          <w:szCs w:val="24"/>
          <w:lang w:val="en-US"/>
        </w:rPr>
        <w:t>. In this bi</w:t>
      </w:r>
      <w:r w:rsidR="00BE31B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464A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5133" w:rsidRPr="003C1F54">
        <w:rPr>
          <w:rFonts w:ascii="Times New Roman" w:hAnsi="Times New Roman" w:cs="Times New Roman"/>
          <w:sz w:val="24"/>
          <w:szCs w:val="24"/>
          <w:lang w:val="en-US"/>
        </w:rPr>
        <w:t>AG Kokott discusses the preliminary rulings and the infringement procedure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3513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648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as well as the contribution of the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4648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ax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4648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ispute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4648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esolution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46480" w:rsidRPr="003C1F54">
        <w:rPr>
          <w:rFonts w:ascii="Times New Roman" w:hAnsi="Times New Roman" w:cs="Times New Roman"/>
          <w:sz w:val="24"/>
          <w:szCs w:val="24"/>
          <w:lang w:val="en-US"/>
        </w:rPr>
        <w:t>irective</w:t>
      </w:r>
      <w:r w:rsidR="004657E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within its limited scope</w:t>
      </w:r>
      <w:r w:rsidR="00646480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="004657E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uniform application of EU law. </w:t>
      </w:r>
    </w:p>
    <w:p w14:paraId="088C2664" w14:textId="4975EE04" w:rsidR="00443887" w:rsidRPr="003C1F54" w:rsidRDefault="000C0553" w:rsidP="003342F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1F54">
        <w:rPr>
          <w:rFonts w:ascii="Times New Roman" w:hAnsi="Times New Roman" w:cs="Times New Roman"/>
          <w:sz w:val="24"/>
          <w:szCs w:val="24"/>
          <w:lang w:val="en-US"/>
        </w:rPr>
        <w:t>The book concludes with the self-standing Part 4</w:t>
      </w:r>
      <w:r w:rsidR="00D2793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‘Concluding Remarks’</w:t>
      </w:r>
      <w:r w:rsidR="00D2793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F2361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provides a ‘Summary’ (§11) of the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2361E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andbook. </w:t>
      </w:r>
      <w:r w:rsidR="001A1B8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The author 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properly begins</w:t>
      </w:r>
      <w:r w:rsidR="002F391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1B86" w:rsidRPr="003C1F54">
        <w:rPr>
          <w:rFonts w:ascii="Times New Roman" w:hAnsi="Times New Roman" w:cs="Times New Roman"/>
          <w:sz w:val="24"/>
          <w:szCs w:val="24"/>
          <w:lang w:val="en-US"/>
        </w:rPr>
        <w:t>this section by emphasizing the importance of the ‘Internationalization of Tax Law’ that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A1B86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as shown in the book, has deeply affected EU tax law both in its positive</w:t>
      </w:r>
      <w:r w:rsidR="00E37F8D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and negative integration development</w:t>
      </w:r>
      <w:r w:rsidR="00FA6B93" w:rsidRPr="003C1F5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37F8D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20E7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The focus on the fight against tax avoidance is also justified as </w:t>
      </w:r>
      <w:r w:rsidR="004331A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part of this internationalization. </w:t>
      </w:r>
      <w:r w:rsidR="00BF7EC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In the subsequent pages, the author </w:t>
      </w:r>
      <w:r w:rsidR="002F3917" w:rsidRPr="002F3917">
        <w:rPr>
          <w:rFonts w:ascii="Times New Roman" w:hAnsi="Times New Roman" w:cs="Times New Roman"/>
          <w:sz w:val="24"/>
          <w:szCs w:val="24"/>
          <w:lang w:val="en-US"/>
        </w:rPr>
        <w:t xml:space="preserve">indeed </w:t>
      </w:r>
      <w:r w:rsidR="00BF7ECA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provides a summary of the previous </w:t>
      </w:r>
      <w:r w:rsidR="00AD114A" w:rsidRPr="003C1F54">
        <w:rPr>
          <w:rFonts w:ascii="Times New Roman" w:hAnsi="Times New Roman" w:cs="Times New Roman"/>
          <w:sz w:val="24"/>
          <w:szCs w:val="24"/>
          <w:lang w:val="en-US"/>
        </w:rPr>
        <w:t>sections,</w:t>
      </w:r>
      <w:r w:rsidR="00614748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and she concludes with </w:t>
      </w:r>
      <w:r w:rsidR="00D05F44" w:rsidRPr="003C1F54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31075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prediction</w:t>
      </w:r>
      <w:r w:rsidR="00D05F44" w:rsidRPr="003C1F5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1075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on what the future holds for EU tax law</w:t>
      </w:r>
      <w:r w:rsidR="00D05F44" w:rsidRPr="003C1F54">
        <w:rPr>
          <w:rFonts w:ascii="Times New Roman" w:hAnsi="Times New Roman" w:cs="Times New Roman"/>
          <w:sz w:val="24"/>
          <w:szCs w:val="24"/>
          <w:lang w:val="en-US"/>
        </w:rPr>
        <w:t>; the challenges that arise from the digitalization of the economy</w:t>
      </w:r>
      <w:r w:rsidR="002F3917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05F44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and the</w:t>
      </w:r>
      <w:r w:rsidR="00443887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acceptance </w:t>
      </w:r>
      <w:r w:rsidR="004962A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that direct and indirect taxes should be </w:t>
      </w:r>
      <w:r w:rsidR="00194783" w:rsidRPr="003C1F54">
        <w:rPr>
          <w:rFonts w:ascii="Times New Roman" w:hAnsi="Times New Roman" w:cs="Times New Roman"/>
          <w:sz w:val="24"/>
          <w:szCs w:val="24"/>
          <w:lang w:val="en-US"/>
        </w:rPr>
        <w:t>treated together as evidenced</w:t>
      </w:r>
      <w:r w:rsidR="00D85D6F" w:rsidRPr="003C1F54">
        <w:rPr>
          <w:rFonts w:ascii="Times New Roman" w:hAnsi="Times New Roman" w:cs="Times New Roman"/>
          <w:sz w:val="24"/>
          <w:szCs w:val="24"/>
          <w:lang w:val="en-US"/>
        </w:rPr>
        <w:t>, for instance,</w:t>
      </w:r>
      <w:r w:rsidR="00194783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by the (common) tendency </w:t>
      </w:r>
      <w:r w:rsidR="007C6CE5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to shift </w:t>
      </w:r>
      <w:r w:rsidR="00D85D6F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taxation to the marketplace jurisdiction. </w:t>
      </w:r>
    </w:p>
    <w:p w14:paraId="2C66359E" w14:textId="255F815D" w:rsidR="009041D4" w:rsidRPr="003C1F54" w:rsidRDefault="009041D4" w:rsidP="009041D4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C1F54">
        <w:rPr>
          <w:rFonts w:ascii="Times New Roman" w:hAnsi="Times New Roman" w:cs="Times New Roman"/>
          <w:sz w:val="24"/>
          <w:szCs w:val="24"/>
          <w:lang w:val="en-US"/>
        </w:rPr>
        <w:t>Katerina Pantaza</w:t>
      </w:r>
      <w:r w:rsidR="00730D4E" w:rsidRPr="003C1F5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C1F54">
        <w:rPr>
          <w:rFonts w:ascii="Times New Roman" w:hAnsi="Times New Roman" w:cs="Times New Roman"/>
          <w:sz w:val="24"/>
          <w:szCs w:val="24"/>
          <w:lang w:val="en-US"/>
        </w:rPr>
        <w:t>u</w:t>
      </w:r>
    </w:p>
    <w:p w14:paraId="02DD598A" w14:textId="1633E636" w:rsidR="00B21462" w:rsidRPr="005B738C" w:rsidRDefault="009041D4" w:rsidP="00B21462">
      <w:pPr>
        <w:jc w:val="right"/>
        <w:rPr>
          <w:rFonts w:ascii="Calibri" w:eastAsia="Times New Roman" w:hAnsi="Calibri" w:cs="Calibri"/>
          <w:color w:val="0563C1"/>
          <w:u w:val="single"/>
          <w:lang w:val="en-US" w:eastAsia="pt-PT"/>
        </w:rPr>
      </w:pPr>
      <w:r w:rsidRPr="003C1F54">
        <w:rPr>
          <w:rFonts w:ascii="Times New Roman" w:hAnsi="Times New Roman" w:cs="Times New Roman"/>
          <w:sz w:val="24"/>
          <w:szCs w:val="24"/>
          <w:lang w:val="en-US"/>
        </w:rPr>
        <w:t>Associate Professor in Tax Law, University of Luxembourg</w:t>
      </w:r>
      <w:r w:rsidR="00A4765F" w:rsidRPr="003C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1462">
        <w:rPr>
          <w:rFonts w:ascii="Times New Roman" w:hAnsi="Times New Roman" w:cs="Times New Roman"/>
          <w:sz w:val="24"/>
          <w:szCs w:val="24"/>
          <w:lang w:val="en-US"/>
        </w:rPr>
        <w:t>Email:</w:t>
      </w:r>
      <w:r w:rsidR="00B21462" w:rsidRPr="00B21462">
        <w:rPr>
          <w:rFonts w:ascii="Calibri" w:hAnsi="Calibri" w:cs="Calibri"/>
          <w:color w:val="0563C1"/>
          <w:u w:val="single"/>
        </w:rPr>
        <w:t xml:space="preserve"> </w:t>
      </w:r>
      <w:hyperlink r:id="rId7" w:history="1">
        <w:r w:rsidR="00B21462" w:rsidRPr="005B738C">
          <w:rPr>
            <w:rFonts w:ascii="Calibri" w:eastAsia="Times New Roman" w:hAnsi="Calibri" w:cs="Calibri"/>
            <w:color w:val="0563C1"/>
            <w:u w:val="single"/>
            <w:lang w:val="en-US" w:eastAsia="pt-PT"/>
          </w:rPr>
          <w:t>aikaterini.pantazatou@uni.lu</w:t>
        </w:r>
      </w:hyperlink>
      <w:r w:rsidR="00B21462" w:rsidRPr="005B738C">
        <w:rPr>
          <w:rFonts w:ascii="Calibri" w:eastAsia="Times New Roman" w:hAnsi="Calibri" w:cs="Calibri"/>
          <w:color w:val="0563C1"/>
          <w:u w:val="single"/>
          <w:lang w:val="en-US" w:eastAsia="pt-PT"/>
        </w:rPr>
        <w:t>.</w:t>
      </w:r>
    </w:p>
    <w:p w14:paraId="38EE4E90" w14:textId="11C572E8" w:rsidR="000C0553" w:rsidRDefault="000C0553" w:rsidP="009041D4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0E15316C" w14:textId="11E57D52" w:rsidR="00B21462" w:rsidRPr="003C1F54" w:rsidRDefault="00B21462" w:rsidP="009041D4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21462" w:rsidRPr="003C1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DA63B" w14:textId="77777777" w:rsidR="005F1B95" w:rsidRDefault="005F1B95" w:rsidP="007A1634">
      <w:pPr>
        <w:spacing w:after="0" w:line="240" w:lineRule="auto"/>
      </w:pPr>
      <w:r>
        <w:separator/>
      </w:r>
    </w:p>
  </w:endnote>
  <w:endnote w:type="continuationSeparator" w:id="0">
    <w:p w14:paraId="0286A187" w14:textId="77777777" w:rsidR="005F1B95" w:rsidRDefault="005F1B95" w:rsidP="007A1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8CA83" w14:textId="77777777" w:rsidR="005F1B95" w:rsidRDefault="005F1B95" w:rsidP="007A1634">
      <w:pPr>
        <w:spacing w:after="0" w:line="240" w:lineRule="auto"/>
      </w:pPr>
      <w:r>
        <w:separator/>
      </w:r>
    </w:p>
  </w:footnote>
  <w:footnote w:type="continuationSeparator" w:id="0">
    <w:p w14:paraId="6A37FD48" w14:textId="77777777" w:rsidR="005F1B95" w:rsidRDefault="005F1B95" w:rsidP="007A1634">
      <w:pPr>
        <w:spacing w:after="0" w:line="240" w:lineRule="auto"/>
      </w:pPr>
      <w:r>
        <w:continuationSeparator/>
      </w:r>
    </w:p>
  </w:footnote>
  <w:footnote w:id="1">
    <w:p w14:paraId="74400C7F" w14:textId="3D83AB4F" w:rsidR="007A1634" w:rsidRPr="00133C71" w:rsidRDefault="007A1634">
      <w:pPr>
        <w:pStyle w:val="FootnoteText"/>
        <w:rPr>
          <w:rFonts w:ascii="Times New Roman" w:hAnsi="Times New Roman" w:cs="Times New Roman"/>
          <w:lang w:val="en-US"/>
        </w:rPr>
      </w:pPr>
      <w:r w:rsidRPr="00133C71">
        <w:rPr>
          <w:rStyle w:val="FootnoteReference"/>
          <w:rFonts w:ascii="Times New Roman" w:hAnsi="Times New Roman" w:cs="Times New Roman"/>
        </w:rPr>
        <w:footnoteRef/>
      </w:r>
      <w:r w:rsidRPr="00133C71">
        <w:rPr>
          <w:rFonts w:ascii="Times New Roman" w:hAnsi="Times New Roman" w:cs="Times New Roman"/>
        </w:rPr>
        <w:t xml:space="preserve"> </w:t>
      </w:r>
      <w:r w:rsidRPr="00133C71">
        <w:rPr>
          <w:rFonts w:ascii="Times New Roman" w:hAnsi="Times New Roman" w:cs="Times New Roman"/>
          <w:lang w:val="en-US"/>
        </w:rPr>
        <w:t xml:space="preserve">Note that the GloBE </w:t>
      </w:r>
      <w:r w:rsidR="00D2793E">
        <w:rPr>
          <w:rFonts w:ascii="Times New Roman" w:hAnsi="Times New Roman" w:cs="Times New Roman"/>
          <w:lang w:val="en-US"/>
        </w:rPr>
        <w:t>d</w:t>
      </w:r>
      <w:r w:rsidRPr="00133C71">
        <w:rPr>
          <w:rFonts w:ascii="Times New Roman" w:hAnsi="Times New Roman" w:cs="Times New Roman"/>
          <w:lang w:val="en-US"/>
        </w:rPr>
        <w:t xml:space="preserve">irective was adopted after the publication of the book.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A1"/>
    <w:rsid w:val="00007B6A"/>
    <w:rsid w:val="0002265B"/>
    <w:rsid w:val="00033E43"/>
    <w:rsid w:val="000451CE"/>
    <w:rsid w:val="00046186"/>
    <w:rsid w:val="000528D3"/>
    <w:rsid w:val="00052942"/>
    <w:rsid w:val="00052D51"/>
    <w:rsid w:val="000568E3"/>
    <w:rsid w:val="00056967"/>
    <w:rsid w:val="00060451"/>
    <w:rsid w:val="0006110A"/>
    <w:rsid w:val="00067ECC"/>
    <w:rsid w:val="00070353"/>
    <w:rsid w:val="00077E31"/>
    <w:rsid w:val="00081343"/>
    <w:rsid w:val="00095EB5"/>
    <w:rsid w:val="000A2FEC"/>
    <w:rsid w:val="000A5140"/>
    <w:rsid w:val="000B064A"/>
    <w:rsid w:val="000B0865"/>
    <w:rsid w:val="000B09FA"/>
    <w:rsid w:val="000B6A51"/>
    <w:rsid w:val="000C0553"/>
    <w:rsid w:val="000D14B6"/>
    <w:rsid w:val="000D73CC"/>
    <w:rsid w:val="000E10AD"/>
    <w:rsid w:val="000E297E"/>
    <w:rsid w:val="000F61A9"/>
    <w:rsid w:val="00100BEB"/>
    <w:rsid w:val="00112C0F"/>
    <w:rsid w:val="001152DC"/>
    <w:rsid w:val="001172EA"/>
    <w:rsid w:val="00120789"/>
    <w:rsid w:val="00121D69"/>
    <w:rsid w:val="0012300B"/>
    <w:rsid w:val="00131F64"/>
    <w:rsid w:val="00133C71"/>
    <w:rsid w:val="00143E93"/>
    <w:rsid w:val="00150825"/>
    <w:rsid w:val="00151339"/>
    <w:rsid w:val="00151528"/>
    <w:rsid w:val="0015261D"/>
    <w:rsid w:val="0015270F"/>
    <w:rsid w:val="0015576C"/>
    <w:rsid w:val="0016077C"/>
    <w:rsid w:val="001610B4"/>
    <w:rsid w:val="00171804"/>
    <w:rsid w:val="001766EC"/>
    <w:rsid w:val="00190818"/>
    <w:rsid w:val="00194783"/>
    <w:rsid w:val="00197A8D"/>
    <w:rsid w:val="001A1B86"/>
    <w:rsid w:val="001A313B"/>
    <w:rsid w:val="001A38C7"/>
    <w:rsid w:val="001A3D54"/>
    <w:rsid w:val="001B0C10"/>
    <w:rsid w:val="001B4E21"/>
    <w:rsid w:val="001B5948"/>
    <w:rsid w:val="001C70D2"/>
    <w:rsid w:val="001C7FB2"/>
    <w:rsid w:val="001E4200"/>
    <w:rsid w:val="001E4C4E"/>
    <w:rsid w:val="001E58ED"/>
    <w:rsid w:val="001F04E7"/>
    <w:rsid w:val="001F1F8E"/>
    <w:rsid w:val="001F2B41"/>
    <w:rsid w:val="001F3F48"/>
    <w:rsid w:val="001F7FD6"/>
    <w:rsid w:val="00212032"/>
    <w:rsid w:val="0023236C"/>
    <w:rsid w:val="00235133"/>
    <w:rsid w:val="00244A1D"/>
    <w:rsid w:val="0024532A"/>
    <w:rsid w:val="00256D27"/>
    <w:rsid w:val="00263AC3"/>
    <w:rsid w:val="002704D2"/>
    <w:rsid w:val="00273800"/>
    <w:rsid w:val="00274542"/>
    <w:rsid w:val="00282EA4"/>
    <w:rsid w:val="00284F55"/>
    <w:rsid w:val="002A016D"/>
    <w:rsid w:val="002A3410"/>
    <w:rsid w:val="002C38EE"/>
    <w:rsid w:val="002C54BA"/>
    <w:rsid w:val="002C789F"/>
    <w:rsid w:val="002D16D0"/>
    <w:rsid w:val="002D61C7"/>
    <w:rsid w:val="002D6E31"/>
    <w:rsid w:val="002E7289"/>
    <w:rsid w:val="002E78FA"/>
    <w:rsid w:val="002F3917"/>
    <w:rsid w:val="00310755"/>
    <w:rsid w:val="00316568"/>
    <w:rsid w:val="003217A9"/>
    <w:rsid w:val="003307B4"/>
    <w:rsid w:val="003342FB"/>
    <w:rsid w:val="00340B74"/>
    <w:rsid w:val="00354DB9"/>
    <w:rsid w:val="003570FE"/>
    <w:rsid w:val="003617D4"/>
    <w:rsid w:val="00383B5E"/>
    <w:rsid w:val="003A567F"/>
    <w:rsid w:val="003A5B77"/>
    <w:rsid w:val="003B690C"/>
    <w:rsid w:val="003C1F54"/>
    <w:rsid w:val="003D4D11"/>
    <w:rsid w:val="003D6EBE"/>
    <w:rsid w:val="003E128D"/>
    <w:rsid w:val="003E2A74"/>
    <w:rsid w:val="003F2729"/>
    <w:rsid w:val="003F2B27"/>
    <w:rsid w:val="003F4C79"/>
    <w:rsid w:val="003F75F9"/>
    <w:rsid w:val="00414A31"/>
    <w:rsid w:val="00422C38"/>
    <w:rsid w:val="004331A8"/>
    <w:rsid w:val="00434D42"/>
    <w:rsid w:val="00443887"/>
    <w:rsid w:val="004477A6"/>
    <w:rsid w:val="004526CA"/>
    <w:rsid w:val="004657E6"/>
    <w:rsid w:val="00470BB5"/>
    <w:rsid w:val="00473C00"/>
    <w:rsid w:val="00475EE1"/>
    <w:rsid w:val="0047702E"/>
    <w:rsid w:val="0049598B"/>
    <w:rsid w:val="004962A3"/>
    <w:rsid w:val="004C3C84"/>
    <w:rsid w:val="004C518A"/>
    <w:rsid w:val="004C7274"/>
    <w:rsid w:val="004C729D"/>
    <w:rsid w:val="004D3603"/>
    <w:rsid w:val="004D6A88"/>
    <w:rsid w:val="004E6007"/>
    <w:rsid w:val="004F6AFF"/>
    <w:rsid w:val="0051311A"/>
    <w:rsid w:val="005159BD"/>
    <w:rsid w:val="0051780B"/>
    <w:rsid w:val="00520A78"/>
    <w:rsid w:val="005268F5"/>
    <w:rsid w:val="00555063"/>
    <w:rsid w:val="0055706B"/>
    <w:rsid w:val="00560386"/>
    <w:rsid w:val="005621B9"/>
    <w:rsid w:val="005623D9"/>
    <w:rsid w:val="00565620"/>
    <w:rsid w:val="005702CE"/>
    <w:rsid w:val="00571110"/>
    <w:rsid w:val="00574398"/>
    <w:rsid w:val="00586155"/>
    <w:rsid w:val="00597A7D"/>
    <w:rsid w:val="005B4255"/>
    <w:rsid w:val="005B738C"/>
    <w:rsid w:val="005D5078"/>
    <w:rsid w:val="005D70B8"/>
    <w:rsid w:val="005E5C4B"/>
    <w:rsid w:val="005F1B95"/>
    <w:rsid w:val="00603389"/>
    <w:rsid w:val="00611821"/>
    <w:rsid w:val="006128F9"/>
    <w:rsid w:val="00613CC6"/>
    <w:rsid w:val="006144BC"/>
    <w:rsid w:val="00614748"/>
    <w:rsid w:val="006207D2"/>
    <w:rsid w:val="00620E73"/>
    <w:rsid w:val="0062412C"/>
    <w:rsid w:val="00625DB3"/>
    <w:rsid w:val="006412CC"/>
    <w:rsid w:val="006441CB"/>
    <w:rsid w:val="00646480"/>
    <w:rsid w:val="0065375E"/>
    <w:rsid w:val="006578AC"/>
    <w:rsid w:val="006657AF"/>
    <w:rsid w:val="00680554"/>
    <w:rsid w:val="006828A2"/>
    <w:rsid w:val="00685FFC"/>
    <w:rsid w:val="00686D06"/>
    <w:rsid w:val="0069005C"/>
    <w:rsid w:val="006B0034"/>
    <w:rsid w:val="006B0A9F"/>
    <w:rsid w:val="006B1D34"/>
    <w:rsid w:val="006C4C66"/>
    <w:rsid w:val="006D3CAB"/>
    <w:rsid w:val="006E0593"/>
    <w:rsid w:val="006E0BB6"/>
    <w:rsid w:val="006F286D"/>
    <w:rsid w:val="006F6232"/>
    <w:rsid w:val="006F6F9C"/>
    <w:rsid w:val="00702FD8"/>
    <w:rsid w:val="00707EC2"/>
    <w:rsid w:val="00712D0F"/>
    <w:rsid w:val="00720EA9"/>
    <w:rsid w:val="00730D4E"/>
    <w:rsid w:val="00737440"/>
    <w:rsid w:val="007378EB"/>
    <w:rsid w:val="0074435E"/>
    <w:rsid w:val="00754B29"/>
    <w:rsid w:val="00757D22"/>
    <w:rsid w:val="00765C09"/>
    <w:rsid w:val="007665AB"/>
    <w:rsid w:val="00770D2D"/>
    <w:rsid w:val="007724C2"/>
    <w:rsid w:val="00774F4D"/>
    <w:rsid w:val="00775F80"/>
    <w:rsid w:val="00783413"/>
    <w:rsid w:val="00783D9E"/>
    <w:rsid w:val="007847BA"/>
    <w:rsid w:val="00791ACA"/>
    <w:rsid w:val="007A0271"/>
    <w:rsid w:val="007A1634"/>
    <w:rsid w:val="007A21EB"/>
    <w:rsid w:val="007A7A62"/>
    <w:rsid w:val="007A7E73"/>
    <w:rsid w:val="007B6378"/>
    <w:rsid w:val="007C6CE5"/>
    <w:rsid w:val="007F1477"/>
    <w:rsid w:val="007F6ADA"/>
    <w:rsid w:val="007F7060"/>
    <w:rsid w:val="008048FC"/>
    <w:rsid w:val="00812F96"/>
    <w:rsid w:val="008140DA"/>
    <w:rsid w:val="008142FC"/>
    <w:rsid w:val="0083331C"/>
    <w:rsid w:val="00844517"/>
    <w:rsid w:val="008531BB"/>
    <w:rsid w:val="0086143E"/>
    <w:rsid w:val="00873384"/>
    <w:rsid w:val="00882693"/>
    <w:rsid w:val="00883211"/>
    <w:rsid w:val="00884941"/>
    <w:rsid w:val="00884E1B"/>
    <w:rsid w:val="00892536"/>
    <w:rsid w:val="008A5209"/>
    <w:rsid w:val="008B36D8"/>
    <w:rsid w:val="008C3319"/>
    <w:rsid w:val="008E764A"/>
    <w:rsid w:val="008E7F72"/>
    <w:rsid w:val="008F4CD0"/>
    <w:rsid w:val="008F7082"/>
    <w:rsid w:val="00900716"/>
    <w:rsid w:val="009021F6"/>
    <w:rsid w:val="009041D4"/>
    <w:rsid w:val="0091024F"/>
    <w:rsid w:val="00912450"/>
    <w:rsid w:val="00921C6A"/>
    <w:rsid w:val="00931268"/>
    <w:rsid w:val="00933F86"/>
    <w:rsid w:val="00942056"/>
    <w:rsid w:val="00945AC2"/>
    <w:rsid w:val="0095127B"/>
    <w:rsid w:val="009561EB"/>
    <w:rsid w:val="00956EB3"/>
    <w:rsid w:val="00957AC4"/>
    <w:rsid w:val="009749F3"/>
    <w:rsid w:val="00975DE9"/>
    <w:rsid w:val="00991159"/>
    <w:rsid w:val="009B3597"/>
    <w:rsid w:val="009B4C40"/>
    <w:rsid w:val="009C05DA"/>
    <w:rsid w:val="009C3F3E"/>
    <w:rsid w:val="009C4E0B"/>
    <w:rsid w:val="009E30EE"/>
    <w:rsid w:val="009E3392"/>
    <w:rsid w:val="009E6BDF"/>
    <w:rsid w:val="009F705E"/>
    <w:rsid w:val="00A01BD3"/>
    <w:rsid w:val="00A12506"/>
    <w:rsid w:val="00A12985"/>
    <w:rsid w:val="00A2063B"/>
    <w:rsid w:val="00A22341"/>
    <w:rsid w:val="00A2326B"/>
    <w:rsid w:val="00A4278A"/>
    <w:rsid w:val="00A464A8"/>
    <w:rsid w:val="00A4765F"/>
    <w:rsid w:val="00A50D4D"/>
    <w:rsid w:val="00A51331"/>
    <w:rsid w:val="00A52CCE"/>
    <w:rsid w:val="00A53DF3"/>
    <w:rsid w:val="00A552A4"/>
    <w:rsid w:val="00A613FC"/>
    <w:rsid w:val="00A62843"/>
    <w:rsid w:val="00A76AD5"/>
    <w:rsid w:val="00A77CFC"/>
    <w:rsid w:val="00A84413"/>
    <w:rsid w:val="00AA076E"/>
    <w:rsid w:val="00AA183F"/>
    <w:rsid w:val="00AA2D30"/>
    <w:rsid w:val="00AA4FA3"/>
    <w:rsid w:val="00AB22FB"/>
    <w:rsid w:val="00AB2568"/>
    <w:rsid w:val="00AB5037"/>
    <w:rsid w:val="00AD114A"/>
    <w:rsid w:val="00AD16AA"/>
    <w:rsid w:val="00AE64CE"/>
    <w:rsid w:val="00AF6CD5"/>
    <w:rsid w:val="00B12F8D"/>
    <w:rsid w:val="00B1412D"/>
    <w:rsid w:val="00B14C91"/>
    <w:rsid w:val="00B16039"/>
    <w:rsid w:val="00B20854"/>
    <w:rsid w:val="00B21462"/>
    <w:rsid w:val="00B45105"/>
    <w:rsid w:val="00B4546B"/>
    <w:rsid w:val="00B511DC"/>
    <w:rsid w:val="00B63125"/>
    <w:rsid w:val="00B63554"/>
    <w:rsid w:val="00B73A54"/>
    <w:rsid w:val="00B76F99"/>
    <w:rsid w:val="00B814D3"/>
    <w:rsid w:val="00B84601"/>
    <w:rsid w:val="00BA4C18"/>
    <w:rsid w:val="00BB09A2"/>
    <w:rsid w:val="00BB2673"/>
    <w:rsid w:val="00BB4F63"/>
    <w:rsid w:val="00BC3AD1"/>
    <w:rsid w:val="00BC502B"/>
    <w:rsid w:val="00BD13EA"/>
    <w:rsid w:val="00BD1BD7"/>
    <w:rsid w:val="00BD4DCB"/>
    <w:rsid w:val="00BD7EC4"/>
    <w:rsid w:val="00BE2EA9"/>
    <w:rsid w:val="00BE31B9"/>
    <w:rsid w:val="00BE3CA8"/>
    <w:rsid w:val="00BE5AEC"/>
    <w:rsid w:val="00BF5F52"/>
    <w:rsid w:val="00BF7ECA"/>
    <w:rsid w:val="00C0148A"/>
    <w:rsid w:val="00C02DAC"/>
    <w:rsid w:val="00C07F17"/>
    <w:rsid w:val="00C1413F"/>
    <w:rsid w:val="00C333F6"/>
    <w:rsid w:val="00C44311"/>
    <w:rsid w:val="00C44CD4"/>
    <w:rsid w:val="00C61382"/>
    <w:rsid w:val="00C64C0F"/>
    <w:rsid w:val="00C67B41"/>
    <w:rsid w:val="00C7169C"/>
    <w:rsid w:val="00C7228D"/>
    <w:rsid w:val="00C76D80"/>
    <w:rsid w:val="00C91868"/>
    <w:rsid w:val="00C925BE"/>
    <w:rsid w:val="00C93061"/>
    <w:rsid w:val="00C94027"/>
    <w:rsid w:val="00C95C90"/>
    <w:rsid w:val="00CA2E43"/>
    <w:rsid w:val="00CA48FE"/>
    <w:rsid w:val="00CB18E5"/>
    <w:rsid w:val="00CB3B9F"/>
    <w:rsid w:val="00CD0566"/>
    <w:rsid w:val="00CD18E0"/>
    <w:rsid w:val="00CD2F60"/>
    <w:rsid w:val="00CD453F"/>
    <w:rsid w:val="00CE18BC"/>
    <w:rsid w:val="00CF211C"/>
    <w:rsid w:val="00CF59C2"/>
    <w:rsid w:val="00D05F44"/>
    <w:rsid w:val="00D12628"/>
    <w:rsid w:val="00D213CF"/>
    <w:rsid w:val="00D2793E"/>
    <w:rsid w:val="00D319C8"/>
    <w:rsid w:val="00D3374F"/>
    <w:rsid w:val="00D54062"/>
    <w:rsid w:val="00D571D0"/>
    <w:rsid w:val="00D57FE0"/>
    <w:rsid w:val="00D626FF"/>
    <w:rsid w:val="00D64798"/>
    <w:rsid w:val="00D67AD9"/>
    <w:rsid w:val="00D76409"/>
    <w:rsid w:val="00D778C0"/>
    <w:rsid w:val="00D85D6F"/>
    <w:rsid w:val="00D93A2D"/>
    <w:rsid w:val="00D93E91"/>
    <w:rsid w:val="00DA0C7E"/>
    <w:rsid w:val="00DA1634"/>
    <w:rsid w:val="00DA3157"/>
    <w:rsid w:val="00DA47B4"/>
    <w:rsid w:val="00DA507B"/>
    <w:rsid w:val="00DC194D"/>
    <w:rsid w:val="00DC7350"/>
    <w:rsid w:val="00DE218D"/>
    <w:rsid w:val="00DE243C"/>
    <w:rsid w:val="00DE777D"/>
    <w:rsid w:val="00DF02D5"/>
    <w:rsid w:val="00DF17E3"/>
    <w:rsid w:val="00E01128"/>
    <w:rsid w:val="00E12C17"/>
    <w:rsid w:val="00E14054"/>
    <w:rsid w:val="00E17202"/>
    <w:rsid w:val="00E17EB6"/>
    <w:rsid w:val="00E25124"/>
    <w:rsid w:val="00E26F70"/>
    <w:rsid w:val="00E35625"/>
    <w:rsid w:val="00E37F8D"/>
    <w:rsid w:val="00E45B1C"/>
    <w:rsid w:val="00E50DC6"/>
    <w:rsid w:val="00E5630B"/>
    <w:rsid w:val="00E607CA"/>
    <w:rsid w:val="00E62813"/>
    <w:rsid w:val="00E64E85"/>
    <w:rsid w:val="00E7494D"/>
    <w:rsid w:val="00E84B71"/>
    <w:rsid w:val="00E86740"/>
    <w:rsid w:val="00E93ABB"/>
    <w:rsid w:val="00E96F5A"/>
    <w:rsid w:val="00EA5E09"/>
    <w:rsid w:val="00EB7417"/>
    <w:rsid w:val="00EC3EEF"/>
    <w:rsid w:val="00ED01EF"/>
    <w:rsid w:val="00ED1649"/>
    <w:rsid w:val="00ED2FEF"/>
    <w:rsid w:val="00EE2E18"/>
    <w:rsid w:val="00EF0DB0"/>
    <w:rsid w:val="00EF7680"/>
    <w:rsid w:val="00EF7AA2"/>
    <w:rsid w:val="00EF7F68"/>
    <w:rsid w:val="00F06A1E"/>
    <w:rsid w:val="00F103B0"/>
    <w:rsid w:val="00F141D7"/>
    <w:rsid w:val="00F144DA"/>
    <w:rsid w:val="00F154B1"/>
    <w:rsid w:val="00F17E23"/>
    <w:rsid w:val="00F21F0D"/>
    <w:rsid w:val="00F2361E"/>
    <w:rsid w:val="00F34249"/>
    <w:rsid w:val="00F53585"/>
    <w:rsid w:val="00F611A5"/>
    <w:rsid w:val="00F71BCC"/>
    <w:rsid w:val="00F90022"/>
    <w:rsid w:val="00F90B58"/>
    <w:rsid w:val="00F9690D"/>
    <w:rsid w:val="00FA00CA"/>
    <w:rsid w:val="00FA2808"/>
    <w:rsid w:val="00FA2E35"/>
    <w:rsid w:val="00FA6B93"/>
    <w:rsid w:val="00FB528E"/>
    <w:rsid w:val="00FB5F29"/>
    <w:rsid w:val="00FC323B"/>
    <w:rsid w:val="00FD1283"/>
    <w:rsid w:val="00FE0B82"/>
    <w:rsid w:val="00FE0C1A"/>
    <w:rsid w:val="00FE1A5E"/>
    <w:rsid w:val="00FF0DA1"/>
    <w:rsid w:val="00FF4FD2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07AE"/>
  <w15:chartTrackingRefBased/>
  <w15:docId w15:val="{AD738FB8-FA71-49CD-BF82-376957C3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6F9C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16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1634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A163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54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B2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B29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54B29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B2146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5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katerini.pantazatou@uni.l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EF4AE-2BBA-48AF-A591-7BAFFDE4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Pantazatou</dc:creator>
  <cp:keywords/>
  <dc:description/>
  <cp:lastModifiedBy>Katerina Pantazatou</cp:lastModifiedBy>
  <cp:revision>2</cp:revision>
  <dcterms:created xsi:type="dcterms:W3CDTF">2024-11-04T10:28:00Z</dcterms:created>
  <dcterms:modified xsi:type="dcterms:W3CDTF">2024-11-04T10:28:00Z</dcterms:modified>
</cp:coreProperties>
</file>