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F0F0" w14:textId="37102A17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A -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racial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066033">
        <w:rPr>
          <w:rFonts w:ascii="Times New Roman" w:hAnsi="Times New Roman" w:cs="Times New Roman"/>
          <w:sz w:val="24"/>
          <w:szCs w:val="24"/>
        </w:rPr>
        <w:t xml:space="preserve">(HH)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 w:rsidR="00DE535D"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535D" w:rsidRPr="003F4B15"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 w:rsidR="00DE535D" w:rsidRPr="003F4B15">
        <w:rPr>
          <w:rFonts w:ascii="Times New Roman" w:hAnsi="Times New Roman" w:cs="Times New Roman"/>
          <w:sz w:val="24"/>
          <w:szCs w:val="24"/>
        </w:rPr>
        <w:t>)</w:t>
      </w:r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r w:rsidR="00DE535D" w:rsidRPr="003F4B15">
        <w:rPr>
          <w:rFonts w:ascii="Times New Roman" w:hAnsi="Times New Roman" w:cs="Times New Roman"/>
          <w:sz w:val="24"/>
          <w:szCs w:val="24"/>
        </w:rPr>
        <w:t xml:space="preserve">PNAD 2015 </w:t>
      </w:r>
      <w:proofErr w:type="spellStart"/>
      <w:r w:rsidR="00DE535D"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E535D" w:rsidRPr="003F4B1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7220" w:type="dxa"/>
        <w:tblLook w:val="04A0" w:firstRow="1" w:lastRow="0" w:firstColumn="1" w:lastColumn="0" w:noHBand="0" w:noVBand="1"/>
      </w:tblPr>
      <w:tblGrid>
        <w:gridCol w:w="340"/>
        <w:gridCol w:w="2380"/>
        <w:gridCol w:w="2260"/>
        <w:gridCol w:w="2260"/>
        <w:gridCol w:w="2260"/>
        <w:gridCol w:w="2260"/>
        <w:gridCol w:w="2260"/>
        <w:gridCol w:w="2260"/>
        <w:gridCol w:w="940"/>
      </w:tblGrid>
      <w:tr w:rsidR="004A512C" w:rsidRPr="004A512C" w14:paraId="0D0C98BB" w14:textId="77777777" w:rsidTr="004A512C">
        <w:trPr>
          <w:trHeight w:val="260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FB47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bookmarkStart w:id="0" w:name="RANGE!B1:J32"/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  <w:bookmarkEnd w:id="0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276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721F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Brown-HH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DEDF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Black-HH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3D1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BrownBlack-HH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BB0C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WhiteMixed-HH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301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White-HH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B69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All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2BA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2155F8A7" w14:textId="77777777" w:rsidTr="004A512C">
        <w:trPr>
          <w:trHeight w:val="28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BFE3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PNAD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4A4B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18,221,750 (33.5%)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F589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3,595,500 (6.6%)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78D5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2,175,450 (4.0%)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5808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9,821,150 (18.1%)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0403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20,564,850 (37.8%)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C45F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54,378,700 (100.0%)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5C3D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4A512C" w:rsidRPr="004A512C" w14:paraId="57F5E33E" w14:textId="77777777" w:rsidTr="004A512C">
        <w:trPr>
          <w:trHeight w:val="2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DC5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9586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E3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48.1 ± 15.8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99A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50.3 ± 16.1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FFD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43.9 ± 13.6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3D8F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44.9 ± 13.8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6619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51.5 ± 16.1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B38C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48.8 ± 15.7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BA8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64B1787E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BAF7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6DC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0C9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7.5 ± 4.4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E2C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7.6 ± 4.5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2078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7.9 ± 3.9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7210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8.9 ± 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AEDB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9.8 ± 4.6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EA66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8.7 ± 4.5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383B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0A438D2B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878A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88B4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43E5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2198.6 ± 2531.1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931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2120.2 ± 2138.7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0444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2429.3 ± 2419.9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5C7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3258.7 ± 3731.8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2F57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4238.2 ± 5788.3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F542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3158.8 ± 4315.0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B72E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59828179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532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209A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87F7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DC7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2.8 ± 1.7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D5C3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3.7 ± 1.5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845C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F22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2.7 ± 1.3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7FDA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FBA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242ED972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DDB3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D7A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39DB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59DE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700B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2E12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4F80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E4D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4B98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743F464C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8BCF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6EFD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B818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753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34.2%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113F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8074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B339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55.3%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D03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62.9%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AF6E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4B10A4D6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8C2E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E3F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B88F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7C4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ADF1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F02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726E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07A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005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075A4F19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704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0E32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8582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B382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CB1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C2D1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B4E3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51D1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9547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18AC2812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91AE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82F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FE0A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329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0B0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9.1%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A1A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4D4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2.1%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780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B941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16D81C1A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9F07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BBCD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9086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38.2%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585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33.6%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FF2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39.3%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DE9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4BB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10.9%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3A5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25.5%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0340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60FF2309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D01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DB02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07F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35.4%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D024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DCB3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39.5%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D4D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45.0%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918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37B1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68D1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485AC014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0A4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2E5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7BF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152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C9CD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3.7%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A5FC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9A73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29.0%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CDD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15.6%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3770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4A4D7369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AC5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C313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9FFF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D53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A609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B1F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D39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BAAD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6887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0ED30CB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16FB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A0E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036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33F3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CEED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330A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E576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BD10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DCAE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49D18822" w14:textId="77777777" w:rsidTr="004A512C">
        <w:trPr>
          <w:trHeight w:val="26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5BCC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POF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800B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22,499,599 (33.2%)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1932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5,007,470 (7.4%)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70AF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3,051,440 (4.5%)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DAB9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12,513,905 (18.5%)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C4FE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24,664,906 (36.4%)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1B2E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67,737,321 (100.0%)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7F51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4A512C" w:rsidRPr="004A512C" w14:paraId="1D570432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05CF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B36B0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DD84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DE0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C85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1BE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86CB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0B09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0BC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C57203F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A92A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702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1F8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48.7 ± 15.7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515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49.7 ± 16.0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0FE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44.0 ± 13.5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067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45.6 ± 13.5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3BC8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52.5 ± 15.8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41F3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49.4 ± 15.5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811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2DCBB8ED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CFE2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31B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4C9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7.7 ± 4.6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245B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7.9 ± 4.7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AAB1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8.2 ± 4.1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38BF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9.2 ± 4.1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7C6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10.1 ± 4.6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AC7C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8.9 ± 4.6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DE80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522D8D3C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2826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21A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6FA9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3651.6 ± 4927.9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7E3B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3433.9 ± 3306.4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7EF8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4029.4 ± 4723.9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CADC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5424.1 ± 7922.5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DF0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7610.5 ± 11495.1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BE60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5421.5 ± 8529.4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585D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09F2B38C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00CB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959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9718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59C3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2.9 ± 1.6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7B99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3.7 ± 1.5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778C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1102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2.7 ± 1.3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B7C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B157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65CAC7A2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EC25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9F6A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646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2799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E6D1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C93A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53D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53C8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676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EEAB2FD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9722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C6BD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25A7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8F7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35.3%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CAE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31DD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BE9D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55.5%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5B95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63.1%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3095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4C184F8D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15FF6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483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E5CB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8BB1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3C6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DEE5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E300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C9B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7983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5390001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A39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FFF9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D1EB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458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5121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442E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7F23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2D37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810C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7522B5DE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2126A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91D2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9D2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FDE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7D3D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5D76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5B2E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41D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14FE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20D5C49A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7EFE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B13E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7A4D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38.8%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AB16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32.8%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ACB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38.4%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566C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F37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11.2%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32D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93F7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6C713F4B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41D4A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4757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AA74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33.8%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F205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46.5%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948A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37.2%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29B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D9B9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7728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43.5%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BFF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1BCF25D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6150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2C12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EEA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6.0%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580E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7.9%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F81B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F911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11.9%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CCEE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29.3%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67A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15.6%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706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2CCE9AD2" w14:textId="77777777" w:rsidTr="004A512C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B68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EDC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2D73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9.1%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7F5A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6.5%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723C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10.2%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D16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9.6%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322B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5.3%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3B8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4FA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0F444C3D" w14:textId="77777777" w:rsidTr="004A512C">
        <w:trPr>
          <w:trHeight w:val="100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6412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D7CD6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ADC2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CD02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98DE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4CF4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1794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6EE3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C8D4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</w:tbl>
    <w:p w14:paraId="5E97883F" w14:textId="77777777" w:rsidR="004A512C" w:rsidRDefault="004A512C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FBEB9A" w14:textId="29FD3B20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Source</w:t>
      </w:r>
      <w:r w:rsidR="00DE535D" w:rsidRPr="003F4B1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r w:rsidRPr="003F4B15">
        <w:rPr>
          <w:rFonts w:ascii="Times New Roman" w:hAnsi="Times New Roman" w:cs="Times New Roman"/>
          <w:i/>
          <w:sz w:val="24"/>
          <w:szCs w:val="24"/>
        </w:rPr>
        <w:t xml:space="preserve">Pesquisa Nacional por Amostra de Domicílios </w:t>
      </w:r>
      <w:r w:rsidRPr="003F4B15">
        <w:rPr>
          <w:rFonts w:ascii="Times New Roman" w:hAnsi="Times New Roman" w:cs="Times New Roman"/>
          <w:sz w:val="24"/>
          <w:szCs w:val="24"/>
        </w:rPr>
        <w:t xml:space="preserve">(PNAD, 2015), &amp; </w:t>
      </w:r>
      <w:r w:rsidRPr="003F4B15">
        <w:rPr>
          <w:rFonts w:ascii="Times New Roman" w:hAnsi="Times New Roman" w:cs="Times New Roman"/>
          <w:i/>
          <w:sz w:val="24"/>
          <w:szCs w:val="24"/>
        </w:rPr>
        <w:t>Pesquisa de Orçamentos Familiares</w:t>
      </w:r>
      <w:r w:rsidRPr="003F4B15">
        <w:rPr>
          <w:rFonts w:ascii="Times New Roman" w:hAnsi="Times New Roman" w:cs="Times New Roman"/>
          <w:sz w:val="24"/>
          <w:szCs w:val="24"/>
        </w:rPr>
        <w:t xml:space="preserve"> (POF, 2017-2018).</w:t>
      </w:r>
      <w:r w:rsidRPr="003F4B15">
        <w:rPr>
          <w:rFonts w:ascii="Times New Roman" w:hAnsi="Times New Roman" w:cs="Times New Roman"/>
          <w:sz w:val="24"/>
          <w:szCs w:val="24"/>
        </w:rPr>
        <w:br w:type="page"/>
      </w:r>
    </w:p>
    <w:p w14:paraId="6A8A686E" w14:textId="23DC3DE4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B -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066033">
        <w:rPr>
          <w:rFonts w:ascii="Times New Roman" w:hAnsi="Times New Roman" w:cs="Times New Roman"/>
          <w:sz w:val="24"/>
          <w:szCs w:val="24"/>
        </w:rPr>
        <w:t xml:space="preserve">(HH) </w:t>
      </w:r>
      <w:r w:rsidRPr="003F4B15">
        <w:rPr>
          <w:rFonts w:ascii="Times New Roman" w:hAnsi="Times New Roman" w:cs="Times New Roman"/>
          <w:sz w:val="24"/>
          <w:szCs w:val="24"/>
        </w:rPr>
        <w:t xml:space="preserve">racial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samples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), PNAD 2015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00" w:type="dxa"/>
        <w:tblLook w:val="04A0" w:firstRow="1" w:lastRow="0" w:firstColumn="1" w:lastColumn="0" w:noHBand="0" w:noVBand="1"/>
      </w:tblPr>
      <w:tblGrid>
        <w:gridCol w:w="272"/>
        <w:gridCol w:w="2500"/>
        <w:gridCol w:w="2380"/>
        <w:gridCol w:w="2380"/>
        <w:gridCol w:w="2380"/>
        <w:gridCol w:w="2380"/>
        <w:gridCol w:w="1060"/>
      </w:tblGrid>
      <w:tr w:rsidR="004A512C" w:rsidRPr="004A512C" w14:paraId="2CD59B59" w14:textId="77777777" w:rsidTr="004A512C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84B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DDB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94D4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BlackBrown-HH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A06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WhiteMixed-HH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1349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B159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All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7228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7C1FC897" w14:textId="77777777" w:rsidTr="004A512C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55F2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PNAD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123E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23,992,700 (44.1%)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A431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9,821,150 (18.1%)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D50E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20,564,850 (37.8%)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49B0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54,378,700 (100.0%)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D67B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4A512C" w:rsidRPr="004A512C" w14:paraId="109D60F1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F3A2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68FD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9AC6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8088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C928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D998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6FBF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03D4114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CC88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6C29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4980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48.1 ± 15.7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93E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44.9 ± 13.8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C0C7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51.5 ± 16.1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6FB4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48.8 ± 15.7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1FE8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1474A52F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682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1F0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E838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7.6 ± 4.3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6AB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8.9 ± 4.0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1FF4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9.8 ± 4.6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B7E7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8.7 ± 4.5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E969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3C0CBEF9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1ACA0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86AF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59D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2207.8 ± 2467.2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997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3258.7 ± 3731.8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8C6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4238.2 ± 5788.3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8D53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3158.8 ± 4315.0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76F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73BC9353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721F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9DF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C936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3.1 ± 1.6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0B65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0A14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2.7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7903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5222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38C0D74D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D0D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47AFA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ED5D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46E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4BA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C3F2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0531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F76A8C5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06A0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870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71A7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F6D7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87D4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55.3%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BB67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62.9%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7FC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7D910043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5F3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3808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6F7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B5A8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DF6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2937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D0A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4496DE37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3FEA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3CB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AE6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381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9213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C45E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594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662C3644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7C86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F40B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2F36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10D3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5AE0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5C3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6.8%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A98F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654CE805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AC16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B033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7D4B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37.6%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821A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23A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10.9%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8D6A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25.5%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A13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7C0F4CD9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E4A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9B68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C4D6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37.7%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26BF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45.0%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5C79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B1C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97F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1697D48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2AC6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9D73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C7A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5.5%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5ECE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DFE1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29.0%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47B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15.6%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F407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16C20B2D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821C0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A07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97C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C7CC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8D1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3A62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A67E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4EFA78D9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7E8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A28A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69B8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99CD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2449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D101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F430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C29866E" w14:textId="77777777" w:rsidTr="004A512C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AEBD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POF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7ACC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30,558,509 (45.1%)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BC4A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12,513,905 (18.5%)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31DC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24,664,906 (36.4%)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9DAC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67,737,321 (100.0%)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A86F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4A512C" w:rsidRPr="004A512C" w14:paraId="170CBB4D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700C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A65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7563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EE7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3D4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0918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F11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5BF96389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A386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3F4C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188A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48.4 ± 15.6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5124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45.6 ± 13.5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B78A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52.5 ± 15.8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608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49.4 ± 15.5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5E83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5789D634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C606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1CE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04FF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7.8 ± 4.6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96BB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9.2 ± 4.1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6E86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10.1 ± 4.6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FBBB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8.9 ± 4.6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07F8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24D4545F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798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14A4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BDF7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3653.6 ± 4681.9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7EE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5424.1 ± 7922.5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8E68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7610.5 ± 11495.1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123A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5421.5 ± 8529.4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2CB7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186E008C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5869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8628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7FC6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3.1 ± 1.6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E54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3AF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2.7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23C4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3.0 ± 1.5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014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46D67A36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C91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A1CB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975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4ABA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A93B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1B018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4FA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289A7E97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45B5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DED4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4D7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54.2%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5AF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B14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55.5%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2B9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63.1%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6132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625DC03A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72738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86A4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31FC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80A2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9B48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B59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C51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29CD5B4D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450FB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373D7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FE3F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1A9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5AD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A48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15CA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6206FBBC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4558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179C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A86E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11.1%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77A6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EC94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DAF0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7.2%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2C0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4A512C" w:rsidRPr="004A512C" w14:paraId="1431B01F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55CE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C98F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74AF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37.8%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35C3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6720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11.2%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1378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26.0%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B3C3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48F2B32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E5A32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0E33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92C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36.2%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4E89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44.6%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5C10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52.0%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DD0D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43.5%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C009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3D31C4FE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8F98C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A6EA4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349F1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6.1%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7D8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11.9%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0F10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29.3%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2B80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15.6%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B791A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2DD74519" w14:textId="77777777" w:rsidTr="004A512C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2981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7FC8D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07A07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8.8%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618FC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9.6%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96F76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5.3%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5DBA2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7.7%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A08E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4A512C" w:rsidRPr="004A512C" w14:paraId="7D4BDE24" w14:textId="77777777" w:rsidTr="004A512C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29DEF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1A919" w14:textId="77777777" w:rsidR="004A512C" w:rsidRPr="004A512C" w:rsidRDefault="004A512C" w:rsidP="004A512C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104AB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CCCC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86154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AC37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94795" w14:textId="77777777" w:rsidR="004A512C" w:rsidRPr="004A512C" w:rsidRDefault="004A512C" w:rsidP="004A512C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4A512C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</w:tbl>
    <w:p w14:paraId="36FBF7E4" w14:textId="77777777" w:rsidR="004A512C" w:rsidRPr="004A512C" w:rsidRDefault="004A512C" w:rsidP="00293A97">
      <w:pPr>
        <w:spacing w:line="480" w:lineRule="auto"/>
        <w:rPr>
          <w:rFonts w:ascii="Times New Roman" w:hAnsi="Times New Roman" w:cs="Times New Roman"/>
          <w:noProof/>
          <w:sz w:val="24"/>
          <w:szCs w:val="24"/>
          <w:lang w:val="en-LU"/>
        </w:rPr>
      </w:pPr>
    </w:p>
    <w:p w14:paraId="6D885E58" w14:textId="6EDD25B3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Source</w:t>
      </w:r>
      <w:r w:rsidR="00DE535D" w:rsidRPr="003F4B1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r w:rsidRPr="003F4B15">
        <w:rPr>
          <w:rFonts w:ascii="Times New Roman" w:hAnsi="Times New Roman" w:cs="Times New Roman"/>
          <w:i/>
          <w:sz w:val="24"/>
          <w:szCs w:val="24"/>
        </w:rPr>
        <w:t xml:space="preserve">Pesquisa Nacional por Amostra de Domicílios </w:t>
      </w:r>
      <w:r w:rsidRPr="003F4B15">
        <w:rPr>
          <w:rFonts w:ascii="Times New Roman" w:hAnsi="Times New Roman" w:cs="Times New Roman"/>
          <w:sz w:val="24"/>
          <w:szCs w:val="24"/>
        </w:rPr>
        <w:t xml:space="preserve">(PNAD, 2015), &amp; </w:t>
      </w:r>
      <w:r w:rsidRPr="003F4B15">
        <w:rPr>
          <w:rFonts w:ascii="Times New Roman" w:hAnsi="Times New Roman" w:cs="Times New Roman"/>
          <w:i/>
          <w:sz w:val="24"/>
          <w:szCs w:val="24"/>
        </w:rPr>
        <w:t>Pesquisa de Orçamentos Familiares</w:t>
      </w:r>
      <w:r w:rsidRPr="003F4B15">
        <w:rPr>
          <w:rFonts w:ascii="Times New Roman" w:hAnsi="Times New Roman" w:cs="Times New Roman"/>
          <w:sz w:val="24"/>
          <w:szCs w:val="24"/>
        </w:rPr>
        <w:t xml:space="preserve"> (POF, 2017-2018).</w:t>
      </w:r>
    </w:p>
    <w:p w14:paraId="23984CF5" w14:textId="77777777" w:rsidR="008405FE" w:rsidRPr="003F4B15" w:rsidRDefault="008405FE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CD1791" w14:textId="77777777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br w:type="page"/>
      </w:r>
    </w:p>
    <w:p w14:paraId="6B0DD0DE" w14:textId="597CCD49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C1 </w:t>
      </w:r>
      <w:r w:rsidR="004A111F">
        <w:rPr>
          <w:rFonts w:ascii="Times New Roman" w:hAnsi="Times New Roman" w:cs="Times New Roman"/>
          <w:sz w:val="24"/>
          <w:szCs w:val="24"/>
        </w:rPr>
        <w:t>–</w:t>
      </w:r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066033">
        <w:rPr>
          <w:rFonts w:ascii="Times New Roman" w:hAnsi="Times New Roman" w:cs="Times New Roman"/>
          <w:sz w:val="24"/>
          <w:szCs w:val="24"/>
        </w:rPr>
        <w:t xml:space="preserve">(HH) </w:t>
      </w:r>
      <w:r w:rsidRPr="003F4B15">
        <w:rPr>
          <w:rFonts w:ascii="Times New Roman" w:hAnsi="Times New Roman" w:cs="Times New Roman"/>
          <w:sz w:val="24"/>
          <w:szCs w:val="24"/>
        </w:rPr>
        <w:t xml:space="preserve">racial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couple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), PNAD 2015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00" w:type="dxa"/>
        <w:tblLook w:val="04A0" w:firstRow="1" w:lastRow="0" w:firstColumn="1" w:lastColumn="0" w:noHBand="0" w:noVBand="1"/>
      </w:tblPr>
      <w:tblGrid>
        <w:gridCol w:w="272"/>
        <w:gridCol w:w="2500"/>
        <w:gridCol w:w="2380"/>
        <w:gridCol w:w="2380"/>
        <w:gridCol w:w="2380"/>
        <w:gridCol w:w="2380"/>
        <w:gridCol w:w="1060"/>
      </w:tblGrid>
      <w:tr w:rsidR="00157C5A" w:rsidRPr="00157C5A" w14:paraId="3AEFD3EA" w14:textId="77777777" w:rsidTr="00157C5A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4E0F4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C0AB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A134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BlackBrown-HH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26C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WhiteMixed-HH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3D7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E4D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All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0600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11352094" w14:textId="77777777" w:rsidTr="00157C5A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191C6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PNAD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223A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13,032,400 (38.1%)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DDB5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9,821,150 (28.7%)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54CA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11,372,750 (33.2%)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9D87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34,226,300 (100.0%)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32AF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157C5A" w:rsidRPr="00157C5A" w14:paraId="52330E00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F7A2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CE57B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80F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B6E8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D85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42F2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2228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582E9242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CECF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CA1B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DFD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44.5 ± 14.0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FB1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44.9 ± 13.8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A65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48.3 ± 14.6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1B46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45.9 ± 14.2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3520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366B8755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DE544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11BC5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34C0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7.9 ± 4.0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8A5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8.9 ± 4.0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4275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10.3 ± 4.1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23B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9.0 ± 4.1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5585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535E9AC2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38D6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FB9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BE4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2474.1 ± 2677.5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739A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3258.7 ± 3731.8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8F2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5214.9 ± 6666.5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D3EF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3600.7 ± 4768.7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625A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51AFE017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D55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BAA9D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D44B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3.7 ± 1.5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029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455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3.2 ± 1.1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85A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22A5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7DFF42BF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B5E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7B05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06FE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630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D3F5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47B0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05D7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35525B07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09E6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8FF53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7F84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DAA6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F9BC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89B2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04C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--</w:t>
            </w:r>
          </w:p>
        </w:tc>
      </w:tr>
      <w:tr w:rsidR="00157C5A" w:rsidRPr="00157C5A" w14:paraId="5C658EB2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AEFE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13BC8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F29D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8F9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33C1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6530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CA86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5120F15B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0389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420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482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F0E2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F67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1F63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F84A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7AB23828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7FF1B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2A0D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905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12.0%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BFA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6.8%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39C1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1.5%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04C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A783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6A55BC84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4B7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A0F71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46C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39.3%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38B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E10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8F47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25.3%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6EC5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7E40C795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DF7E8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C64F5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F79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35.6%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BA3C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45.0%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1B2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52.2%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5C68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43.8%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5D4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34CAE5AF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587F5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D79F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D399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6AE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12.4%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6B2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33.1%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83DA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16.4%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1A16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5E79D49B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A338D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A547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974B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EE40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F854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9351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55DB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44F65EF6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E19F3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386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7E1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003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3F8E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7A6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75E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4C66CE82" w14:textId="77777777" w:rsidTr="00157C5A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5CBC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POF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64A1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16,450,624 (38.6%)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3FBF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12,513,905 (29.4%)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5F66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13,605,709 (32.0%)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A34F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42,570,238 (100.0%)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FC5D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157C5A" w:rsidRPr="00157C5A" w14:paraId="2A613A57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D2A8B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5DDC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04F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298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26AF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F7B6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CBD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11A8C3E9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E99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9BC86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12A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45.0 ± 13.8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296C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45.6 ± 13.5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FA27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50.0 ± 14.4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9C5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46.8 ± 14.1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07F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2834331A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07D11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AAA3B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HH-Education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13D9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8.0 ± 4.2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F2B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9.2 ± 4.1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9EA9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10.6 ± 4.2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86D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9.2 ± 4.3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5EBC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76236D22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2A2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40B1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HH-Income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844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4082.7 ± 5470.2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906D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5424.1 ± 7922.5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8FDD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9447.5 ± 13697.9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DF0E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6191.6 ± 9759.9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92D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2BF11171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EB24E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250A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HH-Number of Persons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8CE2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3.7 ± 1.5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2F4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3.5 ± 1.3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1F8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3.1 ± 1.1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E11E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3.4 ± 1.3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1839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0C0A20CD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E5A1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43991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12E9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62D0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B3AC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A526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769F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7F3DD8EE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FEA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F71D7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Presence of Spouse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F1F1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8BB5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56A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86B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100.0%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19F0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--</w:t>
            </w:r>
          </w:p>
        </w:tc>
      </w:tr>
      <w:tr w:rsidR="00157C5A" w:rsidRPr="00157C5A" w14:paraId="45CEBF85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80E10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028FE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1866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EA82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61F4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018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44EC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403FC99D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36F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9AC5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Geographic Region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520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4D36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F8EA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944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4578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11DF3965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65C8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C436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F356B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12.5%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10FA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17173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1.7%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1A1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727D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57C5A" w:rsidRPr="00157C5A" w14:paraId="3499D4F1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9A19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3B9F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North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43DF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38.6%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381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26.6%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8C52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8.5%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84D7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25.4%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7FDA1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3ABBFD2A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F806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9A2D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 East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8254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35.0%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C2B6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44.6%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AEBD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51.4%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3DB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43.1%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E57D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48B185A7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C00FC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E9D62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South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B0A4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5.3%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D36C2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11.9%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664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33.7%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2754D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16.3%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FE1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21D00AA8" w14:textId="77777777" w:rsidTr="00157C5A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12957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BC7FE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 xml:space="preserve">   Central West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44FD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8.6%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9D0A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9.6%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D54AF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4.8%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A56E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7.7%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51700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57C5A" w:rsidRPr="00157C5A" w14:paraId="32030776" w14:textId="77777777" w:rsidTr="00157C5A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59696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EE43D" w14:textId="77777777" w:rsidR="00157C5A" w:rsidRPr="00157C5A" w:rsidRDefault="00157C5A" w:rsidP="00157C5A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6D9A5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84E7C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79FB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74A48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99056" w14:textId="77777777" w:rsidR="00157C5A" w:rsidRPr="00157C5A" w:rsidRDefault="00157C5A" w:rsidP="00157C5A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57C5A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</w:tbl>
    <w:p w14:paraId="2DEDB419" w14:textId="39421A00" w:rsidR="00240376" w:rsidRPr="003F4B15" w:rsidRDefault="00240376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74C61F" w14:textId="7F25F962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Source</w:t>
      </w:r>
      <w:r w:rsidR="00DE535D" w:rsidRPr="003F4B1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r w:rsidRPr="003F4B15">
        <w:rPr>
          <w:rFonts w:ascii="Times New Roman" w:hAnsi="Times New Roman" w:cs="Times New Roman"/>
          <w:i/>
          <w:sz w:val="24"/>
          <w:szCs w:val="24"/>
        </w:rPr>
        <w:t xml:space="preserve">Pesquisa Nacional por Amostra de Domicílios </w:t>
      </w:r>
      <w:r w:rsidRPr="003F4B15">
        <w:rPr>
          <w:rFonts w:ascii="Times New Roman" w:hAnsi="Times New Roman" w:cs="Times New Roman"/>
          <w:sz w:val="24"/>
          <w:szCs w:val="24"/>
        </w:rPr>
        <w:t xml:space="preserve">(PNAD, 2015), &amp; </w:t>
      </w:r>
      <w:r w:rsidRPr="003F4B15">
        <w:rPr>
          <w:rFonts w:ascii="Times New Roman" w:hAnsi="Times New Roman" w:cs="Times New Roman"/>
          <w:i/>
          <w:sz w:val="24"/>
          <w:szCs w:val="24"/>
        </w:rPr>
        <w:t>Pesquisa de Orçamentos Familiares</w:t>
      </w:r>
      <w:r w:rsidRPr="003F4B15">
        <w:rPr>
          <w:rFonts w:ascii="Times New Roman" w:hAnsi="Times New Roman" w:cs="Times New Roman"/>
          <w:sz w:val="24"/>
          <w:szCs w:val="24"/>
        </w:rPr>
        <w:t xml:space="preserve"> (POF, 2017-2018).</w:t>
      </w:r>
    </w:p>
    <w:p w14:paraId="0BE14970" w14:textId="77777777" w:rsidR="008405FE" w:rsidRPr="003F4B15" w:rsidRDefault="008405FE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CB0DAD" w14:textId="77777777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br w:type="page"/>
      </w:r>
    </w:p>
    <w:p w14:paraId="74D88454" w14:textId="456547B5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C2 -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066033">
        <w:rPr>
          <w:rFonts w:ascii="Times New Roman" w:hAnsi="Times New Roman" w:cs="Times New Roman"/>
          <w:sz w:val="24"/>
          <w:szCs w:val="24"/>
        </w:rPr>
        <w:t xml:space="preserve">(HH) </w:t>
      </w:r>
      <w:r w:rsidRPr="003F4B15">
        <w:rPr>
          <w:rFonts w:ascii="Times New Roman" w:hAnsi="Times New Roman" w:cs="Times New Roman"/>
          <w:sz w:val="24"/>
          <w:szCs w:val="24"/>
        </w:rPr>
        <w:t xml:space="preserve">racial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couple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), PNAD 2015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272"/>
        <w:gridCol w:w="2480"/>
        <w:gridCol w:w="2380"/>
        <w:gridCol w:w="2380"/>
        <w:gridCol w:w="2380"/>
        <w:gridCol w:w="2380"/>
        <w:gridCol w:w="1060"/>
      </w:tblGrid>
      <w:tr w:rsidR="001A0195" w:rsidRPr="001A0195" w14:paraId="0A1E221F" w14:textId="77777777" w:rsidTr="001A0195">
        <w:trPr>
          <w:trHeight w:val="260"/>
        </w:trPr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4B6F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95B3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CC98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BlackBrown-HH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0B18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WhiteMixed-HH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70E0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White-HH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5D7D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All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965A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A0195" w:rsidRPr="001A0195" w14:paraId="4571E8A9" w14:textId="77777777" w:rsidTr="001A0195">
        <w:trPr>
          <w:trHeight w:val="280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FC04D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PNAD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116ED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13,032,400 (38.1%)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94A7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9,821,150 (28.7%)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B15FE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11,372,750 (33.2%)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78BC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34,226,300 (100.0%)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A880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1A0195" w:rsidRPr="001A0195" w14:paraId="4C46A231" w14:textId="77777777" w:rsidTr="001A0195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76CFE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D1EB2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F6502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2EF77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99E3E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8D96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7DE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A0195" w:rsidRPr="001A0195" w14:paraId="4CF8AF23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91023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CDC7D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HH-Wealth Index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9614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-0.3 ± 1.1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61F7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0.1 ± 0.9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845B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0.5 ± 0.8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7DA4C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0.1 ± 1.0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E5467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242AF31D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3A2A2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327A6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HH-Number of Rooms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DC74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5.6 ± 1.7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A1D1E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5.9 ± 1.9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BCC9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6.6 ± 2.3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45CD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6.0 ± 2.0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3AE1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46DF9733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66F2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095C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Own Home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AF82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74.2%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E8898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73.8%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114C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80.1%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387E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76.1%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3C9F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1310C07F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84789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D1B99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Own Vehicle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8ABB3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57.9%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FDA2E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70.3%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DC9F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83.3%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854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69.9%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B7DA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724EF9EA" w14:textId="77777777" w:rsidTr="001A0195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58488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1851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3BD23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95CB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81C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5CB5F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7BCB4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A0195" w:rsidRPr="001A0195" w14:paraId="25F478B6" w14:textId="77777777" w:rsidTr="001A0195">
        <w:trPr>
          <w:trHeight w:val="260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66C82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POF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DA3A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16,450,624 (38.6%)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BEAC6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12,513,905 (29.4%)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A9541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13,605,709 (32.0%)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CCB09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42,570,238 (100.0%)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5EBD0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p-value</w:t>
            </w:r>
          </w:p>
        </w:tc>
      </w:tr>
      <w:tr w:rsidR="001A0195" w:rsidRPr="001A0195" w14:paraId="2C9B147D" w14:textId="77777777" w:rsidTr="001A0195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7920B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851E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19091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B4C9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6002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F029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0410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  <w:tr w:rsidR="001A0195" w:rsidRPr="001A0195" w14:paraId="64B77024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DD7AD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7E0A4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Property Tax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B06D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214.7 ± 372.4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E598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266.3 ± 420.6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9C132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490.3 ± 917.1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9839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361.3 ± 708.0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D7C53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64A5F66B" w14:textId="77777777" w:rsidTr="001A0195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F5CF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3F325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Estimated Rent (R$)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3B07A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506.3 ± 462.5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61096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679.2 ± 615.8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72348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1192.3 ± 1371.4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1645C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779.4 ± 944.1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0A2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&lt;0.001</w:t>
            </w:r>
          </w:p>
        </w:tc>
      </w:tr>
      <w:tr w:rsidR="001A0195" w:rsidRPr="001A0195" w14:paraId="2D94C09A" w14:textId="77777777" w:rsidTr="001A0195">
        <w:trPr>
          <w:trHeight w:val="10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B63ED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55B01" w14:textId="77777777" w:rsidR="001A0195" w:rsidRPr="001A0195" w:rsidRDefault="001A0195" w:rsidP="001A0195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12261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0EE7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8C4DD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51B43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3D665" w14:textId="77777777" w:rsidR="001A0195" w:rsidRPr="001A0195" w:rsidRDefault="001A0195" w:rsidP="001A01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</w:pPr>
            <w:r w:rsidRPr="001A0195">
              <w:rPr>
                <w:rFonts w:eastAsia="Times New Roman"/>
                <w:i/>
                <w:iCs/>
                <w:sz w:val="20"/>
                <w:szCs w:val="20"/>
                <w:lang w:val="en-LU" w:eastAsia="en-GB"/>
              </w:rPr>
              <w:t> </w:t>
            </w:r>
          </w:p>
        </w:tc>
      </w:tr>
    </w:tbl>
    <w:p w14:paraId="5E350AB6" w14:textId="3EAD9A9A" w:rsidR="00240376" w:rsidRPr="003F4B15" w:rsidRDefault="00240376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83669D" w14:textId="72D20C12" w:rsidR="003A5E45" w:rsidRPr="003F4B15" w:rsidRDefault="003A5E45" w:rsidP="00293A97">
      <w:pPr>
        <w:spacing w:line="480" w:lineRule="auto"/>
        <w:rPr>
          <w:rFonts w:ascii="Times New Roman" w:hAnsi="Times New Roman" w:cs="Times New Roman"/>
          <w:sz w:val="24"/>
          <w:szCs w:val="24"/>
          <w:lang w:val="fr-CH"/>
        </w:rPr>
      </w:pPr>
      <w:proofErr w:type="gramStart"/>
      <w:r w:rsidRPr="003F4B15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716757" w:rsidRPr="003F4B15">
        <w:rPr>
          <w:rFonts w:ascii="Times New Roman" w:hAnsi="Times New Roman" w:cs="Times New Roman"/>
          <w:sz w:val="24"/>
          <w:szCs w:val="24"/>
          <w:lang w:val="fr-CH"/>
        </w:rPr>
        <w:t>ource</w:t>
      </w:r>
      <w:r w:rsidR="00DE535D" w:rsidRPr="003F4B15">
        <w:rPr>
          <w:rFonts w:ascii="Times New Roman" w:hAnsi="Times New Roman" w:cs="Times New Roman"/>
          <w:sz w:val="24"/>
          <w:szCs w:val="24"/>
          <w:lang w:val="fr-CH"/>
        </w:rPr>
        <w:t>s</w:t>
      </w:r>
      <w:r w:rsidRPr="003F4B15">
        <w:rPr>
          <w:rFonts w:ascii="Times New Roman" w:hAnsi="Times New Roman" w:cs="Times New Roman"/>
          <w:sz w:val="24"/>
          <w:szCs w:val="24"/>
          <w:lang w:val="fr-CH"/>
        </w:rPr>
        <w:t>:</w:t>
      </w:r>
      <w:proofErr w:type="gramEnd"/>
      <w:r w:rsidRPr="003F4B1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Pesquisa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Nacional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por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Amostra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de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Domicílios</w:t>
      </w:r>
      <w:proofErr w:type="spellEnd"/>
      <w:r w:rsidRPr="003F4B15">
        <w:rPr>
          <w:rFonts w:ascii="Times New Roman" w:hAnsi="Times New Roman" w:cs="Times New Roman"/>
          <w:sz w:val="24"/>
          <w:szCs w:val="24"/>
          <w:lang w:val="fr-CH"/>
        </w:rPr>
        <w:t xml:space="preserve"> (PNAD, 2015) &amp;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Pesquisa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de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Orçamentos</w:t>
      </w:r>
      <w:proofErr w:type="spellEnd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proofErr w:type="spellStart"/>
      <w:r w:rsidRPr="003F4B15">
        <w:rPr>
          <w:rFonts w:ascii="Times New Roman" w:hAnsi="Times New Roman" w:cs="Times New Roman"/>
          <w:i/>
          <w:iCs/>
          <w:sz w:val="24"/>
          <w:szCs w:val="24"/>
          <w:lang w:val="fr-CH"/>
        </w:rPr>
        <w:t>Familiares</w:t>
      </w:r>
      <w:proofErr w:type="spellEnd"/>
      <w:r w:rsidRPr="003F4B15">
        <w:rPr>
          <w:rFonts w:ascii="Times New Roman" w:hAnsi="Times New Roman" w:cs="Times New Roman"/>
          <w:sz w:val="24"/>
          <w:szCs w:val="24"/>
          <w:lang w:val="fr-CH"/>
        </w:rPr>
        <w:t xml:space="preserve"> (POF, 2017-2018).</w:t>
      </w:r>
    </w:p>
    <w:p w14:paraId="0CB4A69D" w14:textId="4B043DB9" w:rsidR="003A5E45" w:rsidRPr="003F4B15" w:rsidRDefault="003A5E45" w:rsidP="00293A97">
      <w:pPr>
        <w:spacing w:line="48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3F4B15">
        <w:rPr>
          <w:rFonts w:ascii="Times New Roman" w:hAnsi="Times New Roman" w:cs="Times New Roman"/>
          <w:sz w:val="24"/>
          <w:szCs w:val="24"/>
          <w:lang w:val="fr-CH"/>
        </w:rPr>
        <w:br w:type="page"/>
      </w:r>
    </w:p>
    <w:p w14:paraId="541F5911" w14:textId="75EAC98C" w:rsidR="00D7196B" w:rsidRPr="001A0195" w:rsidRDefault="00D7196B" w:rsidP="004C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019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D –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Unadjusted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Proxies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Racial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Status of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(HH), PNAD 2015 </w:t>
      </w:r>
      <w:proofErr w:type="spellStart"/>
      <w:r w:rsidR="00D9459A" w:rsidRPr="001A01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9459A" w:rsidRPr="001A019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086C01" w:rsidRPr="001A0195">
        <w:rPr>
          <w:rFonts w:ascii="Times New Roman" w:hAnsi="Times New Roman" w:cs="Times New Roman"/>
          <w:sz w:val="24"/>
          <w:szCs w:val="24"/>
        </w:rPr>
        <w:t>.</w:t>
      </w:r>
    </w:p>
    <w:p w14:paraId="51A8D53D" w14:textId="77777777" w:rsidR="00D7196B" w:rsidRPr="001A0195" w:rsidRDefault="00D7196B" w:rsidP="00D7196B">
      <w:pPr>
        <w:rPr>
          <w:rFonts w:ascii="Times New Roman" w:hAnsi="Times New Roman" w:cs="Times New Roman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2280"/>
        <w:gridCol w:w="1548"/>
        <w:gridCol w:w="1572"/>
        <w:gridCol w:w="1880"/>
        <w:gridCol w:w="1880"/>
      </w:tblGrid>
      <w:tr w:rsidR="00D7196B" w:rsidRPr="001A0195" w14:paraId="5CB341B2" w14:textId="77777777" w:rsidTr="00BF3753">
        <w:trPr>
          <w:trHeight w:val="280"/>
        </w:trPr>
        <w:tc>
          <w:tcPr>
            <w:tcW w:w="2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96CD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RANGE!A1:E31"/>
            <w:r w:rsidRPr="001A0195">
              <w:rPr>
                <w:rFonts w:ascii="Times New Roman" w:hAnsi="Times New Roman" w:cs="Times New Roman"/>
                <w:b/>
                <w:bCs/>
              </w:rPr>
              <w:t>HH-</w:t>
            </w: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Race</w:t>
            </w:r>
            <w:proofErr w:type="spellEnd"/>
            <w:r w:rsidRP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Composition</w:t>
            </w:r>
            <w:bookmarkEnd w:id="1"/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21CB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195">
              <w:rPr>
                <w:rFonts w:ascii="Times New Roman" w:hAnsi="Times New Roman" w:cs="Times New Roman"/>
                <w:b/>
                <w:bCs/>
              </w:rPr>
              <w:t>Proxy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5A9A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Population</w:t>
            </w:r>
            <w:proofErr w:type="spellEnd"/>
            <w:r w:rsidRP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Mean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A0C1E" w14:textId="71659D49" w:rsidR="00D7196B" w:rsidRPr="001A0195" w:rsidRDefault="00086C01" w:rsidP="00BF37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Una</w:t>
            </w:r>
            <w:r w:rsidR="00D7196B" w:rsidRPr="001A0195">
              <w:rPr>
                <w:rFonts w:ascii="Times New Roman" w:hAnsi="Times New Roman" w:cs="Times New Roman"/>
                <w:b/>
                <w:bCs/>
              </w:rPr>
              <w:t>djusted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F80F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0195">
              <w:rPr>
                <w:rFonts w:ascii="Times New Roman" w:hAnsi="Times New Roman" w:cs="Times New Roman"/>
                <w:b/>
                <w:bCs/>
              </w:rPr>
              <w:t>Adjusted</w:t>
            </w:r>
            <w:proofErr w:type="spellEnd"/>
          </w:p>
        </w:tc>
      </w:tr>
      <w:tr w:rsidR="00D7196B" w:rsidRPr="001A0195" w14:paraId="54417E70" w14:textId="77777777" w:rsidTr="00BF3753">
        <w:trPr>
          <w:trHeight w:val="2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376F" w14:textId="2CA873F2" w:rsidR="00D7196B" w:rsidRPr="001A0195" w:rsidRDefault="008D6CF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="00066033"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6033"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77B2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Wealth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Index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B11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50B2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-0.32 [-0.33, -0.31]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8DA0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-0.01 [-0.02, 0.00]</w:t>
            </w:r>
          </w:p>
        </w:tc>
      </w:tr>
      <w:tr w:rsidR="00D7196B" w:rsidRPr="001A0195" w14:paraId="3A8938DF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6022" w14:textId="7CC11C97" w:rsidR="00D7196B" w:rsidRPr="001A0195" w:rsidRDefault="008D6CF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="00066033"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033"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6033"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0E33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F64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C674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-0.23 [-0.24, -0.22]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2905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-0.06 [-0.07, -0.05]</w:t>
            </w:r>
          </w:p>
        </w:tc>
      </w:tr>
      <w:tr w:rsidR="00D7196B" w:rsidRPr="001A0195" w14:paraId="14F5894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78ADE" w14:textId="32A04A6D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747E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E604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6B31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0.08 [0.07, 0.09]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D2A1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0.01 [0.00, 0.02]</w:t>
            </w:r>
          </w:p>
        </w:tc>
      </w:tr>
      <w:tr w:rsidR="00D7196B" w:rsidRPr="001A0195" w14:paraId="3FD6D0CA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05477" w14:textId="0F13C96F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33B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EEA0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A90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0.17 [0.16, 0.19]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21CC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0.06 [0.05, 0.07]</w:t>
            </w:r>
          </w:p>
        </w:tc>
      </w:tr>
      <w:tr w:rsidR="00D7196B" w:rsidRPr="001A0195" w14:paraId="3B22346E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4AEB3" w14:textId="389E794D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ED04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9506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DFE4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0.47 [0.46, 0.48]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167A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0.02 [0.01, 0.03]</w:t>
            </w:r>
          </w:p>
        </w:tc>
      </w:tr>
      <w:tr w:rsidR="00D7196B" w:rsidRPr="001A0195" w14:paraId="0D18D85F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33BB" w14:textId="15AC6D2F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  <w:r w:rsidR="008D6CF2"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699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Home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C6B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2242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0.73 [0.72, 0.73]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2D52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0.71 [0.71, 0.72]</w:t>
            </w:r>
          </w:p>
        </w:tc>
      </w:tr>
      <w:tr w:rsidR="00D7196B" w:rsidRPr="001A0195" w14:paraId="5E299A4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170C2" w14:textId="0256F9AB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F777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660B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934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0.75 [0.75, 0.76]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36D6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0.77 [0.76, 0.77]</w:t>
            </w:r>
          </w:p>
        </w:tc>
      </w:tr>
      <w:tr w:rsidR="00D7196B" w:rsidRPr="001A0195" w14:paraId="7A96F621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9205" w14:textId="2253B2FC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ED02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4A8F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A6C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0.74 [0.74, 0.75]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101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0.76 [0.76, 0.77]</w:t>
            </w:r>
          </w:p>
        </w:tc>
      </w:tr>
      <w:tr w:rsidR="00D7196B" w:rsidRPr="001A0195" w14:paraId="398BC967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3D89" w14:textId="5DE83E6D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E79D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4715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BE5D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0.74 [0.74, 0.75]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A33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0.71 [0.71, 0.72]</w:t>
            </w:r>
          </w:p>
        </w:tc>
      </w:tr>
      <w:tr w:rsidR="00D7196B" w:rsidRPr="001A0195" w14:paraId="58397FE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A4C62" w14:textId="3C7CFF1C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12EE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0616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67DD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0.81 [0.80, 0.81]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5C5F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0.80 [0.79, 0.80]</w:t>
            </w:r>
          </w:p>
        </w:tc>
      </w:tr>
      <w:tr w:rsidR="00D7196B" w:rsidRPr="001A0195" w14:paraId="54B8A7F6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CD0EE" w14:textId="74CF9967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818A6" w14:textId="0926CC52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6639E"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um. Of </w:t>
            </w:r>
            <w:proofErr w:type="spellStart"/>
            <w:r w:rsidR="0086639E" w:rsidRPr="001A0195">
              <w:rPr>
                <w:rFonts w:ascii="Times New Roman" w:hAnsi="Times New Roman" w:cs="Times New Roman"/>
                <w:sz w:val="20"/>
                <w:szCs w:val="20"/>
              </w:rPr>
              <w:t>Rooms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582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053F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5.20 [5.18, 5.22]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2F4D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5.54 [5.52, 5.56]</w:t>
            </w:r>
          </w:p>
        </w:tc>
      </w:tr>
      <w:tr w:rsidR="00D7196B" w:rsidRPr="001A0195" w14:paraId="0425BFA6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74DD" w14:textId="4F9CE94F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1CB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AC84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1912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5.56 [5.54, 5.58]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949E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5.68 [5.66, 5.70]</w:t>
            </w:r>
          </w:p>
        </w:tc>
      </w:tr>
      <w:tr w:rsidR="00D7196B" w:rsidRPr="001A0195" w14:paraId="0F6BA8F0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5FFC6" w14:textId="50572AF3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218C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E9AC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E5D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5.88 [5.85, 5.90]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2344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5.80 [5.78, 5.82]</w:t>
            </w:r>
          </w:p>
        </w:tc>
      </w:tr>
      <w:tr w:rsidR="00D7196B" w:rsidRPr="001A0195" w14:paraId="5DFA3A9C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B451" w14:textId="0F8CA991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499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9E83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F69D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5.81 [5.78, 5.84]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41D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5.78 [5.75, 5.81]</w:t>
            </w:r>
          </w:p>
        </w:tc>
      </w:tr>
      <w:tr w:rsidR="00D7196B" w:rsidRPr="001A0195" w14:paraId="222ADDCA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75A85" w14:textId="38CDA8F4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8971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8B04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FA81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6.60 [6.57, 6.63]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FCCA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6.07 [6.04, 6.09]</w:t>
            </w:r>
          </w:p>
        </w:tc>
      </w:tr>
      <w:tr w:rsidR="00D7196B" w:rsidRPr="001A0195" w14:paraId="177D919E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B4DEC" w14:textId="1510EFBC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931C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PropertyTax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470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BD58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4.72 [4.67, 4.76]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09B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4.90 [4.86, 4.94]</w:t>
            </w:r>
          </w:p>
        </w:tc>
      </w:tr>
      <w:tr w:rsidR="00D7196B" w:rsidRPr="001A0195" w14:paraId="14B1503B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0F99" w14:textId="660D0567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391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9553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7B5A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4.72 [4.69, 4.76]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1C1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4.91 [4.87, 4.95]</w:t>
            </w:r>
          </w:p>
        </w:tc>
      </w:tr>
      <w:tr w:rsidR="00D7196B" w:rsidRPr="001A0195" w14:paraId="54493D1E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FA6AC" w14:textId="7D5B399E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9FA0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23B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C59E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4.93 [4.89, 4.97]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2E49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4.99 [4.95, 5.02]</w:t>
            </w:r>
          </w:p>
        </w:tc>
      </w:tr>
      <w:tr w:rsidR="00D7196B" w:rsidRPr="001A0195" w14:paraId="3D39C31D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A78D3" w14:textId="33052049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9F0B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4BA4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B242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5.11 [5.07, 5.15]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281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5.01 [4.97, 5.05]</w:t>
            </w:r>
          </w:p>
        </w:tc>
      </w:tr>
      <w:tr w:rsidR="00D7196B" w:rsidRPr="001A0195" w14:paraId="1DACA51F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EF152" w14:textId="2E02EF67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CC31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4026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DB94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5.34 [5.30, 5.37]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8F28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5.11 [5.08, 5.15]</w:t>
            </w:r>
          </w:p>
        </w:tc>
      </w:tr>
      <w:tr w:rsidR="00D7196B" w:rsidRPr="001A0195" w14:paraId="678F4FC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50B6" w14:textId="41A95085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FFD4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Est. Rent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5731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D8E2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5.90 [5.89, 5.92]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3429D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6.08 [6.07, 6.10]</w:t>
            </w:r>
          </w:p>
        </w:tc>
      </w:tr>
      <w:tr w:rsidR="00D7196B" w:rsidRPr="001A0195" w14:paraId="54562176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A82F" w14:textId="13A25193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0EE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AA40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FCD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5.88 [5.87, 5.89]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7521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6.03 [6.02, 6.04]</w:t>
            </w:r>
          </w:p>
        </w:tc>
      </w:tr>
      <w:tr w:rsidR="00D7196B" w:rsidRPr="001A0195" w14:paraId="4E8CA3F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A089" w14:textId="431F8C33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1542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3DD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268C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6.13 [6.12, 6.15]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B586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6.09 [6.08, 6.10]</w:t>
            </w:r>
          </w:p>
        </w:tc>
      </w:tr>
      <w:tr w:rsidR="00D7196B" w:rsidRPr="001A0195" w14:paraId="4DE1658A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B2E80" w14:textId="49532EAA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389F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9BA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1189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6.32 [6.30, 6.34]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EDB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6.18 [6.17, 6.20]</w:t>
            </w:r>
          </w:p>
        </w:tc>
      </w:tr>
      <w:tr w:rsidR="00D7196B" w:rsidRPr="001A0195" w14:paraId="299C4413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133BA" w14:textId="7417763A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A432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0290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2F245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6.51 [6.49, 6.53]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51D2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6.17 [6.15, 6.18]</w:t>
            </w:r>
          </w:p>
        </w:tc>
      </w:tr>
      <w:tr w:rsidR="00D7196B" w:rsidRPr="001A0195" w14:paraId="1F7D9E48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C5DBF" w14:textId="69231F1B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5683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Vehicle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BDB52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9D4B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0.30 [0.29, 0.31]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2817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0.40 [0.40, 0.41]</w:t>
            </w:r>
          </w:p>
        </w:tc>
      </w:tr>
      <w:tr w:rsidR="00D7196B" w:rsidRPr="001A0195" w14:paraId="32F67B47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DE0C9" w14:textId="138B571E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BlackBrown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55470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52939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560F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0.56 [0.56, 0.57]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15C1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0.58 [0.58, 0.59]</w:t>
            </w:r>
          </w:p>
        </w:tc>
      </w:tr>
      <w:tr w:rsidR="00D7196B" w:rsidRPr="001A0195" w14:paraId="44A7678E" w14:textId="77777777" w:rsidTr="004907D1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E430FB" w14:textId="2100AFAD" w:rsidR="00D7196B" w:rsidRPr="001A0195" w:rsidRDefault="004907D1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WhiteMixed</w:t>
            </w:r>
            <w:proofErr w:type="spellEnd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CD0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12FB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D68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0.69 [0.68, 0.70]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2B85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0.65 [0.64, 0.65]</w:t>
            </w:r>
          </w:p>
        </w:tc>
      </w:tr>
      <w:tr w:rsidR="00D7196B" w:rsidRPr="001A0195" w14:paraId="6FD2192A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8D06" w14:textId="309D9D51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White Single</w:t>
            </w:r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B023C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19694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AA35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0.44 [0.44, 0.45]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989A3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0.46 [0.45, 0.47]</w:t>
            </w:r>
          </w:p>
        </w:tc>
      </w:tr>
      <w:tr w:rsidR="00D7196B" w:rsidRPr="001A0195" w14:paraId="563AA7E2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C5020" w14:textId="5117F644" w:rsidR="00D7196B" w:rsidRPr="001A0195" w:rsidRDefault="00E42022" w:rsidP="00BF3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  <w:proofErr w:type="spellStart"/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Couple</w:t>
            </w:r>
            <w:proofErr w:type="spellEnd"/>
            <w:r w:rsidR="00086C01" w:rsidRPr="001A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ABCC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A1B3A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36B98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0.83 [0.82, 0.83]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372DE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0.73 [0.72, 0.73]</w:t>
            </w:r>
          </w:p>
        </w:tc>
      </w:tr>
      <w:tr w:rsidR="00D7196B" w:rsidRPr="001A0195" w14:paraId="1E5778C9" w14:textId="77777777" w:rsidTr="00BF3753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75EE6" w14:textId="77777777" w:rsidR="00D7196B" w:rsidRPr="001A0195" w:rsidRDefault="00D7196B" w:rsidP="00BF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5036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1D301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8875B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D9E87" w14:textId="77777777" w:rsidR="00D7196B" w:rsidRPr="001A0195" w:rsidRDefault="00D7196B" w:rsidP="00BF3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CC18566" w14:textId="77777777" w:rsidR="00D7196B" w:rsidRPr="00D7196B" w:rsidRDefault="00D7196B" w:rsidP="008648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0195">
        <w:rPr>
          <w:rFonts w:ascii="Times New Roman" w:hAnsi="Times New Roman" w:cs="Times New Roman"/>
          <w:sz w:val="24"/>
          <w:szCs w:val="24"/>
        </w:rPr>
        <w:t xml:space="preserve">Notes: 95%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for Age, Age</w:t>
      </w:r>
      <w:r w:rsidRPr="001A01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0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>, Income (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logged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1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0195">
        <w:rPr>
          <w:rFonts w:ascii="Times New Roman" w:hAnsi="Times New Roman" w:cs="Times New Roman"/>
          <w:sz w:val="24"/>
          <w:szCs w:val="24"/>
        </w:rPr>
        <w:t xml:space="preserve"> Region.</w:t>
      </w:r>
    </w:p>
    <w:p w14:paraId="47274D61" w14:textId="77777777" w:rsidR="00D7196B" w:rsidRPr="00D7196B" w:rsidRDefault="00D7196B" w:rsidP="00D7196B">
      <w:pPr>
        <w:spacing w:line="480" w:lineRule="auto"/>
        <w:rPr>
          <w:rFonts w:ascii="Times New Roman" w:hAnsi="Times New Roman" w:cs="Times New Roman"/>
        </w:rPr>
      </w:pPr>
    </w:p>
    <w:p w14:paraId="42B5D0FD" w14:textId="49D06C56" w:rsidR="00D7196B" w:rsidRDefault="00D71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688644" w14:textId="4F748D80" w:rsidR="008405FE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E</w:t>
      </w:r>
      <w:r w:rsidRPr="003F4B1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coefficients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racial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066033">
        <w:rPr>
          <w:rFonts w:ascii="Times New Roman" w:hAnsi="Times New Roman" w:cs="Times New Roman"/>
          <w:sz w:val="24"/>
          <w:szCs w:val="24"/>
        </w:rPr>
        <w:t xml:space="preserve">(HH)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predictors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, PNAD 2015 </w:t>
      </w:r>
      <w:proofErr w:type="spellStart"/>
      <w:r w:rsidR="003A5E45"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A5E45" w:rsidRPr="003F4B15">
        <w:rPr>
          <w:rFonts w:ascii="Times New Roman" w:hAnsi="Times New Roman" w:cs="Times New Roman"/>
          <w:sz w:val="24"/>
          <w:szCs w:val="24"/>
        </w:rPr>
        <w:t xml:space="preserve"> POF 2017-2018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340"/>
        <w:gridCol w:w="3340"/>
        <w:gridCol w:w="1780"/>
        <w:gridCol w:w="1780"/>
        <w:gridCol w:w="1780"/>
        <w:gridCol w:w="1780"/>
        <w:gridCol w:w="1780"/>
        <w:gridCol w:w="1780"/>
      </w:tblGrid>
      <w:tr w:rsidR="00BF1873" w:rsidRPr="00BF1873" w14:paraId="26E0EF82" w14:textId="77777777" w:rsidTr="00BF1873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58CA1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0C8D7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5BD7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Wealth Index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2648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Own Home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6A6D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N° Rooms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A86B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Property Tax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F6F8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Estimated Rent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56AD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color w:val="000000"/>
                <w:sz w:val="20"/>
                <w:szCs w:val="20"/>
                <w:lang w:val="en-LU" w:eastAsia="en-GB"/>
              </w:rPr>
              <w:t>Own Vehicle</w:t>
            </w:r>
          </w:p>
        </w:tc>
      </w:tr>
      <w:tr w:rsidR="00BF1873" w:rsidRPr="00BF1873" w14:paraId="50F5A7EC" w14:textId="77777777" w:rsidTr="00BF1873">
        <w:trPr>
          <w:trHeight w:val="34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1EA1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HH-RACE: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B62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8710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3D26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ADB1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3A60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6A8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</w:tr>
      <w:tr w:rsidR="00BF1873" w:rsidRPr="00BF1873" w14:paraId="516BD5C8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682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27E6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BlackBrown-HH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060F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-0.078***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4EFB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-0.108***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C653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-0.055***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E76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-0.162***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576F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-0.120***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20CA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-0.521***</w:t>
            </w:r>
          </w:p>
        </w:tc>
      </w:tr>
      <w:tr w:rsidR="00BF1873" w:rsidRPr="00BF1873" w14:paraId="16DDE03D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52A35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F0D8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4742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89BF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320A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77D2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2C8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9D56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0C4601AE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040A0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C2A5F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WhiteMixed-HH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35B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421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-0.161***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9440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-0.038***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87A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-0.105***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F9B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-0.062***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9198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-0.268***</w:t>
            </w:r>
          </w:p>
        </w:tc>
      </w:tr>
      <w:tr w:rsidR="00BF1873" w:rsidRPr="00BF1873" w14:paraId="28C9115E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B2050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38E6E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E50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34C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8CFA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3CC5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394D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2483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5C07609F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BFD25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CONTROLS: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3E8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B4CF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54E5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C386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842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32B0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</w:tr>
      <w:tr w:rsidR="00BF1873" w:rsidRPr="00BF1873" w14:paraId="741193F2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297DE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8ECE6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Age (centered)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517C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0.005***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F3B6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0.053***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6210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0.005***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ED2A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0.012***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3B5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0.009***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82BB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-0.012***</w:t>
            </w:r>
          </w:p>
        </w:tc>
      </w:tr>
      <w:tr w:rsidR="00BF1873" w:rsidRPr="00BF1873" w14:paraId="0089B8FF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598E8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7EF00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889F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E1E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A59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AC57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026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70EA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</w:tr>
      <w:tr w:rsidR="00BF1873" w:rsidRPr="00BF1873" w14:paraId="44B5615D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AB513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17AB5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Age</w:t>
            </w:r>
            <w:r w:rsidRPr="00BF1873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LU" w:eastAsia="en-GB"/>
              </w:rPr>
              <w:t>2</w:t>
            </w: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 xml:space="preserve"> (centered)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712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9F71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-0.001***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95A7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F6B2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EA9B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260B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-0.001***</w:t>
            </w:r>
          </w:p>
        </w:tc>
      </w:tr>
      <w:tr w:rsidR="00BF1873" w:rsidRPr="00BF1873" w14:paraId="49FEE17E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5038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1F1A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EB0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D644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D031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302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BEE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A99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</w:tr>
      <w:tr w:rsidR="00BF1873" w:rsidRPr="00BF1873" w14:paraId="197EC856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7E3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09E03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Education level (centered)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AA73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0.089***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EBA4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0.021***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38F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0.013***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B8A7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0.042***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A9B1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0.053***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A83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0.050***</w:t>
            </w:r>
          </w:p>
        </w:tc>
      </w:tr>
      <w:tr w:rsidR="00BF1873" w:rsidRPr="00BF1873" w14:paraId="0A62379F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84A1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FD6D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82B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DD40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B6B0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4DF3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9F9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D30B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</w:tr>
      <w:tr w:rsidR="00BF1873" w:rsidRPr="00BF1873" w14:paraId="582671B6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7426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0C826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Income (logged &amp; centered)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B147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0.349***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D486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FD80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0.120***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0913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0.387***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B5B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0.363***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9D82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0.939***</w:t>
            </w:r>
          </w:p>
        </w:tc>
      </w:tr>
      <w:tr w:rsidR="00BF1873" w:rsidRPr="00BF1873" w14:paraId="2FF36A9F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544A2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DBCF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B6FA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8847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E6E5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164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1ACF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5EC3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</w:tr>
      <w:tr w:rsidR="00BF1873" w:rsidRPr="00BF1873" w14:paraId="065EEC8A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269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C0823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Num. of HH-members (centered)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FBE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0.030***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CE14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0.124***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B2D2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0.027***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FC1C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-0.032***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ABBB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-0.007***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18C4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-0.023***</w:t>
            </w:r>
          </w:p>
        </w:tc>
      </w:tr>
      <w:tr w:rsidR="00BF1873" w:rsidRPr="00BF1873" w14:paraId="6DE290DB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529D3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4644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E648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D7B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6D88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C849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833E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1FF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</w:tr>
      <w:tr w:rsidR="00BF1873" w:rsidRPr="00BF1873" w14:paraId="5E5BF420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C0AC2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8F37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Spouse present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098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-0.047***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F0E2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0.387***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F0D9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0.023***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A2E4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0.057**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54D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-0.044***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C00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1.074***</w:t>
            </w:r>
          </w:p>
        </w:tc>
      </w:tr>
      <w:tr w:rsidR="00BF1873" w:rsidRPr="00BF1873" w14:paraId="26D3674F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162F1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D7FEF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1B92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827D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E334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385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6198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56C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75A256DC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0DD4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REGION: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2467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5C3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D403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472D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702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A790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</w:tr>
      <w:tr w:rsidR="00BF1873" w:rsidRPr="00BF1873" w14:paraId="69470D01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B3B24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D2C9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North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227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-0.390***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6FB7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0.150***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C6D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-0.132***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124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0.504***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0F8E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0.208***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9831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-0.067**</w:t>
            </w:r>
          </w:p>
        </w:tc>
      </w:tr>
      <w:tr w:rsidR="00BF1873" w:rsidRPr="00BF1873" w14:paraId="205EA55F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ABEA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A820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B8CB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586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6D81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CAE51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299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BA1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6EE5CE40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AF1C5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9FE9D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South East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A40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0.448***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75F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-0.301***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83AE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-0.080***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8964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0.327***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9B38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0.346***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A03F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-0.044*</w:t>
            </w:r>
          </w:p>
        </w:tc>
      </w:tr>
      <w:tr w:rsidR="00BF1873" w:rsidRPr="00BF1873" w14:paraId="0E973AF5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52B5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9B22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35B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D05B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16C4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423C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764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C063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72C39B7B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D8DB6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26E9D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South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A3B4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0.162***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1D0A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-0.062*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DEAF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-0.058***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CA36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0.509***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6A3A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0.289***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11EB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0.300***</w:t>
            </w:r>
          </w:p>
        </w:tc>
      </w:tr>
      <w:tr w:rsidR="00BF1873" w:rsidRPr="00BF1873" w14:paraId="0FEDCC90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0B172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454AE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1712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DB14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652F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9E90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EACC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64CD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341571DA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D73AD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72A3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Central West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9B94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0.118***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6698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-0.587***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66D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-0.033***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52E2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0.542***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9800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0.323***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0E31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0.522***</w:t>
            </w:r>
          </w:p>
        </w:tc>
      </w:tr>
      <w:tr w:rsidR="00BF1873" w:rsidRPr="00BF1873" w14:paraId="5D2C2C45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D9961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b/>
                <w:bCs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1E844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643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D1A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C993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E602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C2A4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219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</w:tr>
      <w:tr w:rsidR="00BF1873" w:rsidRPr="00BF1873" w14:paraId="76BE8357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B41BD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Constant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5ADF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-0.017*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14A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1.389***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8B8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1.840***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A8F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4.386***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8C35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6.004***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C417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0.009</w:t>
            </w:r>
          </w:p>
        </w:tc>
      </w:tr>
      <w:tr w:rsidR="00BF1873" w:rsidRPr="00BF1873" w14:paraId="01C2AEE0" w14:textId="77777777" w:rsidTr="00BF1873">
        <w:trPr>
          <w:trHeight w:val="320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18A68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77D89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7F519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26B2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6151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(0.00)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48766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B1EA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4F61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-(0.02)</w:t>
            </w:r>
          </w:p>
        </w:tc>
      </w:tr>
      <w:tr w:rsidR="00BF1873" w:rsidRPr="00BF1873" w14:paraId="12EC24CC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B6FEA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Adj-R</w:t>
            </w:r>
            <w:r w:rsidRPr="00BF1873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LU" w:eastAsia="en-GB"/>
              </w:rPr>
              <w:t>2</w:t>
            </w: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 xml:space="preserve"> | Pseudo-R</w:t>
            </w:r>
            <w:r w:rsidRPr="00BF1873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LU" w:eastAsia="en-GB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121C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A702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BAC8E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0.044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7793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0.222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CEB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0.528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1D744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0.217</w:t>
            </w:r>
          </w:p>
        </w:tc>
      </w:tr>
      <w:tr w:rsidR="00BF1873" w:rsidRPr="00BF1873" w14:paraId="102F5D9B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5877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BIC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831A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238119.155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46D4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114081.447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178A3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344900.319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DED5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44501.636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7F50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70328.597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105F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121788.450</w:t>
            </w:r>
          </w:p>
        </w:tc>
      </w:tr>
      <w:tr w:rsidR="00BF1873" w:rsidRPr="00BF1873" w14:paraId="3076B5EB" w14:textId="77777777" w:rsidTr="00BF1873">
        <w:trPr>
          <w:trHeight w:val="320"/>
        </w:trPr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6BA9C" w14:textId="77777777" w:rsidR="00BF1873" w:rsidRPr="00BF1873" w:rsidRDefault="00BF1873" w:rsidP="00BF187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color w:val="000000"/>
                <w:sz w:val="20"/>
                <w:szCs w:val="20"/>
                <w:lang w:val="en-LU" w:eastAsia="en-GB"/>
              </w:rPr>
              <w:t>Number of Observations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1A818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113,134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A8E1C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113,134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ACFDD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85,145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254FB0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15,494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EFD2F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45,745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3E3CB" w14:textId="77777777" w:rsidR="00BF1873" w:rsidRPr="00BF1873" w:rsidRDefault="00BF1873" w:rsidP="00BF18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LU" w:eastAsia="en-GB"/>
              </w:rPr>
            </w:pPr>
            <w:r w:rsidRPr="00BF1873">
              <w:rPr>
                <w:rFonts w:eastAsia="Times New Roman"/>
                <w:sz w:val="20"/>
                <w:szCs w:val="20"/>
                <w:lang w:val="en-LU" w:eastAsia="en-GB"/>
              </w:rPr>
              <w:t>113,134</w:t>
            </w:r>
          </w:p>
        </w:tc>
      </w:tr>
    </w:tbl>
    <w:p w14:paraId="622D0A02" w14:textId="062D7134" w:rsidR="008405FE" w:rsidRPr="003F4B15" w:rsidRDefault="008405FE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E5D813" w14:textId="34FC4308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Source</w:t>
      </w:r>
      <w:r w:rsidR="00DE535D" w:rsidRPr="003F4B1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r w:rsidRPr="003F4B15">
        <w:rPr>
          <w:rFonts w:ascii="Times New Roman" w:hAnsi="Times New Roman" w:cs="Times New Roman"/>
          <w:i/>
          <w:sz w:val="24"/>
          <w:szCs w:val="24"/>
        </w:rPr>
        <w:t xml:space="preserve">Pesquisa Nacional por Amostra de Domicílios </w:t>
      </w:r>
      <w:r w:rsidRPr="003F4B15">
        <w:rPr>
          <w:rFonts w:ascii="Times New Roman" w:hAnsi="Times New Roman" w:cs="Times New Roman"/>
          <w:sz w:val="24"/>
          <w:szCs w:val="24"/>
        </w:rPr>
        <w:t xml:space="preserve">(PNAD, 2015), &amp; </w:t>
      </w:r>
      <w:r w:rsidRPr="003F4B15">
        <w:rPr>
          <w:rFonts w:ascii="Times New Roman" w:hAnsi="Times New Roman" w:cs="Times New Roman"/>
          <w:i/>
          <w:sz w:val="24"/>
          <w:szCs w:val="24"/>
        </w:rPr>
        <w:t>Pesquisa de Orçamentos Familiares</w:t>
      </w:r>
      <w:r w:rsidRPr="003F4B15">
        <w:rPr>
          <w:rFonts w:ascii="Times New Roman" w:hAnsi="Times New Roman" w:cs="Times New Roman"/>
          <w:sz w:val="24"/>
          <w:szCs w:val="24"/>
        </w:rPr>
        <w:t xml:space="preserve"> (POF, 2017-2018).</w:t>
      </w:r>
    </w:p>
    <w:p w14:paraId="309F3994" w14:textId="57EDEB25" w:rsidR="008405FE" w:rsidRPr="003F4B15" w:rsidRDefault="00151482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16757" w:rsidRPr="003F4B15">
        <w:rPr>
          <w:rFonts w:ascii="Times New Roman" w:hAnsi="Times New Roman" w:cs="Times New Roman"/>
          <w:sz w:val="24"/>
          <w:szCs w:val="24"/>
        </w:rPr>
        <w:t>oefficients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>: OLS (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WealthIndex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PropertyTax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EstimatedRent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OwnHome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OwnVehicles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>); Poisson (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NumOfRooms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>).</w:t>
      </w:r>
    </w:p>
    <w:p w14:paraId="6770B329" w14:textId="7ECD1044" w:rsidR="008405FE" w:rsidRPr="003F4B15" w:rsidRDefault="00151482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716757" w:rsidRPr="003F4B15">
        <w:rPr>
          <w:rFonts w:ascii="Times New Roman" w:hAnsi="Times New Roman" w:cs="Times New Roman"/>
          <w:sz w:val="24"/>
          <w:szCs w:val="24"/>
        </w:rPr>
        <w:t>eference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 xml:space="preserve">: HH-RACE = White-HH; SPOUSE = No </w:t>
      </w:r>
      <w:proofErr w:type="spellStart"/>
      <w:r w:rsidR="00716757" w:rsidRPr="003F4B15">
        <w:rPr>
          <w:rFonts w:ascii="Times New Roman" w:hAnsi="Times New Roman" w:cs="Times New Roman"/>
          <w:sz w:val="24"/>
          <w:szCs w:val="24"/>
        </w:rPr>
        <w:t>Spouse</w:t>
      </w:r>
      <w:proofErr w:type="spellEnd"/>
      <w:r w:rsidR="00716757" w:rsidRPr="003F4B15">
        <w:rPr>
          <w:rFonts w:ascii="Times New Roman" w:hAnsi="Times New Roman" w:cs="Times New Roman"/>
          <w:sz w:val="24"/>
          <w:szCs w:val="24"/>
        </w:rPr>
        <w:t>; REGION = North East.</w:t>
      </w:r>
    </w:p>
    <w:p w14:paraId="69962846" w14:textId="77777777" w:rsidR="008405FE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t xml:space="preserve">* </w:t>
      </w:r>
      <w:r w:rsidRPr="003F4B15">
        <w:rPr>
          <w:rFonts w:ascii="Times New Roman" w:hAnsi="Times New Roman" w:cs="Times New Roman"/>
          <w:i/>
          <w:sz w:val="24"/>
          <w:szCs w:val="24"/>
        </w:rPr>
        <w:t>p</w:t>
      </w:r>
      <w:r w:rsidRPr="003F4B15">
        <w:rPr>
          <w:rFonts w:ascii="Times New Roman" w:hAnsi="Times New Roman" w:cs="Times New Roman"/>
          <w:sz w:val="24"/>
          <w:szCs w:val="24"/>
        </w:rPr>
        <w:t xml:space="preserve"> &lt; 0.05, ** </w:t>
      </w:r>
      <w:r w:rsidRPr="003F4B15">
        <w:rPr>
          <w:rFonts w:ascii="Times New Roman" w:hAnsi="Times New Roman" w:cs="Times New Roman"/>
          <w:i/>
          <w:sz w:val="24"/>
          <w:szCs w:val="24"/>
        </w:rPr>
        <w:t>p</w:t>
      </w:r>
      <w:r w:rsidRPr="003F4B15">
        <w:rPr>
          <w:rFonts w:ascii="Times New Roman" w:hAnsi="Times New Roman" w:cs="Times New Roman"/>
          <w:sz w:val="24"/>
          <w:szCs w:val="24"/>
        </w:rPr>
        <w:t xml:space="preserve"> &lt; 0.01, *** </w:t>
      </w:r>
      <w:r w:rsidRPr="003F4B15">
        <w:rPr>
          <w:rFonts w:ascii="Times New Roman" w:hAnsi="Times New Roman" w:cs="Times New Roman"/>
          <w:i/>
          <w:sz w:val="24"/>
          <w:szCs w:val="24"/>
        </w:rPr>
        <w:t>p</w:t>
      </w:r>
      <w:r w:rsidRPr="003F4B15">
        <w:rPr>
          <w:rFonts w:ascii="Times New Roman" w:hAnsi="Times New Roman" w:cs="Times New Roman"/>
          <w:sz w:val="24"/>
          <w:szCs w:val="24"/>
        </w:rPr>
        <w:t xml:space="preserve"> &lt; 0.001</w:t>
      </w:r>
    </w:p>
    <w:p w14:paraId="4C4E0FC8" w14:textId="77777777" w:rsidR="00D7196B" w:rsidRPr="003F4B15" w:rsidRDefault="00D7196B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EB8915" w14:textId="663A5EF3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regressions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E</w:t>
      </w:r>
      <w:r w:rsidRPr="003F4B15">
        <w:rPr>
          <w:rFonts w:ascii="Times New Roman" w:hAnsi="Times New Roman" w:cs="Times New Roman"/>
          <w:sz w:val="24"/>
          <w:szCs w:val="24"/>
        </w:rPr>
        <w:t xml:space="preserve"> displays 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puzzling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counterintuitive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income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homeownership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depicted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figure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F</w:t>
      </w:r>
      <w:r w:rsidRPr="003F4B15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Home</w:t>
      </w:r>
      <w:r w:rsidR="00974893">
        <w:rPr>
          <w:rFonts w:ascii="Times New Roman" w:hAnsi="Times New Roman" w:cs="Times New Roman"/>
          <w:sz w:val="24"/>
          <w:szCs w:val="24"/>
        </w:rPr>
        <w:t>,</w:t>
      </w:r>
      <w:r w:rsidRPr="003F4B1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dashed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income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home</w:t>
      </w:r>
      <w:r w:rsidR="0097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includes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apartments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condos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97489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>”</w:t>
      </w:r>
      <w:r w:rsidRPr="003F4B15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income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apartment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/condo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F</w:t>
      </w:r>
      <w:r w:rsidRPr="003F4B1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r w:rsidR="00974893">
        <w:rPr>
          <w:rFonts w:ascii="Times New Roman" w:hAnsi="Times New Roman" w:cs="Times New Roman"/>
          <w:sz w:val="24"/>
          <w:szCs w:val="24"/>
        </w:rPr>
        <w:t xml:space="preserve">a positive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income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orange-red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of </w:t>
      </w:r>
      <w:r w:rsidR="00974893" w:rsidRPr="00974893">
        <w:rPr>
          <w:rFonts w:ascii="Times New Roman" w:hAnsi="Times New Roman" w:cs="Times New Roman"/>
          <w:sz w:val="24"/>
          <w:szCs w:val="24"/>
        </w:rPr>
        <w:t>self-</w:t>
      </w:r>
      <w:proofErr w:type="spellStart"/>
      <w:r w:rsidR="00974893" w:rsidRPr="00974893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="00974893" w:rsidRP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 w:rsidRPr="009748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4893" w:rsidRP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 w:rsidRPr="00974893">
        <w:rPr>
          <w:rFonts w:ascii="Times New Roman" w:hAnsi="Times New Roman" w:cs="Times New Roman"/>
          <w:sz w:val="24"/>
          <w:szCs w:val="24"/>
        </w:rPr>
        <w:t>unregulated</w:t>
      </w:r>
      <w:proofErr w:type="spellEnd"/>
      <w:r w:rsidR="00974893" w:rsidRP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(Telles 2004),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suspected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lastRenderedPageBreak/>
        <w:t>market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of a positive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income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974893">
        <w:rPr>
          <w:rFonts w:ascii="Times New Roman" w:hAnsi="Times New Roman" w:cs="Times New Roman"/>
          <w:sz w:val="24"/>
          <w:szCs w:val="24"/>
        </w:rPr>
        <w:t xml:space="preserve">capture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</w:t>
      </w:r>
      <w:r w:rsidR="00974893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>)</w:t>
      </w:r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filtered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amenities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- </w:t>
      </w:r>
      <w:r w:rsidRPr="003F4B1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(i.e.,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Masonry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r w:rsidRPr="003F4B15">
        <w:rPr>
          <w:rFonts w:ascii="Times New Roman" w:hAnsi="Times New Roman" w:cs="Times New Roman"/>
          <w:i/>
          <w:sz w:val="24"/>
          <w:szCs w:val="24"/>
        </w:rPr>
        <w:t>Alvenaria</w:t>
      </w:r>
      <w:r w:rsidRPr="003F4B1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roofing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material (i.e.,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Roof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tile (</w:t>
      </w:r>
      <w:r w:rsidRPr="003F4B15">
        <w:rPr>
          <w:rFonts w:ascii="Times New Roman" w:hAnsi="Times New Roman" w:cs="Times New Roman"/>
          <w:i/>
          <w:sz w:val="24"/>
          <w:szCs w:val="24"/>
        </w:rPr>
        <w:t>Telha</w:t>
      </w:r>
      <w:r w:rsidRPr="003F4B15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F4B15">
        <w:rPr>
          <w:rFonts w:ascii="Times New Roman" w:hAnsi="Times New Roman" w:cs="Times New Roman"/>
          <w:sz w:val="24"/>
          <w:szCs w:val="24"/>
        </w:rPr>
        <w:t>Concrete</w:t>
      </w:r>
      <w:proofErr w:type="gram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r w:rsidRPr="003F4B15">
        <w:rPr>
          <w:rFonts w:ascii="Times New Roman" w:hAnsi="Times New Roman" w:cs="Times New Roman"/>
          <w:i/>
          <w:sz w:val="24"/>
          <w:szCs w:val="24"/>
        </w:rPr>
        <w:t>Laje de concreto</w:t>
      </w:r>
      <w:r w:rsidRPr="003F4B1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r w:rsidRPr="003F4B15">
        <w:rPr>
          <w:rFonts w:ascii="Times New Roman" w:hAnsi="Times New Roman" w:cs="Times New Roman"/>
          <w:i/>
          <w:sz w:val="24"/>
          <w:szCs w:val="24"/>
        </w:rPr>
        <w:t>Zinco</w:t>
      </w:r>
      <w:r w:rsidRPr="003F4B1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74893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="0097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piped-water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r w:rsidRPr="003F4B15">
        <w:rPr>
          <w:rFonts w:ascii="Times New Roman" w:hAnsi="Times New Roman" w:cs="Times New Roman"/>
          <w:sz w:val="24"/>
          <w:szCs w:val="24"/>
        </w:rPr>
        <w:t xml:space="preserve">indoor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bathroom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(s),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8C5D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sewage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system</w:t>
      </w:r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trash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possessing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amenities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a positive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income as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411FC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="002411FC">
        <w:rPr>
          <w:rFonts w:ascii="Times New Roman" w:hAnsi="Times New Roman" w:cs="Times New Roman"/>
          <w:sz w:val="24"/>
          <w:szCs w:val="24"/>
        </w:rPr>
        <w:t xml:space="preserve"> </w:t>
      </w:r>
      <w:r w:rsidRPr="003F4B15">
        <w:rPr>
          <w:rFonts w:ascii="Times New Roman" w:hAnsi="Times New Roman" w:cs="Times New Roman"/>
          <w:sz w:val="24"/>
          <w:szCs w:val="24"/>
        </w:rPr>
        <w:t xml:space="preserve">Home”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F</w:t>
      </w:r>
      <w:r w:rsidRPr="003F4B1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homeownership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” countries), scholars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attuned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” for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2C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="008C5D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reinforce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proxies of) in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>.</w:t>
      </w:r>
    </w:p>
    <w:p w14:paraId="14F6A5C0" w14:textId="77777777" w:rsidR="008405FE" w:rsidRPr="003F4B15" w:rsidRDefault="008405FE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41764A" w14:textId="77777777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br w:type="page"/>
      </w:r>
    </w:p>
    <w:p w14:paraId="4B63CFEC" w14:textId="2634B79B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lastRenderedPageBreak/>
        <w:t>Appendix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r w:rsidR="00D7196B">
        <w:rPr>
          <w:rFonts w:ascii="Times New Roman" w:hAnsi="Times New Roman" w:cs="Times New Roman"/>
          <w:sz w:val="24"/>
          <w:szCs w:val="24"/>
        </w:rPr>
        <w:t>F</w:t>
      </w:r>
      <w:r w:rsidRPr="003F4B1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“Home”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“</w:t>
      </w:r>
      <w:r w:rsidR="003A5E45" w:rsidRPr="003F4B15">
        <w:rPr>
          <w:rFonts w:ascii="Times New Roman" w:hAnsi="Times New Roman" w:cs="Times New Roman"/>
          <w:sz w:val="24"/>
          <w:szCs w:val="24"/>
        </w:rPr>
        <w:t>H</w:t>
      </w:r>
      <w:r w:rsidRPr="003F4B15">
        <w:rPr>
          <w:rFonts w:ascii="Times New Roman" w:hAnsi="Times New Roman" w:cs="Times New Roman"/>
          <w:sz w:val="24"/>
          <w:szCs w:val="24"/>
        </w:rPr>
        <w:t>ome,” PNAD 2015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p w14:paraId="743E0F60" w14:textId="77777777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DFCA19C" wp14:editId="2D68E9D2">
            <wp:extent cx="5940629" cy="3962400"/>
            <wp:effectExtent l="0" t="0" r="3175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629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0D076" w14:textId="001E51CC" w:rsidR="008405FE" w:rsidRPr="003F4B15" w:rsidRDefault="00716757" w:rsidP="0029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: </w:t>
      </w:r>
      <w:r w:rsidRPr="003F4B15">
        <w:rPr>
          <w:rFonts w:ascii="Times New Roman" w:hAnsi="Times New Roman" w:cs="Times New Roman"/>
          <w:i/>
          <w:sz w:val="24"/>
          <w:szCs w:val="24"/>
        </w:rPr>
        <w:t xml:space="preserve">Pesquisa Nacional por Amostra de Domicílios </w:t>
      </w:r>
      <w:r w:rsidRPr="003F4B15">
        <w:rPr>
          <w:rFonts w:ascii="Times New Roman" w:hAnsi="Times New Roman" w:cs="Times New Roman"/>
          <w:sz w:val="24"/>
          <w:szCs w:val="24"/>
        </w:rPr>
        <w:t>(PNAD, 2015)</w:t>
      </w:r>
      <w:r w:rsidR="0098048F">
        <w:rPr>
          <w:rFonts w:ascii="Times New Roman" w:hAnsi="Times New Roman" w:cs="Times New Roman"/>
          <w:sz w:val="24"/>
          <w:szCs w:val="24"/>
        </w:rPr>
        <w:t>.</w:t>
      </w:r>
    </w:p>
    <w:p w14:paraId="5240316F" w14:textId="1F18D017" w:rsidR="00AD0A2D" w:rsidRDefault="00716757" w:rsidP="00D719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B15">
        <w:rPr>
          <w:rFonts w:ascii="Times New Roman" w:hAnsi="Times New Roman" w:cs="Times New Roman"/>
          <w:sz w:val="24"/>
          <w:szCs w:val="24"/>
        </w:rPr>
        <w:t xml:space="preserve">Note: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Estimates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for HH-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>, Age, Age</w:t>
      </w:r>
      <w:r w:rsidRPr="009804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196B">
        <w:rPr>
          <w:rFonts w:ascii="Times New Roman" w:hAnsi="Times New Roman" w:cs="Times New Roman"/>
          <w:sz w:val="24"/>
          <w:szCs w:val="24"/>
        </w:rPr>
        <w:t>E</w:t>
      </w:r>
      <w:r w:rsidRPr="003F4B15">
        <w:rPr>
          <w:rFonts w:ascii="Times New Roman" w:hAnsi="Times New Roman" w:cs="Times New Roman"/>
          <w:sz w:val="24"/>
          <w:szCs w:val="24"/>
        </w:rPr>
        <w:t>ducation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Income,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Spouse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B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B15">
        <w:rPr>
          <w:rFonts w:ascii="Times New Roman" w:hAnsi="Times New Roman" w:cs="Times New Roman"/>
          <w:sz w:val="24"/>
          <w:szCs w:val="24"/>
        </w:rPr>
        <w:t xml:space="preserve"> Region.</w:t>
      </w:r>
    </w:p>
    <w:sectPr w:rsidR="00AD0A2D" w:rsidSect="00551974">
      <w:pgSz w:w="15840" w:h="1222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FE"/>
    <w:rsid w:val="00066033"/>
    <w:rsid w:val="00086C01"/>
    <w:rsid w:val="00151482"/>
    <w:rsid w:val="00157C5A"/>
    <w:rsid w:val="001A0195"/>
    <w:rsid w:val="00217DB2"/>
    <w:rsid w:val="00240376"/>
    <w:rsid w:val="002411FC"/>
    <w:rsid w:val="00293A97"/>
    <w:rsid w:val="00387E69"/>
    <w:rsid w:val="003A5E45"/>
    <w:rsid w:val="003F4B15"/>
    <w:rsid w:val="004907D1"/>
    <w:rsid w:val="004A111F"/>
    <w:rsid w:val="004A512C"/>
    <w:rsid w:val="004B676B"/>
    <w:rsid w:val="004C3E00"/>
    <w:rsid w:val="004C6097"/>
    <w:rsid w:val="004D5B7B"/>
    <w:rsid w:val="00551974"/>
    <w:rsid w:val="006D5072"/>
    <w:rsid w:val="006F4F5F"/>
    <w:rsid w:val="0070330B"/>
    <w:rsid w:val="00716757"/>
    <w:rsid w:val="007A1AEF"/>
    <w:rsid w:val="008405FE"/>
    <w:rsid w:val="00864826"/>
    <w:rsid w:val="0086639E"/>
    <w:rsid w:val="008800D3"/>
    <w:rsid w:val="008C5D2C"/>
    <w:rsid w:val="008D6CF2"/>
    <w:rsid w:val="00903B1A"/>
    <w:rsid w:val="00974893"/>
    <w:rsid w:val="0098048F"/>
    <w:rsid w:val="00A07B96"/>
    <w:rsid w:val="00A425F5"/>
    <w:rsid w:val="00AD0A2D"/>
    <w:rsid w:val="00BF1873"/>
    <w:rsid w:val="00D57F0F"/>
    <w:rsid w:val="00D7196B"/>
    <w:rsid w:val="00D9459A"/>
    <w:rsid w:val="00DE535D"/>
    <w:rsid w:val="00E42022"/>
    <w:rsid w:val="00F1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6C84"/>
  <w15:docId w15:val="{2792D1D4-A9F9-4A18-98D9-7547E28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24</TotalTime>
  <Pages>13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Sue</dc:creator>
  <cp:lastModifiedBy>Sal RIVAS</cp:lastModifiedBy>
  <cp:revision>9</cp:revision>
  <dcterms:created xsi:type="dcterms:W3CDTF">2024-09-05T05:39:00Z</dcterms:created>
  <dcterms:modified xsi:type="dcterms:W3CDTF">2024-09-05T06:10:00Z</dcterms:modified>
</cp:coreProperties>
</file>