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C3C" w:rsidRPr="00F432DF" w:rsidRDefault="00943C3C" w:rsidP="00943C3C">
      <w:pPr>
        <w:pStyle w:val="Titre1"/>
        <w:jc w:val="center"/>
      </w:pPr>
      <w:bookmarkStart w:id="0" w:name="_Toc113783919"/>
      <w:r w:rsidRPr="00773774">
        <w:t>INTRODUCTION</w:t>
      </w:r>
      <w:bookmarkEnd w:id="0"/>
    </w:p>
    <w:p w:rsidR="00943C3C" w:rsidRDefault="00943C3C" w:rsidP="00943C3C">
      <w:pPr>
        <w:ind w:left="3402"/>
        <w:jc w:val="both"/>
        <w:rPr>
          <w:i/>
          <w:iCs/>
        </w:rPr>
      </w:pPr>
    </w:p>
    <w:p w:rsidR="00943C3C" w:rsidRPr="002926B5" w:rsidRDefault="00943C3C" w:rsidP="00943C3C">
      <w:pPr>
        <w:ind w:left="3402"/>
        <w:jc w:val="both"/>
      </w:pPr>
      <w:r w:rsidRPr="002926B5">
        <w:rPr>
          <w:i/>
          <w:iCs/>
        </w:rPr>
        <w:t>La sémiotique tient à se définir comme une entreprise à vocation scientifique : elle vise à construire une théorie générale de la signification et des langages. Mais on peut aussi la définir, et la vivre, comme une certaine disposition d’esprit, faite de curiosité pour tout ce qui a, ou peut avoir du sens</w:t>
      </w:r>
      <w:r>
        <w:rPr>
          <w:i/>
          <w:iCs/>
        </w:rPr>
        <w:t xml:space="preserve">. […]La sémiotique peut aussi aider à </w:t>
      </w:r>
      <w:r w:rsidRPr="00F45A4B">
        <w:rPr>
          <w:iCs/>
        </w:rPr>
        <w:t>produire</w:t>
      </w:r>
      <w:r>
        <w:rPr>
          <w:i/>
          <w:iCs/>
        </w:rPr>
        <w:t xml:space="preserve"> du sens</w:t>
      </w:r>
      <w:r>
        <w:rPr>
          <w:i/>
          <w:shd w:val="clear" w:color="auto" w:fill="FFFFFF"/>
        </w:rPr>
        <w:t xml:space="preserve"> </w:t>
      </w:r>
      <w:r w:rsidRPr="00F1451F">
        <w:rPr>
          <w:shd w:val="clear" w:color="auto" w:fill="FFFFFF"/>
        </w:rPr>
        <w:t>(F</w:t>
      </w:r>
      <w:r w:rsidRPr="002926B5">
        <w:rPr>
          <w:shd w:val="clear" w:color="auto" w:fill="FFFFFF"/>
        </w:rPr>
        <w:t>loch</w:t>
      </w:r>
      <w:r w:rsidRPr="00F1451F">
        <w:rPr>
          <w:shd w:val="clear" w:color="auto" w:fill="FFFFFF"/>
        </w:rPr>
        <w:t>, 1985, p.</w:t>
      </w:r>
      <w:r w:rsidRPr="002926B5">
        <w:rPr>
          <w:shd w:val="clear" w:color="auto" w:fill="FFFFFF"/>
        </w:rPr>
        <w:t> </w:t>
      </w:r>
      <w:r w:rsidRPr="00F1451F">
        <w:rPr>
          <w:shd w:val="clear" w:color="auto" w:fill="FFFFFF"/>
        </w:rPr>
        <w:t>139).</w:t>
      </w:r>
    </w:p>
    <w:p w:rsidR="00943C3C" w:rsidRPr="00E353D8" w:rsidRDefault="00943C3C" w:rsidP="00943C3C">
      <w:pPr>
        <w:spacing w:after="120" w:line="276" w:lineRule="auto"/>
        <w:rPr>
          <w:b/>
          <w:lang w:val="fr-FR"/>
        </w:rPr>
      </w:pPr>
    </w:p>
    <w:p w:rsidR="00943C3C" w:rsidRPr="00E353D8" w:rsidRDefault="00943C3C" w:rsidP="00943C3C">
      <w:pPr>
        <w:spacing w:after="120" w:line="276" w:lineRule="auto"/>
        <w:jc w:val="both"/>
        <w:rPr>
          <w:lang w:val="fr-FR"/>
        </w:rPr>
      </w:pPr>
      <w:r w:rsidRPr="007C418A">
        <w:rPr>
          <w:lang w:val="fr-FR"/>
        </w:rPr>
        <w:t>Ce livre porte sur l’</w:t>
      </w:r>
      <w:r w:rsidRPr="007C418A">
        <w:rPr>
          <w:i/>
          <w:lang w:val="fr-FR"/>
        </w:rPr>
        <w:t>énonciation</w:t>
      </w:r>
      <w:r w:rsidRPr="007C418A">
        <w:rPr>
          <w:lang w:val="fr-FR"/>
        </w:rPr>
        <w:t xml:space="preserve">, en croisant, pour l’essentiel, les points de vue de la </w:t>
      </w:r>
      <w:r w:rsidRPr="007C418A">
        <w:rPr>
          <w:i/>
        </w:rPr>
        <w:t>sémiotique</w:t>
      </w:r>
      <w:r w:rsidRPr="007C418A">
        <w:t xml:space="preserve"> comme discipline scientifique s’intéressant aux mécanismes de la production et de la réception du sens et de la</w:t>
      </w:r>
      <w:r w:rsidRPr="00E353D8">
        <w:t xml:space="preserve"> </w:t>
      </w:r>
      <w:r w:rsidRPr="00E353D8">
        <w:rPr>
          <w:i/>
          <w:lang w:val="fr-FR"/>
        </w:rPr>
        <w:t>linguistique</w:t>
      </w:r>
      <w:r w:rsidRPr="00E353D8">
        <w:rPr>
          <w:lang w:val="fr-FR"/>
        </w:rPr>
        <w:t xml:space="preserve"> comme théorie des langages verbaux. Visant l’espace francophone, </w:t>
      </w:r>
      <w:r w:rsidRPr="00E353D8">
        <w:t>il</w:t>
      </w:r>
      <w:r w:rsidRPr="00E353D8">
        <w:rPr>
          <w:lang w:val="fr-FR"/>
        </w:rPr>
        <w:t xml:space="preserve"> s’adresse à des chercheurs spécialisés dans le domaine de l’énonciation, qui souhaitent avoir une vue plus panoramique des développements que la </w:t>
      </w:r>
      <w:r w:rsidRPr="00E353D8">
        <w:t>notion d’énonciation</w:t>
      </w:r>
      <w:r w:rsidRPr="00E353D8">
        <w:rPr>
          <w:lang w:val="fr-FR"/>
        </w:rPr>
        <w:t xml:space="preserve"> a connus au cours des dernières décennies</w:t>
      </w:r>
      <w:r w:rsidRPr="00E353D8">
        <w:t xml:space="preserve">. Nous ne prétendons à aucune exhaustivité. En revanche, nous couvrons un pan des recherches en sémiotique et en linguistique qui en ont marqué le développement de manière déterminante. Enfin, l’ouvrage propose des ouvertures en direction des sciences humaines et sociales, essentiellement </w:t>
      </w:r>
      <w:r w:rsidRPr="00E353D8">
        <w:rPr>
          <w:lang w:val="fr-FR"/>
        </w:rPr>
        <w:t xml:space="preserve">de la philosophie et de l’anthropologie. </w:t>
      </w:r>
    </w:p>
    <w:p w:rsidR="00943C3C" w:rsidRPr="00E353D8" w:rsidRDefault="00943C3C" w:rsidP="00943C3C">
      <w:pPr>
        <w:spacing w:after="120" w:line="276" w:lineRule="auto"/>
        <w:jc w:val="both"/>
        <w:rPr>
          <w:lang w:val="fr-FR"/>
        </w:rPr>
      </w:pPr>
      <w:r w:rsidRPr="00E353D8">
        <w:rPr>
          <w:lang w:val="fr-FR"/>
        </w:rPr>
        <w:t xml:space="preserve">Si la notion d’énonciation n’est pas récente, son actualité semble garantie, du moins dans l’espace francophone. Et son intérêt ne se dément pas, si </w:t>
      </w:r>
      <w:r w:rsidRPr="00E353D8">
        <w:t>l’</w:t>
      </w:r>
      <w:r w:rsidRPr="00E353D8">
        <w:rPr>
          <w:lang w:val="fr-FR"/>
        </w:rPr>
        <w:t xml:space="preserve">on convient que sous certaines conditions, elle est à la base de toute production d’un </w:t>
      </w:r>
      <w:r w:rsidRPr="00E353D8">
        <w:rPr>
          <w:i/>
          <w:lang w:val="fr-FR"/>
        </w:rPr>
        <w:t>objet de sens</w:t>
      </w:r>
      <w:r w:rsidRPr="00E353D8">
        <w:rPr>
          <w:lang w:val="fr-FR"/>
        </w:rPr>
        <w:t xml:space="preserve">, en particulier d’un objet de sens </w:t>
      </w:r>
      <w:r w:rsidRPr="00E353D8">
        <w:rPr>
          <w:i/>
          <w:lang w:val="fr-FR"/>
        </w:rPr>
        <w:t>textuel</w:t>
      </w:r>
      <w:r w:rsidRPr="00B27B9D">
        <w:rPr>
          <w:rStyle w:val="Appelnotedebasdep"/>
          <w:lang w:val="fr-FR"/>
        </w:rPr>
        <w:footnoteReference w:id="1"/>
      </w:r>
      <w:r w:rsidRPr="00B27B9D">
        <w:rPr>
          <w:lang w:val="fr-FR"/>
        </w:rPr>
        <w:t>.</w:t>
      </w:r>
      <w:r w:rsidRPr="00E353D8">
        <w:rPr>
          <w:lang w:val="fr-FR"/>
        </w:rPr>
        <w:t xml:space="preserve"> Cependant, elle est souvent méconnue. Ses contours sont volontiers taxés de flous, comme si l’acuité définitionnelle était insuffisante. Le « flottement » est alors mis au compte de la diversité des approches qui s’en emparent : les théories linguistiques de l’énonciation, la sémiotique, la sémantique et les courants pragmatiques ou encore les disciplines du discours (en particulier l’analyse du discours, l’analyse conversationnelle ou l’analyse interactionnelle). </w:t>
      </w:r>
    </w:p>
    <w:p w:rsidR="00943C3C" w:rsidRPr="007C418A" w:rsidRDefault="00943C3C" w:rsidP="00943C3C">
      <w:pPr>
        <w:pStyle w:val="NormalWeb"/>
        <w:spacing w:before="0" w:beforeAutospacing="0" w:after="120" w:afterAutospacing="0" w:line="276" w:lineRule="auto"/>
        <w:jc w:val="both"/>
        <w:rPr>
          <w:rFonts w:ascii="Times New Roman" w:hAnsi="Times New Roman"/>
          <w:sz w:val="24"/>
          <w:szCs w:val="24"/>
        </w:rPr>
      </w:pPr>
      <w:r w:rsidRPr="007C418A">
        <w:rPr>
          <w:sz w:val="24"/>
          <w:szCs w:val="24"/>
        </w:rPr>
        <w:t xml:space="preserve">Nous prenons </w:t>
      </w:r>
      <w:r w:rsidRPr="007C418A">
        <w:rPr>
          <w:sz w:val="24"/>
          <w:szCs w:val="24"/>
          <w:lang w:val="fr-FR"/>
        </w:rPr>
        <w:t>appui, pour l’essentiel, sur la sémiotique structurale développée par Algirdas Julien Greimas et par les chercheurs regroupés autour de lui ou responsables du développement de la sémiotique postgreimassienne</w:t>
      </w:r>
      <w:r w:rsidRPr="007C418A">
        <w:rPr>
          <w:sz w:val="24"/>
          <w:szCs w:val="24"/>
        </w:rPr>
        <w:t xml:space="preserve"> : Pierluigi Basso Fossali, Denis Bertrand, Anne Beyaert-Geslin, Jean-François Bordron, Jean-Claude Coquet, Maria Giulia Dondero, Jacques Fontanille, Claude Zilberberg, notamment, auxquels s’ajoutent des sémioticiens qui ne sont pas d’obédience greimassienne, au sens </w:t>
      </w:r>
      <w:r>
        <w:rPr>
          <w:sz w:val="24"/>
          <w:szCs w:val="24"/>
        </w:rPr>
        <w:t>s</w:t>
      </w:r>
      <w:r w:rsidRPr="007C418A">
        <w:rPr>
          <w:sz w:val="24"/>
          <w:szCs w:val="24"/>
        </w:rPr>
        <w:t>trict du terme, dont Sémir Badir et Jean-Marie Klinkenberg. Si telles sont nos bases théoriques, n</w:t>
      </w:r>
      <w:r w:rsidRPr="007C418A">
        <w:rPr>
          <w:rFonts w:ascii="Times New Roman" w:hAnsi="Times New Roman"/>
          <w:sz w:val="24"/>
          <w:szCs w:val="24"/>
        </w:rPr>
        <w:t>ous nous fixons un double objectif : exposer, de manière synthétique, les évolutions majeures que la notion d’énonciation a connues depuis les années soixante ; les discuter et faire des propositions, en explorant des voies plus inédites. N</w:t>
      </w:r>
      <w:r w:rsidRPr="007C418A">
        <w:rPr>
          <w:rFonts w:ascii="Times New Roman" w:hAnsi="Times New Roman"/>
          <w:sz w:val="24"/>
          <w:szCs w:val="24"/>
          <w:lang w:val="fr-FR"/>
        </w:rPr>
        <w:t xml:space="preserve">ous </w:t>
      </w:r>
      <w:r w:rsidRPr="007C418A">
        <w:rPr>
          <w:rFonts w:ascii="Times New Roman" w:hAnsi="Times New Roman"/>
          <w:sz w:val="24"/>
          <w:szCs w:val="24"/>
        </w:rPr>
        <w:t xml:space="preserve">souhaitons faire le point sur les travaux les plus marquants, en dégageant les grandes lignes d’une réflexion plurielle, qui adopte parfois des perspectives divergentes. Pour des </w:t>
      </w:r>
      <w:r w:rsidRPr="007C418A">
        <w:rPr>
          <w:rFonts w:ascii="Times New Roman" w:hAnsi="Times New Roman"/>
          <w:sz w:val="24"/>
          <w:szCs w:val="24"/>
        </w:rPr>
        <w:lastRenderedPageBreak/>
        <w:t>raisons de lisibilité de l’ensemble, nous nous attarderons sur les convergences et nous chercherons à jeter des ponts entre les travaux, les courants et les domaines. Sans omettre le questionnement critique. Enfin, nous essayerons d’établir un modèle de l’énonciation « intégratif ».</w:t>
      </w:r>
    </w:p>
    <w:p w:rsidR="00943C3C" w:rsidRPr="007C418A" w:rsidRDefault="00943C3C" w:rsidP="00943C3C">
      <w:pPr>
        <w:spacing w:after="120" w:line="276" w:lineRule="auto"/>
        <w:jc w:val="both"/>
      </w:pPr>
      <w:r w:rsidRPr="007C418A">
        <w:t>Globalement, le contexte de la sémiotique postgreimassienne n’est plus celui de la sémiotique str</w:t>
      </w:r>
      <w:r w:rsidRPr="00E353D8">
        <w:t>ucturale</w:t>
      </w:r>
      <w:r w:rsidRPr="00E353D8">
        <w:rPr>
          <w:rStyle w:val="Appelnotedebasdep"/>
        </w:rPr>
        <w:footnoteReference w:id="2"/>
      </w:r>
      <w:r w:rsidRPr="00E353D8">
        <w:t xml:space="preserve"> naissante. On assiste depuis trente ans à l’émergence de nouveaux champs d’investigation, de nouveaux thèmes de recherche. L’accent est mis sur le sensible et sur les passions, sur la perception, sur la pluralisation des instances d’énonciation au-delà du seul sujet cognitif, sur le geste d’énonciation et sa dimension corporelle, sur le caractère situé des pratiques sociales, culturelles, historiques… </w:t>
      </w:r>
      <w:r w:rsidRPr="007C418A">
        <w:t xml:space="preserve">Si la production du sens comprend la discrétisation, c’est-à-dire la segmentation et la création de discontinuités, la « sémiotique de deuxième génération » (Coquet, 1991) met en avant la continuité et le devenir. Les processus et les dynamiques passent au premier plan, et avec eux les forces, parfois contraires, qui les animent, et les tensions qui parcourent jusqu’aux textes. </w:t>
      </w:r>
    </w:p>
    <w:p w:rsidR="00943C3C" w:rsidRPr="00E353D8" w:rsidRDefault="00943C3C" w:rsidP="00943C3C">
      <w:pPr>
        <w:spacing w:after="120" w:line="276" w:lineRule="auto"/>
        <w:jc w:val="both"/>
      </w:pPr>
      <w:r w:rsidRPr="007C418A">
        <w:t>Les bases des développements sémiotiques contemporains ont été jetées à la fin du XXe siècle et nous sommes en train de mesurer toutes les conséquences de ce changement :</w:t>
      </w:r>
      <w:r w:rsidRPr="00E353D8">
        <w:t xml:space="preserve"> nous verrons </w:t>
      </w:r>
      <w:r>
        <w:t xml:space="preserve">ainsi </w:t>
      </w:r>
      <w:r w:rsidRPr="00E353D8">
        <w:t>que la sémiotique contemporaine est marquée par les questions de l’altérité et de l’altération, de la gestion du flux du sens, des passages et des transitions. Y ajoutera-t-on l’instauration de « mondes » sémiotiques, leurs fondements anthropologiques, la réinvention des formes de sens stabilisées, la prise en compte des matières et des matériaux – par exemple, de la toile du peintre apprêtée d’une certaine façon – qui interviennent dans la production du sens en faisant connaître leurs besoins</w:t>
      </w:r>
      <w:r>
        <w:t xml:space="preserve"> propres</w:t>
      </w:r>
      <w:r w:rsidRPr="00E353D8">
        <w:t xml:space="preserve"> ? S’agit-il, alors, du « retour du refoulé », </w:t>
      </w:r>
      <w:r>
        <w:t xml:space="preserve">pour reprendre une expression de </w:t>
      </w:r>
      <w:r w:rsidRPr="00E353D8">
        <w:t>Fontanille (2003</w:t>
      </w:r>
      <w:r>
        <w:t>a</w:t>
      </w:r>
      <w:r w:rsidRPr="00E353D8">
        <w:t xml:space="preserve"> [199</w:t>
      </w:r>
      <w:r>
        <w:t>9</w:t>
      </w:r>
      <w:r w:rsidRPr="00E353D8">
        <w:t>]</w:t>
      </w:r>
      <w:r>
        <w:t>, p. 10</w:t>
      </w:r>
      <w:r w:rsidRPr="00E353D8">
        <w:t>)</w:t>
      </w:r>
      <w:r>
        <w:t xml:space="preserve">, </w:t>
      </w:r>
      <w:r w:rsidRPr="00E353D8">
        <w:t xml:space="preserve">ou faut-il parler de ruptures épistémologiques ? </w:t>
      </w:r>
    </w:p>
    <w:p w:rsidR="00943C3C" w:rsidRPr="00E353D8" w:rsidRDefault="00943C3C" w:rsidP="00943C3C">
      <w:pPr>
        <w:pStyle w:val="NormalWeb"/>
        <w:spacing w:before="0" w:beforeAutospacing="0" w:after="120" w:afterAutospacing="0" w:line="276" w:lineRule="auto"/>
        <w:jc w:val="both"/>
        <w:rPr>
          <w:rFonts w:ascii="Times New Roman" w:hAnsi="Times New Roman"/>
          <w:sz w:val="24"/>
          <w:szCs w:val="24"/>
        </w:rPr>
      </w:pPr>
      <w:r w:rsidRPr="00E353D8">
        <w:rPr>
          <w:rFonts w:ascii="Times New Roman" w:hAnsi="Times New Roman"/>
          <w:sz w:val="24"/>
          <w:szCs w:val="24"/>
        </w:rPr>
        <w:t>Autant de questions qui nous sont adressées. Et la sémiotique est tenue de relever des défis redoutables. En effet, on conçoit sans mal le risque d’une prolifération incontrôlée des objets d’étude, sans que les bases épistémologiques de la sémiotique soient toujours suffisamment consolidées. La multiplication débordante des propositions théoriques et des études ponctuelles, qui ne donnent pas toujours lieu à la mise en avant de régularités, d’invariants, par exemple de régimes de sens ou de principes de rationalité, pourraient provoquer une certaine perplexité</w:t>
      </w:r>
      <w:r>
        <w:rPr>
          <w:rStyle w:val="Appelnotedebasdep"/>
          <w:rFonts w:ascii="Times New Roman" w:hAnsi="Times New Roman"/>
          <w:sz w:val="24"/>
          <w:szCs w:val="24"/>
        </w:rPr>
        <w:footnoteReference w:id="3"/>
      </w:r>
      <w:r w:rsidRPr="00E353D8">
        <w:rPr>
          <w:rFonts w:ascii="Times New Roman" w:hAnsi="Times New Roman"/>
          <w:sz w:val="24"/>
          <w:szCs w:val="24"/>
        </w:rPr>
        <w:t xml:space="preserve">. </w:t>
      </w:r>
    </w:p>
    <w:p w:rsidR="00943C3C" w:rsidRPr="00E353D8" w:rsidRDefault="00943C3C" w:rsidP="00943C3C">
      <w:pPr>
        <w:pStyle w:val="NormalWeb"/>
        <w:spacing w:before="0" w:beforeAutospacing="0" w:after="120" w:afterAutospacing="0" w:line="276" w:lineRule="auto"/>
        <w:jc w:val="both"/>
        <w:rPr>
          <w:rFonts w:ascii="Times New Roman" w:hAnsi="Times New Roman"/>
          <w:sz w:val="24"/>
          <w:szCs w:val="24"/>
        </w:rPr>
      </w:pPr>
      <w:r w:rsidRPr="00E353D8">
        <w:rPr>
          <w:rFonts w:ascii="Times New Roman" w:hAnsi="Times New Roman"/>
          <w:sz w:val="24"/>
          <w:szCs w:val="24"/>
        </w:rPr>
        <w:t xml:space="preserve">Parler de niches dans ce contexte, c’est viser des tendances, des embryons théoriques qui, certes, n’atteignent pas encore le stade des courants de recherche ou des domaines plus ou moins autonomes et reconnus, mais qui témoignent de la vitalité de la sémiotique. En même temps, il faut sans doute éviter que les propositions théoriques ne se développent de manière parallèle, que les niches ne soient autocentrées plutôt qu’interconnectées. On peut avancer que seules les schématisations et les modélisations à plus large portée, qui atteignent le stade de la généralisation tout en veillant à l’adéquation aux objets d’analyse, sont garantes de la scientificité du projet. Dans le cas contraire, quand les propositions ne débouchent pas sur </w:t>
      </w:r>
      <w:r w:rsidRPr="00E353D8">
        <w:rPr>
          <w:rFonts w:ascii="Times New Roman" w:hAnsi="Times New Roman"/>
          <w:sz w:val="24"/>
          <w:szCs w:val="24"/>
        </w:rPr>
        <w:lastRenderedPageBreak/>
        <w:t xml:space="preserve">l’intégration dans un tout théorique cohérent, à la fois stabilisé par une conceptualisation qui unit et ouvert à l’innovation, un certain flou nuisant à l’identité même de la sémiotique, également vis-à-vis de l’extérieur, peut en être la conséquence. </w:t>
      </w:r>
    </w:p>
    <w:p w:rsidR="00943C3C" w:rsidRPr="00E353D8" w:rsidRDefault="00943C3C" w:rsidP="00943C3C">
      <w:pPr>
        <w:pStyle w:val="NormalWeb"/>
        <w:spacing w:before="0" w:beforeAutospacing="0" w:after="120" w:afterAutospacing="0" w:line="276" w:lineRule="auto"/>
        <w:jc w:val="both"/>
        <w:rPr>
          <w:rFonts w:ascii="Times New Roman" w:hAnsi="Times New Roman"/>
          <w:sz w:val="24"/>
          <w:szCs w:val="24"/>
        </w:rPr>
      </w:pPr>
      <w:r w:rsidRPr="007C418A">
        <w:rPr>
          <w:rFonts w:ascii="Times New Roman" w:hAnsi="Times New Roman"/>
          <w:sz w:val="24"/>
          <w:szCs w:val="24"/>
        </w:rPr>
        <w:t>Un autre danger guette : la sémiotique se réduirait-elle à une méthodologie ? Certes, cela la rendrait facilement transférable à d’autres disciplines scientifiques. Cependant, ne se verrait-elle pas privée de son essence même ? Enfin, faut-il regretter une certaine banalisation du lexème « sémiotique », une utilisation abusive en dehors du champ disciplinaire de la sémiotique au sens restreint du terme ?</w:t>
      </w:r>
    </w:p>
    <w:p w:rsidR="00943C3C" w:rsidRPr="00E353D8" w:rsidRDefault="00943C3C" w:rsidP="00943C3C">
      <w:pPr>
        <w:pStyle w:val="NormalWeb"/>
        <w:spacing w:before="0" w:beforeAutospacing="0" w:after="120" w:afterAutospacing="0" w:line="276" w:lineRule="auto"/>
        <w:jc w:val="both"/>
        <w:rPr>
          <w:rFonts w:ascii="Times New Roman" w:hAnsi="Times New Roman"/>
          <w:sz w:val="24"/>
          <w:szCs w:val="24"/>
        </w:rPr>
      </w:pPr>
      <w:r w:rsidRPr="00E353D8">
        <w:rPr>
          <w:rFonts w:ascii="Times New Roman" w:hAnsi="Times New Roman"/>
          <w:sz w:val="24"/>
          <w:szCs w:val="24"/>
        </w:rPr>
        <w:t>La situation est d’autant plus complexe que la sémiotique dialogue</w:t>
      </w:r>
      <w:r>
        <w:rPr>
          <w:rFonts w:ascii="Times New Roman" w:hAnsi="Times New Roman"/>
          <w:sz w:val="24"/>
          <w:szCs w:val="24"/>
        </w:rPr>
        <w:t> </w:t>
      </w:r>
      <m:oMath>
        <m:r>
          <w:rPr>
            <w:rFonts w:ascii="Cambria Math" w:hAnsi="Cambria Math"/>
            <w:sz w:val="24"/>
            <w:szCs w:val="24"/>
          </w:rPr>
          <m:t xml:space="preserve">- </m:t>
        </m:r>
      </m:oMath>
      <w:r>
        <w:rPr>
          <w:rFonts w:ascii="Times New Roman" w:hAnsi="Times New Roman"/>
          <w:sz w:val="24"/>
          <w:szCs w:val="24"/>
        </w:rPr>
        <w:t>ou du moins échange –</w:t>
      </w:r>
      <w:r w:rsidRPr="00E353D8">
        <w:rPr>
          <w:rFonts w:ascii="Times New Roman" w:hAnsi="Times New Roman"/>
          <w:sz w:val="24"/>
          <w:szCs w:val="24"/>
        </w:rPr>
        <w:t xml:space="preserve">avec d’autres sciences : essentiellement, avec les sciences du langage et avec les sciences humaines et sociales. Et sans doute s’agit-il là d’un de ses traits distinctifs. L’incursion dans </w:t>
      </w:r>
      <w:r w:rsidRPr="00E353D8">
        <w:rPr>
          <w:rFonts w:ascii="Times New Roman" w:hAnsi="Times New Roman"/>
          <w:sz w:val="24"/>
          <w:szCs w:val="24"/>
          <w:lang w:val="fr-FR"/>
        </w:rPr>
        <w:t xml:space="preserve">d’autres </w:t>
      </w:r>
      <w:r w:rsidRPr="00E353D8">
        <w:rPr>
          <w:rFonts w:ascii="Times New Roman" w:hAnsi="Times New Roman"/>
          <w:sz w:val="24"/>
          <w:szCs w:val="24"/>
        </w:rPr>
        <w:t xml:space="preserve">disciplines </w:t>
      </w:r>
      <w:r w:rsidRPr="00E353D8">
        <w:rPr>
          <w:rFonts w:ascii="Times New Roman" w:hAnsi="Times New Roman"/>
          <w:sz w:val="24"/>
          <w:szCs w:val="24"/>
          <w:lang w:val="fr-FR"/>
        </w:rPr>
        <w:t>et d’autres champs théoriques, notamment ceux de la philosophie et de l’anthropologie, n</w:t>
      </w:r>
      <w:r w:rsidRPr="00E353D8">
        <w:rPr>
          <w:rFonts w:ascii="Times New Roman" w:hAnsi="Times New Roman"/>
          <w:sz w:val="24"/>
          <w:szCs w:val="24"/>
        </w:rPr>
        <w:t xml:space="preserve">’est pas nouvelle : Greimas l’appelait de ses vœux. On peut avancer que la sémiotique s’est forgée </w:t>
      </w:r>
      <w:r>
        <w:rPr>
          <w:rFonts w:ascii="Times New Roman" w:hAnsi="Times New Roman"/>
          <w:sz w:val="24"/>
          <w:szCs w:val="24"/>
        </w:rPr>
        <w:t>au point de</w:t>
      </w:r>
      <w:r w:rsidRPr="00E353D8">
        <w:rPr>
          <w:rFonts w:ascii="Times New Roman" w:hAnsi="Times New Roman"/>
          <w:sz w:val="24"/>
          <w:szCs w:val="24"/>
        </w:rPr>
        <w:t xml:space="preserve"> confluence des sciences du langage, de la philosophie et de l’anthropologie. D’une part, la sémiotique de Greimas propose une analyse de discours scientifiques, y compris des mathématiques. D’autre part, un pas supplémentaire, attesté par </w:t>
      </w:r>
      <w:r w:rsidRPr="00E353D8">
        <w:rPr>
          <w:rFonts w:ascii="Times New Roman" w:hAnsi="Times New Roman"/>
          <w:i/>
          <w:sz w:val="24"/>
          <w:szCs w:val="24"/>
        </w:rPr>
        <w:t>Sémantique structurale</w:t>
      </w:r>
      <w:r w:rsidRPr="00E353D8">
        <w:rPr>
          <w:rFonts w:ascii="Times New Roman" w:hAnsi="Times New Roman"/>
          <w:sz w:val="24"/>
          <w:szCs w:val="24"/>
        </w:rPr>
        <w:t xml:space="preserve"> (Greimas, 1966), consiste à traiter les autres sciences comme des sémiotiques, au-delà même des discours, grâce à une extension du projet à tous les « univers de sens » (Fontanille et Zinna</w:t>
      </w:r>
      <w:r>
        <w:rPr>
          <w:rFonts w:ascii="Times New Roman" w:hAnsi="Times New Roman"/>
          <w:sz w:val="24"/>
          <w:szCs w:val="24"/>
        </w:rPr>
        <w:t>, 2019</w:t>
      </w:r>
      <w:r w:rsidRPr="00E353D8">
        <w:rPr>
          <w:rFonts w:ascii="Times New Roman" w:hAnsi="Times New Roman"/>
          <w:sz w:val="24"/>
          <w:szCs w:val="24"/>
        </w:rPr>
        <w:t>, p.</w:t>
      </w:r>
      <w:r>
        <w:rPr>
          <w:rFonts w:ascii="Times New Roman" w:hAnsi="Times New Roman"/>
          <w:sz w:val="24"/>
          <w:szCs w:val="24"/>
        </w:rPr>
        <w:t> </w:t>
      </w:r>
      <w:r w:rsidRPr="00E353D8">
        <w:rPr>
          <w:rFonts w:ascii="Times New Roman" w:hAnsi="Times New Roman"/>
          <w:sz w:val="24"/>
          <w:szCs w:val="24"/>
        </w:rPr>
        <w:t>6).</w:t>
      </w:r>
    </w:p>
    <w:p w:rsidR="00943C3C" w:rsidRPr="00E353D8" w:rsidRDefault="00943C3C" w:rsidP="00943C3C">
      <w:pPr>
        <w:pStyle w:val="NormalWeb"/>
        <w:spacing w:before="0" w:beforeAutospacing="0" w:after="120" w:afterAutospacing="0" w:line="276" w:lineRule="auto"/>
        <w:jc w:val="both"/>
        <w:rPr>
          <w:rFonts w:ascii="Times New Roman" w:hAnsi="Times New Roman"/>
          <w:sz w:val="24"/>
          <w:szCs w:val="24"/>
          <w:lang w:val="fr-FR"/>
        </w:rPr>
      </w:pPr>
      <w:r w:rsidRPr="007C418A">
        <w:rPr>
          <w:rFonts w:ascii="Times New Roman" w:hAnsi="Times New Roman"/>
          <w:sz w:val="24"/>
          <w:szCs w:val="24"/>
          <w:lang w:val="fr-FR"/>
        </w:rPr>
        <w:t>Parmi les champs disciplinaires avec lesquels la sémiotique engage le dialogue et les sous</w:t>
      </w:r>
      <w:r>
        <w:rPr>
          <w:rFonts w:ascii="Times New Roman" w:hAnsi="Times New Roman"/>
          <w:sz w:val="24"/>
          <w:szCs w:val="24"/>
          <w:lang w:val="fr-FR"/>
        </w:rPr>
        <w:t>-</w:t>
      </w:r>
      <w:r w:rsidRPr="007C418A">
        <w:rPr>
          <w:rFonts w:ascii="Times New Roman" w:hAnsi="Times New Roman"/>
          <w:sz w:val="24"/>
          <w:szCs w:val="24"/>
          <w:lang w:val="fr-FR"/>
        </w:rPr>
        <w:t>disciplines sémiotiques, bien attestées, qui en résultent, on</w:t>
      </w:r>
      <w:r w:rsidRPr="00E353D8">
        <w:rPr>
          <w:rFonts w:ascii="Times New Roman" w:hAnsi="Times New Roman"/>
          <w:sz w:val="24"/>
          <w:szCs w:val="24"/>
          <w:lang w:val="fr-FR"/>
        </w:rPr>
        <w:t xml:space="preserve"> peut retenir, sans aucun souci d’exhaustivité, la sémiotique littéraire, la sémiotique visuelle, l’anthroposémiotique</w:t>
      </w:r>
      <w:r>
        <w:rPr>
          <w:rFonts w:ascii="Times New Roman" w:hAnsi="Times New Roman"/>
          <w:sz w:val="24"/>
          <w:szCs w:val="24"/>
          <w:lang w:val="fr-FR"/>
        </w:rPr>
        <w:t xml:space="preserve">, </w:t>
      </w:r>
      <w:r w:rsidRPr="00E353D8">
        <w:rPr>
          <w:rFonts w:ascii="Times New Roman" w:hAnsi="Times New Roman"/>
          <w:sz w:val="24"/>
          <w:szCs w:val="24"/>
          <w:lang w:val="fr-FR"/>
        </w:rPr>
        <w:t>la sociosémiotique, la psychosémiotique, l’éthosémiotique, l’ethnosémiotique, la biosémiotique</w:t>
      </w:r>
      <w:r w:rsidRPr="00E353D8">
        <w:rPr>
          <w:rStyle w:val="Appelnotedebasdep"/>
          <w:rFonts w:ascii="Times New Roman" w:hAnsi="Times New Roman"/>
          <w:sz w:val="24"/>
          <w:szCs w:val="24"/>
          <w:lang w:val="fr-FR"/>
        </w:rPr>
        <w:footnoteReference w:id="4"/>
      </w:r>
      <w:r w:rsidRPr="00E353D8">
        <w:rPr>
          <w:rFonts w:ascii="Times New Roman" w:hAnsi="Times New Roman"/>
          <w:sz w:val="24"/>
          <w:szCs w:val="24"/>
          <w:lang w:val="fr-FR"/>
        </w:rPr>
        <w:t xml:space="preserve">. </w:t>
      </w:r>
    </w:p>
    <w:p w:rsidR="00943C3C" w:rsidRPr="00E353D8" w:rsidRDefault="00943C3C" w:rsidP="00943C3C">
      <w:pPr>
        <w:pStyle w:val="NormalWeb"/>
        <w:spacing w:before="0" w:beforeAutospacing="0" w:after="120" w:afterAutospacing="0" w:line="276" w:lineRule="auto"/>
        <w:jc w:val="both"/>
        <w:rPr>
          <w:rFonts w:ascii="Times New Roman" w:hAnsi="Times New Roman"/>
          <w:sz w:val="24"/>
          <w:szCs w:val="24"/>
          <w:lang w:val="fr-FR"/>
        </w:rPr>
      </w:pPr>
      <w:r w:rsidRPr="00E353D8">
        <w:rPr>
          <w:rFonts w:ascii="Times New Roman" w:hAnsi="Times New Roman"/>
          <w:sz w:val="24"/>
          <w:szCs w:val="24"/>
        </w:rPr>
        <w:t xml:space="preserve">Quel est alors le statut de la sémiotique ? </w:t>
      </w:r>
      <w:r>
        <w:rPr>
          <w:rFonts w:ascii="Times New Roman" w:hAnsi="Times New Roman"/>
          <w:sz w:val="24"/>
          <w:szCs w:val="24"/>
        </w:rPr>
        <w:t xml:space="preserve">Nous sommes face à une pratique, à une « manière de pratiquer les sciences de l’homme » (Brandt, 2018, p. 1). En même temps, </w:t>
      </w:r>
      <w:r>
        <w:rPr>
          <w:rFonts w:ascii="Times New Roman" w:hAnsi="Times New Roman"/>
          <w:sz w:val="24"/>
          <w:szCs w:val="24"/>
          <w:lang w:val="fr-FR"/>
        </w:rPr>
        <w:t>u</w:t>
      </w:r>
      <w:r w:rsidRPr="00E353D8">
        <w:rPr>
          <w:rFonts w:ascii="Times New Roman" w:hAnsi="Times New Roman"/>
          <w:sz w:val="24"/>
          <w:szCs w:val="24"/>
          <w:lang w:val="fr-FR"/>
        </w:rPr>
        <w:t xml:space="preserve">ne des questions les plus redoutables est celle des choix épistémologiques de la sémiotique, qui en sont définitoires : moins ceux de la sémiotique greimassienne, bien connus, que ceux des recherches plus contemporaines, dont la créativité et le pouvoir de renouvellement sont remarquables. Pour le dire simplement : est-il toujours aisé de distinguer l’approche sémiotique d’autres approches qui peuvent paraître proches ? </w:t>
      </w:r>
    </w:p>
    <w:p w:rsidR="00943C3C" w:rsidRPr="00E353D8" w:rsidRDefault="00943C3C" w:rsidP="00943C3C">
      <w:pPr>
        <w:pStyle w:val="NormalWeb"/>
        <w:spacing w:before="0" w:beforeAutospacing="0" w:after="120" w:afterAutospacing="0" w:line="276" w:lineRule="auto"/>
        <w:jc w:val="both"/>
        <w:rPr>
          <w:rFonts w:ascii="Times New Roman" w:hAnsi="Times New Roman"/>
          <w:sz w:val="24"/>
          <w:szCs w:val="24"/>
          <w:lang w:val="fr-FR"/>
        </w:rPr>
      </w:pPr>
      <w:r w:rsidRPr="00E353D8">
        <w:rPr>
          <w:rFonts w:ascii="Times New Roman" w:hAnsi="Times New Roman"/>
          <w:sz w:val="24"/>
          <w:szCs w:val="24"/>
        </w:rPr>
        <w:t xml:space="preserve">Ainsi, tenir compte du « tournant phénoménologique » de la sémiotique des années quatre-vingt, se tourner vers l’anthropologie philosophique de Bruno Latour, lorgner du côté de l’ontologie plurimodale d’Etienne Souriau, c’est opter pour une dimension </w:t>
      </w:r>
      <w:r w:rsidRPr="00E353D8">
        <w:rPr>
          <w:rFonts w:ascii="Times New Roman" w:hAnsi="Times New Roman"/>
          <w:sz w:val="24"/>
          <w:szCs w:val="24"/>
          <w:lang w:val="fr-FR"/>
        </w:rPr>
        <w:t>dialogique</w:t>
      </w:r>
      <w:r w:rsidRPr="00E353D8">
        <w:rPr>
          <w:rFonts w:ascii="Times New Roman" w:hAnsi="Times New Roman"/>
          <w:sz w:val="24"/>
          <w:szCs w:val="24"/>
        </w:rPr>
        <w:t xml:space="preserve"> qui </w:t>
      </w:r>
      <w:r w:rsidRPr="00E353D8">
        <w:rPr>
          <w:rFonts w:ascii="Times New Roman" w:hAnsi="Times New Roman"/>
          <w:sz w:val="24"/>
          <w:szCs w:val="24"/>
          <w:lang w:val="fr-FR"/>
        </w:rPr>
        <w:t xml:space="preserve">ne manque pas de nous interpeller. </w:t>
      </w:r>
      <w:r w:rsidRPr="00E353D8">
        <w:rPr>
          <w:rFonts w:ascii="Times New Roman" w:hAnsi="Times New Roman"/>
          <w:sz w:val="24"/>
          <w:szCs w:val="24"/>
        </w:rPr>
        <w:t xml:space="preserve">On y verra un véritable défi, celui de la </w:t>
      </w:r>
      <w:r w:rsidRPr="00E353D8">
        <w:rPr>
          <w:rFonts w:ascii="Times New Roman" w:hAnsi="Times New Roman"/>
          <w:i/>
          <w:sz w:val="24"/>
          <w:szCs w:val="24"/>
        </w:rPr>
        <w:t>traduction</w:t>
      </w:r>
      <w:r w:rsidRPr="00E353D8">
        <w:rPr>
          <w:rFonts w:ascii="Times New Roman" w:hAnsi="Times New Roman"/>
          <w:sz w:val="24"/>
          <w:szCs w:val="24"/>
        </w:rPr>
        <w:t xml:space="preserve"> d’une épistémologie et d’un bagage conceptuel dans d’autres. Le danger est celui </w:t>
      </w:r>
      <w:r>
        <w:rPr>
          <w:rFonts w:ascii="Times New Roman" w:hAnsi="Times New Roman"/>
          <w:sz w:val="24"/>
          <w:szCs w:val="24"/>
        </w:rPr>
        <w:t>du</w:t>
      </w:r>
      <w:r w:rsidRPr="00E353D8">
        <w:rPr>
          <w:rFonts w:ascii="Times New Roman" w:hAnsi="Times New Roman"/>
          <w:sz w:val="24"/>
          <w:szCs w:val="24"/>
        </w:rPr>
        <w:t xml:space="preserve"> simple emprunt. En effet, e</w:t>
      </w:r>
      <w:r w:rsidRPr="00E353D8">
        <w:rPr>
          <w:rFonts w:ascii="Times New Roman" w:hAnsi="Times New Roman"/>
          <w:sz w:val="24"/>
          <w:szCs w:val="24"/>
          <w:lang w:val="fr-FR"/>
        </w:rPr>
        <w:t xml:space="preserve">n quoi la convocation de cadres théoriques différents menace-t-elle de porter atteinte </w:t>
      </w:r>
      <w:r w:rsidRPr="00E353D8">
        <w:rPr>
          <w:rFonts w:ascii="Times New Roman" w:hAnsi="Times New Roman"/>
          <w:sz w:val="24"/>
          <w:szCs w:val="24"/>
          <w:lang w:val="fr-FR"/>
        </w:rPr>
        <w:lastRenderedPageBreak/>
        <w:t>à la cohérence du projet</w:t>
      </w:r>
      <w:r w:rsidRPr="00E353D8">
        <w:rPr>
          <w:rFonts w:ascii="Times New Roman" w:hAnsi="Times New Roman"/>
          <w:sz w:val="24"/>
          <w:szCs w:val="24"/>
        </w:rPr>
        <w:t xml:space="preserve"> sémiotique</w:t>
      </w:r>
      <w:r w:rsidRPr="00E353D8">
        <w:rPr>
          <w:rFonts w:ascii="Times New Roman" w:hAnsi="Times New Roman"/>
          <w:sz w:val="24"/>
          <w:szCs w:val="24"/>
          <w:lang w:val="fr-FR"/>
        </w:rPr>
        <w:t xml:space="preserve"> ? </w:t>
      </w:r>
      <w:r w:rsidRPr="00E353D8">
        <w:rPr>
          <w:rFonts w:ascii="Times New Roman" w:hAnsi="Times New Roman"/>
          <w:sz w:val="24"/>
          <w:szCs w:val="24"/>
        </w:rPr>
        <w:t>Est-ce susciter</w:t>
      </w:r>
      <w:r w:rsidRPr="00E353D8">
        <w:rPr>
          <w:rFonts w:ascii="Times New Roman" w:hAnsi="Times New Roman"/>
          <w:sz w:val="24"/>
          <w:szCs w:val="24"/>
          <w:lang w:val="fr-FR"/>
        </w:rPr>
        <w:t xml:space="preserve"> une </w:t>
      </w:r>
      <w:r w:rsidRPr="00E353D8">
        <w:rPr>
          <w:rFonts w:ascii="Times New Roman" w:hAnsi="Times New Roman"/>
          <w:i/>
          <w:sz w:val="24"/>
          <w:szCs w:val="24"/>
          <w:lang w:val="fr-FR"/>
        </w:rPr>
        <w:t>inquiétude épistémologique</w:t>
      </w:r>
      <w:r w:rsidRPr="00E353D8">
        <w:rPr>
          <w:rStyle w:val="Appelnotedebasdep"/>
          <w:rFonts w:ascii="Times New Roman" w:hAnsi="Times New Roman"/>
          <w:sz w:val="24"/>
          <w:szCs w:val="24"/>
          <w:lang w:val="fr-FR"/>
        </w:rPr>
        <w:footnoteReference w:id="5"/>
      </w:r>
      <w:r w:rsidRPr="00E353D8">
        <w:rPr>
          <w:rFonts w:ascii="Times New Roman" w:hAnsi="Times New Roman"/>
          <w:sz w:val="24"/>
          <w:szCs w:val="24"/>
          <w:lang w:val="fr-FR"/>
        </w:rPr>
        <w:t> ? Elle serait due</w:t>
      </w:r>
      <w:r>
        <w:rPr>
          <w:rFonts w:ascii="Times New Roman" w:hAnsi="Times New Roman"/>
          <w:sz w:val="24"/>
          <w:szCs w:val="24"/>
          <w:lang w:val="fr-FR"/>
        </w:rPr>
        <w:t>, au sein même de la théorie,</w:t>
      </w:r>
      <w:r w:rsidRPr="00E353D8">
        <w:rPr>
          <w:rFonts w:ascii="Times New Roman" w:hAnsi="Times New Roman"/>
          <w:sz w:val="24"/>
          <w:szCs w:val="24"/>
          <w:lang w:val="fr-FR"/>
        </w:rPr>
        <w:t xml:space="preserve"> à la multiplication d’analyses sans portée générale et à des explications </w:t>
      </w:r>
      <w:r w:rsidRPr="00E353D8">
        <w:rPr>
          <w:rFonts w:ascii="Times New Roman" w:hAnsi="Times New Roman"/>
          <w:i/>
          <w:sz w:val="24"/>
          <w:szCs w:val="24"/>
          <w:lang w:val="fr-FR"/>
        </w:rPr>
        <w:t>ad hoc</w:t>
      </w:r>
      <w:r>
        <w:rPr>
          <w:rFonts w:ascii="Times New Roman" w:hAnsi="Times New Roman"/>
          <w:sz w:val="24"/>
          <w:szCs w:val="24"/>
          <w:lang w:val="fr-FR"/>
        </w:rPr>
        <w:t xml:space="preserve"> ; nous l’avons noté. Elle résulterait en même temps de la </w:t>
      </w:r>
      <w:r w:rsidRPr="00E353D8">
        <w:rPr>
          <w:rFonts w:ascii="Times New Roman" w:hAnsi="Times New Roman"/>
          <w:sz w:val="24"/>
          <w:szCs w:val="24"/>
          <w:lang w:val="fr-FR"/>
        </w:rPr>
        <w:t xml:space="preserve">juxtaposition d’apports extérieurs, trop nombreux et trop divers. </w:t>
      </w:r>
    </w:p>
    <w:p w:rsidR="00943C3C" w:rsidRPr="00E353D8" w:rsidRDefault="00943C3C" w:rsidP="00943C3C">
      <w:pPr>
        <w:pStyle w:val="NormalWeb"/>
        <w:spacing w:before="0" w:beforeAutospacing="0" w:after="120" w:afterAutospacing="0" w:line="276" w:lineRule="auto"/>
        <w:jc w:val="both"/>
        <w:rPr>
          <w:rFonts w:ascii="Times New Roman" w:hAnsi="Times New Roman"/>
          <w:sz w:val="24"/>
          <w:szCs w:val="24"/>
          <w:lang w:val="fr-FR"/>
        </w:rPr>
      </w:pPr>
      <w:r w:rsidRPr="00E353D8">
        <w:rPr>
          <w:rFonts w:ascii="Times New Roman" w:hAnsi="Times New Roman"/>
          <w:sz w:val="24"/>
          <w:szCs w:val="24"/>
          <w:lang w:val="fr-FR"/>
        </w:rPr>
        <w:t>Pour simplifier, on peut distinguer deux types de rapports possibles entre les disciplines en confrontation : horizontaux et verticaux. Et Herman Parret (2006, p.</w:t>
      </w:r>
      <w:r>
        <w:rPr>
          <w:rFonts w:ascii="Times New Roman" w:hAnsi="Times New Roman"/>
          <w:sz w:val="24"/>
          <w:szCs w:val="24"/>
          <w:lang w:val="fr-FR"/>
        </w:rPr>
        <w:t> </w:t>
      </w:r>
      <w:r w:rsidRPr="00E353D8">
        <w:rPr>
          <w:rFonts w:ascii="Times New Roman" w:hAnsi="Times New Roman"/>
          <w:sz w:val="24"/>
          <w:szCs w:val="24"/>
          <w:lang w:val="fr-FR"/>
        </w:rPr>
        <w:t xml:space="preserve">7) de se demander si la sémiotique constitue une « méta-discipline triomphaliste, une trans-discipline œcuménique, ou une inter-discipline modeste ». </w:t>
      </w:r>
    </w:p>
    <w:p w:rsidR="00943C3C" w:rsidRPr="00B27B9D" w:rsidRDefault="00943C3C" w:rsidP="00943C3C">
      <w:pPr>
        <w:pStyle w:val="NormalWeb"/>
        <w:spacing w:before="0" w:beforeAutospacing="0" w:after="120" w:afterAutospacing="0" w:line="276" w:lineRule="auto"/>
        <w:jc w:val="both"/>
        <w:rPr>
          <w:rFonts w:ascii="Times New Roman" w:hAnsi="Times New Roman"/>
          <w:sz w:val="24"/>
          <w:szCs w:val="24"/>
        </w:rPr>
      </w:pPr>
      <w:r w:rsidRPr="00E353D8">
        <w:rPr>
          <w:rFonts w:ascii="Times New Roman" w:hAnsi="Times New Roman"/>
          <w:sz w:val="24"/>
          <w:szCs w:val="24"/>
          <w:lang w:val="fr-FR"/>
        </w:rPr>
        <w:t xml:space="preserve">Ainsi, la sémiotique cultive-t-elle la pluridisciplinarité ou l’interdisciplinarité, sans se « substituer à aucune des approches » convoquées ? </w:t>
      </w:r>
      <w:r w:rsidRPr="00E353D8">
        <w:rPr>
          <w:rFonts w:ascii="Times New Roman" w:hAnsi="Times New Roman"/>
          <w:sz w:val="24"/>
          <w:szCs w:val="24"/>
        </w:rPr>
        <w:t xml:space="preserve">Dans son </w:t>
      </w:r>
      <w:r w:rsidRPr="00E353D8">
        <w:rPr>
          <w:rFonts w:ascii="Times New Roman" w:hAnsi="Times New Roman"/>
          <w:i/>
          <w:sz w:val="24"/>
          <w:szCs w:val="24"/>
        </w:rPr>
        <w:t xml:space="preserve">Précis de sémiotique générale, </w:t>
      </w:r>
      <w:r w:rsidRPr="00E353D8">
        <w:rPr>
          <w:rFonts w:ascii="Times New Roman" w:hAnsi="Times New Roman"/>
          <w:sz w:val="24"/>
          <w:szCs w:val="24"/>
        </w:rPr>
        <w:t>Klinkenberg (1996, p.</w:t>
      </w:r>
      <w:r>
        <w:rPr>
          <w:rFonts w:ascii="Times New Roman" w:hAnsi="Times New Roman"/>
          <w:sz w:val="24"/>
          <w:szCs w:val="24"/>
        </w:rPr>
        <w:t> </w:t>
      </w:r>
      <w:r w:rsidRPr="00E353D8">
        <w:rPr>
          <w:rFonts w:ascii="Times New Roman" w:hAnsi="Times New Roman"/>
          <w:sz w:val="24"/>
          <w:szCs w:val="24"/>
        </w:rPr>
        <w:t>7) taxe la sémiotique de « discipline bien paradoxale ». Il ajoute qu’elle est « partout et nulle part à la fois », qu’elle « entend occuper un lieu où viennent converger de nombreuses sciences</w:t>
      </w:r>
      <w:r>
        <w:rPr>
          <w:rFonts w:ascii="Times New Roman" w:hAnsi="Times New Roman"/>
          <w:sz w:val="24"/>
          <w:szCs w:val="24"/>
        </w:rPr>
        <w:t> : anthropologie, sociologie, psychologie sociale, psychologie de la perception et plus largement sciences cognitives, philosophie, et spécialement épistémologie, linguistique, disciplines de la communication</w:t>
      </w:r>
      <w:r w:rsidRPr="00E353D8">
        <w:rPr>
          <w:rFonts w:ascii="Times New Roman" w:hAnsi="Times New Roman"/>
          <w:sz w:val="24"/>
          <w:szCs w:val="24"/>
        </w:rPr>
        <w:t xml:space="preserve"> ». Il ajoute que </w:t>
      </w:r>
      <w:r w:rsidRPr="00E353D8">
        <w:rPr>
          <w:rFonts w:ascii="Times New Roman" w:hAnsi="Times New Roman"/>
          <w:sz w:val="24"/>
          <w:szCs w:val="24"/>
          <w:lang w:val="fr-FR"/>
        </w:rPr>
        <w:t>« son rôle est plus modeste (ou plus immodeste : comme on voudra) : elle espère faire dialoguer</w:t>
      </w:r>
      <w:r>
        <w:rPr>
          <w:rFonts w:ascii="Times New Roman" w:hAnsi="Times New Roman"/>
          <w:sz w:val="24"/>
          <w:szCs w:val="24"/>
          <w:lang w:val="fr-FR"/>
        </w:rPr>
        <w:t xml:space="preserve"> </w:t>
      </w:r>
      <w:r w:rsidRPr="00E353D8">
        <w:rPr>
          <w:rFonts w:ascii="Times New Roman" w:hAnsi="Times New Roman"/>
          <w:sz w:val="24"/>
          <w:szCs w:val="24"/>
          <w:lang w:val="fr-FR"/>
        </w:rPr>
        <w:t>toutes ces disciplines, constituer leur interface commune ». On retrouve l’idée de l’interface chez Fontanille et Zinna (2019, p.</w:t>
      </w:r>
      <w:r>
        <w:rPr>
          <w:rFonts w:ascii="Times New Roman" w:hAnsi="Times New Roman"/>
          <w:sz w:val="24"/>
          <w:szCs w:val="24"/>
          <w:lang w:val="fr-FR"/>
        </w:rPr>
        <w:t> </w:t>
      </w:r>
      <w:r w:rsidRPr="00E353D8">
        <w:rPr>
          <w:rFonts w:ascii="Times New Roman" w:hAnsi="Times New Roman"/>
          <w:sz w:val="24"/>
          <w:szCs w:val="24"/>
          <w:lang w:val="fr-FR"/>
        </w:rPr>
        <w:t xml:space="preserve">15). Il incombe à cette dernière d’instaurer le dialogue entre les sciences, en </w:t>
      </w:r>
      <w:r w:rsidRPr="00E353D8">
        <w:rPr>
          <w:rFonts w:ascii="Times New Roman" w:hAnsi="Times New Roman"/>
          <w:i/>
          <w:sz w:val="24"/>
          <w:szCs w:val="24"/>
          <w:lang w:val="fr-FR"/>
        </w:rPr>
        <w:t>transformant</w:t>
      </w:r>
      <w:r w:rsidRPr="00E353D8">
        <w:rPr>
          <w:rFonts w:ascii="Times New Roman" w:hAnsi="Times New Roman"/>
          <w:sz w:val="24"/>
          <w:szCs w:val="24"/>
          <w:lang w:val="fr-FR"/>
        </w:rPr>
        <w:t xml:space="preserve"> les pratiques et les discours, en intervenant dans le débat sociétal et culturel. La sémiotique dépasse ainsi sa fonction fédérative. </w:t>
      </w:r>
    </w:p>
    <w:p w:rsidR="00943C3C" w:rsidRDefault="00943C3C" w:rsidP="00943C3C">
      <w:pPr>
        <w:pStyle w:val="NormalWeb"/>
        <w:spacing w:before="0" w:beforeAutospacing="0" w:after="120" w:afterAutospacing="0" w:line="276" w:lineRule="auto"/>
        <w:jc w:val="both"/>
        <w:rPr>
          <w:rFonts w:ascii="Times New Roman" w:hAnsi="Times New Roman"/>
          <w:sz w:val="24"/>
          <w:szCs w:val="24"/>
          <w:lang w:val="fr-FR"/>
        </w:rPr>
      </w:pPr>
      <w:r w:rsidRPr="00E353D8">
        <w:rPr>
          <w:rFonts w:ascii="Times New Roman" w:hAnsi="Times New Roman"/>
          <w:sz w:val="24"/>
          <w:szCs w:val="24"/>
          <w:lang w:val="fr-FR"/>
        </w:rPr>
        <w:t>O</w:t>
      </w:r>
      <w:r>
        <w:rPr>
          <w:rFonts w:ascii="Times New Roman" w:hAnsi="Times New Roman"/>
          <w:sz w:val="24"/>
          <w:szCs w:val="24"/>
          <w:lang w:val="fr-FR"/>
        </w:rPr>
        <w:t>n peut</w:t>
      </w:r>
      <w:r w:rsidRPr="00E353D8">
        <w:rPr>
          <w:rFonts w:ascii="Times New Roman" w:hAnsi="Times New Roman"/>
          <w:sz w:val="24"/>
          <w:szCs w:val="24"/>
          <w:lang w:val="fr-FR"/>
        </w:rPr>
        <w:t xml:space="preserve"> donc </w:t>
      </w:r>
      <w:r>
        <w:rPr>
          <w:rFonts w:ascii="Times New Roman" w:hAnsi="Times New Roman"/>
          <w:sz w:val="24"/>
          <w:szCs w:val="24"/>
          <w:lang w:val="fr-FR"/>
        </w:rPr>
        <w:t xml:space="preserve">dire </w:t>
      </w:r>
      <w:r w:rsidRPr="00E353D8">
        <w:rPr>
          <w:rFonts w:ascii="Times New Roman" w:hAnsi="Times New Roman"/>
          <w:sz w:val="24"/>
          <w:szCs w:val="24"/>
          <w:lang w:val="fr-FR"/>
        </w:rPr>
        <w:t>qu’il revient à la sémiotique d’être un « lieu, ou une manière de faire, de l’interdisciplinarité » (Badir, 2004, p.</w:t>
      </w:r>
      <w:r>
        <w:rPr>
          <w:rFonts w:ascii="Times New Roman" w:hAnsi="Times New Roman"/>
          <w:sz w:val="24"/>
          <w:szCs w:val="24"/>
          <w:lang w:val="fr-FR"/>
        </w:rPr>
        <w:t> </w:t>
      </w:r>
      <w:r w:rsidRPr="00E353D8">
        <w:rPr>
          <w:rFonts w:ascii="Times New Roman" w:hAnsi="Times New Roman"/>
          <w:sz w:val="24"/>
          <w:szCs w:val="24"/>
          <w:lang w:val="fr-FR"/>
        </w:rPr>
        <w:t xml:space="preserve">10). Mais aussi, qu’elle peut adopter un point de vue en surplomb, qu’elle a vocation à être métathéorique, à orchestrer des apports divers et à agir sur eux. On le lui a reproché. Pourtant, telle serait sa mission. Ainsi, pour Klinkenberg (1996, p. 8), celle-ci consiste à </w:t>
      </w:r>
    </w:p>
    <w:p w:rsidR="00943C3C" w:rsidRDefault="00943C3C" w:rsidP="00943C3C">
      <w:pPr>
        <w:pStyle w:val="NormalWeb"/>
        <w:spacing w:before="0" w:beforeAutospacing="0" w:after="120" w:afterAutospacing="0" w:line="276" w:lineRule="auto"/>
        <w:ind w:left="567"/>
        <w:jc w:val="both"/>
        <w:rPr>
          <w:rFonts w:ascii="Times New Roman" w:hAnsi="Times New Roman"/>
          <w:sz w:val="24"/>
          <w:szCs w:val="24"/>
          <w:lang w:val="fr-FR"/>
        </w:rPr>
      </w:pPr>
      <w:proofErr w:type="gramStart"/>
      <w:r w:rsidRPr="00E353D8">
        <w:rPr>
          <w:rFonts w:ascii="Times New Roman" w:hAnsi="Times New Roman"/>
          <w:sz w:val="24"/>
          <w:szCs w:val="24"/>
          <w:lang w:val="fr-FR"/>
        </w:rPr>
        <w:t>explorer</w:t>
      </w:r>
      <w:proofErr w:type="gramEnd"/>
      <w:r w:rsidRPr="00E353D8">
        <w:rPr>
          <w:rFonts w:ascii="Times New Roman" w:hAnsi="Times New Roman"/>
          <w:sz w:val="24"/>
          <w:szCs w:val="24"/>
          <w:lang w:val="fr-FR"/>
        </w:rPr>
        <w:t xml:space="preserve"> ce qui est pour les autres un postulat. </w:t>
      </w:r>
      <w:r w:rsidRPr="00E353D8">
        <w:rPr>
          <w:rFonts w:ascii="Times New Roman" w:hAnsi="Times New Roman"/>
          <w:sz w:val="24"/>
          <w:szCs w:val="24"/>
        </w:rPr>
        <w:t>É</w:t>
      </w:r>
      <w:r w:rsidRPr="00E353D8">
        <w:rPr>
          <w:rFonts w:ascii="Times New Roman" w:hAnsi="Times New Roman"/>
          <w:sz w:val="24"/>
          <w:szCs w:val="24"/>
          <w:lang w:val="fr-FR"/>
        </w:rPr>
        <w:t xml:space="preserve">tudier la signification, décrire ses modes de fonctionnement, et le rapport qu’elle entretient avec la connaissance et l’action. Tâche bien circonscrite, et donc raisonnable. Mais mission ambitieuse aussi car, l’accomplissant, la sémiotique se fait métathéorie : théorie des théories. </w:t>
      </w:r>
    </w:p>
    <w:p w:rsidR="00943C3C" w:rsidRPr="00E353D8" w:rsidRDefault="00943C3C" w:rsidP="00943C3C">
      <w:pPr>
        <w:pStyle w:val="NormalWeb"/>
        <w:spacing w:before="0" w:beforeAutospacing="0" w:after="120" w:afterAutospacing="0" w:line="276" w:lineRule="auto"/>
        <w:jc w:val="both"/>
        <w:rPr>
          <w:rFonts w:ascii="Times New Roman" w:hAnsi="Times New Roman"/>
          <w:sz w:val="24"/>
          <w:szCs w:val="24"/>
          <w:lang w:val="fr-FR"/>
        </w:rPr>
      </w:pPr>
      <w:r w:rsidRPr="00E353D8">
        <w:rPr>
          <w:rFonts w:ascii="Times New Roman" w:hAnsi="Times New Roman"/>
          <w:sz w:val="24"/>
          <w:szCs w:val="24"/>
          <w:lang w:val="fr-FR"/>
        </w:rPr>
        <w:t xml:space="preserve">Certains voient dans </w:t>
      </w:r>
      <w:r w:rsidRPr="0053145E">
        <w:rPr>
          <w:rFonts w:ascii="Times New Roman" w:hAnsi="Times New Roman"/>
          <w:sz w:val="24"/>
          <w:szCs w:val="24"/>
          <w:lang w:val="fr-FR"/>
        </w:rPr>
        <w:t>la « métascience » et dans l</w:t>
      </w:r>
      <w:proofErr w:type="gramStart"/>
      <w:r w:rsidRPr="0053145E">
        <w:rPr>
          <w:rFonts w:ascii="Times New Roman" w:hAnsi="Times New Roman"/>
          <w:sz w:val="24"/>
          <w:szCs w:val="24"/>
          <w:lang w:val="fr-FR"/>
        </w:rPr>
        <w:t>’«</w:t>
      </w:r>
      <w:proofErr w:type="gramEnd"/>
      <w:r w:rsidRPr="0053145E">
        <w:rPr>
          <w:rFonts w:ascii="Times New Roman" w:hAnsi="Times New Roman"/>
          <w:sz w:val="24"/>
          <w:szCs w:val="24"/>
          <w:lang w:val="fr-FR"/>
        </w:rPr>
        <w:t> assomption consciente du statut “englobant” » de la discipline – hors du</w:t>
      </w:r>
      <w:r w:rsidRPr="0053145E">
        <w:rPr>
          <w:rFonts w:ascii="Times New Roman" w:hAnsi="Times New Roman"/>
          <w:sz w:val="24"/>
          <w:szCs w:val="24"/>
        </w:rPr>
        <w:t xml:space="preserve"> « piège, narcissique, d’une auto-proclamation en tant que science des sciences » </w:t>
      </w:r>
      <w:r w:rsidRPr="0053145E">
        <w:rPr>
          <w:rFonts w:ascii="Times New Roman" w:hAnsi="Times New Roman"/>
          <w:sz w:val="24"/>
          <w:szCs w:val="24"/>
          <w:lang w:val="fr-FR"/>
        </w:rPr>
        <w:t>–</w:t>
      </w:r>
      <w:r w:rsidRPr="0053145E">
        <w:rPr>
          <w:rFonts w:ascii="Times New Roman" w:hAnsi="Times New Roman"/>
          <w:sz w:val="24"/>
          <w:szCs w:val="24"/>
        </w:rPr>
        <w:t xml:space="preserve"> </w:t>
      </w:r>
      <w:r w:rsidRPr="0053145E">
        <w:rPr>
          <w:rFonts w:ascii="Times New Roman" w:hAnsi="Times New Roman"/>
          <w:sz w:val="24"/>
          <w:szCs w:val="24"/>
          <w:lang w:val="fr-FR"/>
        </w:rPr>
        <w:t>le seul remède possible à ce qui est parfois considéré, dans notre contemporanéité, comme une crise identitaire (</w:t>
      </w:r>
      <w:r w:rsidRPr="0053145E">
        <w:rPr>
          <w:rFonts w:ascii="Times New Roman" w:hAnsi="Times New Roman"/>
          <w:color w:val="000000"/>
          <w:sz w:val="24"/>
          <w:szCs w:val="24"/>
        </w:rPr>
        <w:t>Kharbouch, 2022).</w:t>
      </w:r>
      <w:r w:rsidRPr="00E353D8">
        <w:rPr>
          <w:rFonts w:ascii="Times New Roman" w:hAnsi="Times New Roman"/>
          <w:color w:val="000000"/>
          <w:sz w:val="24"/>
          <w:szCs w:val="24"/>
        </w:rPr>
        <w:t xml:space="preserve"> </w:t>
      </w:r>
      <w:r w:rsidRPr="00E353D8">
        <w:rPr>
          <w:rStyle w:val="apple-converted-space"/>
          <w:rFonts w:ascii="Times New Roman" w:eastAsiaTheme="majorEastAsia" w:hAnsi="Times New Roman"/>
          <w:color w:val="000000"/>
          <w:sz w:val="24"/>
          <w:szCs w:val="24"/>
        </w:rPr>
        <w:t> </w:t>
      </w:r>
    </w:p>
    <w:p w:rsidR="00943C3C" w:rsidRPr="00E353D8" w:rsidRDefault="00943C3C" w:rsidP="00943C3C">
      <w:pPr>
        <w:pStyle w:val="NormalWeb"/>
        <w:spacing w:before="0" w:beforeAutospacing="0" w:after="120" w:afterAutospacing="0" w:line="276" w:lineRule="auto"/>
        <w:jc w:val="both"/>
        <w:rPr>
          <w:rFonts w:ascii="Times New Roman" w:hAnsi="Times New Roman"/>
          <w:sz w:val="24"/>
          <w:szCs w:val="24"/>
          <w:lang w:val="fr-FR"/>
        </w:rPr>
      </w:pPr>
      <w:r w:rsidRPr="00E353D8">
        <w:rPr>
          <w:rFonts w:ascii="Times New Roman" w:hAnsi="Times New Roman"/>
          <w:sz w:val="24"/>
          <w:szCs w:val="24"/>
          <w:lang w:val="fr-FR"/>
        </w:rPr>
        <w:t>L’important, c’est l’ensemble de l’économie – du « système » – qui préside à l’articulation de ce que Fontanille et Zinna (2019, p.</w:t>
      </w:r>
      <w:r>
        <w:rPr>
          <w:rFonts w:ascii="Times New Roman" w:hAnsi="Times New Roman"/>
          <w:sz w:val="24"/>
          <w:szCs w:val="24"/>
          <w:lang w:val="fr-FR"/>
        </w:rPr>
        <w:t> </w:t>
      </w:r>
      <w:r w:rsidRPr="00E353D8">
        <w:rPr>
          <w:rFonts w:ascii="Times New Roman" w:hAnsi="Times New Roman"/>
          <w:sz w:val="24"/>
          <w:szCs w:val="24"/>
          <w:lang w:val="fr-FR"/>
        </w:rPr>
        <w:t xml:space="preserve">9) appellent le domaine « propre » de la sémiotique </w:t>
      </w:r>
      <w:r>
        <w:rPr>
          <w:rFonts w:ascii="Times New Roman" w:hAnsi="Times New Roman"/>
          <w:sz w:val="24"/>
          <w:szCs w:val="24"/>
          <w:lang w:val="fr-FR"/>
        </w:rPr>
        <w:t>avec</w:t>
      </w:r>
      <w:r w:rsidRPr="00E353D8">
        <w:rPr>
          <w:rFonts w:ascii="Times New Roman" w:hAnsi="Times New Roman"/>
          <w:sz w:val="24"/>
          <w:szCs w:val="24"/>
          <w:lang w:val="fr-FR"/>
        </w:rPr>
        <w:t xml:space="preserve"> les domaines « spécifiques ». Il est important que les spécificités des domaines interagissant avec d’autres sciences soient visées comme telles. En même temps, le domaine « propre » des </w:t>
      </w:r>
      <w:r>
        <w:rPr>
          <w:rFonts w:ascii="Times New Roman" w:hAnsi="Times New Roman"/>
          <w:sz w:val="24"/>
          <w:szCs w:val="24"/>
          <w:lang w:val="fr-FR"/>
        </w:rPr>
        <w:t>linéaments</w:t>
      </w:r>
      <w:r w:rsidRPr="00E353D8">
        <w:rPr>
          <w:rFonts w:ascii="Times New Roman" w:hAnsi="Times New Roman"/>
          <w:sz w:val="24"/>
          <w:szCs w:val="24"/>
          <w:lang w:val="fr-FR"/>
        </w:rPr>
        <w:t xml:space="preserve"> du sens est appelé à faire office de domaine « commun » de toutes les sciences impliquées</w:t>
      </w:r>
      <w:r>
        <w:rPr>
          <w:rFonts w:ascii="Times New Roman" w:hAnsi="Times New Roman"/>
          <w:sz w:val="24"/>
          <w:szCs w:val="24"/>
          <w:lang w:val="fr-FR"/>
        </w:rPr>
        <w:t xml:space="preserve">. </w:t>
      </w:r>
      <w:r w:rsidRPr="00E353D8">
        <w:rPr>
          <w:rFonts w:ascii="Times New Roman" w:hAnsi="Times New Roman"/>
          <w:sz w:val="24"/>
          <w:szCs w:val="24"/>
          <w:lang w:val="fr-FR"/>
        </w:rPr>
        <w:t>La visée intégrative est à ce prix.</w:t>
      </w:r>
    </w:p>
    <w:p w:rsidR="00943C3C" w:rsidRDefault="00943C3C" w:rsidP="00943C3C">
      <w:pPr>
        <w:pStyle w:val="NormalWeb"/>
        <w:spacing w:before="0" w:beforeAutospacing="0" w:after="120" w:afterAutospacing="0" w:line="276" w:lineRule="auto"/>
        <w:jc w:val="both"/>
        <w:rPr>
          <w:rFonts w:ascii="Times New Roman" w:hAnsi="Times New Roman"/>
          <w:sz w:val="24"/>
          <w:szCs w:val="24"/>
          <w:lang w:val="fr-FR"/>
        </w:rPr>
      </w:pPr>
      <w:r w:rsidRPr="00E353D8">
        <w:rPr>
          <w:rFonts w:ascii="Times New Roman" w:hAnsi="Times New Roman"/>
          <w:sz w:val="24"/>
          <w:szCs w:val="24"/>
          <w:lang w:val="fr-FR"/>
        </w:rPr>
        <w:lastRenderedPageBreak/>
        <w:t>La sémiotique est à la hauteur de la tâche. Ainsi, face à ceux qui, dans les rangs des sémioticiens eux-mêmes, soutiennent que la sémiotique contemporaine est en crise, nous aimerions mettre en avant les ressources dont elle dispose pour mener à bien sa « mission » : celle qui consiste à décrire les modes de fonctionnement du sens, comme Klinkenberg le notait dans les années quatre-vingt-dix. Celle qui nous conduit à relever les défis lancés par notre contemporanéité, comme le souligne Fontanille (2015</w:t>
      </w:r>
      <w:r>
        <w:rPr>
          <w:rFonts w:ascii="Times New Roman" w:hAnsi="Times New Roman"/>
          <w:sz w:val="24"/>
          <w:szCs w:val="24"/>
          <w:lang w:val="fr-FR"/>
        </w:rPr>
        <w:t>a</w:t>
      </w:r>
      <w:r w:rsidRPr="00E353D8">
        <w:rPr>
          <w:rFonts w:ascii="Times New Roman" w:hAnsi="Times New Roman"/>
          <w:sz w:val="24"/>
          <w:szCs w:val="24"/>
          <w:lang w:val="fr-FR"/>
        </w:rPr>
        <w:t xml:space="preserve">) dans un article phare. </w:t>
      </w:r>
    </w:p>
    <w:p w:rsidR="00943C3C" w:rsidRPr="00E353D8" w:rsidRDefault="00943C3C" w:rsidP="00943C3C">
      <w:pPr>
        <w:pStyle w:val="NormalWeb"/>
        <w:spacing w:before="0" w:beforeAutospacing="0" w:after="120" w:afterAutospacing="0" w:line="276" w:lineRule="auto"/>
        <w:jc w:val="both"/>
        <w:rPr>
          <w:rFonts w:ascii="Times New Roman" w:hAnsi="Times New Roman"/>
          <w:sz w:val="24"/>
          <w:szCs w:val="24"/>
          <w:lang w:val="fr-FR"/>
        </w:rPr>
      </w:pPr>
      <w:r w:rsidRPr="00E353D8">
        <w:rPr>
          <w:rFonts w:ascii="Times New Roman" w:hAnsi="Times New Roman"/>
          <w:sz w:val="24"/>
          <w:szCs w:val="24"/>
          <w:lang w:val="fr-FR"/>
        </w:rPr>
        <w:t xml:space="preserve">Certes, la lucidité est de mise et les problèmes ne devraient être occultés. Mais on connaît mieux les conditions générales de la félicité d’une telle entreprise. </w:t>
      </w:r>
      <w:r>
        <w:rPr>
          <w:rFonts w:ascii="Times New Roman" w:hAnsi="Times New Roman"/>
          <w:sz w:val="24"/>
          <w:szCs w:val="24"/>
          <w:lang w:val="fr-FR"/>
        </w:rPr>
        <w:t>D’abord – on l’a suggéré –, l</w:t>
      </w:r>
      <w:r w:rsidRPr="00E353D8">
        <w:rPr>
          <w:rFonts w:ascii="Times New Roman" w:hAnsi="Times New Roman"/>
          <w:sz w:val="24"/>
          <w:szCs w:val="24"/>
          <w:lang w:val="fr-FR"/>
        </w:rPr>
        <w:t xml:space="preserve">a fécondité des travaux paraît liée </w:t>
      </w:r>
      <w:r w:rsidRPr="00E353D8">
        <w:rPr>
          <w:rFonts w:ascii="Times New Roman" w:hAnsi="Times New Roman"/>
          <w:i/>
          <w:sz w:val="24"/>
          <w:szCs w:val="24"/>
          <w:lang w:val="fr-FR"/>
        </w:rPr>
        <w:t>a minima</w:t>
      </w:r>
      <w:r w:rsidRPr="00E353D8">
        <w:rPr>
          <w:rFonts w:ascii="Times New Roman" w:hAnsi="Times New Roman"/>
          <w:sz w:val="24"/>
          <w:szCs w:val="24"/>
          <w:lang w:val="fr-FR"/>
        </w:rPr>
        <w:t xml:space="preserve"> à leur capacité à faire évoluer la discipline, à innover et à inventer de nouveaux concepts et modèles, </w:t>
      </w:r>
      <w:r>
        <w:rPr>
          <w:rFonts w:ascii="Times New Roman" w:hAnsi="Times New Roman"/>
          <w:sz w:val="24"/>
          <w:szCs w:val="24"/>
          <w:lang w:val="fr-FR"/>
        </w:rPr>
        <w:t>adaptés</w:t>
      </w:r>
      <w:r w:rsidRPr="00E353D8">
        <w:rPr>
          <w:rFonts w:ascii="Times New Roman" w:hAnsi="Times New Roman"/>
          <w:sz w:val="24"/>
          <w:szCs w:val="24"/>
          <w:lang w:val="fr-FR"/>
        </w:rPr>
        <w:t xml:space="preserve"> à l’objet d’étude, tout en raffermissant les bases épistémologiques, au-delà de la prolifération des niches. À la mise en avant d’une méthodologie propre, qui permet de montrer le </w:t>
      </w:r>
      <w:r w:rsidRPr="00E353D8">
        <w:rPr>
          <w:rFonts w:ascii="Times New Roman" w:hAnsi="Times New Roman"/>
          <w:i/>
          <w:sz w:val="24"/>
          <w:szCs w:val="24"/>
          <w:lang w:val="fr-FR"/>
        </w:rPr>
        <w:t>comment</w:t>
      </w:r>
      <w:r w:rsidRPr="00E353D8">
        <w:rPr>
          <w:rFonts w:ascii="Times New Roman" w:hAnsi="Times New Roman"/>
          <w:sz w:val="24"/>
          <w:szCs w:val="24"/>
          <w:lang w:val="fr-FR"/>
        </w:rPr>
        <w:t xml:space="preserve"> de la production du sens, de se conjuguer avec des choix épistémologiques consolidés et avec le renouvellement du bagage conceptuel. Pour éviter que le dialogue interdisciplinaire ne mette la cohérence de la théorie sémiotique en péril, les concepts convoqués à partir d’autres disciplines doivent être dûment revisités, </w:t>
      </w:r>
      <w:r w:rsidRPr="00E353D8">
        <w:rPr>
          <w:rFonts w:ascii="Times New Roman" w:hAnsi="Times New Roman"/>
          <w:i/>
          <w:sz w:val="24"/>
          <w:szCs w:val="24"/>
          <w:lang w:val="fr-FR"/>
        </w:rPr>
        <w:t>appropriés</w:t>
      </w:r>
      <w:r w:rsidRPr="00E353D8">
        <w:rPr>
          <w:rFonts w:ascii="Times New Roman" w:hAnsi="Times New Roman"/>
          <w:sz w:val="24"/>
          <w:szCs w:val="24"/>
          <w:lang w:val="fr-FR"/>
        </w:rPr>
        <w:t xml:space="preserve"> à la structure d’accueil (également à celle du présent livre). Seule une ouverture dûment maîtrisée permet d’éviter non seulement une dilution de l’objet d’étude, mais encore ce que d’aucuns taxent de confusion épistémologique. </w:t>
      </w:r>
    </w:p>
    <w:p w:rsidR="00943C3C" w:rsidRDefault="00943C3C" w:rsidP="00943C3C">
      <w:pPr>
        <w:pStyle w:val="NormalWeb"/>
        <w:spacing w:before="0" w:beforeAutospacing="0" w:after="120" w:afterAutospacing="0" w:line="276" w:lineRule="auto"/>
        <w:jc w:val="both"/>
        <w:rPr>
          <w:rFonts w:ascii="Times New Roman" w:hAnsi="Times New Roman"/>
          <w:sz w:val="24"/>
          <w:szCs w:val="24"/>
          <w:lang w:val="fr-FR"/>
        </w:rPr>
      </w:pPr>
      <w:r>
        <w:rPr>
          <w:rFonts w:ascii="Times New Roman" w:hAnsi="Times New Roman"/>
          <w:sz w:val="24"/>
          <w:szCs w:val="24"/>
          <w:lang w:val="fr-FR"/>
        </w:rPr>
        <w:t>Ensuite, o</w:t>
      </w:r>
      <w:r w:rsidRPr="00E353D8">
        <w:rPr>
          <w:rFonts w:ascii="Times New Roman" w:hAnsi="Times New Roman"/>
          <w:sz w:val="24"/>
          <w:szCs w:val="24"/>
          <w:lang w:val="fr-FR"/>
        </w:rPr>
        <w:t xml:space="preserve">n avancera, prudemment, que la démarche sémiotique doit combiner déductions et inductions. Les hypothèses devront être </w:t>
      </w:r>
      <w:r>
        <w:rPr>
          <w:rFonts w:ascii="Times New Roman" w:hAnsi="Times New Roman"/>
          <w:sz w:val="24"/>
          <w:szCs w:val="24"/>
          <w:lang w:val="fr-FR"/>
        </w:rPr>
        <w:t xml:space="preserve">vérifiées sur des </w:t>
      </w:r>
      <w:r w:rsidRPr="00E353D8">
        <w:rPr>
          <w:rFonts w:ascii="Times New Roman" w:hAnsi="Times New Roman"/>
          <w:sz w:val="24"/>
          <w:szCs w:val="24"/>
          <w:lang w:val="fr-FR"/>
        </w:rPr>
        <w:t xml:space="preserve">cas concrets. </w:t>
      </w:r>
      <w:r>
        <w:rPr>
          <w:rFonts w:ascii="Times New Roman" w:hAnsi="Times New Roman"/>
          <w:sz w:val="24"/>
          <w:szCs w:val="24"/>
          <w:lang w:val="fr-FR"/>
        </w:rPr>
        <w:t>Nous voulons ainsi parer à un reproche souvent fait à la sémiotique : celui de la théorisation extrême</w:t>
      </w:r>
      <w:r w:rsidRPr="007C418A">
        <w:rPr>
          <w:rFonts w:ascii="Times New Roman" w:hAnsi="Times New Roman"/>
          <w:sz w:val="24"/>
          <w:szCs w:val="24"/>
          <w:lang w:val="fr-FR"/>
        </w:rPr>
        <w:t xml:space="preserve">, de l’absence de corpus ou de la trop grande variété de corpus privés d’un véritable ancrage historique et disciplinaire. Le corpus proposé dans cet ouvrage comprendra des écrits littéraires d’Annie Ernaux, de Michel Butor, d’Eric Sadin, des tableaux de Paul Klee, de Cy Twombly, d’Andy Warhol et d’Elaine Sturtevant, une composition de Jeff Wall, l’exposition de photographies </w:t>
      </w:r>
      <w:r w:rsidRPr="007C418A">
        <w:rPr>
          <w:rFonts w:ascii="Times New Roman" w:hAnsi="Times New Roman"/>
          <w:i/>
          <w:sz w:val="24"/>
          <w:szCs w:val="24"/>
          <w:lang w:val="fr-FR"/>
        </w:rPr>
        <w:t>The Family of Man</w:t>
      </w:r>
      <w:r w:rsidRPr="007C418A">
        <w:rPr>
          <w:rFonts w:ascii="Times New Roman" w:hAnsi="Times New Roman"/>
          <w:sz w:val="24"/>
          <w:szCs w:val="24"/>
          <w:lang w:val="fr-FR"/>
        </w:rPr>
        <w:t xml:space="preserve"> d’Edward Steichen, des œuvres nanoartistiques de Susumu Nishinaga, des hyperphotos de Jean-François Rauzier et un vidéo</w:t>
      </w:r>
      <w:r>
        <w:rPr>
          <w:rFonts w:ascii="Times New Roman" w:hAnsi="Times New Roman"/>
          <w:sz w:val="24"/>
          <w:szCs w:val="24"/>
          <w:lang w:val="fr-FR"/>
        </w:rPr>
        <w:t>clip</w:t>
      </w:r>
      <w:r w:rsidRPr="007C418A">
        <w:rPr>
          <w:rFonts w:ascii="Times New Roman" w:hAnsi="Times New Roman"/>
          <w:sz w:val="24"/>
          <w:szCs w:val="24"/>
          <w:lang w:val="fr-FR"/>
        </w:rPr>
        <w:t xml:space="preserve"> de Rino Tagliafierro. Il n’est pas homogène</w:t>
      </w:r>
      <w:r>
        <w:rPr>
          <w:rFonts w:ascii="Times New Roman" w:hAnsi="Times New Roman"/>
          <w:sz w:val="24"/>
          <w:szCs w:val="24"/>
          <w:lang w:val="fr-FR"/>
        </w:rPr>
        <w:t>. N</w:t>
      </w:r>
      <w:r w:rsidRPr="007C418A">
        <w:rPr>
          <w:rFonts w:ascii="Times New Roman" w:hAnsi="Times New Roman"/>
          <w:sz w:val="24"/>
          <w:szCs w:val="24"/>
          <w:lang w:val="fr-FR"/>
        </w:rPr>
        <w:t>otre objectif n’est pas de proposer des analyses exhaustives, au sens où l’entendrait par exemple l’histoire de l’art</w:t>
      </w:r>
      <w:r>
        <w:rPr>
          <w:rFonts w:ascii="Times New Roman" w:hAnsi="Times New Roman"/>
          <w:sz w:val="24"/>
          <w:szCs w:val="24"/>
          <w:lang w:val="fr-FR"/>
        </w:rPr>
        <w:t xml:space="preserve">. Il s’agit plutôt </w:t>
      </w:r>
      <w:r w:rsidRPr="007C418A">
        <w:rPr>
          <w:rFonts w:ascii="Times New Roman" w:hAnsi="Times New Roman"/>
          <w:sz w:val="24"/>
          <w:szCs w:val="24"/>
          <w:lang w:val="fr-FR"/>
        </w:rPr>
        <w:t>de cultiver la diversité pour mieux cibler des aspects précis. Ainsi, nous confierons à des œuvres très différentes</w:t>
      </w:r>
      <w:r>
        <w:rPr>
          <w:rFonts w:ascii="Times New Roman" w:hAnsi="Times New Roman"/>
          <w:sz w:val="24"/>
          <w:szCs w:val="24"/>
          <w:lang w:val="fr-FR"/>
        </w:rPr>
        <w:t xml:space="preserve"> les unes des autres une fonction non point d’illustration des thèses développées, mais de validation, d’invalidation et de complexification des hypothèses proposées. Aussi n’auront-elles pas le statut d’exemples illustrant la théorie, mais, nous adressant à chaque fois des demandes spécifiques, les études mettront les hypothèses à l’épreuve de cas concrets. </w:t>
      </w:r>
    </w:p>
    <w:p w:rsidR="00943C3C" w:rsidRPr="00E353D8" w:rsidRDefault="00943C3C" w:rsidP="00943C3C">
      <w:pPr>
        <w:pStyle w:val="NormalWeb"/>
        <w:spacing w:before="0" w:beforeAutospacing="0" w:after="120" w:afterAutospacing="0" w:line="276" w:lineRule="auto"/>
        <w:jc w:val="both"/>
        <w:rPr>
          <w:rFonts w:ascii="Times New Roman" w:hAnsi="Times New Roman"/>
          <w:sz w:val="24"/>
          <w:szCs w:val="24"/>
          <w:lang w:val="fr-FR"/>
        </w:rPr>
      </w:pPr>
      <w:r w:rsidRPr="00E353D8">
        <w:rPr>
          <w:rFonts w:ascii="Times New Roman" w:hAnsi="Times New Roman"/>
          <w:sz w:val="24"/>
          <w:szCs w:val="24"/>
          <w:lang w:val="fr-FR"/>
        </w:rPr>
        <w:t xml:space="preserve">La condition incontournable – la </w:t>
      </w:r>
      <w:r w:rsidRPr="00E353D8">
        <w:rPr>
          <w:rFonts w:ascii="Times New Roman" w:hAnsi="Times New Roman"/>
          <w:i/>
          <w:sz w:val="24"/>
          <w:szCs w:val="24"/>
          <w:lang w:val="fr-FR"/>
        </w:rPr>
        <w:t>conditio sine qua non </w:t>
      </w:r>
      <w:r w:rsidRPr="00E353D8">
        <w:rPr>
          <w:rFonts w:ascii="Times New Roman" w:hAnsi="Times New Roman"/>
          <w:sz w:val="24"/>
          <w:szCs w:val="24"/>
          <w:lang w:val="fr-FR"/>
        </w:rPr>
        <w:t xml:space="preserve">– de l’analyse sémiotique est alors celle de la </w:t>
      </w:r>
      <w:r w:rsidRPr="00E353D8">
        <w:rPr>
          <w:rFonts w:ascii="Times New Roman" w:hAnsi="Times New Roman"/>
          <w:i/>
          <w:sz w:val="24"/>
          <w:szCs w:val="24"/>
          <w:lang w:val="fr-FR"/>
        </w:rPr>
        <w:t>sémios</w:t>
      </w:r>
      <w:r>
        <w:rPr>
          <w:rFonts w:ascii="Times New Roman" w:hAnsi="Times New Roman"/>
          <w:i/>
          <w:sz w:val="24"/>
          <w:szCs w:val="24"/>
          <w:lang w:val="fr-FR"/>
        </w:rPr>
        <w:t>is</w:t>
      </w:r>
      <w:r w:rsidRPr="00E353D8">
        <w:rPr>
          <w:rFonts w:ascii="Times New Roman" w:hAnsi="Times New Roman"/>
          <w:i/>
          <w:sz w:val="24"/>
          <w:szCs w:val="24"/>
          <w:lang w:val="fr-FR"/>
        </w:rPr>
        <w:t xml:space="preserve"> </w:t>
      </w:r>
      <w:r w:rsidRPr="00E353D8">
        <w:rPr>
          <w:rFonts w:ascii="Times New Roman" w:hAnsi="Times New Roman"/>
          <w:sz w:val="24"/>
          <w:szCs w:val="24"/>
          <w:lang w:val="fr-FR"/>
        </w:rPr>
        <w:t>comme processus de solidarisation d’un plan de l’expression et d’un plan du contenu</w:t>
      </w:r>
      <w:r w:rsidRPr="00E353D8">
        <w:rPr>
          <w:rStyle w:val="Appelnotedebasdep"/>
          <w:rFonts w:ascii="Times New Roman" w:hAnsi="Times New Roman"/>
          <w:sz w:val="24"/>
          <w:szCs w:val="24"/>
          <w:lang w:val="fr-FR"/>
        </w:rPr>
        <w:footnoteReference w:id="6"/>
      </w:r>
      <w:r w:rsidRPr="00E353D8">
        <w:rPr>
          <w:rFonts w:ascii="Times New Roman" w:hAnsi="Times New Roman"/>
          <w:sz w:val="24"/>
          <w:szCs w:val="24"/>
          <w:lang w:val="fr-FR"/>
        </w:rPr>
        <w:t>. Les remises en question</w:t>
      </w:r>
      <w:r>
        <w:rPr>
          <w:rFonts w:ascii="Times New Roman" w:hAnsi="Times New Roman"/>
          <w:sz w:val="24"/>
          <w:szCs w:val="24"/>
          <w:lang w:val="fr-FR"/>
        </w:rPr>
        <w:t xml:space="preserve"> théoriques</w:t>
      </w:r>
      <w:r w:rsidRPr="00E353D8">
        <w:rPr>
          <w:rFonts w:ascii="Times New Roman" w:hAnsi="Times New Roman"/>
          <w:sz w:val="24"/>
          <w:szCs w:val="24"/>
          <w:lang w:val="fr-FR"/>
        </w:rPr>
        <w:t xml:space="preserve"> – là où l’analyse concrète </w:t>
      </w:r>
      <w:r w:rsidRPr="00E353D8">
        <w:rPr>
          <w:rFonts w:ascii="Times New Roman" w:hAnsi="Times New Roman"/>
          <w:i/>
          <w:sz w:val="24"/>
          <w:szCs w:val="24"/>
          <w:lang w:val="fr-FR"/>
        </w:rPr>
        <w:t>achoppe</w:t>
      </w:r>
      <w:r w:rsidRPr="00E353D8">
        <w:rPr>
          <w:rFonts w:ascii="Times New Roman" w:hAnsi="Times New Roman"/>
          <w:sz w:val="24"/>
          <w:szCs w:val="24"/>
          <w:lang w:val="fr-FR"/>
        </w:rPr>
        <w:t xml:space="preserve"> et </w:t>
      </w:r>
      <w:r w:rsidRPr="00E353D8">
        <w:rPr>
          <w:rFonts w:ascii="Times New Roman" w:hAnsi="Times New Roman"/>
          <w:i/>
          <w:sz w:val="24"/>
          <w:szCs w:val="24"/>
          <w:lang w:val="fr-FR"/>
        </w:rPr>
        <w:t>interroge</w:t>
      </w:r>
      <w:r w:rsidRPr="00E353D8">
        <w:rPr>
          <w:rFonts w:ascii="Times New Roman" w:hAnsi="Times New Roman"/>
          <w:sz w:val="24"/>
          <w:szCs w:val="24"/>
          <w:lang w:val="fr-FR"/>
        </w:rPr>
        <w:t xml:space="preserve"> – auront des répercussions au niveau de l’édifice théorique tout entier. </w:t>
      </w:r>
    </w:p>
    <w:p w:rsidR="00943C3C" w:rsidRPr="00E353D8" w:rsidRDefault="00943C3C" w:rsidP="00943C3C">
      <w:pPr>
        <w:pStyle w:val="NormalWeb"/>
        <w:spacing w:before="0" w:beforeAutospacing="0" w:after="120" w:afterAutospacing="0" w:line="276" w:lineRule="auto"/>
        <w:jc w:val="both"/>
        <w:rPr>
          <w:rFonts w:ascii="Times New Roman" w:hAnsi="Times New Roman"/>
          <w:sz w:val="24"/>
          <w:szCs w:val="24"/>
          <w:lang w:val="fr-FR"/>
        </w:rPr>
      </w:pPr>
      <w:r w:rsidRPr="00E353D8">
        <w:rPr>
          <w:rFonts w:ascii="Times New Roman" w:hAnsi="Times New Roman"/>
          <w:sz w:val="24"/>
          <w:szCs w:val="24"/>
          <w:lang w:val="fr-FR"/>
        </w:rPr>
        <w:lastRenderedPageBreak/>
        <w:t xml:space="preserve">Le cadre ayant été tracé, l’ambition de cet ouvrage se précise. </w:t>
      </w:r>
      <w:r>
        <w:rPr>
          <w:rFonts w:ascii="Times New Roman" w:hAnsi="Times New Roman"/>
          <w:sz w:val="24"/>
          <w:szCs w:val="24"/>
          <w:lang w:val="fr-FR"/>
        </w:rPr>
        <w:t>Comme nous l’avons annoncé, n</w:t>
      </w:r>
      <w:r w:rsidRPr="00E353D8">
        <w:rPr>
          <w:rFonts w:ascii="Times New Roman" w:hAnsi="Times New Roman"/>
          <w:sz w:val="24"/>
          <w:szCs w:val="24"/>
          <w:lang w:val="fr-FR"/>
        </w:rPr>
        <w:t xml:space="preserve">otre attention se concentrera sur une problématique bien définie : l’énonciation. </w:t>
      </w:r>
      <w:r>
        <w:rPr>
          <w:rFonts w:ascii="Times New Roman" w:hAnsi="Times New Roman"/>
          <w:sz w:val="24"/>
          <w:szCs w:val="24"/>
          <w:lang w:val="fr-FR"/>
        </w:rPr>
        <w:t xml:space="preserve">Celle-ci </w:t>
      </w:r>
      <w:r w:rsidRPr="00E353D8">
        <w:rPr>
          <w:rFonts w:ascii="Times New Roman" w:hAnsi="Times New Roman"/>
          <w:sz w:val="24"/>
          <w:szCs w:val="24"/>
          <w:lang w:val="fr-FR"/>
        </w:rPr>
        <w:t xml:space="preserve">est exemplaire, en ce qu’elle marque de son empreinte toute l’évolution de la sémiotique greimaissienne et postgreimassienne. Ensuite, les développements témoignent des échanges avec d’autres disciplines, de la nécessité d’ajustements et de la possibilité de fécondations que l’on espère réciproques. </w:t>
      </w:r>
    </w:p>
    <w:p w:rsidR="00943C3C" w:rsidRPr="00E353D8" w:rsidRDefault="00943C3C" w:rsidP="00943C3C">
      <w:pPr>
        <w:pStyle w:val="NormalWeb"/>
        <w:spacing w:before="0" w:beforeAutospacing="0" w:after="120" w:afterAutospacing="0" w:line="276" w:lineRule="auto"/>
        <w:jc w:val="both"/>
        <w:rPr>
          <w:rFonts w:ascii="Times New Roman" w:hAnsi="Times New Roman"/>
          <w:sz w:val="24"/>
          <w:szCs w:val="24"/>
          <w:lang w:val="fr-FR"/>
        </w:rPr>
      </w:pPr>
      <w:r w:rsidRPr="00E353D8">
        <w:rPr>
          <w:rFonts w:ascii="Times New Roman" w:hAnsi="Times New Roman"/>
          <w:sz w:val="24"/>
          <w:szCs w:val="24"/>
          <w:lang w:val="fr-FR"/>
        </w:rPr>
        <w:t xml:space="preserve">Nous avons ainsi à cœur de montrer que, face à la diversité des approches de l’énonciation au sein même de la sémiotique et au flou épistémologique qui menace, la sémiotique n’est pas démunie, au contraire. Une </w:t>
      </w:r>
      <w:r>
        <w:rPr>
          <w:rFonts w:ascii="Times New Roman" w:hAnsi="Times New Roman"/>
          <w:sz w:val="24"/>
          <w:szCs w:val="24"/>
          <w:lang w:val="fr-FR"/>
        </w:rPr>
        <w:t>vraie</w:t>
      </w:r>
      <w:r w:rsidRPr="00E353D8">
        <w:rPr>
          <w:rFonts w:ascii="Times New Roman" w:hAnsi="Times New Roman"/>
          <w:sz w:val="24"/>
          <w:szCs w:val="24"/>
          <w:lang w:val="fr-FR"/>
        </w:rPr>
        <w:t xml:space="preserve"> cohérence se dégage. Aucun bloc monolithique, mais une dialectique féconde. </w:t>
      </w:r>
      <w:r>
        <w:rPr>
          <w:rFonts w:ascii="Times New Roman" w:hAnsi="Times New Roman"/>
          <w:sz w:val="24"/>
          <w:szCs w:val="24"/>
          <w:lang w:val="fr-FR"/>
        </w:rPr>
        <w:t xml:space="preserve">Enfin, </w:t>
      </w:r>
      <w:r w:rsidRPr="00E353D8">
        <w:rPr>
          <w:rFonts w:ascii="Times New Roman" w:hAnsi="Times New Roman"/>
          <w:sz w:val="24"/>
          <w:szCs w:val="24"/>
          <w:lang w:val="fr-FR"/>
        </w:rPr>
        <w:t xml:space="preserve">l’idée est que, forte de ses modélisations et de son bagage conceptuel, la sémiotique de l’énonciation confère un soubassement théorique à d’autres recherches qui peuvent faire fond sur elle et qu’elle intervient dans le débat sociétal et culturel. </w:t>
      </w:r>
    </w:p>
    <w:p w:rsidR="00943C3C" w:rsidRPr="00E353D8" w:rsidRDefault="00943C3C" w:rsidP="00943C3C">
      <w:pPr>
        <w:spacing w:after="120" w:line="276" w:lineRule="auto"/>
        <w:jc w:val="both"/>
      </w:pPr>
      <w:r w:rsidRPr="00E353D8">
        <w:t xml:space="preserve">Sur ces bases, </w:t>
      </w:r>
      <w:r>
        <w:t>partons d’</w:t>
      </w:r>
      <w:r w:rsidRPr="00E353D8">
        <w:t>un constat</w:t>
      </w:r>
      <w:r>
        <w:t> </w:t>
      </w:r>
      <w:r w:rsidRPr="00E353D8">
        <w:t xml:space="preserve">: depuis les mouvements linguistiques des années soixante-dix et quatre-vingt et depuis la sémiotique greimassienne, la notion d’énonciation est revue, aménagée, parfois distordue. Elle continue à résister à l’analyse. Quelles sont alors les lignes conductrices qui témoignent de </w:t>
      </w:r>
      <w:r>
        <w:t>l’</w:t>
      </w:r>
      <w:r w:rsidRPr="00E353D8">
        <w:t>évolution</w:t>
      </w:r>
      <w:r>
        <w:t xml:space="preserve"> de sa théorisation </w:t>
      </w:r>
      <w:r w:rsidRPr="00E353D8">
        <w:t xml:space="preserve">et comment pouvons-nous apporter notre pierre à l’édifice ? </w:t>
      </w:r>
    </w:p>
    <w:p w:rsidR="00943C3C" w:rsidRPr="00E353D8" w:rsidRDefault="00943C3C" w:rsidP="00943C3C">
      <w:pPr>
        <w:pStyle w:val="Titre2"/>
      </w:pPr>
      <w:bookmarkStart w:id="1" w:name="_Toc84176964"/>
      <w:bookmarkStart w:id="2" w:name="_Toc113783920"/>
      <w:r w:rsidRPr="00E353D8">
        <w:t>L’énonciation hier et aujourd’hui</w:t>
      </w:r>
      <w:bookmarkEnd w:id="1"/>
      <w:bookmarkEnd w:id="2"/>
    </w:p>
    <w:p w:rsidR="00943C3C" w:rsidRPr="00E353D8" w:rsidRDefault="00943C3C" w:rsidP="00943C3C"/>
    <w:p w:rsidR="00943C3C" w:rsidRPr="00E353D8" w:rsidRDefault="00943C3C" w:rsidP="00943C3C">
      <w:pPr>
        <w:spacing w:after="120" w:line="276" w:lineRule="auto"/>
        <w:jc w:val="both"/>
      </w:pPr>
      <w:r w:rsidRPr="00F2770B">
        <w:rPr>
          <w:color w:val="000000"/>
          <w:lang w:val="fr-FR"/>
        </w:rPr>
        <w:t>É</w:t>
      </w:r>
      <w:r w:rsidRPr="00F2770B">
        <w:rPr>
          <w:lang w:val="fr-FR"/>
        </w:rPr>
        <w:t>largissons notre champ de vision. Le concept</w:t>
      </w:r>
      <w:r w:rsidRPr="00E353D8">
        <w:rPr>
          <w:lang w:val="fr-FR"/>
        </w:rPr>
        <w:t xml:space="preserve"> d’énonciation est de ceux qui contribuent au développement de la linguistique (au sens large) et de la sémiotique greimassienne et postgreimassienne depuis au moins le milieu du XXe siècle</w:t>
      </w:r>
      <w:r>
        <w:rPr>
          <w:rStyle w:val="Appelnotedebasdep"/>
          <w:lang w:val="fr-FR"/>
        </w:rPr>
        <w:footnoteReference w:id="7"/>
      </w:r>
      <w:r w:rsidRPr="00E353D8">
        <w:rPr>
          <w:lang w:val="fr-FR"/>
        </w:rPr>
        <w:t xml:space="preserve">. On a coutume, en effet, de considérer Charles Bally et Émile Benveniste comme les pères de l’énonciation. Pour certains de ses aspects, on peut remonter jusqu’à Charles Sanders Peirce (notamment pour l’indexicalité) et à Ferdinand de Saussure (surtout pour la parole, dont, sous l’effet d’une lecture structurale du </w:t>
      </w:r>
      <w:r w:rsidRPr="00E353D8">
        <w:rPr>
          <w:i/>
          <w:lang w:val="fr-FR"/>
        </w:rPr>
        <w:t>Cours de linguistique générale</w:t>
      </w:r>
      <w:r w:rsidRPr="00E353D8">
        <w:rPr>
          <w:lang w:val="fr-FR"/>
        </w:rPr>
        <w:t xml:space="preserve">, la part prise dans le fonctionnement sociohistorique du langage a longtemps été occultée (Normand, 2011)). Michel Arrivé (1986) montre que la glossématique de Hjelmslev elle-même, qui est pourtant supposée ne laisser aucune place à l’énonciation, pose le concept sans le nommer. </w:t>
      </w:r>
    </w:p>
    <w:p w:rsidR="00943C3C" w:rsidRPr="00E353D8" w:rsidRDefault="00943C3C" w:rsidP="00943C3C">
      <w:pPr>
        <w:spacing w:after="120" w:line="276" w:lineRule="auto"/>
        <w:jc w:val="both"/>
        <w:rPr>
          <w:lang w:val="fr-FR"/>
        </w:rPr>
      </w:pPr>
      <w:r w:rsidRPr="00E353D8">
        <w:t>La sémiotique greimassienne et postgreimassienne n’est pas en reste. Les recherches se développent dans plusieurs directions complémentaires.</w:t>
      </w:r>
    </w:p>
    <w:p w:rsidR="00943C3C" w:rsidRPr="00E353D8" w:rsidRDefault="00943C3C" w:rsidP="00943C3C">
      <w:pPr>
        <w:spacing w:after="120" w:line="276" w:lineRule="auto"/>
        <w:jc w:val="both"/>
      </w:pPr>
      <w:r w:rsidRPr="00E353D8">
        <w:t>Première direction : le passage d’une approche greimassienne mettant l’accent sur l’</w:t>
      </w:r>
      <w:r w:rsidRPr="00E353D8">
        <w:rPr>
          <w:i/>
        </w:rPr>
        <w:t>énonciation énoncée</w:t>
      </w:r>
      <w:r w:rsidRPr="00E353D8">
        <w:t xml:space="preserve"> (Greimas et Courtés, 1979), c’est-à-dire présupposée, à cette autre perspective que caractérisent les notions de discours </w:t>
      </w:r>
      <w:r w:rsidRPr="00E353D8">
        <w:rPr>
          <w:i/>
        </w:rPr>
        <w:t>en acte</w:t>
      </w:r>
      <w:r w:rsidRPr="00E353D8">
        <w:t xml:space="preserve"> et d’</w:t>
      </w:r>
      <w:r w:rsidRPr="00E353D8">
        <w:rPr>
          <w:i/>
        </w:rPr>
        <w:t>énonciation vivante</w:t>
      </w:r>
      <w:r w:rsidRPr="00E353D8">
        <w:t xml:space="preserve"> (Fontanille, 2003</w:t>
      </w:r>
      <w:r>
        <w:t>a</w:t>
      </w:r>
      <w:r w:rsidRPr="00E353D8">
        <w:t xml:space="preserve"> [199</w:t>
      </w:r>
      <w:r>
        <w:t>9</w:t>
      </w:r>
      <w:r w:rsidRPr="00E353D8">
        <w:t xml:space="preserve">]). Pour résumer : il ne s’agit plus seulement de repérer les </w:t>
      </w:r>
      <w:r w:rsidRPr="00E353D8">
        <w:rPr>
          <w:i/>
        </w:rPr>
        <w:t>marques</w:t>
      </w:r>
      <w:r w:rsidRPr="00E353D8">
        <w:t xml:space="preserve"> à travers lesquelles une instance et une situation d’énonciation s’inscrivent dans un texte, mais d’attribuer à des énoncés un mode d’existence dans le champ discursif. </w:t>
      </w:r>
      <w:r>
        <w:t xml:space="preserve">L’énonciation constitue une praxis, </w:t>
      </w:r>
      <w:r w:rsidRPr="00E353D8">
        <w:t>qui reprend et revisite des pratiques quotidiennes et des usages antérieurs.</w:t>
      </w:r>
    </w:p>
    <w:p w:rsidR="00943C3C" w:rsidRPr="007C418A" w:rsidRDefault="00943C3C" w:rsidP="00943C3C">
      <w:pPr>
        <w:autoSpaceDE w:val="0"/>
        <w:autoSpaceDN w:val="0"/>
        <w:adjustRightInd w:val="0"/>
        <w:spacing w:after="120" w:line="276" w:lineRule="auto"/>
        <w:jc w:val="both"/>
        <w:rPr>
          <w:rFonts w:eastAsiaTheme="minorHAnsi"/>
          <w:sz w:val="20"/>
          <w:szCs w:val="20"/>
          <w:lang w:val="fr-FR" w:eastAsia="en-US"/>
        </w:rPr>
      </w:pPr>
      <w:r w:rsidRPr="00E353D8">
        <w:lastRenderedPageBreak/>
        <w:t xml:space="preserve">Deuxième direction : la sémiotique tensive (Fontanille et Zilberberg, 1998) met l’accent sur le développement le long d’axes mesurant des degrés d’intensité sensible et les manifestations du nombre et de la mesure, de l’inscription dans l’espace et le temps. </w:t>
      </w:r>
      <w:r w:rsidRPr="007C418A">
        <w:t xml:space="preserve">Comme nous l’avons suggéré plus haut, le continu est mis en avant, face à la segmentation et à la production de discontinuités. </w:t>
      </w:r>
    </w:p>
    <w:p w:rsidR="00943C3C" w:rsidRPr="00E353D8" w:rsidRDefault="00943C3C" w:rsidP="00943C3C">
      <w:pPr>
        <w:spacing w:after="120" w:line="276" w:lineRule="auto"/>
        <w:jc w:val="both"/>
      </w:pPr>
      <w:r w:rsidRPr="007C418A">
        <w:t xml:space="preserve">Troisième direction : vers la </w:t>
      </w:r>
      <w:r w:rsidRPr="007C418A">
        <w:rPr>
          <w:i/>
        </w:rPr>
        <w:t>pratique</w:t>
      </w:r>
      <w:r w:rsidRPr="007C418A">
        <w:t xml:space="preserve"> (Fontanille, 2008). Au-delà même de la praxis énonciative au sens strict, la pratique, qui permet d’envisager une sortie du texte, constitue un des paliers d’un parcours génératif de l’expression. Elle est en charge, avec la forme de vie (Fontanille, 2015), de la « régulation cursive du sens » (Fontanille et Couégnas, 2018).</w:t>
      </w:r>
      <w:r w:rsidRPr="00E353D8">
        <w:t xml:space="preserve"> </w:t>
      </w:r>
    </w:p>
    <w:p w:rsidR="00943C3C" w:rsidRPr="00E353D8" w:rsidRDefault="00943C3C" w:rsidP="00943C3C">
      <w:pPr>
        <w:spacing w:after="120" w:line="276" w:lineRule="auto"/>
        <w:jc w:val="both"/>
      </w:pPr>
      <w:r w:rsidRPr="00E353D8">
        <w:t xml:space="preserve">Quatrième direction : au vu d’une sémiotique du </w:t>
      </w:r>
      <w:r w:rsidRPr="00E353D8">
        <w:rPr>
          <w:i/>
        </w:rPr>
        <w:t>corps</w:t>
      </w:r>
      <w:r w:rsidRPr="00E353D8">
        <w:t xml:space="preserve"> (Fontanille, 2004, 2011) qui pense l’incarnation de la sémios</w:t>
      </w:r>
      <w:r>
        <w:t>is</w:t>
      </w:r>
      <w:r w:rsidRPr="00E353D8">
        <w:t xml:space="preserve">, l’acte d’énonciation est considéré comme un geste qui laisse des empreintes, des traces dans un </w:t>
      </w:r>
      <w:r w:rsidRPr="00E353D8">
        <w:rPr>
          <w:i/>
        </w:rPr>
        <w:t xml:space="preserve">objet </w:t>
      </w:r>
      <w:r w:rsidRPr="00E353D8">
        <w:t xml:space="preserve">énoncé. </w:t>
      </w:r>
    </w:p>
    <w:p w:rsidR="00943C3C" w:rsidRPr="00E353D8" w:rsidRDefault="00943C3C" w:rsidP="00943C3C">
      <w:pPr>
        <w:spacing w:after="120" w:line="276" w:lineRule="auto"/>
        <w:jc w:val="both"/>
      </w:pPr>
      <w:r w:rsidRPr="00E353D8">
        <w:t xml:space="preserve">Cinquième direction : vers une sémiotique phénoménologique et une typologie des </w:t>
      </w:r>
      <w:r w:rsidRPr="00E353D8">
        <w:rPr>
          <w:i/>
        </w:rPr>
        <w:t>instances énonçantes</w:t>
      </w:r>
      <w:r w:rsidRPr="00E353D8">
        <w:t xml:space="preserve">. Si le corps </w:t>
      </w:r>
      <w:r w:rsidRPr="00E353D8">
        <w:rPr>
          <w:i/>
        </w:rPr>
        <w:t>énonce</w:t>
      </w:r>
      <w:r w:rsidRPr="00E353D8">
        <w:t xml:space="preserve">, le sujet </w:t>
      </w:r>
      <w:r w:rsidRPr="00E353D8">
        <w:rPr>
          <w:i/>
        </w:rPr>
        <w:t xml:space="preserve">s’énonce </w:t>
      </w:r>
      <w:r w:rsidRPr="00E353D8">
        <w:t>(Coquet, 2007).</w:t>
      </w:r>
    </w:p>
    <w:p w:rsidR="00943C3C" w:rsidRPr="00E353D8" w:rsidRDefault="00943C3C" w:rsidP="00943C3C">
      <w:pPr>
        <w:spacing w:after="120" w:line="276" w:lineRule="auto"/>
        <w:jc w:val="both"/>
      </w:pPr>
      <w:r w:rsidRPr="00E353D8">
        <w:t xml:space="preserve">Sixième direction : vers une intégration de la </w:t>
      </w:r>
      <w:r w:rsidRPr="00E353D8">
        <w:rPr>
          <w:i/>
        </w:rPr>
        <w:t>perception</w:t>
      </w:r>
      <w:r w:rsidRPr="00E353D8">
        <w:t xml:space="preserve"> dans l’énonciation et vers la distinction entre différents plans d’organisation du sens. L’énonciation prend forme au contact d’une matière ; en proie à des forces, elle est de l’ordre de la </w:t>
      </w:r>
      <w:r w:rsidRPr="00E353D8">
        <w:rPr>
          <w:i/>
        </w:rPr>
        <w:t>prise</w:t>
      </w:r>
      <w:r w:rsidRPr="00E353D8">
        <w:t xml:space="preserve"> (Bordron, 2011). </w:t>
      </w:r>
    </w:p>
    <w:p w:rsidR="00943C3C" w:rsidRPr="00E353D8" w:rsidRDefault="00943C3C" w:rsidP="00943C3C">
      <w:pPr>
        <w:spacing w:after="120" w:line="276" w:lineRule="auto"/>
        <w:jc w:val="both"/>
      </w:pPr>
      <w:r w:rsidRPr="00E353D8">
        <w:t xml:space="preserve">Le survol serait partiel sans une </w:t>
      </w:r>
      <w:r w:rsidRPr="00E353D8">
        <w:rPr>
          <w:lang w:val="fr-FR"/>
        </w:rPr>
        <w:t>incursion dans l</w:t>
      </w:r>
      <w:r w:rsidRPr="00E353D8">
        <w:t>es terres de la</w:t>
      </w:r>
      <w:r w:rsidRPr="00E353D8">
        <w:rPr>
          <w:lang w:val="fr-FR"/>
        </w:rPr>
        <w:t xml:space="preserve"> </w:t>
      </w:r>
      <w:r w:rsidRPr="00E353D8">
        <w:rPr>
          <w:i/>
          <w:lang w:val="fr-FR"/>
        </w:rPr>
        <w:t>sémiotique visuelle</w:t>
      </w:r>
      <w:r w:rsidRPr="00E353D8">
        <w:t>, qui se développe depuis les années quatre-vingt. Les premières recherches (Thürlemann, 1982 ; Greimas, 1984 ; Floch, 1985</w:t>
      </w:r>
      <w:r>
        <w:t>, 1986, 1990</w:t>
      </w:r>
      <w:r w:rsidRPr="00E353D8">
        <w:t>) portent sur la segmentation de l’image</w:t>
      </w:r>
      <w:r w:rsidRPr="007C418A">
        <w:t>, la discrétisation et le repérage d’oppositions entre des éléments figuratifs et entre des éléments plastiques, sur l’inscription de l’observateur dans l’image (Fontanille, 1989) ou encore</w:t>
      </w:r>
      <w:r w:rsidRPr="00E353D8">
        <w:t xml:space="preserve"> sur le signe iconique et plastique (le Groupe µ, 1992). Des travaux plus récents ont pour objet les instanciations photographiques (Basso Fossali et Dondero, 2011), le design (Beyaert-Geslin, 2012) ou encore le regard et la matérialité de l’image (Dondero, 2020). </w:t>
      </w:r>
    </w:p>
    <w:p w:rsidR="00943C3C" w:rsidRPr="00E353D8" w:rsidRDefault="00943C3C" w:rsidP="00943C3C">
      <w:pPr>
        <w:spacing w:after="120" w:line="276" w:lineRule="auto"/>
        <w:jc w:val="both"/>
      </w:pPr>
      <w:r w:rsidRPr="00E353D8">
        <w:t xml:space="preserve">Si tels sont les linéaments de notre réflexion, en quoi celle-ci peut-elle à la fois perpétuer une tradition et être innovatrice ? </w:t>
      </w:r>
    </w:p>
    <w:p w:rsidR="00943C3C" w:rsidRPr="00E353D8" w:rsidRDefault="00943C3C" w:rsidP="00943C3C">
      <w:pPr>
        <w:spacing w:after="120" w:line="276" w:lineRule="auto"/>
        <w:jc w:val="both"/>
      </w:pPr>
      <w:r w:rsidRPr="00E353D8">
        <w:t>Comme nous l’avons annoncé, nous nous situerons à la croisée de la sémiotique</w:t>
      </w:r>
      <w:r>
        <w:t xml:space="preserve"> et d’autres théories et disciplines scientifiques : </w:t>
      </w:r>
      <w:r w:rsidRPr="00E353D8">
        <w:t>de la linguistique, notamment benvenistienne, de l’analyse du discours et de la linguistique textuelle</w:t>
      </w:r>
      <w:r>
        <w:t> </w:t>
      </w:r>
      <w:r w:rsidRPr="00E353D8">
        <w:t xml:space="preserve">; de la philosophie, notamment phénoménologique, et de l’ontologie plurimodale d’Étienne Souriau ; de la </w:t>
      </w:r>
      <w:r>
        <w:t>sociologie</w:t>
      </w:r>
      <w:r w:rsidRPr="00E353D8">
        <w:t xml:space="preserve"> et de l’anthropologie, essentiellement avec Bruno Latour. </w:t>
      </w:r>
    </w:p>
    <w:p w:rsidR="00943C3C" w:rsidRPr="00E353D8" w:rsidRDefault="00943C3C" w:rsidP="00943C3C">
      <w:pPr>
        <w:spacing w:after="120" w:line="276" w:lineRule="auto"/>
        <w:jc w:val="both"/>
      </w:pPr>
      <w:r w:rsidRPr="00E353D8">
        <w:t>Eu égard aux six directions que nous avons énumérées, nous poursuivrons six objectifs principaux : (i) un réexamen du point de vue de l’« énonciation énoncée » et de ses présupposés épistémologiques ; (ii) la prise en considération de l’énonciation en acte</w:t>
      </w:r>
      <w:r>
        <w:t xml:space="preserve"> et des évolutions, en sens converse ou inverse les unes des autres, sur les axes de l’intensité et de l’étendue ou extensité</w:t>
      </w:r>
      <w:r w:rsidRPr="00E353D8">
        <w:t> ; (iii) la différenciation des paliers de pertinence qui interviennent dans l’énonciation conçue comme une pratique située, pourvue d’une dimension sociale, culturelle, institutionnelle… ; (iv) la focalisation sur le côté incarné de la sémios</w:t>
      </w:r>
      <w:r>
        <w:t>is</w:t>
      </w:r>
      <w:r w:rsidRPr="00E353D8">
        <w:t xml:space="preserve">, l’énonciation se voyant également attribuer un soubassement sensible ; (v) la mise en avant d’instances d’énonciation différentes ; (vi) la distinction des étapes ponctuant la genèse du sens. </w:t>
      </w:r>
    </w:p>
    <w:p w:rsidR="00943C3C" w:rsidRPr="00E353D8" w:rsidRDefault="00943C3C" w:rsidP="00943C3C">
      <w:pPr>
        <w:spacing w:after="120" w:line="276" w:lineRule="auto"/>
        <w:jc w:val="both"/>
        <w:rPr>
          <w:i/>
        </w:rPr>
      </w:pPr>
      <w:r w:rsidRPr="00E353D8">
        <w:lastRenderedPageBreak/>
        <w:t xml:space="preserve">La notion de </w:t>
      </w:r>
      <w:r w:rsidRPr="00E353D8">
        <w:rPr>
          <w:i/>
        </w:rPr>
        <w:t xml:space="preserve">réénonciation </w:t>
      </w:r>
      <w:r w:rsidRPr="00E353D8">
        <w:t xml:space="preserve">permettra de mettre l’accent sur la reprise et la transformation d’objets de sens, de formations discursives et non discursives existantes. Enfin, à travers la notion de </w:t>
      </w:r>
      <w:r w:rsidRPr="00E353D8">
        <w:rPr>
          <w:i/>
        </w:rPr>
        <w:t>transénonciation</w:t>
      </w:r>
      <w:r w:rsidRPr="00E353D8">
        <w:t xml:space="preserve">, nous ciblerons la fluidification du sens en production. En réponse à une question de fond : </w:t>
      </w:r>
      <w:r w:rsidRPr="00E353D8">
        <w:rPr>
          <w:lang w:val="fr-FR"/>
        </w:rPr>
        <w:t xml:space="preserve">comment </w:t>
      </w:r>
      <w:r w:rsidRPr="00E353D8">
        <w:t xml:space="preserve">le devenir sémiosique gère-t-il la confrontation avec l’altérité ? Comment préserve-t-il </w:t>
      </w:r>
      <w:r w:rsidRPr="00E353D8">
        <w:rPr>
          <w:lang w:val="fr-FR"/>
        </w:rPr>
        <w:t>les passages et les transitions</w:t>
      </w:r>
      <w:r w:rsidRPr="00E353D8">
        <w:t xml:space="preserve">, malgré les obstacles à franchir ? Il s’agira, à terme, d’établir un </w:t>
      </w:r>
      <w:r w:rsidRPr="00E353D8">
        <w:rPr>
          <w:i/>
        </w:rPr>
        <w:t>modèle intégratif de l’énonciation</w:t>
      </w:r>
      <w:r>
        <w:t xml:space="preserve"> qui se construit, notamment, sur l’idée du passage et de la variation. </w:t>
      </w:r>
    </w:p>
    <w:p w:rsidR="00943C3C" w:rsidRPr="00E353D8" w:rsidRDefault="00943C3C" w:rsidP="00943C3C">
      <w:pPr>
        <w:pStyle w:val="Titre2"/>
      </w:pPr>
      <w:bookmarkStart w:id="3" w:name="_Toc84176965"/>
      <w:bookmarkStart w:id="4" w:name="_Toc113783921"/>
      <w:r w:rsidRPr="00E353D8">
        <w:t>Les étapes d’un parcours</w:t>
      </w:r>
      <w:bookmarkEnd w:id="3"/>
      <w:bookmarkEnd w:id="4"/>
    </w:p>
    <w:p w:rsidR="00943C3C" w:rsidRPr="00E353D8" w:rsidRDefault="00943C3C" w:rsidP="00943C3C"/>
    <w:p w:rsidR="00943C3C" w:rsidRPr="00E353D8" w:rsidRDefault="00943C3C" w:rsidP="00943C3C">
      <w:pPr>
        <w:pStyle w:val="Notedebasdepage"/>
        <w:spacing w:after="120" w:line="276" w:lineRule="auto"/>
        <w:jc w:val="both"/>
        <w:rPr>
          <w:rFonts w:ascii="Times New Roman" w:hAnsi="Times New Roman" w:cs="Times New Roman"/>
        </w:rPr>
      </w:pPr>
      <w:r w:rsidRPr="00E353D8">
        <w:rPr>
          <w:rFonts w:ascii="Times New Roman" w:hAnsi="Times New Roman" w:cs="Times New Roman"/>
        </w:rPr>
        <w:t>Précisons maintenant les moments clefs de notre parcours. L’ouvrage comprend quatre Parties. À chaque fois, nous nous ferons l’écho des avancées les plus importantes au niveau de la sémiotique greimassienne et postgreimassienne, des idées charnières, tout en cultivant le dialogue avec des disciplines annexes</w:t>
      </w:r>
      <w:r w:rsidRPr="00E353D8">
        <w:rPr>
          <w:rStyle w:val="Appelnotedebasdep"/>
          <w:lang w:val="fr-FR"/>
        </w:rPr>
        <w:footnoteReference w:id="8"/>
      </w:r>
      <w:r w:rsidRPr="00E353D8">
        <w:rPr>
          <w:rFonts w:ascii="Times New Roman" w:hAnsi="Times New Roman" w:cs="Times New Roman"/>
        </w:rPr>
        <w:t xml:space="preserve">. Nous chercherons à faire avancer la réflexion sur l’énonciation, tout particulièrement dans les </w:t>
      </w:r>
      <w:r w:rsidRPr="00E353D8">
        <w:rPr>
          <w:rFonts w:ascii="Times New Roman" w:hAnsi="Times New Roman" w:cs="Times New Roman"/>
          <w:i/>
        </w:rPr>
        <w:t>Ouvertures</w:t>
      </w:r>
      <w:r w:rsidRPr="00E353D8">
        <w:rPr>
          <w:rFonts w:ascii="Times New Roman" w:hAnsi="Times New Roman" w:cs="Times New Roman"/>
        </w:rPr>
        <w:t xml:space="preserve">. Consacrées à des aspects complémentaires, </w:t>
      </w:r>
      <w:r>
        <w:rPr>
          <w:rFonts w:ascii="Times New Roman" w:hAnsi="Times New Roman" w:cs="Times New Roman"/>
        </w:rPr>
        <w:t>celles-ci</w:t>
      </w:r>
      <w:r w:rsidRPr="00E353D8">
        <w:rPr>
          <w:rFonts w:ascii="Times New Roman" w:hAnsi="Times New Roman" w:cs="Times New Roman"/>
        </w:rPr>
        <w:t xml:space="preserve"> auront une vocation plus exploratoire. Elles se nourriront des développements exposés dans le corps</w:t>
      </w:r>
      <w:r>
        <w:rPr>
          <w:rFonts w:ascii="Times New Roman" w:hAnsi="Times New Roman" w:cs="Times New Roman"/>
        </w:rPr>
        <w:t xml:space="preserve"> </w:t>
      </w:r>
      <w:r w:rsidRPr="00E353D8">
        <w:rPr>
          <w:rFonts w:ascii="Times New Roman" w:hAnsi="Times New Roman" w:cs="Times New Roman"/>
        </w:rPr>
        <w:t xml:space="preserve">du texte. En même temps, nous </w:t>
      </w:r>
      <w:r>
        <w:rPr>
          <w:rFonts w:ascii="Times New Roman" w:hAnsi="Times New Roman" w:cs="Times New Roman"/>
        </w:rPr>
        <w:t>tracerons</w:t>
      </w:r>
      <w:r w:rsidRPr="00E353D8">
        <w:rPr>
          <w:rFonts w:ascii="Times New Roman" w:hAnsi="Times New Roman" w:cs="Times New Roman"/>
        </w:rPr>
        <w:t xml:space="preserve"> notre chemin en nous éloignant davantage des voies balisées. Nous espérons, par ce biais, concilier le double destin de cet ouvrage : proposer un survol </w:t>
      </w:r>
      <w:r>
        <w:rPr>
          <w:rFonts w:ascii="Times New Roman" w:hAnsi="Times New Roman" w:cs="Times New Roman"/>
        </w:rPr>
        <w:t>d’un certain nombre de</w:t>
      </w:r>
      <w:r w:rsidRPr="00E353D8">
        <w:rPr>
          <w:rFonts w:ascii="Times New Roman" w:hAnsi="Times New Roman" w:cs="Times New Roman"/>
        </w:rPr>
        <w:t xml:space="preserve"> théories de l’énonciation marquantes et défricher de</w:t>
      </w:r>
      <w:r>
        <w:rPr>
          <w:rFonts w:ascii="Times New Roman" w:hAnsi="Times New Roman" w:cs="Times New Roman"/>
        </w:rPr>
        <w:t xml:space="preserve"> nouveaux</w:t>
      </w:r>
      <w:r w:rsidRPr="00E353D8">
        <w:rPr>
          <w:rFonts w:ascii="Times New Roman" w:hAnsi="Times New Roman" w:cs="Times New Roman"/>
        </w:rPr>
        <w:t xml:space="preserve"> terrains. En prenant des risques et en misant, surtout, sur la fécondité de la discussion. </w:t>
      </w:r>
    </w:p>
    <w:p w:rsidR="00943C3C" w:rsidRPr="00E353D8" w:rsidRDefault="00943C3C" w:rsidP="00943C3C">
      <w:pPr>
        <w:pStyle w:val="Notedebasdepage"/>
        <w:spacing w:after="120" w:line="276" w:lineRule="auto"/>
        <w:jc w:val="both"/>
        <w:rPr>
          <w:rFonts w:ascii="Times New Roman" w:hAnsi="Times New Roman" w:cs="Times New Roman"/>
        </w:rPr>
      </w:pPr>
      <w:r w:rsidRPr="00E353D8">
        <w:rPr>
          <w:rFonts w:ascii="Times New Roman" w:hAnsi="Times New Roman" w:cs="Times New Roman"/>
        </w:rPr>
        <w:t xml:space="preserve">Ainsi, la lecture connaîtra des variations de tempo et de tonicité : plus rapide et plus lente, plus détachée et plus serrée. Au lecteur plus ou moins averti, plus ou moins curieux, de choisir son rythme.  </w:t>
      </w:r>
    </w:p>
    <w:p w:rsidR="00943C3C" w:rsidRDefault="00943C3C" w:rsidP="00943C3C">
      <w:pPr>
        <w:spacing w:after="120" w:line="276" w:lineRule="auto"/>
        <w:jc w:val="both"/>
      </w:pPr>
      <w:r w:rsidRPr="00E353D8">
        <w:t>Dans la Première Partie (</w:t>
      </w:r>
      <w:r w:rsidRPr="00E353D8">
        <w:rPr>
          <w:i/>
        </w:rPr>
        <w:t>Pour une sémiotique de la marque</w:t>
      </w:r>
      <w:r>
        <w:rPr>
          <w:i/>
        </w:rPr>
        <w:t> </w:t>
      </w:r>
      <w:r w:rsidRPr="00E353D8">
        <w:rPr>
          <w:i/>
        </w:rPr>
        <w:t>: défis et enjeux),</w:t>
      </w:r>
      <w:r w:rsidRPr="00E353D8">
        <w:rPr>
          <w:b/>
        </w:rPr>
        <w:t xml:space="preserve"> </w:t>
      </w:r>
      <w:r w:rsidRPr="00E353D8">
        <w:t xml:space="preserve">nous viserons, d’abord, à repenser la notion de marque d’énonciation à partir de ses débuts. Nous nous tournerons vers la linguistique et nous prendrons appui sur les principes à la base de l’énonciation énoncée, mise en avant également par Greimas et Courtés, notamment dans </w:t>
      </w:r>
      <w:r w:rsidRPr="00E353D8">
        <w:rPr>
          <w:i/>
        </w:rPr>
        <w:t>Sémiotique.</w:t>
      </w:r>
      <w:r w:rsidRPr="00E353D8">
        <w:t xml:space="preserve"> </w:t>
      </w:r>
      <w:r w:rsidRPr="00E353D8">
        <w:rPr>
          <w:i/>
        </w:rPr>
        <w:t xml:space="preserve">Dictionnaire raisonné de la théorie du langage </w:t>
      </w:r>
      <w:r w:rsidRPr="00E353D8">
        <w:t>(1979). Quelle est alors la nature (localisable ou suprasegmentale, discrète ou diffuse, tonique ou atone…)</w:t>
      </w:r>
      <w:r>
        <w:t xml:space="preserve"> </w:t>
      </w:r>
      <w:r w:rsidRPr="00E353D8">
        <w:t xml:space="preserve">des marques qui inscrivent dans le texte une instance et une situation d’énonciation considérées comme présupposées ? Le critère de la subjectivité est-il distinctif ? Quels autres critères les repérages peuvent-ils mobiliser ? </w:t>
      </w:r>
      <w:r>
        <w:t xml:space="preserve">Les marques se regroupent-elles dans des plans d’organisation du sens ? </w:t>
      </w:r>
    </w:p>
    <w:p w:rsidR="00943C3C" w:rsidRPr="00E353D8" w:rsidRDefault="00943C3C" w:rsidP="00943C3C">
      <w:pPr>
        <w:spacing w:after="120" w:line="276" w:lineRule="auto"/>
        <w:jc w:val="both"/>
      </w:pPr>
      <w:r>
        <w:t xml:space="preserve">Une réflexion sur le marquage expressif nous conduira à confronter le point de vue de l’énonciation énoncée avec tel autre, fondamentalement différent : celui du mouvement énonciatif. À cet effet, nous mobiliserons les cadres théoriques de Gustave Guillaume, de Jean-Claude Coquet et de Jean-François Bordron, avant de mettre nos hypothèses à l’épreuve d’un énoncé syncrétique de Cy Twombly. </w:t>
      </w:r>
    </w:p>
    <w:p w:rsidR="00943C3C" w:rsidRPr="00E353D8" w:rsidRDefault="00943C3C" w:rsidP="00943C3C">
      <w:pPr>
        <w:spacing w:after="120" w:line="276" w:lineRule="auto"/>
        <w:jc w:val="both"/>
      </w:pPr>
      <w:r w:rsidRPr="00E353D8">
        <w:lastRenderedPageBreak/>
        <w:t>L’</w:t>
      </w:r>
      <w:r w:rsidRPr="00E353D8">
        <w:rPr>
          <w:i/>
        </w:rPr>
        <w:t>Ouverture</w:t>
      </w:r>
      <w:r w:rsidRPr="00E353D8">
        <w:t xml:space="preserve"> invitera avant tout à </w:t>
      </w:r>
      <w:r>
        <w:t>scruter</w:t>
      </w:r>
      <w:r w:rsidRPr="00E353D8">
        <w:t xml:space="preserve"> la notion de </w:t>
      </w:r>
      <w:r w:rsidRPr="00E353D8">
        <w:rPr>
          <w:i/>
        </w:rPr>
        <w:t>saillance</w:t>
      </w:r>
      <w:r w:rsidRPr="00E353D8">
        <w:t xml:space="preserve">. Nous viserons à déterminer les moments et les lieux où les marques-saillances s’imposent à l’attention et à la perception sensible. La saillance </w:t>
      </w:r>
      <w:r w:rsidRPr="00B27B9D">
        <w:rPr>
          <w:i/>
        </w:rPr>
        <w:t>fi</w:t>
      </w:r>
      <w:r w:rsidRPr="00373A76">
        <w:rPr>
          <w:i/>
        </w:rPr>
        <w:t>gurative</w:t>
      </w:r>
      <w:r w:rsidRPr="00E353D8">
        <w:t xml:space="preserve"> et </w:t>
      </w:r>
      <w:r w:rsidRPr="00373A76">
        <w:rPr>
          <w:i/>
        </w:rPr>
        <w:t xml:space="preserve">plastique </w:t>
      </w:r>
      <w:r>
        <w:t xml:space="preserve">sera abordée </w:t>
      </w:r>
      <w:r w:rsidRPr="00E353D8">
        <w:t>dans un tableau de Paul Klee</w:t>
      </w:r>
      <w:r>
        <w:t>.</w:t>
      </w:r>
    </w:p>
    <w:p w:rsidR="00943C3C" w:rsidRPr="00E353D8" w:rsidRDefault="00943C3C" w:rsidP="00943C3C">
      <w:pPr>
        <w:pStyle w:val="Notedebasdepage"/>
        <w:spacing w:after="120" w:line="276" w:lineRule="auto"/>
        <w:jc w:val="both"/>
        <w:rPr>
          <w:rFonts w:ascii="Times New Roman" w:hAnsi="Times New Roman" w:cs="Times New Roman"/>
        </w:rPr>
      </w:pPr>
      <w:r w:rsidRPr="00E353D8">
        <w:rPr>
          <w:rFonts w:ascii="Times New Roman" w:hAnsi="Times New Roman" w:cs="Times New Roman"/>
        </w:rPr>
        <w:t>La Deuxième Partie (</w:t>
      </w:r>
      <w:r w:rsidRPr="00E353D8">
        <w:rPr>
          <w:rFonts w:ascii="Times New Roman" w:hAnsi="Times New Roman" w:cs="Times New Roman"/>
          <w:i/>
        </w:rPr>
        <w:t>Acte, geste d’énonciation et pratique</w:t>
      </w:r>
      <w:r w:rsidRPr="00E353D8">
        <w:rPr>
          <w:rFonts w:ascii="Times New Roman" w:hAnsi="Times New Roman" w:cs="Times New Roman"/>
        </w:rPr>
        <w:t xml:space="preserve">) </w:t>
      </w:r>
      <w:r>
        <w:rPr>
          <w:rFonts w:ascii="Times New Roman" w:hAnsi="Times New Roman" w:cs="Times New Roman"/>
        </w:rPr>
        <w:t>se concentrera sur</w:t>
      </w:r>
      <w:r w:rsidRPr="00E353D8">
        <w:rPr>
          <w:rFonts w:ascii="Times New Roman" w:hAnsi="Times New Roman" w:cs="Times New Roman"/>
        </w:rPr>
        <w:t xml:space="preserve"> le geste d’énonciation, avec ses propriétés distinctives, </w:t>
      </w:r>
      <w:r>
        <w:rPr>
          <w:rFonts w:ascii="Times New Roman" w:hAnsi="Times New Roman" w:cs="Times New Roman"/>
        </w:rPr>
        <w:t xml:space="preserve">qui </w:t>
      </w:r>
      <w:r w:rsidRPr="00E353D8">
        <w:rPr>
          <w:rFonts w:ascii="Times New Roman" w:hAnsi="Times New Roman" w:cs="Times New Roman"/>
        </w:rPr>
        <w:t xml:space="preserve">signifie au sein de l’énonciation comme processus sensible et comme pratique située. </w:t>
      </w:r>
    </w:p>
    <w:p w:rsidR="00943C3C" w:rsidRPr="00E353D8" w:rsidRDefault="00943C3C" w:rsidP="00943C3C">
      <w:pPr>
        <w:pStyle w:val="Notedebasdepage"/>
        <w:spacing w:after="120" w:line="276" w:lineRule="auto"/>
        <w:jc w:val="both"/>
        <w:rPr>
          <w:rFonts w:ascii="Times New Roman" w:hAnsi="Times New Roman" w:cs="Times New Roman"/>
        </w:rPr>
      </w:pPr>
      <w:r w:rsidRPr="00E353D8">
        <w:rPr>
          <w:rFonts w:ascii="Times New Roman" w:hAnsi="Times New Roman" w:cs="Times New Roman"/>
        </w:rPr>
        <w:t xml:space="preserve">D’une part, il importera de montrer en quoi le mouvement, qui est caractéristique du geste d’énonciation, est rendu perceptible par un usage atypique de la ponctuation et du formatage dans </w:t>
      </w:r>
      <w:r w:rsidRPr="00E353D8">
        <w:rPr>
          <w:rFonts w:ascii="Times New Roman" w:hAnsi="Times New Roman" w:cs="Times New Roman"/>
          <w:i/>
        </w:rPr>
        <w:t>La modification</w:t>
      </w:r>
      <w:r w:rsidRPr="00E353D8">
        <w:rPr>
          <w:rFonts w:ascii="Times New Roman" w:hAnsi="Times New Roman" w:cs="Times New Roman"/>
        </w:rPr>
        <w:t xml:space="preserve"> de Michel Butor. </w:t>
      </w:r>
    </w:p>
    <w:p w:rsidR="00943C3C" w:rsidRPr="00E353D8" w:rsidRDefault="00943C3C" w:rsidP="00943C3C">
      <w:pPr>
        <w:pStyle w:val="Notedebasdepage"/>
        <w:spacing w:after="120" w:line="276" w:lineRule="auto"/>
        <w:jc w:val="both"/>
        <w:rPr>
          <w:rFonts w:ascii="Times New Roman" w:hAnsi="Times New Roman" w:cs="Times New Roman"/>
        </w:rPr>
      </w:pPr>
      <w:r w:rsidRPr="00E353D8">
        <w:rPr>
          <w:rFonts w:ascii="Times New Roman" w:hAnsi="Times New Roman" w:cs="Times New Roman"/>
        </w:rPr>
        <w:t>D’autre part, nous nous interrogerons sur le geste collaboratif et, plus particulièrement, sur la répartition de la responsabilité énonciative sur l’homme et sur la machine dans le cas du nanoart de Susumu N</w:t>
      </w:r>
      <w:r>
        <w:rPr>
          <w:rFonts w:ascii="Times New Roman" w:hAnsi="Times New Roman" w:cs="Times New Roman"/>
        </w:rPr>
        <w:t>i</w:t>
      </w:r>
      <w:r w:rsidRPr="00E353D8">
        <w:rPr>
          <w:rFonts w:ascii="Times New Roman" w:hAnsi="Times New Roman" w:cs="Times New Roman"/>
        </w:rPr>
        <w:t xml:space="preserve">shinaga. </w:t>
      </w:r>
    </w:p>
    <w:p w:rsidR="00943C3C" w:rsidRPr="00E353D8" w:rsidRDefault="00943C3C" w:rsidP="00943C3C">
      <w:pPr>
        <w:pStyle w:val="Notedebasdepage"/>
        <w:spacing w:after="120" w:line="276" w:lineRule="auto"/>
        <w:jc w:val="both"/>
        <w:rPr>
          <w:rFonts w:ascii="Times New Roman" w:hAnsi="Times New Roman" w:cs="Times New Roman"/>
        </w:rPr>
      </w:pPr>
      <w:r w:rsidRPr="00E353D8">
        <w:rPr>
          <w:rFonts w:ascii="Times New Roman" w:hAnsi="Times New Roman" w:cs="Times New Roman"/>
        </w:rPr>
        <w:t>L’</w:t>
      </w:r>
      <w:r w:rsidRPr="00E353D8">
        <w:rPr>
          <w:rFonts w:ascii="Times New Roman" w:hAnsi="Times New Roman" w:cs="Times New Roman"/>
          <w:i/>
        </w:rPr>
        <w:t xml:space="preserve">Ouverture </w:t>
      </w:r>
      <w:r w:rsidRPr="00E353D8">
        <w:rPr>
          <w:rFonts w:ascii="Times New Roman" w:hAnsi="Times New Roman" w:cs="Times New Roman"/>
        </w:rPr>
        <w:t>focalisera l’attention sur deux autres propriétés du geste d’énonciation :</w:t>
      </w:r>
      <w:r>
        <w:rPr>
          <w:rFonts w:ascii="Times New Roman" w:hAnsi="Times New Roman" w:cs="Times New Roman"/>
        </w:rPr>
        <w:t xml:space="preserve"> non seulement sur </w:t>
      </w:r>
      <w:r w:rsidRPr="00E353D8">
        <w:rPr>
          <w:rFonts w:ascii="Times New Roman" w:hAnsi="Times New Roman" w:cs="Times New Roman"/>
        </w:rPr>
        <w:t>la processualité</w:t>
      </w:r>
      <w:r>
        <w:rPr>
          <w:rFonts w:ascii="Times New Roman" w:hAnsi="Times New Roman" w:cs="Times New Roman"/>
        </w:rPr>
        <w:t xml:space="preserve">, mais encore sur </w:t>
      </w:r>
      <w:r w:rsidRPr="00E353D8">
        <w:rPr>
          <w:rFonts w:ascii="Times New Roman" w:hAnsi="Times New Roman" w:cs="Times New Roman"/>
        </w:rPr>
        <w:t xml:space="preserve">l’instauration, c’est-à-dire </w:t>
      </w:r>
      <w:r>
        <w:rPr>
          <w:rFonts w:ascii="Times New Roman" w:hAnsi="Times New Roman" w:cs="Times New Roman"/>
        </w:rPr>
        <w:t xml:space="preserve">sur </w:t>
      </w:r>
      <w:r w:rsidRPr="00E353D8">
        <w:rPr>
          <w:rFonts w:ascii="Times New Roman" w:hAnsi="Times New Roman" w:cs="Times New Roman"/>
        </w:rPr>
        <w:t xml:space="preserve">l’action d’attribuer à un objet de sens, par exemple à une œuvre d’art, un mode d’existence. </w:t>
      </w:r>
      <w:r>
        <w:rPr>
          <w:rFonts w:ascii="Times New Roman" w:hAnsi="Times New Roman" w:cs="Times New Roman"/>
        </w:rPr>
        <w:t xml:space="preserve">Nous ferons état, plus particulièrement, des liens entre la sémiotique et l’ontologie plurimodale d’Étienne Souriau. </w:t>
      </w:r>
    </w:p>
    <w:p w:rsidR="00943C3C" w:rsidRPr="00E353D8" w:rsidRDefault="00943C3C" w:rsidP="00943C3C">
      <w:pPr>
        <w:pStyle w:val="Notedebasdepage"/>
        <w:spacing w:after="120" w:line="276" w:lineRule="auto"/>
        <w:jc w:val="both"/>
        <w:rPr>
          <w:rFonts w:ascii="Times New Roman" w:hAnsi="Times New Roman" w:cs="Times New Roman"/>
        </w:rPr>
      </w:pPr>
      <w:r w:rsidRPr="00E353D8">
        <w:rPr>
          <w:rFonts w:ascii="Times New Roman" w:hAnsi="Times New Roman" w:cs="Times New Roman"/>
        </w:rPr>
        <w:t xml:space="preserve">Ensuite, il s’agira de mettre en valeur un des moments clefs de l’évolution de la sémiotique postgreimassienne : la sémiotique des pratiques (Fontanille, 2008), qui distingue différents niveaux d’immanence réunis dans un parcours génératif de l’expression. Nous nous concentrerons sur l’énonciation comme pratique </w:t>
      </w:r>
      <w:r w:rsidRPr="00E353D8">
        <w:rPr>
          <w:rFonts w:ascii="Times New Roman" w:hAnsi="Times New Roman" w:cs="Times New Roman"/>
          <w:i/>
        </w:rPr>
        <w:t>située</w:t>
      </w:r>
      <w:r w:rsidRPr="00E353D8">
        <w:rPr>
          <w:rFonts w:ascii="Times New Roman" w:hAnsi="Times New Roman" w:cs="Times New Roman"/>
        </w:rPr>
        <w:t xml:space="preserve">, </w:t>
      </w:r>
      <w:r w:rsidRPr="007C418A">
        <w:rPr>
          <w:rFonts w:ascii="Times New Roman" w:hAnsi="Times New Roman" w:cs="Times New Roman"/>
        </w:rPr>
        <w:t>c’est-à-dire comme pratique informée par des représentations doxiques et des normes, par des choix de diffusion médiatique, par des supports et des médiums, par des codifications génériques ou encore par la dynamique textuelle, bref, par un horizon social, culturel et historique marquant de son empreinte le processus de la textualisation elle-même</w:t>
      </w:r>
      <w:r>
        <w:rPr>
          <w:rFonts w:ascii="Times New Roman" w:hAnsi="Times New Roman" w:cs="Times New Roman"/>
        </w:rPr>
        <w:t xml:space="preserve"> (le processus du « devenir un texte », qui obéit à une dynamique affectant les plans au moins micro- et mésotextuels (Adam, 1999)</w:t>
      </w:r>
      <w:r>
        <w:rPr>
          <w:rStyle w:val="Appelnotedebasdep"/>
        </w:rPr>
        <w:footnoteReference w:id="9"/>
      </w:r>
      <w:r>
        <w:rPr>
          <w:rFonts w:ascii="Times New Roman" w:hAnsi="Times New Roman" w:cs="Times New Roman"/>
        </w:rPr>
        <w:t>)</w:t>
      </w:r>
      <w:r w:rsidRPr="007C418A">
        <w:rPr>
          <w:rFonts w:ascii="Times New Roman" w:hAnsi="Times New Roman" w:cs="Times New Roman"/>
        </w:rPr>
        <w:t>. Il faudra montrer en quoi le terrain est préparé par les réflexions sur les notions d’acte d’énonciation, d’activité et d’action, définies, déjà</w:t>
      </w:r>
      <w:r w:rsidRPr="00E353D8">
        <w:rPr>
          <w:rFonts w:ascii="Times New Roman" w:hAnsi="Times New Roman" w:cs="Times New Roman"/>
        </w:rPr>
        <w:t xml:space="preserve">, par Greimas et Courtés (1979). </w:t>
      </w:r>
    </w:p>
    <w:p w:rsidR="00943C3C" w:rsidRPr="00E353D8" w:rsidRDefault="00943C3C" w:rsidP="00943C3C">
      <w:pPr>
        <w:pStyle w:val="Notedebasdepage"/>
        <w:spacing w:after="120" w:line="276" w:lineRule="auto"/>
        <w:jc w:val="both"/>
        <w:rPr>
          <w:rFonts w:ascii="Times New Roman" w:hAnsi="Times New Roman" w:cs="Times New Roman"/>
        </w:rPr>
      </w:pPr>
      <w:r w:rsidRPr="00E353D8">
        <w:rPr>
          <w:rFonts w:ascii="Times New Roman" w:hAnsi="Times New Roman" w:cs="Times New Roman"/>
        </w:rPr>
        <w:t xml:space="preserve">Enfin, la deuxième </w:t>
      </w:r>
      <w:r w:rsidRPr="00E353D8">
        <w:rPr>
          <w:rFonts w:ascii="Times New Roman" w:hAnsi="Times New Roman" w:cs="Times New Roman"/>
          <w:i/>
        </w:rPr>
        <w:t>Ouverture</w:t>
      </w:r>
      <w:r w:rsidRPr="00E353D8">
        <w:rPr>
          <w:rFonts w:ascii="Times New Roman" w:hAnsi="Times New Roman" w:cs="Times New Roman"/>
        </w:rPr>
        <w:t xml:space="preserve"> </w:t>
      </w:r>
      <w:r>
        <w:rPr>
          <w:rFonts w:ascii="Times New Roman" w:hAnsi="Times New Roman" w:cs="Times New Roman"/>
        </w:rPr>
        <w:t xml:space="preserve">développera ces considérations, en approfondissant </w:t>
      </w:r>
      <w:r w:rsidRPr="00E353D8">
        <w:rPr>
          <w:rFonts w:ascii="Times New Roman" w:hAnsi="Times New Roman" w:cs="Times New Roman"/>
        </w:rPr>
        <w:t xml:space="preserve">l’idée de la mise en scène spectaculaire de l’ensemble de photographies connu sous le nom de </w:t>
      </w:r>
      <w:r w:rsidRPr="0053145E">
        <w:rPr>
          <w:rFonts w:ascii="Times New Roman" w:hAnsi="Times New Roman" w:cs="Times New Roman"/>
          <w:i/>
        </w:rPr>
        <w:t>The</w:t>
      </w:r>
      <w:r>
        <w:rPr>
          <w:rFonts w:ascii="Times New Roman" w:hAnsi="Times New Roman" w:cs="Times New Roman"/>
        </w:rPr>
        <w:t xml:space="preserve"> </w:t>
      </w:r>
      <w:r w:rsidRPr="00E353D8">
        <w:rPr>
          <w:rFonts w:ascii="Times New Roman" w:hAnsi="Times New Roman" w:cs="Times New Roman"/>
          <w:i/>
        </w:rPr>
        <w:t>Family of Man</w:t>
      </w:r>
      <w:r w:rsidRPr="00E353D8">
        <w:rPr>
          <w:rFonts w:ascii="Times New Roman" w:hAnsi="Times New Roman" w:cs="Times New Roman"/>
        </w:rPr>
        <w:t xml:space="preserve">, d’Edward Steichen. </w:t>
      </w:r>
      <w:r>
        <w:rPr>
          <w:rFonts w:ascii="Times New Roman" w:hAnsi="Times New Roman" w:cs="Times New Roman"/>
        </w:rPr>
        <w:t xml:space="preserve">Nous distinguerons </w:t>
      </w:r>
      <w:r w:rsidRPr="00E353D8">
        <w:rPr>
          <w:rFonts w:ascii="Times New Roman" w:hAnsi="Times New Roman" w:cs="Times New Roman"/>
        </w:rPr>
        <w:t xml:space="preserve">différents niveaux de pertinence, dont celui des médias </w:t>
      </w:r>
    </w:p>
    <w:p w:rsidR="00943C3C" w:rsidRPr="006F7938" w:rsidRDefault="00943C3C" w:rsidP="00943C3C">
      <w:pPr>
        <w:spacing w:after="120" w:line="276" w:lineRule="auto"/>
        <w:jc w:val="both"/>
      </w:pPr>
      <w:r w:rsidRPr="00E353D8">
        <w:t>Dans la Troisième Partie (</w:t>
      </w:r>
      <w:r w:rsidRPr="00E353D8">
        <w:rPr>
          <w:i/>
        </w:rPr>
        <w:t>La praxis énonciative et l’invention</w:t>
      </w:r>
      <w:r w:rsidRPr="00E353D8">
        <w:t xml:space="preserve">), l’accent sera mis sur la praxis énonciative qui présuppose </w:t>
      </w:r>
      <w:r>
        <w:t xml:space="preserve">le système de la langue ainsi que </w:t>
      </w:r>
      <w:r w:rsidRPr="00E353D8">
        <w:t xml:space="preserve">des usages, des formations discursives et non discursives préexistantes. Nous verrons que l’énonciation se trouve, en cela, confrontée à du déjà dit, du déjà vu… qu’il s’agit de mobiliser et de renouveler. Un des défis à relever </w:t>
      </w:r>
      <w:r>
        <w:t>consistera à rendre compte du</w:t>
      </w:r>
      <w:r w:rsidRPr="00E353D8">
        <w:t xml:space="preserve"> </w:t>
      </w:r>
      <w:r w:rsidRPr="00E353D8">
        <w:rPr>
          <w:i/>
        </w:rPr>
        <w:t>dispositif énonciatif</w:t>
      </w:r>
      <w:r>
        <w:rPr>
          <w:i/>
        </w:rPr>
        <w:t xml:space="preserve"> </w:t>
      </w:r>
      <w:r>
        <w:t xml:space="preserve">chargé de cette gestion. </w:t>
      </w:r>
    </w:p>
    <w:p w:rsidR="00943C3C" w:rsidRDefault="00943C3C" w:rsidP="00943C3C">
      <w:pPr>
        <w:spacing w:after="120" w:line="276" w:lineRule="auto"/>
        <w:jc w:val="both"/>
      </w:pPr>
      <w:r>
        <w:lastRenderedPageBreak/>
        <w:t xml:space="preserve">Souhaitant développer la réflexion sur la praxis énonciative, nous nous intéresserons, ensuite, à des styles de production de </w:t>
      </w:r>
      <w:r w:rsidRPr="006F7938">
        <w:rPr>
          <w:i/>
        </w:rPr>
        <w:t>mélanges</w:t>
      </w:r>
      <w:r>
        <w:t xml:space="preserve">, en relation avec les </w:t>
      </w:r>
      <w:r w:rsidRPr="00E353D8">
        <w:t xml:space="preserve">régimes de sens </w:t>
      </w:r>
      <w:r>
        <w:t>de</w:t>
      </w:r>
      <w:r w:rsidRPr="00E353D8">
        <w:t xml:space="preserve"> l’</w:t>
      </w:r>
      <w:r w:rsidRPr="00E353D8">
        <w:rPr>
          <w:i/>
        </w:rPr>
        <w:t>invention</w:t>
      </w:r>
      <w:r>
        <w:t xml:space="preserve">. Il s’agira de préciser les liens entre l’invention et la création. </w:t>
      </w:r>
    </w:p>
    <w:p w:rsidR="00943C3C" w:rsidRPr="006F7938" w:rsidRDefault="00943C3C" w:rsidP="00C02E82">
      <w:pPr>
        <w:spacing w:after="120" w:line="276" w:lineRule="auto"/>
        <w:jc w:val="both"/>
      </w:pPr>
      <w:r>
        <w:t>Enfin, l</w:t>
      </w:r>
      <w:r w:rsidRPr="00E353D8">
        <w:t>’</w:t>
      </w:r>
      <w:r w:rsidRPr="00E353D8">
        <w:rPr>
          <w:i/>
        </w:rPr>
        <w:t>Ouverture</w:t>
      </w:r>
      <w:r w:rsidRPr="00E353D8">
        <w:t xml:space="preserve"> </w:t>
      </w:r>
      <w:r>
        <w:t xml:space="preserve">proposera une réflexion plus pointue sur </w:t>
      </w:r>
      <w:r w:rsidRPr="00E353D8">
        <w:t xml:space="preserve">le rôle joué par </w:t>
      </w:r>
      <w:r>
        <w:t xml:space="preserve">le changement d’espace, de </w:t>
      </w:r>
      <w:r w:rsidRPr="00E353D8">
        <w:t xml:space="preserve">lieu ou </w:t>
      </w:r>
      <w:r>
        <w:t>de</w:t>
      </w:r>
      <w:r w:rsidRPr="00E353D8">
        <w:t xml:space="preserve"> localité, au sens heid</w:t>
      </w:r>
      <w:r>
        <w:t>eggé</w:t>
      </w:r>
      <w:r w:rsidRPr="00E353D8">
        <w:t xml:space="preserve">rien du terme, dans la création </w:t>
      </w:r>
      <w:r>
        <w:t xml:space="preserve">d’une œuvre </w:t>
      </w:r>
      <w:bookmarkStart w:id="5" w:name="_GoBack"/>
      <w:r>
        <w:t xml:space="preserve">d’art « métissée ». </w:t>
      </w:r>
    </w:p>
    <w:p w:rsidR="00943C3C" w:rsidRDefault="00943C3C" w:rsidP="00C02E82">
      <w:pPr>
        <w:spacing w:after="120" w:line="276" w:lineRule="auto"/>
        <w:jc w:val="both"/>
        <w:rPr>
          <w:lang w:val="fr-FR"/>
        </w:rPr>
      </w:pPr>
      <w:r w:rsidRPr="00E353D8">
        <w:rPr>
          <w:lang w:val="fr-FR"/>
        </w:rPr>
        <w:t>La Quatrième Partie (</w:t>
      </w:r>
      <w:r w:rsidRPr="00E353D8">
        <w:rPr>
          <w:i/>
          <w:lang w:val="fr-FR"/>
        </w:rPr>
        <w:t>De la réénonciation à la transénonciation</w:t>
      </w:r>
      <w:r w:rsidRPr="00E353D8">
        <w:rPr>
          <w:lang w:val="fr-FR"/>
        </w:rPr>
        <w:t xml:space="preserve">) </w:t>
      </w:r>
      <w:r>
        <w:rPr>
          <w:lang w:val="fr-FR"/>
        </w:rPr>
        <w:t xml:space="preserve">creusera la notion de praxis énonciative davantage, en considérant le processus de la </w:t>
      </w:r>
      <w:r w:rsidRPr="006F7938">
        <w:rPr>
          <w:i/>
          <w:lang w:val="fr-FR"/>
        </w:rPr>
        <w:t>réénonciation</w:t>
      </w:r>
      <w:r>
        <w:rPr>
          <w:lang w:val="fr-FR"/>
        </w:rPr>
        <w:t xml:space="preserve"> (de photographies, de tableaux, d’écrits numériques…). </w:t>
      </w:r>
      <w:r w:rsidRPr="00E353D8">
        <w:rPr>
          <w:lang w:val="fr-FR"/>
        </w:rPr>
        <w:t>Nous chercherons</w:t>
      </w:r>
      <w:r>
        <w:rPr>
          <w:lang w:val="fr-FR"/>
        </w:rPr>
        <w:t>, ainsi,</w:t>
      </w:r>
      <w:r w:rsidRPr="00E353D8">
        <w:rPr>
          <w:lang w:val="fr-FR"/>
        </w:rPr>
        <w:t xml:space="preserve"> à vérifier l</w:t>
      </w:r>
      <w:r>
        <w:rPr>
          <w:lang w:val="fr-FR"/>
        </w:rPr>
        <w:t>a</w:t>
      </w:r>
      <w:r w:rsidRPr="00E353D8">
        <w:rPr>
          <w:lang w:val="fr-FR"/>
        </w:rPr>
        <w:t xml:space="preserve"> pertinence de la notion de réénonciation à travers un certain nombre d’études de cas.</w:t>
      </w:r>
      <w:r>
        <w:rPr>
          <w:lang w:val="fr-FR"/>
        </w:rPr>
        <w:t xml:space="preserve"> Nous </w:t>
      </w:r>
      <w:r w:rsidRPr="00E353D8">
        <w:rPr>
          <w:lang w:val="fr-FR"/>
        </w:rPr>
        <w:t xml:space="preserve">dégagerons des stratégies citationnelles et nous nous attarderons sur les opérations à la base du réagencement des parties dans des types de totalités. </w:t>
      </w:r>
    </w:p>
    <w:p w:rsidR="00943C3C" w:rsidRPr="00071419" w:rsidRDefault="00943C3C" w:rsidP="00C02E82">
      <w:pPr>
        <w:spacing w:after="120" w:line="276" w:lineRule="auto"/>
        <w:jc w:val="both"/>
        <w:rPr>
          <w:highlight w:val="yellow"/>
          <w:lang w:val="fr-FR"/>
        </w:rPr>
      </w:pPr>
      <w:r w:rsidRPr="00E353D8">
        <w:rPr>
          <w:lang w:val="fr-FR"/>
        </w:rPr>
        <w:t>L’</w:t>
      </w:r>
      <w:r w:rsidRPr="00E353D8">
        <w:rPr>
          <w:i/>
          <w:lang w:val="fr-FR"/>
        </w:rPr>
        <w:t>Ouverture</w:t>
      </w:r>
      <w:r w:rsidRPr="00E353D8">
        <w:rPr>
          <w:lang w:val="fr-FR"/>
        </w:rPr>
        <w:t xml:space="preserve"> </w:t>
      </w:r>
      <w:r>
        <w:rPr>
          <w:lang w:val="fr-FR"/>
        </w:rPr>
        <w:t xml:space="preserve">de la Quatrième Partie introduira </w:t>
      </w:r>
      <w:r w:rsidRPr="00E353D8">
        <w:rPr>
          <w:lang w:val="fr-FR"/>
        </w:rPr>
        <w:t xml:space="preserve">la notion de </w:t>
      </w:r>
      <w:r w:rsidRPr="006F7938">
        <w:rPr>
          <w:i/>
          <w:lang w:val="fr-FR"/>
        </w:rPr>
        <w:t>transénonciation</w:t>
      </w:r>
      <w:r>
        <w:rPr>
          <w:lang w:val="fr-FR"/>
        </w:rPr>
        <w:t>.</w:t>
      </w:r>
      <w:r w:rsidRPr="00E353D8">
        <w:rPr>
          <w:lang w:val="fr-FR"/>
        </w:rPr>
        <w:t xml:space="preserve"> </w:t>
      </w:r>
      <w:r>
        <w:rPr>
          <w:lang w:val="fr-FR"/>
        </w:rPr>
        <w:t xml:space="preserve">Proposant une orchestration générale des aspects qui auront été dégagés tout au long du parcours, elle sera consacrée à la mise en place d’un </w:t>
      </w:r>
      <w:r w:rsidRPr="00071419">
        <w:rPr>
          <w:i/>
          <w:lang w:val="fr-FR"/>
        </w:rPr>
        <w:t>modèle de l’énonciation intégratif</w:t>
      </w:r>
      <w:r>
        <w:rPr>
          <w:lang w:val="fr-FR"/>
        </w:rPr>
        <w:t xml:space="preserve">. Plutôt que de valider la stabilisation d’un objet de sens, son figement, nous serons </w:t>
      </w:r>
      <w:proofErr w:type="gramStart"/>
      <w:r>
        <w:rPr>
          <w:lang w:val="fr-FR"/>
        </w:rPr>
        <w:t>sensible</w:t>
      </w:r>
      <w:proofErr w:type="gramEnd"/>
      <w:r>
        <w:rPr>
          <w:lang w:val="fr-FR"/>
        </w:rPr>
        <w:t xml:space="preserve"> au mouvant et aux passages. Nous montrerons </w:t>
      </w:r>
      <w:r w:rsidRPr="00E353D8">
        <w:rPr>
          <w:lang w:val="fr-FR"/>
        </w:rPr>
        <w:t>en quoi l</w:t>
      </w:r>
      <w:r>
        <w:rPr>
          <w:lang w:val="fr-FR"/>
        </w:rPr>
        <w:t>e geste d’énonciation, l</w:t>
      </w:r>
      <w:r w:rsidRPr="00E353D8">
        <w:rPr>
          <w:lang w:val="fr-FR"/>
        </w:rPr>
        <w:t xml:space="preserve">’énonciation en acte ou l’énonciation comme pratique située </w:t>
      </w:r>
      <w:r>
        <w:rPr>
          <w:lang w:val="fr-FR"/>
        </w:rPr>
        <w:t>reposent, en dernière instance, sur la traversée d</w:t>
      </w:r>
      <w:r w:rsidRPr="00E353D8">
        <w:rPr>
          <w:lang w:val="fr-FR"/>
        </w:rPr>
        <w:t xml:space="preserve">es couches de sens. </w:t>
      </w:r>
    </w:p>
    <w:p w:rsidR="008A77B9" w:rsidRDefault="00943C3C" w:rsidP="00C02E82">
      <w:pPr>
        <w:spacing w:line="276" w:lineRule="auto"/>
        <w:jc w:val="both"/>
      </w:pPr>
      <w:r w:rsidRPr="00E353D8">
        <w:t xml:space="preserve">Nous avons voulu, dans cette introduction, dégager quelques fils conducteurs et mettre en lumière des points critiques qui animeront les débats. </w:t>
      </w:r>
      <w:r w:rsidRPr="007C418A">
        <w:rPr>
          <w:color w:val="000000" w:themeColor="text1"/>
        </w:rPr>
        <w:t>Ceci à titre de préliminaires</w:t>
      </w:r>
      <w:r>
        <w:rPr>
          <w:color w:val="000000" w:themeColor="text1"/>
        </w:rPr>
        <w:t>, l</w:t>
      </w:r>
      <w:r w:rsidRPr="007C418A">
        <w:rPr>
          <w:color w:val="000000" w:themeColor="text1"/>
        </w:rPr>
        <w:t>’établissement d’un modèle intégratif de l’énonciation constituant notre visée ultime</w:t>
      </w:r>
      <w:r>
        <w:rPr>
          <w:color w:val="000000" w:themeColor="text1"/>
        </w:rPr>
        <w:t>. C</w:t>
      </w:r>
      <w:r w:rsidRPr="007C418A">
        <w:rPr>
          <w:color w:val="000000" w:themeColor="text1"/>
        </w:rPr>
        <w:t xml:space="preserve">ommençons </w:t>
      </w:r>
      <w:r>
        <w:rPr>
          <w:color w:val="000000" w:themeColor="text1"/>
        </w:rPr>
        <w:t>donc à</w:t>
      </w:r>
      <w:r w:rsidRPr="007C418A">
        <w:rPr>
          <w:color w:val="000000" w:themeColor="text1"/>
        </w:rPr>
        <w:t xml:space="preserve"> en jeter les bases. Pas à pas. Patiemment.</w:t>
      </w:r>
      <w:bookmarkEnd w:id="5"/>
    </w:p>
    <w:sectPr w:rsidR="008A77B9" w:rsidSect="0078610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DD6" w:rsidRDefault="003B6DD6" w:rsidP="00943C3C">
      <w:r>
        <w:separator/>
      </w:r>
    </w:p>
  </w:endnote>
  <w:endnote w:type="continuationSeparator" w:id="0">
    <w:p w:rsidR="003B6DD6" w:rsidRDefault="003B6DD6" w:rsidP="0094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DD6" w:rsidRDefault="003B6DD6" w:rsidP="00943C3C">
      <w:r>
        <w:separator/>
      </w:r>
    </w:p>
  </w:footnote>
  <w:footnote w:type="continuationSeparator" w:id="0">
    <w:p w:rsidR="003B6DD6" w:rsidRDefault="003B6DD6" w:rsidP="00943C3C">
      <w:r>
        <w:continuationSeparator/>
      </w:r>
    </w:p>
  </w:footnote>
  <w:footnote w:id="1">
    <w:p w:rsidR="00943C3C" w:rsidRPr="00373A76" w:rsidRDefault="00943C3C" w:rsidP="00943C3C">
      <w:pPr>
        <w:pStyle w:val="Notedebasdepage"/>
        <w:jc w:val="both"/>
        <w:rPr>
          <w:rFonts w:ascii="Times New Roman" w:hAnsi="Times New Roman" w:cs="Times New Roman"/>
          <w:sz w:val="20"/>
          <w:szCs w:val="20"/>
        </w:rPr>
      </w:pPr>
      <w:r w:rsidRPr="007C418A">
        <w:rPr>
          <w:rStyle w:val="Appelnotedebasdep"/>
          <w:rFonts w:ascii="Times New Roman" w:hAnsi="Times New Roman" w:cs="Times New Roman"/>
          <w:sz w:val="20"/>
          <w:szCs w:val="20"/>
        </w:rPr>
        <w:footnoteRef/>
      </w:r>
      <w:r w:rsidRPr="007C418A">
        <w:rPr>
          <w:rFonts w:ascii="Times New Roman" w:hAnsi="Times New Roman" w:cs="Times New Roman"/>
          <w:sz w:val="20"/>
          <w:szCs w:val="20"/>
        </w:rPr>
        <w:t xml:space="preserve"> Nous entendons par « objet textuel » l’ensemble (verbal, visuel…) formé par la </w:t>
      </w:r>
      <w:r w:rsidRPr="0053145E">
        <w:rPr>
          <w:rFonts w:ascii="Times New Roman" w:hAnsi="Times New Roman" w:cs="Times New Roman"/>
          <w:sz w:val="20"/>
          <w:szCs w:val="20"/>
        </w:rPr>
        <w:t xml:space="preserve">textualité (une suite d’unités formant un tout de sens cohésif et cohérent), par une structure matérielle (un matériau, une substance) ainsi que par un support d’inscription. </w:t>
      </w:r>
      <w:r>
        <w:rPr>
          <w:rFonts w:ascii="Times New Roman" w:hAnsi="Times New Roman" w:cs="Times New Roman"/>
          <w:sz w:val="20"/>
          <w:szCs w:val="20"/>
        </w:rPr>
        <w:t xml:space="preserve">Il est réalisé grâce à l’interaction avec une instance d’énonciation. </w:t>
      </w:r>
      <w:r w:rsidRPr="0053145E">
        <w:rPr>
          <w:rFonts w:ascii="Times New Roman" w:hAnsi="Times New Roman" w:cs="Times New Roman"/>
          <w:sz w:val="20"/>
          <w:szCs w:val="20"/>
        </w:rPr>
        <w:t xml:space="preserve">Comme tout objet, </w:t>
      </w:r>
      <w:r>
        <w:rPr>
          <w:rFonts w:ascii="Times New Roman" w:hAnsi="Times New Roman" w:cs="Times New Roman"/>
          <w:sz w:val="20"/>
          <w:szCs w:val="20"/>
        </w:rPr>
        <w:t>il</w:t>
      </w:r>
      <w:r w:rsidRPr="0053145E">
        <w:rPr>
          <w:rFonts w:ascii="Times New Roman" w:hAnsi="Times New Roman" w:cs="Times New Roman"/>
          <w:sz w:val="20"/>
          <w:szCs w:val="20"/>
        </w:rPr>
        <w:t xml:space="preserve"> est proposé à des usages</w:t>
      </w:r>
      <w:r>
        <w:rPr>
          <w:rFonts w:ascii="Times New Roman" w:hAnsi="Times New Roman" w:cs="Times New Roman"/>
          <w:sz w:val="20"/>
          <w:szCs w:val="20"/>
        </w:rPr>
        <w:t xml:space="preserve">. Il porte la marque des contextes ou environnements dans lesquels il circule.  </w:t>
      </w:r>
    </w:p>
  </w:footnote>
  <w:footnote w:id="2">
    <w:p w:rsidR="00943C3C" w:rsidRPr="00184BA2" w:rsidRDefault="00943C3C" w:rsidP="00943C3C">
      <w:pPr>
        <w:pStyle w:val="Notedebasdepage"/>
        <w:jc w:val="both"/>
        <w:rPr>
          <w:rFonts w:ascii="Times New Roman" w:hAnsi="Times New Roman" w:cs="Times New Roman"/>
          <w:sz w:val="20"/>
          <w:szCs w:val="20"/>
        </w:rPr>
      </w:pPr>
      <w:r w:rsidRPr="00184BA2">
        <w:rPr>
          <w:rStyle w:val="Appelnotedebasdep"/>
          <w:rFonts w:ascii="Times New Roman" w:hAnsi="Times New Roman" w:cs="Times New Roman"/>
          <w:sz w:val="20"/>
          <w:szCs w:val="20"/>
        </w:rPr>
        <w:footnoteRef/>
      </w:r>
      <w:r w:rsidRPr="00184BA2">
        <w:rPr>
          <w:rFonts w:ascii="Times New Roman" w:hAnsi="Times New Roman" w:cs="Times New Roman"/>
          <w:sz w:val="20"/>
          <w:szCs w:val="20"/>
        </w:rPr>
        <w:t xml:space="preserve"> </w:t>
      </w:r>
      <w:r>
        <w:rPr>
          <w:rFonts w:ascii="Times New Roman" w:hAnsi="Times New Roman" w:cs="Times New Roman"/>
          <w:sz w:val="20"/>
          <w:szCs w:val="20"/>
        </w:rPr>
        <w:t>Si l’adjectif « structural » renvoie, ici, à un courant intellectuel, il qualifie, ailleurs, un mode de structuration systémique.</w:t>
      </w:r>
    </w:p>
  </w:footnote>
  <w:footnote w:id="3">
    <w:p w:rsidR="00943C3C" w:rsidRPr="007B7085" w:rsidRDefault="00943C3C" w:rsidP="00943C3C">
      <w:pPr>
        <w:pStyle w:val="Notedebasdepage"/>
        <w:jc w:val="both"/>
        <w:rPr>
          <w:rFonts w:ascii="Times New Roman" w:hAnsi="Times New Roman" w:cs="Times New Roman"/>
          <w:sz w:val="20"/>
          <w:szCs w:val="20"/>
        </w:rPr>
      </w:pPr>
      <w:r w:rsidRPr="007B7085">
        <w:rPr>
          <w:rStyle w:val="Appelnotedebasdep"/>
          <w:rFonts w:ascii="Times New Roman" w:hAnsi="Times New Roman" w:cs="Times New Roman"/>
          <w:sz w:val="20"/>
          <w:szCs w:val="20"/>
        </w:rPr>
        <w:footnoteRef/>
      </w:r>
      <w:r w:rsidRPr="007B7085">
        <w:rPr>
          <w:rFonts w:ascii="Times New Roman" w:hAnsi="Times New Roman" w:cs="Times New Roman"/>
          <w:sz w:val="20"/>
          <w:szCs w:val="20"/>
        </w:rPr>
        <w:t xml:space="preserve"> </w:t>
      </w:r>
      <w:r w:rsidRPr="007B7085">
        <w:rPr>
          <w:rFonts w:ascii="Times New Roman" w:hAnsi="Times New Roman" w:cs="Times New Roman"/>
          <w:sz w:val="20"/>
          <w:szCs w:val="20"/>
        </w:rPr>
        <w:t>Cf. Badir (2022)</w:t>
      </w:r>
      <w:r>
        <w:rPr>
          <w:rFonts w:ascii="Times New Roman" w:hAnsi="Times New Roman" w:cs="Times New Roman"/>
          <w:sz w:val="20"/>
          <w:szCs w:val="20"/>
        </w:rPr>
        <w:t xml:space="preserve"> </w:t>
      </w:r>
      <w:r w:rsidRPr="007B7085">
        <w:rPr>
          <w:rFonts w:ascii="Times New Roman" w:hAnsi="Times New Roman" w:cs="Times New Roman"/>
          <w:sz w:val="20"/>
          <w:szCs w:val="20"/>
        </w:rPr>
        <w:t xml:space="preserve">pour une réflexion sur l’hétérogénéité des objets d’étude et des moyens d’analyse </w:t>
      </w:r>
      <w:r>
        <w:rPr>
          <w:rFonts w:ascii="Times New Roman" w:hAnsi="Times New Roman" w:cs="Times New Roman"/>
          <w:sz w:val="20"/>
          <w:szCs w:val="20"/>
        </w:rPr>
        <w:t xml:space="preserve">ainsi que </w:t>
      </w:r>
      <w:r w:rsidRPr="007B7085">
        <w:rPr>
          <w:rFonts w:ascii="Times New Roman" w:hAnsi="Times New Roman" w:cs="Times New Roman"/>
          <w:sz w:val="20"/>
          <w:szCs w:val="20"/>
        </w:rPr>
        <w:t xml:space="preserve">pour une définition du statut de la sémiotique.  </w:t>
      </w:r>
    </w:p>
  </w:footnote>
  <w:footnote w:id="4">
    <w:p w:rsidR="00943C3C" w:rsidRPr="00865A9C" w:rsidRDefault="00943C3C" w:rsidP="00943C3C">
      <w:pPr>
        <w:pStyle w:val="Notedebasdepage"/>
        <w:jc w:val="both"/>
        <w:rPr>
          <w:rFonts w:ascii="Times New Roman" w:hAnsi="Times New Roman" w:cs="Times New Roman"/>
          <w:sz w:val="20"/>
          <w:szCs w:val="20"/>
        </w:rPr>
      </w:pPr>
      <w:r w:rsidRPr="00865A9C">
        <w:rPr>
          <w:rStyle w:val="Appelnotedebasdep"/>
          <w:rFonts w:ascii="Times New Roman" w:hAnsi="Times New Roman" w:cs="Times New Roman"/>
          <w:sz w:val="20"/>
          <w:szCs w:val="20"/>
        </w:rPr>
        <w:footnoteRef/>
      </w:r>
      <w:r w:rsidRPr="00865A9C">
        <w:rPr>
          <w:rFonts w:ascii="Times New Roman" w:hAnsi="Times New Roman" w:cs="Times New Roman"/>
          <w:sz w:val="20"/>
          <w:szCs w:val="20"/>
        </w:rPr>
        <w:t xml:space="preserve"> </w:t>
      </w:r>
      <w:r w:rsidRPr="00865A9C">
        <w:rPr>
          <w:rFonts w:ascii="Times New Roman" w:hAnsi="Times New Roman" w:cs="Times New Roman"/>
          <w:sz w:val="20"/>
          <w:szCs w:val="20"/>
        </w:rPr>
        <w:t>Le champ de la sémiotique est plus vaste et intègre d’autres sémiotiques</w:t>
      </w:r>
      <w:r>
        <w:rPr>
          <w:rFonts w:ascii="Times New Roman" w:hAnsi="Times New Roman" w:cs="Times New Roman"/>
          <w:sz w:val="20"/>
          <w:szCs w:val="20"/>
        </w:rPr>
        <w:t xml:space="preserve">. </w:t>
      </w:r>
      <w:r w:rsidRPr="00865A9C">
        <w:rPr>
          <w:rFonts w:ascii="Times New Roman" w:hAnsi="Times New Roman" w:cs="Times New Roman"/>
          <w:sz w:val="20"/>
          <w:szCs w:val="20"/>
        </w:rPr>
        <w:t xml:space="preserve">Parmi elles, retenons </w:t>
      </w:r>
      <w:r>
        <w:rPr>
          <w:rFonts w:ascii="Times New Roman" w:hAnsi="Times New Roman" w:cs="Times New Roman"/>
          <w:sz w:val="20"/>
          <w:szCs w:val="20"/>
        </w:rPr>
        <w:t xml:space="preserve">l’écologie sémiotique de la culture (Basso Fossali), </w:t>
      </w:r>
      <w:r w:rsidRPr="00865A9C">
        <w:rPr>
          <w:rFonts w:ascii="Times New Roman" w:hAnsi="Times New Roman" w:cs="Times New Roman"/>
          <w:sz w:val="20"/>
          <w:szCs w:val="20"/>
        </w:rPr>
        <w:t>la sémiotique de la culture / des cultures (</w:t>
      </w:r>
      <w:r>
        <w:rPr>
          <w:rFonts w:ascii="Times New Roman" w:hAnsi="Times New Roman" w:cs="Times New Roman"/>
          <w:sz w:val="20"/>
          <w:szCs w:val="20"/>
        </w:rPr>
        <w:t xml:space="preserve">notamment </w:t>
      </w:r>
      <w:r w:rsidRPr="00865A9C">
        <w:rPr>
          <w:rFonts w:ascii="Times New Roman" w:hAnsi="Times New Roman" w:cs="Times New Roman"/>
          <w:sz w:val="20"/>
          <w:szCs w:val="20"/>
        </w:rPr>
        <w:t xml:space="preserve">Lotman, </w:t>
      </w:r>
      <w:r>
        <w:rPr>
          <w:rFonts w:ascii="Times New Roman" w:hAnsi="Times New Roman" w:cs="Times New Roman"/>
          <w:sz w:val="20"/>
          <w:szCs w:val="20"/>
        </w:rPr>
        <w:t xml:space="preserve">Marrone, </w:t>
      </w:r>
      <w:r w:rsidRPr="00865A9C">
        <w:rPr>
          <w:rFonts w:ascii="Times New Roman" w:hAnsi="Times New Roman" w:cs="Times New Roman"/>
          <w:sz w:val="20"/>
          <w:szCs w:val="20"/>
        </w:rPr>
        <w:t>Stockinge</w:t>
      </w:r>
      <w:r>
        <w:rPr>
          <w:rFonts w:ascii="Times New Roman" w:hAnsi="Times New Roman" w:cs="Times New Roman"/>
          <w:sz w:val="20"/>
          <w:szCs w:val="20"/>
        </w:rPr>
        <w:t>r</w:t>
      </w:r>
      <w:r w:rsidRPr="00865A9C">
        <w:rPr>
          <w:rFonts w:ascii="Times New Roman" w:hAnsi="Times New Roman" w:cs="Times New Roman"/>
          <w:sz w:val="20"/>
          <w:szCs w:val="20"/>
        </w:rPr>
        <w:t>)</w:t>
      </w:r>
      <w:r>
        <w:rPr>
          <w:rFonts w:ascii="Times New Roman" w:hAnsi="Times New Roman" w:cs="Times New Roman"/>
          <w:sz w:val="20"/>
          <w:szCs w:val="20"/>
        </w:rPr>
        <w:t>,</w:t>
      </w:r>
      <w:r w:rsidRPr="00865A9C">
        <w:rPr>
          <w:rFonts w:ascii="Times New Roman" w:hAnsi="Times New Roman" w:cs="Times New Roman"/>
          <w:sz w:val="20"/>
          <w:szCs w:val="20"/>
        </w:rPr>
        <w:t xml:space="preserve"> la sémiotique des langages de programmation (</w:t>
      </w:r>
      <w:r>
        <w:rPr>
          <w:rFonts w:ascii="Times New Roman" w:hAnsi="Times New Roman" w:cs="Times New Roman"/>
          <w:sz w:val="20"/>
          <w:szCs w:val="20"/>
        </w:rPr>
        <w:t xml:space="preserve">notamment </w:t>
      </w:r>
      <w:r w:rsidRPr="00865A9C">
        <w:rPr>
          <w:rFonts w:ascii="Times New Roman" w:hAnsi="Times New Roman" w:cs="Times New Roman"/>
          <w:sz w:val="20"/>
          <w:szCs w:val="20"/>
        </w:rPr>
        <w:t xml:space="preserve">Valle et Mazzei), </w:t>
      </w:r>
      <w:r>
        <w:rPr>
          <w:rFonts w:ascii="Times New Roman" w:hAnsi="Times New Roman" w:cs="Times New Roman"/>
          <w:sz w:val="20"/>
          <w:szCs w:val="20"/>
        </w:rPr>
        <w:t>l</w:t>
      </w:r>
      <w:r w:rsidRPr="00865A9C">
        <w:rPr>
          <w:rFonts w:ascii="Times New Roman" w:hAnsi="Times New Roman" w:cs="Times New Roman"/>
          <w:sz w:val="20"/>
          <w:szCs w:val="20"/>
        </w:rPr>
        <w:t>a sémiotique du goût (</w:t>
      </w:r>
      <w:r>
        <w:rPr>
          <w:rFonts w:ascii="Times New Roman" w:hAnsi="Times New Roman" w:cs="Times New Roman"/>
          <w:sz w:val="20"/>
          <w:szCs w:val="20"/>
        </w:rPr>
        <w:t xml:space="preserve">notamment </w:t>
      </w:r>
      <w:r w:rsidRPr="00865A9C">
        <w:rPr>
          <w:rFonts w:ascii="Times New Roman" w:hAnsi="Times New Roman" w:cs="Times New Roman"/>
          <w:sz w:val="20"/>
          <w:szCs w:val="20"/>
        </w:rPr>
        <w:t>Boutaud, Landowski, Marrone…), la sémiotique politique (</w:t>
      </w:r>
      <w:r>
        <w:rPr>
          <w:rFonts w:ascii="Times New Roman" w:hAnsi="Times New Roman" w:cs="Times New Roman"/>
          <w:sz w:val="20"/>
          <w:szCs w:val="20"/>
        </w:rPr>
        <w:t xml:space="preserve">notamment </w:t>
      </w:r>
      <w:r w:rsidRPr="00865A9C">
        <w:rPr>
          <w:rFonts w:ascii="Times New Roman" w:hAnsi="Times New Roman" w:cs="Times New Roman"/>
          <w:sz w:val="20"/>
          <w:szCs w:val="20"/>
        </w:rPr>
        <w:t>Alonso, Bertrand…)</w:t>
      </w:r>
      <w:r>
        <w:rPr>
          <w:rFonts w:ascii="Times New Roman" w:hAnsi="Times New Roman" w:cs="Times New Roman"/>
          <w:sz w:val="20"/>
          <w:szCs w:val="20"/>
        </w:rPr>
        <w:t>, la sémiotique du design et la sémiotique du portrait (Beyaert-Geslin), ainsi que la sémiotique musicale (Estay Stange, Grabocz).</w:t>
      </w:r>
    </w:p>
  </w:footnote>
  <w:footnote w:id="5">
    <w:p w:rsidR="00943C3C" w:rsidRPr="00B51CDB" w:rsidRDefault="00943C3C" w:rsidP="00943C3C">
      <w:pPr>
        <w:pStyle w:val="Notedebasdepage"/>
        <w:jc w:val="both"/>
        <w:rPr>
          <w:rFonts w:ascii="Times New Roman" w:hAnsi="Times New Roman" w:cs="Times New Roman"/>
          <w:sz w:val="20"/>
          <w:szCs w:val="20"/>
          <w:lang w:val="fr-CH"/>
        </w:rPr>
      </w:pPr>
      <w:r w:rsidRPr="00B51CDB">
        <w:rPr>
          <w:rStyle w:val="Appelnotedebasdep"/>
          <w:rFonts w:ascii="Times New Roman" w:hAnsi="Times New Roman" w:cs="Times New Roman"/>
          <w:sz w:val="20"/>
          <w:szCs w:val="20"/>
        </w:rPr>
        <w:footnoteRef/>
      </w:r>
      <w:r w:rsidRPr="00B51CDB">
        <w:rPr>
          <w:rFonts w:ascii="Times New Roman" w:hAnsi="Times New Roman" w:cs="Times New Roman"/>
          <w:sz w:val="20"/>
          <w:szCs w:val="20"/>
        </w:rPr>
        <w:t xml:space="preserve"> </w:t>
      </w:r>
      <w:r w:rsidRPr="00B51CDB">
        <w:rPr>
          <w:rFonts w:ascii="Times New Roman" w:hAnsi="Times New Roman" w:cs="Times New Roman"/>
          <w:sz w:val="20"/>
          <w:szCs w:val="20"/>
          <w:lang w:val="fr-CH"/>
        </w:rPr>
        <w:t>Nous remercions Jean-François Bordron d’avoir, à la lecture de ce travail, hissé le débat au niveau méta</w:t>
      </w:r>
      <w:r>
        <w:rPr>
          <w:rFonts w:ascii="Times New Roman" w:hAnsi="Times New Roman" w:cs="Times New Roman"/>
          <w:sz w:val="20"/>
          <w:szCs w:val="20"/>
          <w:lang w:val="fr-CH"/>
        </w:rPr>
        <w:t>t</w:t>
      </w:r>
      <w:r w:rsidRPr="00B51CDB">
        <w:rPr>
          <w:rFonts w:ascii="Times New Roman" w:hAnsi="Times New Roman" w:cs="Times New Roman"/>
          <w:sz w:val="20"/>
          <w:szCs w:val="20"/>
          <w:lang w:val="fr-CH"/>
        </w:rPr>
        <w:t xml:space="preserve">héorique et épistémologique. </w:t>
      </w:r>
    </w:p>
  </w:footnote>
  <w:footnote w:id="6">
    <w:p w:rsidR="00943C3C" w:rsidRPr="00F44A15" w:rsidRDefault="00943C3C" w:rsidP="00943C3C">
      <w:pPr>
        <w:pStyle w:val="Notedebasdepage"/>
        <w:jc w:val="both"/>
        <w:rPr>
          <w:rFonts w:ascii="Times New Roman" w:hAnsi="Times New Roman" w:cs="Times New Roman"/>
          <w:sz w:val="20"/>
          <w:szCs w:val="20"/>
        </w:rPr>
      </w:pPr>
      <w:r w:rsidRPr="001A7E84">
        <w:rPr>
          <w:rStyle w:val="Appelnotedebasdep"/>
          <w:rFonts w:ascii="Times New Roman" w:hAnsi="Times New Roman" w:cs="Times New Roman"/>
          <w:sz w:val="20"/>
          <w:szCs w:val="20"/>
        </w:rPr>
        <w:footnoteRef/>
      </w:r>
      <w:r w:rsidRPr="001A7E84">
        <w:rPr>
          <w:rFonts w:ascii="Times New Roman" w:hAnsi="Times New Roman" w:cs="Times New Roman"/>
          <w:sz w:val="20"/>
          <w:szCs w:val="20"/>
        </w:rPr>
        <w:t xml:space="preserve"> </w:t>
      </w:r>
      <w:r w:rsidRPr="001A7E84">
        <w:rPr>
          <w:rFonts w:ascii="Times New Roman" w:hAnsi="Times New Roman" w:cs="Times New Roman"/>
          <w:sz w:val="20"/>
          <w:szCs w:val="20"/>
        </w:rPr>
        <w:t>On retrouve cette exigence chez les trois pères de la sémiotique contemporaine : Peirce, Saussure et Greimas.</w:t>
      </w:r>
      <w:r>
        <w:rPr>
          <w:rFonts w:ascii="Times New Roman" w:hAnsi="Times New Roman" w:cs="Times New Roman"/>
          <w:sz w:val="20"/>
          <w:szCs w:val="20"/>
        </w:rPr>
        <w:t xml:space="preserve"> La notion de solidarisation, que nous proposons, doit être maniée avec circonspection. En effet, nous essayerons de montrer, par la suite, que les plans ne préexistent pas à leur jonction. </w:t>
      </w:r>
      <w:r w:rsidRPr="00F44A15">
        <w:rPr>
          <w:rFonts w:ascii="Times New Roman" w:hAnsi="Times New Roman" w:cs="Times New Roman"/>
          <w:sz w:val="20"/>
          <w:szCs w:val="20"/>
        </w:rPr>
        <w:t xml:space="preserve"> </w:t>
      </w:r>
    </w:p>
  </w:footnote>
  <w:footnote w:id="7">
    <w:p w:rsidR="00943C3C" w:rsidRPr="008648CC" w:rsidRDefault="00943C3C" w:rsidP="00943C3C">
      <w:pPr>
        <w:pStyle w:val="Notedebasdepage"/>
        <w:jc w:val="both"/>
        <w:rPr>
          <w:rFonts w:ascii="Times New Roman" w:hAnsi="Times New Roman" w:cs="Times New Roman"/>
          <w:sz w:val="20"/>
          <w:szCs w:val="20"/>
        </w:rPr>
      </w:pPr>
      <w:r w:rsidRPr="008648CC">
        <w:rPr>
          <w:rStyle w:val="Appelnotedebasdep"/>
          <w:rFonts w:ascii="Times New Roman" w:hAnsi="Times New Roman" w:cs="Times New Roman"/>
          <w:sz w:val="20"/>
          <w:szCs w:val="20"/>
        </w:rPr>
        <w:footnoteRef/>
      </w:r>
      <w:r w:rsidRPr="008648CC">
        <w:rPr>
          <w:rFonts w:ascii="Times New Roman" w:hAnsi="Times New Roman" w:cs="Times New Roman"/>
          <w:sz w:val="20"/>
          <w:szCs w:val="20"/>
        </w:rPr>
        <w:t xml:space="preserve"> </w:t>
      </w:r>
      <w:r w:rsidRPr="008648CC">
        <w:rPr>
          <w:rFonts w:ascii="Times New Roman" w:hAnsi="Times New Roman" w:cs="Times New Roman"/>
          <w:sz w:val="20"/>
          <w:szCs w:val="20"/>
        </w:rPr>
        <w:t xml:space="preserve">Pour une vue panoramique, cf. Colas-Blaise, Perrin et Tore </w:t>
      </w:r>
      <w:r>
        <w:rPr>
          <w:rFonts w:ascii="Times New Roman" w:hAnsi="Times New Roman" w:cs="Times New Roman"/>
          <w:sz w:val="20"/>
          <w:szCs w:val="20"/>
        </w:rPr>
        <w:t xml:space="preserve"> (dir.) </w:t>
      </w:r>
      <w:r w:rsidRPr="008648CC">
        <w:rPr>
          <w:rFonts w:ascii="Times New Roman" w:hAnsi="Times New Roman" w:cs="Times New Roman"/>
          <w:sz w:val="20"/>
          <w:szCs w:val="20"/>
        </w:rPr>
        <w:t>(2016)</w:t>
      </w:r>
      <w:r>
        <w:rPr>
          <w:rFonts w:ascii="Times New Roman" w:hAnsi="Times New Roman" w:cs="Times New Roman"/>
          <w:sz w:val="20"/>
          <w:szCs w:val="20"/>
        </w:rPr>
        <w:t>, Colas-Blaise (2016a), Tore (2016).</w:t>
      </w:r>
      <w:r w:rsidRPr="008648CC">
        <w:rPr>
          <w:rFonts w:ascii="Times New Roman" w:hAnsi="Times New Roman" w:cs="Times New Roman"/>
          <w:sz w:val="20"/>
          <w:szCs w:val="20"/>
        </w:rPr>
        <w:t xml:space="preserve"> </w:t>
      </w:r>
      <w:r>
        <w:rPr>
          <w:rFonts w:ascii="Times New Roman" w:hAnsi="Times New Roman" w:cs="Times New Roman"/>
          <w:sz w:val="20"/>
          <w:szCs w:val="20"/>
        </w:rPr>
        <w:t xml:space="preserve">Pour des considérations générales, on se reportera également à Colas-Blaise (2010). </w:t>
      </w:r>
    </w:p>
  </w:footnote>
  <w:footnote w:id="8">
    <w:p w:rsidR="00943C3C" w:rsidRPr="00A61224" w:rsidRDefault="00943C3C" w:rsidP="00943C3C">
      <w:pPr>
        <w:pStyle w:val="Notedebasdepage"/>
        <w:jc w:val="both"/>
        <w:rPr>
          <w:rFonts w:ascii="Times New Roman" w:hAnsi="Times New Roman" w:cs="Times New Roman"/>
          <w:sz w:val="20"/>
          <w:szCs w:val="20"/>
        </w:rPr>
      </w:pPr>
      <w:r w:rsidRPr="006303E4">
        <w:rPr>
          <w:rStyle w:val="Appelnotedebasdep"/>
          <w:rFonts w:ascii="Times New Roman" w:hAnsi="Times New Roman" w:cs="Times New Roman"/>
          <w:sz w:val="20"/>
          <w:szCs w:val="20"/>
        </w:rPr>
        <w:footnoteRef/>
      </w:r>
      <w:r w:rsidRPr="006303E4">
        <w:rPr>
          <w:rFonts w:ascii="Times New Roman" w:hAnsi="Times New Roman" w:cs="Times New Roman"/>
          <w:sz w:val="20"/>
          <w:szCs w:val="20"/>
        </w:rPr>
        <w:t xml:space="preserve"> </w:t>
      </w:r>
      <w:r>
        <w:rPr>
          <w:rFonts w:ascii="Times New Roman" w:hAnsi="Times New Roman" w:cs="Times New Roman"/>
          <w:sz w:val="20"/>
          <w:szCs w:val="20"/>
        </w:rPr>
        <w:t xml:space="preserve">À cela s’ajoute le </w:t>
      </w:r>
      <w:r w:rsidRPr="006303E4">
        <w:rPr>
          <w:rFonts w:ascii="Times New Roman" w:hAnsi="Times New Roman" w:cs="Times New Roman"/>
          <w:sz w:val="20"/>
          <w:szCs w:val="20"/>
        </w:rPr>
        <w:t xml:space="preserve">dialogue </w:t>
      </w:r>
      <w:r>
        <w:rPr>
          <w:rFonts w:ascii="Times New Roman" w:hAnsi="Times New Roman" w:cs="Times New Roman"/>
          <w:sz w:val="20"/>
          <w:szCs w:val="20"/>
        </w:rPr>
        <w:t xml:space="preserve">qui </w:t>
      </w:r>
      <w:r w:rsidRPr="006303E4">
        <w:rPr>
          <w:rFonts w:ascii="Times New Roman" w:hAnsi="Times New Roman" w:cs="Times New Roman"/>
          <w:sz w:val="20"/>
          <w:szCs w:val="20"/>
        </w:rPr>
        <w:t>se nouera, au sein de l’ouvrage, entre le corps du texte et les notes</w:t>
      </w:r>
      <w:r>
        <w:rPr>
          <w:rFonts w:ascii="Times New Roman" w:hAnsi="Times New Roman" w:cs="Times New Roman"/>
          <w:sz w:val="20"/>
          <w:szCs w:val="20"/>
        </w:rPr>
        <w:t xml:space="preserve">. Celles-ci </w:t>
      </w:r>
      <w:r w:rsidRPr="006303E4">
        <w:rPr>
          <w:rFonts w:ascii="Times New Roman" w:hAnsi="Times New Roman" w:cs="Times New Roman"/>
          <w:sz w:val="20"/>
          <w:szCs w:val="20"/>
        </w:rPr>
        <w:t>accueilleront des références supplémentaires et inviteront à des approfondissements et à des points de vue complémentaires.</w:t>
      </w:r>
    </w:p>
  </w:footnote>
  <w:footnote w:id="9">
    <w:p w:rsidR="00943C3C" w:rsidRPr="00643C7D" w:rsidRDefault="00943C3C" w:rsidP="00943C3C">
      <w:pPr>
        <w:pStyle w:val="Notedebasdepage"/>
        <w:jc w:val="both"/>
        <w:rPr>
          <w:rFonts w:ascii="Times New Roman" w:hAnsi="Times New Roman" w:cs="Times New Roman"/>
          <w:sz w:val="20"/>
          <w:szCs w:val="20"/>
        </w:rPr>
      </w:pPr>
      <w:r w:rsidRPr="00643C7D">
        <w:rPr>
          <w:rStyle w:val="Appelnotedebasdep"/>
          <w:rFonts w:ascii="Times New Roman" w:hAnsi="Times New Roman" w:cs="Times New Roman"/>
          <w:sz w:val="20"/>
          <w:szCs w:val="20"/>
        </w:rPr>
        <w:footnoteRef/>
      </w:r>
      <w:r w:rsidRPr="00643C7D">
        <w:rPr>
          <w:rFonts w:ascii="Times New Roman" w:hAnsi="Times New Roman" w:cs="Times New Roman"/>
          <w:sz w:val="20"/>
          <w:szCs w:val="20"/>
        </w:rPr>
        <w:t xml:space="preserve"> </w:t>
      </w:r>
      <w:r>
        <w:rPr>
          <w:rFonts w:ascii="Times New Roman" w:hAnsi="Times New Roman" w:cs="Times New Roman"/>
          <w:sz w:val="20"/>
          <w:szCs w:val="20"/>
        </w:rPr>
        <w:t>La</w:t>
      </w:r>
      <w:r w:rsidRPr="00643C7D">
        <w:rPr>
          <w:rFonts w:ascii="Times New Roman" w:hAnsi="Times New Roman" w:cs="Times New Roman"/>
          <w:sz w:val="20"/>
          <w:szCs w:val="20"/>
        </w:rPr>
        <w:t xml:space="preserve"> notion de textualité est souvent relayée </w:t>
      </w:r>
      <w:r w:rsidRPr="00643C7D">
        <w:rPr>
          <w:rFonts w:ascii="Times New Roman" w:hAnsi="Times New Roman" w:cs="Times New Roman"/>
          <w:color w:val="000000"/>
          <w:sz w:val="20"/>
          <w:szCs w:val="20"/>
        </w:rPr>
        <w:t xml:space="preserve">par celle de </w:t>
      </w:r>
      <w:r w:rsidRPr="00643C7D">
        <w:rPr>
          <w:rFonts w:ascii="Times New Roman" w:hAnsi="Times New Roman" w:cs="Times New Roman"/>
          <w:i/>
          <w:color w:val="000000"/>
          <w:sz w:val="20"/>
          <w:szCs w:val="20"/>
        </w:rPr>
        <w:t xml:space="preserve">texture </w:t>
      </w:r>
      <w:r w:rsidRPr="00643C7D">
        <w:rPr>
          <w:rFonts w:ascii="Times New Roman" w:hAnsi="Times New Roman" w:cs="Times New Roman"/>
          <w:color w:val="000000"/>
          <w:sz w:val="20"/>
          <w:szCs w:val="20"/>
        </w:rPr>
        <w:t>(Adam, 1999, p. 40 ; Culioli, 2003, p. 147). Voir également l</w:t>
      </w:r>
      <w:r w:rsidRPr="00643C7D">
        <w:rPr>
          <w:rFonts w:ascii="Times New Roman" w:hAnsi="Times New Roman" w:cs="Times New Roman"/>
          <w:sz w:val="20"/>
          <w:szCs w:val="20"/>
        </w:rPr>
        <w:t xml:space="preserve">’étymologie latine </w:t>
      </w:r>
      <w:r w:rsidRPr="00643C7D">
        <w:rPr>
          <w:rFonts w:ascii="Times New Roman" w:hAnsi="Times New Roman" w:cs="Times New Roman"/>
          <w:i/>
          <w:sz w:val="20"/>
          <w:szCs w:val="20"/>
        </w:rPr>
        <w:t>textus</w:t>
      </w:r>
      <w:r w:rsidRPr="00643C7D">
        <w:rPr>
          <w:rFonts w:ascii="Times New Roman" w:hAnsi="Times New Roman" w:cs="Times New Roman"/>
          <w:sz w:val="20"/>
          <w:szCs w:val="20"/>
        </w:rPr>
        <w:t xml:space="preserve"> </w:t>
      </w:r>
      <w:r>
        <w:rPr>
          <w:rFonts w:ascii="Times New Roman" w:hAnsi="Times New Roman" w:cs="Times New Roman"/>
          <w:sz w:val="20"/>
          <w:szCs w:val="20"/>
        </w:rPr>
        <w:t xml:space="preserve">de « texte » : </w:t>
      </w:r>
      <w:r w:rsidRPr="00643C7D">
        <w:rPr>
          <w:rFonts w:ascii="Times New Roman" w:hAnsi="Times New Roman" w:cs="Times New Roman"/>
          <w:sz w:val="20"/>
          <w:szCs w:val="20"/>
        </w:rPr>
        <w:t xml:space="preserve">de </w:t>
      </w:r>
      <w:r w:rsidRPr="00643C7D">
        <w:rPr>
          <w:rFonts w:ascii="Times New Roman" w:hAnsi="Times New Roman" w:cs="Times New Roman"/>
          <w:i/>
          <w:sz w:val="20"/>
          <w:szCs w:val="20"/>
        </w:rPr>
        <w:t>texo</w:t>
      </w:r>
      <w:r w:rsidRPr="00643C7D">
        <w:rPr>
          <w:rFonts w:ascii="Times New Roman" w:hAnsi="Times New Roman" w:cs="Times New Roman"/>
          <w:sz w:val="20"/>
          <w:szCs w:val="20"/>
        </w:rPr>
        <w:t> : tisser, tresser</w:t>
      </w:r>
      <w:r>
        <w:rPr>
          <w:rFonts w:ascii="Times New Roman" w:hAnsi="Times New Roman" w:cs="Times New Roman"/>
          <w:sz w:val="20"/>
          <w:szCs w:val="20"/>
        </w:rPr>
        <w:t xml:space="preserve">. Adam (2019) renvoie au </w:t>
      </w:r>
      <w:r w:rsidRPr="00643C7D">
        <w:rPr>
          <w:rFonts w:ascii="Times New Roman" w:hAnsi="Times New Roman" w:cs="Times New Roman"/>
          <w:sz w:val="20"/>
          <w:szCs w:val="20"/>
        </w:rPr>
        <w:t>Livre IX (4, 13 et 17) de l’</w:t>
      </w:r>
      <w:r w:rsidRPr="00643C7D">
        <w:rPr>
          <w:rFonts w:ascii="Times New Roman" w:hAnsi="Times New Roman" w:cs="Times New Roman"/>
          <w:i/>
          <w:sz w:val="20"/>
          <w:szCs w:val="20"/>
        </w:rPr>
        <w:t xml:space="preserve">Institution oratoire </w:t>
      </w:r>
      <w:r w:rsidRPr="00643C7D">
        <w:rPr>
          <w:rFonts w:ascii="Times New Roman" w:hAnsi="Times New Roman" w:cs="Times New Roman"/>
          <w:sz w:val="20"/>
          <w:szCs w:val="20"/>
        </w:rPr>
        <w:t xml:space="preserve">de Quintilien.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C3C"/>
    <w:rsid w:val="003B6DD6"/>
    <w:rsid w:val="0078610D"/>
    <w:rsid w:val="008A77B9"/>
    <w:rsid w:val="00943C3C"/>
    <w:rsid w:val="00C02E82"/>
    <w:rsid w:val="00FB4E95"/>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02D0BC0-7592-1243-B01A-3A048F14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L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3C3C"/>
    <w:rPr>
      <w:rFonts w:ascii="Times New Roman" w:eastAsia="Times New Roman" w:hAnsi="Times New Roman" w:cs="Times New Roman"/>
      <w:lang w:eastAsia="fr-FR"/>
    </w:rPr>
  </w:style>
  <w:style w:type="paragraph" w:styleId="Titre1">
    <w:name w:val="heading 1"/>
    <w:basedOn w:val="Normal"/>
    <w:link w:val="Titre1Car"/>
    <w:uiPriority w:val="9"/>
    <w:qFormat/>
    <w:rsid w:val="00943C3C"/>
    <w:pPr>
      <w:spacing w:before="100" w:beforeAutospacing="1" w:after="100" w:afterAutospacing="1"/>
      <w:outlineLvl w:val="0"/>
    </w:pPr>
    <w:rPr>
      <w:b/>
      <w:bCs/>
      <w:kern w:val="36"/>
      <w:sz w:val="48"/>
      <w:szCs w:val="48"/>
    </w:rPr>
  </w:style>
  <w:style w:type="paragraph" w:styleId="Titre2">
    <w:name w:val="heading 2"/>
    <w:basedOn w:val="Normal"/>
    <w:next w:val="Normal"/>
    <w:link w:val="Titre2Car"/>
    <w:uiPriority w:val="9"/>
    <w:unhideWhenUsed/>
    <w:qFormat/>
    <w:rsid w:val="00943C3C"/>
    <w:pPr>
      <w:keepNext/>
      <w:keepLines/>
      <w:outlineLvl w:val="1"/>
    </w:pPr>
    <w:rPr>
      <w:rFonts w:eastAsiaTheme="majorEastAsia" w:cstheme="majorBidi"/>
      <w:b/>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3C3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943C3C"/>
    <w:rPr>
      <w:rFonts w:ascii="Times New Roman" w:eastAsiaTheme="majorEastAsia" w:hAnsi="Times New Roman" w:cstheme="majorBidi"/>
      <w:b/>
      <w:bCs/>
      <w:szCs w:val="26"/>
      <w:lang w:eastAsia="fr-FR"/>
    </w:rPr>
  </w:style>
  <w:style w:type="paragraph" w:styleId="NormalWeb">
    <w:name w:val="Normal (Web)"/>
    <w:basedOn w:val="Normal"/>
    <w:uiPriority w:val="99"/>
    <w:unhideWhenUsed/>
    <w:rsid w:val="00943C3C"/>
    <w:pPr>
      <w:spacing w:before="100" w:beforeAutospacing="1" w:after="100" w:afterAutospacing="1"/>
    </w:pPr>
    <w:rPr>
      <w:rFonts w:ascii="Times" w:eastAsiaTheme="minorEastAsia" w:hAnsi="Times"/>
      <w:sz w:val="20"/>
      <w:szCs w:val="20"/>
    </w:rPr>
  </w:style>
  <w:style w:type="paragraph" w:styleId="Notedebasdepage">
    <w:name w:val="footnote text"/>
    <w:aliases w:val="Carattere, Carattere,Note de bas de pageGL"/>
    <w:basedOn w:val="Normal"/>
    <w:link w:val="NotedebasdepageCar"/>
    <w:uiPriority w:val="99"/>
    <w:unhideWhenUsed/>
    <w:qFormat/>
    <w:rsid w:val="00943C3C"/>
    <w:rPr>
      <w:rFonts w:asciiTheme="minorHAnsi" w:eastAsiaTheme="minorEastAsia" w:hAnsiTheme="minorHAnsi" w:cstheme="minorBidi"/>
    </w:rPr>
  </w:style>
  <w:style w:type="character" w:customStyle="1" w:styleId="NotedebasdepageCar">
    <w:name w:val="Note de bas de page Car"/>
    <w:aliases w:val="Carattere Car, Carattere Car,Note de bas de pageGL Car"/>
    <w:basedOn w:val="Policepardfaut"/>
    <w:link w:val="Notedebasdepage"/>
    <w:uiPriority w:val="99"/>
    <w:rsid w:val="00943C3C"/>
    <w:rPr>
      <w:rFonts w:eastAsiaTheme="minorEastAsia"/>
      <w:lang w:eastAsia="fr-FR"/>
    </w:rPr>
  </w:style>
  <w:style w:type="character" w:styleId="Appelnotedebasdep">
    <w:name w:val="footnote reference"/>
    <w:aliases w:val="numéro d'appel de note"/>
    <w:basedOn w:val="Policepardfaut"/>
    <w:unhideWhenUsed/>
    <w:qFormat/>
    <w:rsid w:val="00943C3C"/>
    <w:rPr>
      <w:vertAlign w:val="superscript"/>
    </w:rPr>
  </w:style>
  <w:style w:type="character" w:customStyle="1" w:styleId="apple-converted-space">
    <w:name w:val="apple-converted-space"/>
    <w:basedOn w:val="Policepardfaut"/>
    <w:rsid w:val="00943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4736</Words>
  <Characters>26054</Characters>
  <Application>Microsoft Office Word</Application>
  <DocSecurity>0</DocSecurity>
  <Lines>217</Lines>
  <Paragraphs>61</Paragraphs>
  <ScaleCrop>false</ScaleCrop>
  <Company/>
  <LinksUpToDate>false</LinksUpToDate>
  <CharactersWithSpaces>30729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COLAS-BLAISE</dc:creator>
  <cp:keywords/>
  <dc:description/>
  <cp:lastModifiedBy>Marion COLAS-BLAISE</cp:lastModifiedBy>
  <cp:revision>2</cp:revision>
  <dcterms:created xsi:type="dcterms:W3CDTF">2024-01-02T16:52:00Z</dcterms:created>
  <dcterms:modified xsi:type="dcterms:W3CDTF">2024-01-02T16:52:00Z</dcterms:modified>
</cp:coreProperties>
</file>