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DA8" w:rsidRPr="00EC4DA8" w:rsidRDefault="00EC4DA8" w:rsidP="00EC4DA8">
      <w:pPr>
        <w:spacing w:after="120" w:line="276" w:lineRule="auto"/>
        <w:jc w:val="center"/>
        <w:rPr>
          <w:b/>
        </w:rPr>
      </w:pPr>
      <w:r w:rsidRPr="00EC4DA8">
        <w:rPr>
          <w:b/>
        </w:rPr>
        <w:t>Introduction</w:t>
      </w:r>
      <w:r>
        <w:rPr>
          <w:b/>
        </w:rPr>
        <w:t xml:space="preserve"> orale </w:t>
      </w:r>
    </w:p>
    <w:p w:rsidR="00EC4DA8" w:rsidRPr="00EC4DA8" w:rsidRDefault="00EC4DA8" w:rsidP="00EC4DA8">
      <w:pPr>
        <w:spacing w:after="120" w:line="276" w:lineRule="auto"/>
        <w:jc w:val="center"/>
        <w:rPr>
          <w:b/>
        </w:rPr>
      </w:pPr>
      <w:r w:rsidRPr="00EC4DA8">
        <w:rPr>
          <w:b/>
        </w:rPr>
        <w:t>Marion Colas-Blaise</w:t>
      </w:r>
    </w:p>
    <w:p w:rsidR="00EC4DA8" w:rsidRPr="00EC4DA8" w:rsidRDefault="00EC4DA8" w:rsidP="00EC4DA8">
      <w:pPr>
        <w:spacing w:after="120" w:line="276" w:lineRule="auto"/>
        <w:jc w:val="center"/>
        <w:rPr>
          <w:b/>
        </w:rPr>
      </w:pPr>
      <w:r w:rsidRPr="00EC4DA8">
        <w:rPr>
          <w:b/>
        </w:rPr>
        <w:t>Colloque « Matérialités du discours rapporté »</w:t>
      </w:r>
    </w:p>
    <w:p w:rsidR="00EC4DA8" w:rsidRPr="00EC4DA8" w:rsidRDefault="00EC4DA8" w:rsidP="00EC4DA8">
      <w:pPr>
        <w:spacing w:after="120" w:line="276" w:lineRule="auto"/>
        <w:jc w:val="center"/>
        <w:rPr>
          <w:b/>
        </w:rPr>
      </w:pPr>
      <w:r w:rsidRPr="00EC4DA8">
        <w:rPr>
          <w:b/>
        </w:rPr>
        <w:t>Luxembourg,</w:t>
      </w:r>
    </w:p>
    <w:p w:rsidR="00C637E6" w:rsidRDefault="00EC4DA8" w:rsidP="00C637E6">
      <w:pPr>
        <w:spacing w:after="120" w:line="276" w:lineRule="auto"/>
        <w:jc w:val="both"/>
      </w:pPr>
      <w:r>
        <w:t xml:space="preserve">Le </w:t>
      </w:r>
      <w:r w:rsidR="002A2445" w:rsidRPr="00C637E6">
        <w:t>présent colloque se propose d’approcher</w:t>
      </w:r>
      <w:r w:rsidR="002A2445">
        <w:t xml:space="preserve"> les modes et les styles de discours rapporté sous l’angle </w:t>
      </w:r>
      <w:r w:rsidR="00C637E6">
        <w:t>des matérialités du</w:t>
      </w:r>
      <w:r w:rsidR="002A2445">
        <w:t xml:space="preserve"> discours. Plus largement, en quoi le choix d</w:t>
      </w:r>
      <w:r w:rsidR="00C637E6">
        <w:t>’un</w:t>
      </w:r>
      <w:r w:rsidR="002A2445">
        <w:t xml:space="preserve"> support</w:t>
      </w:r>
      <w:r w:rsidR="00C637E6">
        <w:t xml:space="preserve">, mais aussi </w:t>
      </w:r>
      <w:r w:rsidR="002A2445">
        <w:t xml:space="preserve">un choix de format (par exemple, dans le cas d’une docufiction sur internet) ou encore de </w:t>
      </w:r>
      <w:proofErr w:type="spellStart"/>
      <w:r w:rsidR="002A2445">
        <w:t>mé</w:t>
      </w:r>
      <w:proofErr w:type="spellEnd"/>
      <w:r w:rsidR="002A2445">
        <w:rPr>
          <w:lang w:val="pt-PT"/>
        </w:rPr>
        <w:t xml:space="preserve">dia ou </w:t>
      </w:r>
      <w:proofErr w:type="spellStart"/>
      <w:r w:rsidR="002A2445">
        <w:rPr>
          <w:lang w:val="pt-PT"/>
        </w:rPr>
        <w:t>transm</w:t>
      </w:r>
      <w:r w:rsidR="002A2445">
        <w:t>édia</w:t>
      </w:r>
      <w:proofErr w:type="spellEnd"/>
      <w:r w:rsidR="002A2445">
        <w:t xml:space="preserve"> comme circuit de diffusion </w:t>
      </w:r>
      <w:r w:rsidR="00606ED7">
        <w:t>dans un environnement social, culturel, économique…  </w:t>
      </w:r>
      <w:r w:rsidR="002A2445">
        <w:t xml:space="preserve"> influencent-</w:t>
      </w:r>
      <w:r w:rsidR="00C637E6">
        <w:t>ils</w:t>
      </w:r>
      <w:r w:rsidR="002A2445">
        <w:t xml:space="preserve"> la pratique de la citation et du discours rapporté (not. Rosier 2008, </w:t>
      </w:r>
      <w:proofErr w:type="spellStart"/>
      <w:r w:rsidR="002A2445">
        <w:t>Authier-Revuz</w:t>
      </w:r>
      <w:proofErr w:type="spellEnd"/>
      <w:r w:rsidR="002A2445">
        <w:t xml:space="preserve"> 2004) au sens large</w:t>
      </w:r>
      <w:r w:rsidR="00C637E6">
        <w:t xml:space="preserve"> ? Cette pratique mérite d’être </w:t>
      </w:r>
      <w:r w:rsidR="002A2445">
        <w:t>abordée tant du point de vue des conditions de production que de réception, en relation avec des valeurs singulières et collectives (par exemple, l’impact sociétal) et des formes de vi</w:t>
      </w:r>
      <w:r w:rsidR="00C637E6">
        <w:t xml:space="preserve">e. </w:t>
      </w:r>
    </w:p>
    <w:p w:rsidR="002A2445" w:rsidRDefault="00C637E6" w:rsidP="002A2445">
      <w:pPr>
        <w:spacing w:after="120" w:line="276" w:lineRule="auto"/>
        <w:jc w:val="both"/>
      </w:pPr>
      <w:r>
        <w:t>D’une part donc, n</w:t>
      </w:r>
      <w:r w:rsidR="002A2445">
        <w:t>ous vis</w:t>
      </w:r>
      <w:r>
        <w:t>er</w:t>
      </w:r>
      <w:r w:rsidR="002A2445">
        <w:t>ons à la fois les supports matériels d’inscription, qui accueillent un apport</w:t>
      </w:r>
      <w:r w:rsidR="00F62E7A">
        <w:t> –</w:t>
      </w:r>
      <w:r w:rsidR="002A2445">
        <w:t xml:space="preserve"> par exemple le papier, la toile dans le cas du tableau, le verre, le carton de la pancarte dans une manifestation, le mur dans le </w:t>
      </w:r>
      <w:proofErr w:type="spellStart"/>
      <w:r w:rsidR="002A2445" w:rsidRPr="002B01B9">
        <w:rPr>
          <w:i/>
          <w:iCs/>
        </w:rPr>
        <w:t>street</w:t>
      </w:r>
      <w:proofErr w:type="spellEnd"/>
      <w:r w:rsidR="002A2445" w:rsidRPr="002B01B9">
        <w:rPr>
          <w:i/>
          <w:iCs/>
        </w:rPr>
        <w:t xml:space="preserve"> art</w:t>
      </w:r>
      <w:r w:rsidR="002A2445">
        <w:t xml:space="preserve">, le sable ou la terre dans le </w:t>
      </w:r>
      <w:r w:rsidR="002A2445">
        <w:rPr>
          <w:i/>
          <w:iCs/>
        </w:rPr>
        <w:t>land-art</w:t>
      </w:r>
      <w:r w:rsidR="002A2445">
        <w:t>, l’étoffe dans le cas d’</w:t>
      </w:r>
      <w:r w:rsidR="002A2445" w:rsidRPr="002B01B9">
        <w:t>un v</w:t>
      </w:r>
      <w:r w:rsidR="002A2445">
        <w:t>êtement ou d’une banderole, la peau dans le cas du tatouage, le marbre dans le cas de la tombe, le stylo et d’autres supports (blocs-notes, sacs, tasses…)</w:t>
      </w:r>
      <w:r w:rsidR="00F62E7A">
        <w:t> </w:t>
      </w:r>
      <w:r w:rsidR="00F62E7A">
        <w:t>–</w:t>
      </w:r>
      <w:r w:rsidR="002A2445">
        <w:t xml:space="preserve"> et les supports</w:t>
      </w:r>
      <w:r w:rsidR="00606ED7">
        <w:t xml:space="preserve"> </w:t>
      </w:r>
      <w:r w:rsidR="00BE409E">
        <w:t xml:space="preserve">formels qui, selon </w:t>
      </w:r>
      <w:r>
        <w:t xml:space="preserve">Jacques </w:t>
      </w:r>
      <w:proofErr w:type="spellStart"/>
      <w:r w:rsidR="00BE409E">
        <w:t>Fontanille</w:t>
      </w:r>
      <w:proofErr w:type="spellEnd"/>
      <w:r w:rsidR="00BE409E">
        <w:t xml:space="preserve"> (2005)</w:t>
      </w:r>
      <w:r>
        <w:t>,</w:t>
      </w:r>
      <w:r w:rsidR="00BE409E">
        <w:t xml:space="preserve"> constituent des structures d’accueil des inscriptions qui correspondent à « l’ensemble des règles topologiques d’orientation, de dimension, de proportion et de segmentation, notamment ». </w:t>
      </w:r>
    </w:p>
    <w:p w:rsidR="002A2445" w:rsidRDefault="00C637E6" w:rsidP="00BE409E">
      <w:pPr>
        <w:pStyle w:val="Corps"/>
        <w:spacing w:after="120" w:line="276" w:lineRule="auto"/>
        <w:jc w:val="both"/>
        <w:rPr>
          <w:rFonts w:ascii="Times New Roman" w:hAnsi="Times New Roman"/>
          <w:lang w:val="pt-PT"/>
        </w:rPr>
      </w:pPr>
      <w:r>
        <w:rPr>
          <w:rFonts w:ascii="Times New Roman" w:eastAsia="Times New Roman" w:hAnsi="Times New Roman" w:cs="Times New Roman"/>
          <w:lang w:val="fr-LU"/>
        </w:rPr>
        <w:t>Mais é</w:t>
      </w:r>
      <w:proofErr w:type="spellStart"/>
      <w:r>
        <w:rPr>
          <w:rFonts w:ascii="Times New Roman" w:eastAsia="Times New Roman" w:hAnsi="Times New Roman" w:cs="Times New Roman"/>
        </w:rPr>
        <w:t>largissons</w:t>
      </w:r>
      <w:proofErr w:type="spellEnd"/>
      <w:r>
        <w:rPr>
          <w:rFonts w:ascii="Times New Roman" w:eastAsia="Times New Roman" w:hAnsi="Times New Roman" w:cs="Times New Roman"/>
        </w:rPr>
        <w:t xml:space="preserve"> encore la perspective : e</w:t>
      </w:r>
      <w:r w:rsidR="002A2445" w:rsidRPr="00B263F8">
        <w:rPr>
          <w:rFonts w:ascii="Times New Roman" w:eastAsia="Times New Roman" w:hAnsi="Times New Roman" w:cs="Times New Roman"/>
        </w:rPr>
        <w:t xml:space="preserve">n quoi le choix d’un média, d’un format et d’un support matériel ou « immatériel » </w:t>
      </w:r>
      <w:r w:rsidR="002A2445">
        <w:rPr>
          <w:rFonts w:ascii="Times New Roman" w:eastAsia="Times New Roman" w:hAnsi="Times New Roman" w:cs="Times New Roman"/>
        </w:rPr>
        <w:t>témoigne-t-il</w:t>
      </w:r>
      <w:r w:rsidR="002A2445" w:rsidRPr="00B263F8">
        <w:rPr>
          <w:rFonts w:ascii="Times New Roman" w:eastAsia="Times New Roman" w:hAnsi="Times New Roman" w:cs="Times New Roman"/>
        </w:rPr>
        <w:t xml:space="preserve"> d’un environnement (spatial, socio-économique, culturel, politique, historique), </w:t>
      </w:r>
      <w:r w:rsidR="002A2445">
        <w:rPr>
          <w:rFonts w:ascii="Times New Roman" w:hAnsi="Times New Roman" w:cs="Times New Roman"/>
        </w:rPr>
        <w:t>d’</w:t>
      </w:r>
      <w:r w:rsidR="002A2445" w:rsidRPr="00B263F8">
        <w:rPr>
          <w:rFonts w:ascii="Times New Roman" w:hAnsi="Times New Roman" w:cs="Times New Roman"/>
        </w:rPr>
        <w:t xml:space="preserve">actes de langage déterminés, </w:t>
      </w:r>
      <w:r w:rsidR="002A2445">
        <w:rPr>
          <w:rFonts w:ascii="Times New Roman" w:hAnsi="Times New Roman" w:cs="Times New Roman"/>
        </w:rPr>
        <w:t>de</w:t>
      </w:r>
      <w:r w:rsidR="002A2445" w:rsidRPr="00B263F8">
        <w:rPr>
          <w:rFonts w:ascii="Times New Roman" w:hAnsi="Times New Roman" w:cs="Times New Roman"/>
        </w:rPr>
        <w:t xml:space="preserve"> choix énonciatifs attestant le dédoublement des situations d’énonciation caractéristique des différents types de discours rapporté ainsi que </w:t>
      </w:r>
      <w:r w:rsidR="002A2445">
        <w:rPr>
          <w:rFonts w:ascii="Times New Roman" w:hAnsi="Times New Roman" w:cs="Times New Roman"/>
        </w:rPr>
        <w:t>de</w:t>
      </w:r>
      <w:r w:rsidR="002A2445" w:rsidRPr="00B263F8">
        <w:rPr>
          <w:rFonts w:ascii="Times New Roman" w:hAnsi="Times New Roman" w:cs="Times New Roman"/>
        </w:rPr>
        <w:t xml:space="preserve"> phénomènes textuels « microscopiques » (des phénomènes de contraction/expansion, des choix lexicaux, des constructions </w:t>
      </w:r>
      <w:proofErr w:type="spellStart"/>
      <w:r w:rsidR="002A2445" w:rsidRPr="00B263F8">
        <w:rPr>
          <w:rFonts w:ascii="Times New Roman" w:hAnsi="Times New Roman" w:cs="Times New Roman"/>
        </w:rPr>
        <w:t>morpho-syntaxiques</w:t>
      </w:r>
      <w:proofErr w:type="spellEnd"/>
      <w:r w:rsidR="002A2445">
        <w:rPr>
          <w:rFonts w:ascii="Times New Roman" w:hAnsi="Times New Roman" w:cs="Times New Roman"/>
        </w:rPr>
        <w:t xml:space="preserve">, </w:t>
      </w:r>
      <w:r w:rsidR="002A2445" w:rsidRPr="00B263F8">
        <w:rPr>
          <w:rFonts w:ascii="Times New Roman" w:hAnsi="Times New Roman" w:cs="Times New Roman"/>
        </w:rPr>
        <w:t>telles que l’</w:t>
      </w:r>
      <w:proofErr w:type="spellStart"/>
      <w:r w:rsidR="002A2445" w:rsidRPr="00B263F8">
        <w:rPr>
          <w:rFonts w:ascii="Times New Roman" w:hAnsi="Times New Roman" w:cs="Times New Roman"/>
        </w:rPr>
        <w:t>aphorisation</w:t>
      </w:r>
      <w:proofErr w:type="spellEnd"/>
      <w:r w:rsidR="002A2445" w:rsidRPr="00B263F8">
        <w:rPr>
          <w:rFonts w:ascii="Times New Roman" w:hAnsi="Times New Roman" w:cs="Times New Roman"/>
        </w:rPr>
        <w:t xml:space="preserve">, le figement, la nominalisation, la passivation, la </w:t>
      </w:r>
      <w:proofErr w:type="spellStart"/>
      <w:r w:rsidR="002A2445" w:rsidRPr="00B263F8">
        <w:rPr>
          <w:rFonts w:ascii="Times New Roman" w:hAnsi="Times New Roman" w:cs="Times New Roman"/>
        </w:rPr>
        <w:t>désénonciation</w:t>
      </w:r>
      <w:proofErr w:type="spellEnd"/>
      <w:r w:rsidR="002A2445">
        <w:rPr>
          <w:rFonts w:ascii="Times New Roman" w:hAnsi="Times New Roman"/>
        </w:rPr>
        <w:t>, l’anonymisation de la source, l’</w:t>
      </w:r>
      <w:proofErr w:type="spellStart"/>
      <w:r w:rsidR="002A2445">
        <w:rPr>
          <w:rFonts w:ascii="Times New Roman" w:hAnsi="Times New Roman"/>
        </w:rPr>
        <w:t>impersonnalisation</w:t>
      </w:r>
      <w:proofErr w:type="spellEnd"/>
      <w:r w:rsidR="002A2445">
        <w:rPr>
          <w:rFonts w:ascii="Times New Roman" w:hAnsi="Times New Roman"/>
        </w:rPr>
        <w:t xml:space="preserve">…) ? Une attention </w:t>
      </w:r>
      <w:proofErr w:type="spellStart"/>
      <w:r w:rsidR="002A2445">
        <w:rPr>
          <w:rFonts w:ascii="Times New Roman" w:hAnsi="Times New Roman"/>
        </w:rPr>
        <w:t>particuliè</w:t>
      </w:r>
      <w:proofErr w:type="spellEnd"/>
      <w:r w:rsidR="002A2445">
        <w:rPr>
          <w:rFonts w:ascii="Times New Roman" w:hAnsi="Times New Roman"/>
          <w:lang w:val="it-IT"/>
        </w:rPr>
        <w:t xml:space="preserve">re sera </w:t>
      </w:r>
      <w:proofErr w:type="spellStart"/>
      <w:r w:rsidR="002A2445">
        <w:rPr>
          <w:rFonts w:ascii="Times New Roman" w:hAnsi="Times New Roman"/>
          <w:lang w:val="it-IT"/>
        </w:rPr>
        <w:t>attach</w:t>
      </w:r>
      <w:r w:rsidR="002A2445">
        <w:rPr>
          <w:rFonts w:ascii="Times New Roman" w:hAnsi="Times New Roman"/>
        </w:rPr>
        <w:t>ée</w:t>
      </w:r>
      <w:proofErr w:type="spellEnd"/>
      <w:r w:rsidR="002A2445">
        <w:rPr>
          <w:rFonts w:ascii="Times New Roman" w:hAnsi="Times New Roman"/>
        </w:rPr>
        <w:t xml:space="preserve"> aux éléments plastiques du plan de l’expression, entendus comme des éléments visuels (taille des caractères, police, couleur, traces laissées par les instruments ou prothèses de la main (pinceau, stylo, burin…</w:t>
      </w:r>
      <w:r w:rsidR="002A2445">
        <w:rPr>
          <w:rFonts w:ascii="Times New Roman" w:hAnsi="Times New Roman"/>
          <w:lang w:val="pt-PT"/>
        </w:rPr>
        <w:t>)).</w:t>
      </w:r>
    </w:p>
    <w:p w:rsidR="00BE409E" w:rsidRDefault="00606ED7" w:rsidP="00BE409E">
      <w:pPr>
        <w:pStyle w:val="Corps"/>
        <w:spacing w:after="120" w:line="276" w:lineRule="auto"/>
        <w:jc w:val="both"/>
        <w:rPr>
          <w:rFonts w:ascii="Times New Roman" w:hAnsi="Times New Roman"/>
          <w:lang w:val="pt-PT"/>
        </w:rPr>
      </w:pPr>
      <w:proofErr w:type="spellStart"/>
      <w:r>
        <w:rPr>
          <w:rFonts w:ascii="Times New Roman" w:hAnsi="Times New Roman"/>
          <w:lang w:val="pt-PT"/>
        </w:rPr>
        <w:t>Les</w:t>
      </w:r>
      <w:proofErr w:type="spellEnd"/>
      <w:r>
        <w:rPr>
          <w:rFonts w:ascii="Times New Roman" w:hAnsi="Times New Roman"/>
          <w:lang w:val="pt-PT"/>
        </w:rPr>
        <w:t xml:space="preserve"> </w:t>
      </w:r>
      <w:proofErr w:type="spellStart"/>
      <w:r>
        <w:rPr>
          <w:rFonts w:ascii="Times New Roman" w:hAnsi="Times New Roman"/>
          <w:lang w:val="pt-PT"/>
        </w:rPr>
        <w:t>conférences</w:t>
      </w:r>
      <w:proofErr w:type="spellEnd"/>
      <w:r>
        <w:rPr>
          <w:rFonts w:ascii="Times New Roman" w:hAnsi="Times New Roman"/>
          <w:lang w:val="pt-PT"/>
        </w:rPr>
        <w:t xml:space="preserve"> </w:t>
      </w:r>
      <w:proofErr w:type="spellStart"/>
      <w:r>
        <w:rPr>
          <w:rFonts w:ascii="Times New Roman" w:hAnsi="Times New Roman"/>
          <w:lang w:val="pt-PT"/>
        </w:rPr>
        <w:t>mettront</w:t>
      </w:r>
      <w:proofErr w:type="spellEnd"/>
      <w:r>
        <w:rPr>
          <w:rFonts w:ascii="Times New Roman" w:hAnsi="Times New Roman"/>
          <w:lang w:val="pt-PT"/>
        </w:rPr>
        <w:t xml:space="preserve"> </w:t>
      </w:r>
      <w:proofErr w:type="spellStart"/>
      <w:r w:rsidR="00AC6D01">
        <w:rPr>
          <w:rFonts w:ascii="Times New Roman" w:hAnsi="Times New Roman"/>
          <w:lang w:val="pt-PT"/>
        </w:rPr>
        <w:t>ainsi</w:t>
      </w:r>
      <w:proofErr w:type="spellEnd"/>
      <w:r w:rsidR="00AC6D01">
        <w:rPr>
          <w:rFonts w:ascii="Times New Roman" w:hAnsi="Times New Roman"/>
          <w:lang w:val="pt-PT"/>
        </w:rPr>
        <w:t xml:space="preserve"> </w:t>
      </w:r>
      <w:proofErr w:type="spellStart"/>
      <w:r>
        <w:rPr>
          <w:rFonts w:ascii="Times New Roman" w:hAnsi="Times New Roman"/>
          <w:lang w:val="pt-PT"/>
        </w:rPr>
        <w:t>l’accent</w:t>
      </w:r>
      <w:proofErr w:type="spellEnd"/>
      <w:r>
        <w:rPr>
          <w:rFonts w:ascii="Times New Roman" w:hAnsi="Times New Roman"/>
          <w:lang w:val="pt-PT"/>
        </w:rPr>
        <w:t xml:space="preserve"> </w:t>
      </w:r>
      <w:proofErr w:type="spellStart"/>
      <w:r>
        <w:rPr>
          <w:rFonts w:ascii="Times New Roman" w:hAnsi="Times New Roman"/>
          <w:lang w:val="pt-PT"/>
        </w:rPr>
        <w:t>sur</w:t>
      </w:r>
      <w:proofErr w:type="spellEnd"/>
      <w:r>
        <w:rPr>
          <w:rFonts w:ascii="Times New Roman" w:hAnsi="Times New Roman"/>
          <w:lang w:val="pt-PT"/>
        </w:rPr>
        <w:t xml:space="preserve"> </w:t>
      </w:r>
      <w:r w:rsidR="00BE409E">
        <w:rPr>
          <w:rFonts w:ascii="Times New Roman" w:hAnsi="Times New Roman"/>
          <w:lang w:val="pt-PT"/>
        </w:rPr>
        <w:t xml:space="preserve">la </w:t>
      </w:r>
      <w:proofErr w:type="spellStart"/>
      <w:r w:rsidR="00BE409E">
        <w:rPr>
          <w:rFonts w:ascii="Times New Roman" w:hAnsi="Times New Roman"/>
          <w:lang w:val="pt-PT"/>
        </w:rPr>
        <w:t>matérialité</w:t>
      </w:r>
      <w:proofErr w:type="spellEnd"/>
      <w:r w:rsidR="00BE409E">
        <w:rPr>
          <w:rFonts w:ascii="Times New Roman" w:hAnsi="Times New Roman"/>
          <w:lang w:val="pt-PT"/>
        </w:rPr>
        <w:t xml:space="preserve"> de </w:t>
      </w:r>
      <w:proofErr w:type="spellStart"/>
      <w:r w:rsidR="00BE409E">
        <w:rPr>
          <w:rFonts w:ascii="Times New Roman" w:hAnsi="Times New Roman"/>
          <w:lang w:val="pt-PT"/>
        </w:rPr>
        <w:t>l’écrit</w:t>
      </w:r>
      <w:proofErr w:type="spellEnd"/>
      <w:r w:rsidR="00BE409E">
        <w:rPr>
          <w:rFonts w:ascii="Times New Roman" w:hAnsi="Times New Roman"/>
          <w:lang w:val="pt-PT"/>
        </w:rPr>
        <w:t xml:space="preserve"> </w:t>
      </w:r>
      <w:proofErr w:type="spellStart"/>
      <w:r w:rsidR="00BE409E">
        <w:rPr>
          <w:rFonts w:ascii="Times New Roman" w:hAnsi="Times New Roman"/>
          <w:lang w:val="pt-PT"/>
        </w:rPr>
        <w:t>et</w:t>
      </w:r>
      <w:proofErr w:type="spellEnd"/>
      <w:r w:rsidR="00BE409E">
        <w:rPr>
          <w:rFonts w:ascii="Times New Roman" w:hAnsi="Times New Roman"/>
          <w:lang w:val="pt-PT"/>
        </w:rPr>
        <w:t xml:space="preserve"> de </w:t>
      </w:r>
      <w:proofErr w:type="spellStart"/>
      <w:r w:rsidR="00BE409E">
        <w:rPr>
          <w:rFonts w:ascii="Times New Roman" w:hAnsi="Times New Roman"/>
          <w:lang w:val="pt-PT"/>
        </w:rPr>
        <w:t>l’écriture</w:t>
      </w:r>
      <w:proofErr w:type="spellEnd"/>
      <w:r w:rsidR="00BE409E">
        <w:rPr>
          <w:rFonts w:ascii="Times New Roman" w:hAnsi="Times New Roman"/>
          <w:lang w:val="pt-PT"/>
        </w:rPr>
        <w:t xml:space="preserve">, </w:t>
      </w:r>
      <w:proofErr w:type="spellStart"/>
      <w:r w:rsidR="00BE409E">
        <w:rPr>
          <w:rFonts w:ascii="Times New Roman" w:hAnsi="Times New Roman"/>
          <w:lang w:val="pt-PT"/>
        </w:rPr>
        <w:t>sur</w:t>
      </w:r>
      <w:proofErr w:type="spellEnd"/>
      <w:r w:rsidR="00BE409E">
        <w:rPr>
          <w:rFonts w:ascii="Times New Roman" w:hAnsi="Times New Roman"/>
          <w:lang w:val="pt-PT"/>
        </w:rPr>
        <w:t xml:space="preserve"> </w:t>
      </w:r>
      <w:proofErr w:type="spellStart"/>
      <w:r w:rsidR="00BE409E">
        <w:rPr>
          <w:rFonts w:ascii="Times New Roman" w:hAnsi="Times New Roman"/>
          <w:lang w:val="pt-PT"/>
        </w:rPr>
        <w:t>les</w:t>
      </w:r>
      <w:proofErr w:type="spellEnd"/>
      <w:r w:rsidR="00BE409E">
        <w:rPr>
          <w:rFonts w:ascii="Times New Roman" w:hAnsi="Times New Roman"/>
          <w:lang w:val="pt-PT"/>
        </w:rPr>
        <w:t xml:space="preserve"> </w:t>
      </w:r>
      <w:proofErr w:type="spellStart"/>
      <w:r w:rsidR="00BE409E">
        <w:rPr>
          <w:rFonts w:ascii="Times New Roman" w:hAnsi="Times New Roman"/>
          <w:lang w:val="pt-PT"/>
        </w:rPr>
        <w:t>matérialités</w:t>
      </w:r>
      <w:proofErr w:type="spellEnd"/>
      <w:r w:rsidR="00BE409E">
        <w:rPr>
          <w:rFonts w:ascii="Times New Roman" w:hAnsi="Times New Roman"/>
          <w:lang w:val="pt-PT"/>
        </w:rPr>
        <w:t xml:space="preserve"> </w:t>
      </w:r>
      <w:proofErr w:type="spellStart"/>
      <w:r w:rsidR="00BE409E">
        <w:rPr>
          <w:rFonts w:ascii="Times New Roman" w:hAnsi="Times New Roman"/>
          <w:lang w:val="pt-PT"/>
        </w:rPr>
        <w:t>discursives</w:t>
      </w:r>
      <w:proofErr w:type="spellEnd"/>
      <w:r w:rsidR="00BE409E">
        <w:rPr>
          <w:rFonts w:ascii="Times New Roman" w:hAnsi="Times New Roman"/>
          <w:lang w:val="pt-PT"/>
        </w:rPr>
        <w:t xml:space="preserve"> </w:t>
      </w:r>
      <w:proofErr w:type="spellStart"/>
      <w:r w:rsidR="00BE409E">
        <w:rPr>
          <w:rFonts w:ascii="Times New Roman" w:hAnsi="Times New Roman"/>
          <w:lang w:val="pt-PT"/>
        </w:rPr>
        <w:t>approchées</w:t>
      </w:r>
      <w:proofErr w:type="spellEnd"/>
      <w:r w:rsidR="00BE409E">
        <w:rPr>
          <w:rFonts w:ascii="Times New Roman" w:hAnsi="Times New Roman"/>
          <w:lang w:val="pt-PT"/>
        </w:rPr>
        <w:t xml:space="preserve"> </w:t>
      </w:r>
      <w:proofErr w:type="spellStart"/>
      <w:r w:rsidR="00BE409E">
        <w:rPr>
          <w:rFonts w:ascii="Times New Roman" w:hAnsi="Times New Roman"/>
          <w:lang w:val="pt-PT"/>
        </w:rPr>
        <w:t>sous</w:t>
      </w:r>
      <w:proofErr w:type="spellEnd"/>
      <w:r w:rsidR="00BE409E">
        <w:rPr>
          <w:rFonts w:ascii="Times New Roman" w:hAnsi="Times New Roman"/>
          <w:lang w:val="pt-PT"/>
        </w:rPr>
        <w:t xml:space="preserve"> </w:t>
      </w:r>
      <w:proofErr w:type="spellStart"/>
      <w:r w:rsidR="00BE409E">
        <w:rPr>
          <w:rFonts w:ascii="Times New Roman" w:hAnsi="Times New Roman"/>
          <w:lang w:val="pt-PT"/>
        </w:rPr>
        <w:t>l’angle</w:t>
      </w:r>
      <w:proofErr w:type="spellEnd"/>
      <w:r w:rsidR="00BE409E">
        <w:rPr>
          <w:rFonts w:ascii="Times New Roman" w:hAnsi="Times New Roman"/>
          <w:lang w:val="pt-PT"/>
        </w:rPr>
        <w:t xml:space="preserve"> </w:t>
      </w:r>
      <w:proofErr w:type="spellStart"/>
      <w:r w:rsidR="00BE409E">
        <w:rPr>
          <w:rFonts w:ascii="Times New Roman" w:hAnsi="Times New Roman"/>
          <w:lang w:val="pt-PT"/>
        </w:rPr>
        <w:t>des</w:t>
      </w:r>
      <w:proofErr w:type="spellEnd"/>
      <w:r w:rsidR="00BE409E">
        <w:rPr>
          <w:rFonts w:ascii="Times New Roman" w:hAnsi="Times New Roman"/>
          <w:lang w:val="pt-PT"/>
        </w:rPr>
        <w:t xml:space="preserve"> </w:t>
      </w:r>
      <w:proofErr w:type="spellStart"/>
      <w:r w:rsidR="00BE409E">
        <w:rPr>
          <w:rFonts w:ascii="Times New Roman" w:hAnsi="Times New Roman"/>
          <w:lang w:val="pt-PT"/>
        </w:rPr>
        <w:t>genres</w:t>
      </w:r>
      <w:proofErr w:type="spellEnd"/>
      <w:r w:rsidR="00BE409E">
        <w:rPr>
          <w:rFonts w:ascii="Times New Roman" w:hAnsi="Times New Roman"/>
          <w:lang w:val="pt-PT"/>
        </w:rPr>
        <w:t xml:space="preserve">, </w:t>
      </w:r>
      <w:proofErr w:type="spellStart"/>
      <w:r w:rsidR="00BE409E">
        <w:rPr>
          <w:rFonts w:ascii="Times New Roman" w:hAnsi="Times New Roman"/>
          <w:lang w:val="pt-PT"/>
        </w:rPr>
        <w:t>des</w:t>
      </w:r>
      <w:proofErr w:type="spellEnd"/>
      <w:r w:rsidR="00BE409E">
        <w:rPr>
          <w:rFonts w:ascii="Times New Roman" w:hAnsi="Times New Roman"/>
          <w:lang w:val="pt-PT"/>
        </w:rPr>
        <w:t xml:space="preserve"> </w:t>
      </w:r>
      <w:proofErr w:type="spellStart"/>
      <w:r w:rsidR="00BE409E">
        <w:rPr>
          <w:rFonts w:ascii="Times New Roman" w:hAnsi="Times New Roman"/>
          <w:lang w:val="pt-PT"/>
        </w:rPr>
        <w:t>formats</w:t>
      </w:r>
      <w:proofErr w:type="spellEnd"/>
      <w:r w:rsidR="00BE409E">
        <w:rPr>
          <w:rFonts w:ascii="Times New Roman" w:hAnsi="Times New Roman"/>
          <w:lang w:val="pt-PT"/>
        </w:rPr>
        <w:t xml:space="preserve"> </w:t>
      </w:r>
      <w:proofErr w:type="spellStart"/>
      <w:r w:rsidR="00BE409E">
        <w:rPr>
          <w:rFonts w:ascii="Times New Roman" w:hAnsi="Times New Roman"/>
          <w:lang w:val="pt-PT"/>
        </w:rPr>
        <w:t>et</w:t>
      </w:r>
      <w:proofErr w:type="spellEnd"/>
      <w:r w:rsidR="00BE409E">
        <w:rPr>
          <w:rFonts w:ascii="Times New Roman" w:hAnsi="Times New Roman"/>
          <w:lang w:val="pt-PT"/>
        </w:rPr>
        <w:t xml:space="preserve"> </w:t>
      </w:r>
      <w:proofErr w:type="spellStart"/>
      <w:r w:rsidR="00BE409E">
        <w:rPr>
          <w:rFonts w:ascii="Times New Roman" w:hAnsi="Times New Roman"/>
          <w:lang w:val="pt-PT"/>
        </w:rPr>
        <w:t>des</w:t>
      </w:r>
      <w:proofErr w:type="spellEnd"/>
      <w:r w:rsidR="00BE409E">
        <w:rPr>
          <w:rFonts w:ascii="Times New Roman" w:hAnsi="Times New Roman"/>
          <w:lang w:val="pt-PT"/>
        </w:rPr>
        <w:t xml:space="preserve"> </w:t>
      </w:r>
      <w:proofErr w:type="spellStart"/>
      <w:r w:rsidR="00BE409E">
        <w:rPr>
          <w:rFonts w:ascii="Times New Roman" w:hAnsi="Times New Roman"/>
          <w:lang w:val="pt-PT"/>
        </w:rPr>
        <w:t>médiums</w:t>
      </w:r>
      <w:proofErr w:type="spellEnd"/>
      <w:r w:rsidR="00C637E6">
        <w:rPr>
          <w:rFonts w:ascii="Times New Roman" w:hAnsi="Times New Roman"/>
          <w:lang w:val="pt-PT"/>
        </w:rPr>
        <w:t xml:space="preserve"> ou </w:t>
      </w:r>
      <w:proofErr w:type="spellStart"/>
      <w:r w:rsidR="00C637E6">
        <w:rPr>
          <w:rFonts w:ascii="Times New Roman" w:hAnsi="Times New Roman"/>
          <w:lang w:val="pt-PT"/>
        </w:rPr>
        <w:t>supports</w:t>
      </w:r>
      <w:proofErr w:type="spellEnd"/>
      <w:r w:rsidR="00BE409E">
        <w:rPr>
          <w:rFonts w:ascii="Times New Roman" w:hAnsi="Times New Roman"/>
          <w:lang w:val="pt-PT"/>
        </w:rPr>
        <w:t xml:space="preserve">. </w:t>
      </w:r>
      <w:proofErr w:type="spellStart"/>
      <w:r w:rsidR="00BE409E">
        <w:rPr>
          <w:rFonts w:ascii="Times New Roman" w:hAnsi="Times New Roman"/>
          <w:lang w:val="pt-PT"/>
        </w:rPr>
        <w:t>Seront</w:t>
      </w:r>
      <w:proofErr w:type="spellEnd"/>
      <w:r w:rsidR="00BE409E">
        <w:rPr>
          <w:rFonts w:ascii="Times New Roman" w:hAnsi="Times New Roman"/>
          <w:lang w:val="pt-PT"/>
        </w:rPr>
        <w:t xml:space="preserve"> </w:t>
      </w:r>
      <w:proofErr w:type="spellStart"/>
      <w:r w:rsidR="00BE409E">
        <w:rPr>
          <w:rFonts w:ascii="Times New Roman" w:hAnsi="Times New Roman"/>
          <w:lang w:val="pt-PT"/>
        </w:rPr>
        <w:t>considérés</w:t>
      </w:r>
      <w:proofErr w:type="spellEnd"/>
      <w:r w:rsidR="00BE409E">
        <w:rPr>
          <w:rFonts w:ascii="Times New Roman" w:hAnsi="Times New Roman"/>
          <w:lang w:val="pt-PT"/>
        </w:rPr>
        <w:t xml:space="preserve"> </w:t>
      </w:r>
      <w:proofErr w:type="spellStart"/>
      <w:r w:rsidR="00BE409E">
        <w:rPr>
          <w:rFonts w:ascii="Times New Roman" w:hAnsi="Times New Roman"/>
          <w:lang w:val="pt-PT"/>
        </w:rPr>
        <w:t>avec</w:t>
      </w:r>
      <w:proofErr w:type="spellEnd"/>
      <w:r w:rsidR="00BE409E">
        <w:rPr>
          <w:rFonts w:ascii="Times New Roman" w:hAnsi="Times New Roman"/>
          <w:lang w:val="pt-PT"/>
        </w:rPr>
        <w:t xml:space="preserve"> une </w:t>
      </w:r>
      <w:proofErr w:type="spellStart"/>
      <w:r w:rsidR="00BE409E">
        <w:rPr>
          <w:rFonts w:ascii="Times New Roman" w:hAnsi="Times New Roman"/>
          <w:lang w:val="pt-PT"/>
        </w:rPr>
        <w:t>attention</w:t>
      </w:r>
      <w:proofErr w:type="spellEnd"/>
      <w:r w:rsidR="00BE409E">
        <w:rPr>
          <w:rFonts w:ascii="Times New Roman" w:hAnsi="Times New Roman"/>
          <w:lang w:val="pt-PT"/>
        </w:rPr>
        <w:t xml:space="preserve"> </w:t>
      </w:r>
      <w:proofErr w:type="spellStart"/>
      <w:r w:rsidR="00BE409E">
        <w:rPr>
          <w:rFonts w:ascii="Times New Roman" w:hAnsi="Times New Roman"/>
          <w:lang w:val="pt-PT"/>
        </w:rPr>
        <w:t>particulière</w:t>
      </w:r>
      <w:proofErr w:type="spellEnd"/>
      <w:r w:rsidR="00BE409E">
        <w:rPr>
          <w:rFonts w:ascii="Times New Roman" w:hAnsi="Times New Roman"/>
          <w:lang w:val="pt-PT"/>
        </w:rPr>
        <w:t xml:space="preserve"> </w:t>
      </w:r>
      <w:proofErr w:type="spellStart"/>
      <w:r w:rsidR="00BE409E">
        <w:rPr>
          <w:rFonts w:ascii="Times New Roman" w:hAnsi="Times New Roman"/>
          <w:lang w:val="pt-PT"/>
        </w:rPr>
        <w:t>les</w:t>
      </w:r>
      <w:proofErr w:type="spellEnd"/>
      <w:r w:rsidR="00BE409E">
        <w:rPr>
          <w:rFonts w:ascii="Times New Roman" w:hAnsi="Times New Roman"/>
          <w:lang w:val="pt-PT"/>
        </w:rPr>
        <w:t xml:space="preserve"> </w:t>
      </w:r>
      <w:proofErr w:type="spellStart"/>
      <w:r w:rsidR="00BE409E">
        <w:rPr>
          <w:rFonts w:ascii="Times New Roman" w:hAnsi="Times New Roman"/>
          <w:lang w:val="pt-PT"/>
        </w:rPr>
        <w:t>discours</w:t>
      </w:r>
      <w:proofErr w:type="spellEnd"/>
      <w:r w:rsidR="00BE409E">
        <w:rPr>
          <w:rFonts w:ascii="Times New Roman" w:hAnsi="Times New Roman"/>
          <w:lang w:val="pt-PT"/>
        </w:rPr>
        <w:t xml:space="preserve"> </w:t>
      </w:r>
      <w:proofErr w:type="spellStart"/>
      <w:r w:rsidR="00BE409E">
        <w:rPr>
          <w:rFonts w:ascii="Times New Roman" w:hAnsi="Times New Roman"/>
          <w:lang w:val="pt-PT"/>
        </w:rPr>
        <w:t>numériques</w:t>
      </w:r>
      <w:proofErr w:type="spellEnd"/>
      <w:r w:rsidR="00BE409E">
        <w:rPr>
          <w:rFonts w:ascii="Times New Roman" w:hAnsi="Times New Roman"/>
          <w:lang w:val="pt-PT"/>
        </w:rPr>
        <w:t xml:space="preserve">, </w:t>
      </w:r>
      <w:proofErr w:type="spellStart"/>
      <w:r w:rsidR="00BE409E">
        <w:rPr>
          <w:rFonts w:ascii="Times New Roman" w:hAnsi="Times New Roman"/>
          <w:lang w:val="pt-PT"/>
        </w:rPr>
        <w:t>les</w:t>
      </w:r>
      <w:proofErr w:type="spellEnd"/>
      <w:r w:rsidR="00BE409E">
        <w:rPr>
          <w:rFonts w:ascii="Times New Roman" w:hAnsi="Times New Roman"/>
          <w:lang w:val="pt-PT"/>
        </w:rPr>
        <w:t xml:space="preserve"> </w:t>
      </w:r>
      <w:proofErr w:type="spellStart"/>
      <w:r w:rsidR="00BE409E">
        <w:rPr>
          <w:rFonts w:ascii="Times New Roman" w:hAnsi="Times New Roman"/>
          <w:lang w:val="pt-PT"/>
        </w:rPr>
        <w:t>stratégies</w:t>
      </w:r>
      <w:proofErr w:type="spellEnd"/>
      <w:r w:rsidR="00BE409E">
        <w:rPr>
          <w:rFonts w:ascii="Times New Roman" w:hAnsi="Times New Roman"/>
          <w:lang w:val="pt-PT"/>
        </w:rPr>
        <w:t xml:space="preserve"> </w:t>
      </w:r>
      <w:proofErr w:type="spellStart"/>
      <w:r w:rsidR="00BE409E">
        <w:rPr>
          <w:rFonts w:ascii="Times New Roman" w:hAnsi="Times New Roman"/>
          <w:lang w:val="pt-PT"/>
        </w:rPr>
        <w:t>communicationnelles</w:t>
      </w:r>
      <w:proofErr w:type="spellEnd"/>
      <w:r w:rsidR="00BE409E">
        <w:rPr>
          <w:rFonts w:ascii="Times New Roman" w:hAnsi="Times New Roman"/>
          <w:lang w:val="pt-PT"/>
        </w:rPr>
        <w:t xml:space="preserve"> </w:t>
      </w:r>
      <w:proofErr w:type="spellStart"/>
      <w:r w:rsidR="00BE409E">
        <w:rPr>
          <w:rFonts w:ascii="Times New Roman" w:hAnsi="Times New Roman"/>
          <w:lang w:val="pt-PT"/>
        </w:rPr>
        <w:t>ainsi</w:t>
      </w:r>
      <w:proofErr w:type="spellEnd"/>
      <w:r w:rsidR="00BE409E">
        <w:rPr>
          <w:rFonts w:ascii="Times New Roman" w:hAnsi="Times New Roman"/>
          <w:lang w:val="pt-PT"/>
        </w:rPr>
        <w:t xml:space="preserve"> que </w:t>
      </w:r>
      <w:proofErr w:type="spellStart"/>
      <w:r w:rsidR="00BE409E">
        <w:rPr>
          <w:rFonts w:ascii="Times New Roman" w:hAnsi="Times New Roman"/>
          <w:lang w:val="pt-PT"/>
        </w:rPr>
        <w:t>le</w:t>
      </w:r>
      <w:proofErr w:type="spellEnd"/>
      <w:r w:rsidR="00BE409E">
        <w:rPr>
          <w:rFonts w:ascii="Times New Roman" w:hAnsi="Times New Roman"/>
          <w:lang w:val="pt-PT"/>
        </w:rPr>
        <w:t xml:space="preserve"> </w:t>
      </w:r>
      <w:proofErr w:type="spellStart"/>
      <w:r w:rsidR="00BE409E">
        <w:rPr>
          <w:rFonts w:ascii="Times New Roman" w:hAnsi="Times New Roman"/>
          <w:lang w:val="pt-PT"/>
        </w:rPr>
        <w:t>phénomène</w:t>
      </w:r>
      <w:proofErr w:type="spellEnd"/>
      <w:r w:rsidR="00BE409E">
        <w:rPr>
          <w:rFonts w:ascii="Times New Roman" w:hAnsi="Times New Roman"/>
          <w:lang w:val="pt-PT"/>
        </w:rPr>
        <w:t xml:space="preserve"> de </w:t>
      </w:r>
      <w:proofErr w:type="spellStart"/>
      <w:r w:rsidR="00BE409E">
        <w:rPr>
          <w:rFonts w:ascii="Times New Roman" w:hAnsi="Times New Roman"/>
          <w:lang w:val="pt-PT"/>
        </w:rPr>
        <w:t>l’adaptation</w:t>
      </w:r>
      <w:proofErr w:type="spellEnd"/>
      <w:r w:rsidR="00BE409E">
        <w:rPr>
          <w:rFonts w:ascii="Times New Roman" w:hAnsi="Times New Roman"/>
          <w:lang w:val="pt-PT"/>
        </w:rPr>
        <w:t xml:space="preserve"> </w:t>
      </w:r>
      <w:proofErr w:type="spellStart"/>
      <w:r w:rsidR="00BE409E">
        <w:rPr>
          <w:rFonts w:ascii="Times New Roman" w:hAnsi="Times New Roman"/>
          <w:lang w:val="pt-PT"/>
        </w:rPr>
        <w:t>en</w:t>
      </w:r>
      <w:proofErr w:type="spellEnd"/>
      <w:r w:rsidR="00BE409E">
        <w:rPr>
          <w:rFonts w:ascii="Times New Roman" w:hAnsi="Times New Roman"/>
          <w:lang w:val="pt-PT"/>
        </w:rPr>
        <w:t xml:space="preserve"> </w:t>
      </w:r>
      <w:proofErr w:type="spellStart"/>
      <w:r w:rsidR="00BE409E">
        <w:rPr>
          <w:rFonts w:ascii="Times New Roman" w:hAnsi="Times New Roman"/>
          <w:lang w:val="pt-PT"/>
        </w:rPr>
        <w:t>relation</w:t>
      </w:r>
      <w:proofErr w:type="spellEnd"/>
      <w:r w:rsidR="00BE409E">
        <w:rPr>
          <w:rFonts w:ascii="Times New Roman" w:hAnsi="Times New Roman"/>
          <w:lang w:val="pt-PT"/>
        </w:rPr>
        <w:t xml:space="preserve"> </w:t>
      </w:r>
      <w:proofErr w:type="spellStart"/>
      <w:r w:rsidR="00BE409E">
        <w:rPr>
          <w:rFonts w:ascii="Times New Roman" w:hAnsi="Times New Roman"/>
          <w:lang w:val="pt-PT"/>
        </w:rPr>
        <w:t>avec</w:t>
      </w:r>
      <w:proofErr w:type="spellEnd"/>
      <w:r w:rsidR="00BE409E">
        <w:rPr>
          <w:rFonts w:ascii="Times New Roman" w:hAnsi="Times New Roman"/>
          <w:lang w:val="pt-PT"/>
        </w:rPr>
        <w:t xml:space="preserve"> </w:t>
      </w:r>
      <w:proofErr w:type="spellStart"/>
      <w:r w:rsidR="00BE409E">
        <w:rPr>
          <w:rFonts w:ascii="Times New Roman" w:hAnsi="Times New Roman"/>
          <w:lang w:val="pt-PT"/>
        </w:rPr>
        <w:t>des</w:t>
      </w:r>
      <w:proofErr w:type="spellEnd"/>
      <w:r w:rsidR="00BE409E">
        <w:rPr>
          <w:rFonts w:ascii="Times New Roman" w:hAnsi="Times New Roman"/>
          <w:lang w:val="pt-PT"/>
        </w:rPr>
        <w:t xml:space="preserve"> </w:t>
      </w:r>
      <w:proofErr w:type="spellStart"/>
      <w:r w:rsidR="00BE409E">
        <w:rPr>
          <w:rFonts w:ascii="Times New Roman" w:hAnsi="Times New Roman"/>
          <w:lang w:val="pt-PT"/>
        </w:rPr>
        <w:t>questions</w:t>
      </w:r>
      <w:proofErr w:type="spellEnd"/>
      <w:r w:rsidR="00BE409E">
        <w:rPr>
          <w:rFonts w:ascii="Times New Roman" w:hAnsi="Times New Roman"/>
          <w:lang w:val="pt-PT"/>
        </w:rPr>
        <w:t xml:space="preserve"> </w:t>
      </w:r>
      <w:proofErr w:type="spellStart"/>
      <w:r w:rsidR="00BE409E">
        <w:rPr>
          <w:rFonts w:ascii="Times New Roman" w:hAnsi="Times New Roman"/>
          <w:lang w:val="pt-PT"/>
        </w:rPr>
        <w:t>touchant</w:t>
      </w:r>
      <w:proofErr w:type="spellEnd"/>
      <w:r w:rsidR="00BE409E">
        <w:rPr>
          <w:rFonts w:ascii="Times New Roman" w:hAnsi="Times New Roman"/>
          <w:lang w:val="pt-PT"/>
        </w:rPr>
        <w:t xml:space="preserve"> à </w:t>
      </w:r>
      <w:proofErr w:type="spellStart"/>
      <w:r w:rsidR="00BE409E">
        <w:rPr>
          <w:rFonts w:ascii="Times New Roman" w:hAnsi="Times New Roman"/>
          <w:lang w:val="pt-PT"/>
        </w:rPr>
        <w:t>l’intermédialité</w:t>
      </w:r>
      <w:proofErr w:type="spellEnd"/>
      <w:r w:rsidR="00BE409E">
        <w:rPr>
          <w:rFonts w:ascii="Times New Roman" w:hAnsi="Times New Roman"/>
          <w:lang w:val="pt-PT"/>
        </w:rPr>
        <w:t xml:space="preserve">.  </w:t>
      </w:r>
    </w:p>
    <w:p w:rsidR="00E35E3D" w:rsidRDefault="00D1647E" w:rsidP="00D1647E">
      <w:pPr>
        <w:spacing w:after="120" w:line="276" w:lineRule="auto"/>
        <w:jc w:val="both"/>
      </w:pPr>
      <w:r>
        <w:t xml:space="preserve">J’aimerais </w:t>
      </w:r>
      <w:r w:rsidR="002A2445">
        <w:t xml:space="preserve">maintenant </w:t>
      </w:r>
      <w:r>
        <w:t xml:space="preserve">vous proposer, en guise de mise en bouche, quelques beaux spécimens de discours rapporté, </w:t>
      </w:r>
      <w:r w:rsidR="006541C3">
        <w:t xml:space="preserve">en m’appuyant sur </w:t>
      </w:r>
      <w:r>
        <w:t xml:space="preserve">un corpus de graffitis par temps de </w:t>
      </w:r>
      <w:proofErr w:type="spellStart"/>
      <w:r>
        <w:t>Covid</w:t>
      </w:r>
      <w:proofErr w:type="spellEnd"/>
      <w:r>
        <w:t xml:space="preserve">. </w:t>
      </w:r>
      <w:r w:rsidR="00C637E6">
        <w:t>J</w:t>
      </w:r>
      <w:r w:rsidR="002043C9">
        <w:t xml:space="preserve">e m’interrogerai plus spécifiquement </w:t>
      </w:r>
      <w:r>
        <w:t>sur (i) la plasticité du plan de l’expression; (ii) le rôle déterminant joué par le format, entre autres générique, et</w:t>
      </w:r>
      <w:r w:rsidR="002043C9">
        <w:t>, surtout,</w:t>
      </w:r>
      <w:r>
        <w:t xml:space="preserve"> par le support ; (iii) les modalités selon lesquelles ces ensembles syncrétiques verbo-iconiques servent une cause </w:t>
      </w:r>
      <w:r>
        <w:lastRenderedPageBreak/>
        <w:t>nationale et internationale, bref manifestent un environnement sociétal et politique sur lequel ils peuvent intervenir</w:t>
      </w:r>
      <w:r w:rsidR="00F821A0">
        <w:t xml:space="preserve"> en retour</w:t>
      </w:r>
      <w:r>
        <w:t xml:space="preserve">. </w:t>
      </w:r>
    </w:p>
    <w:p w:rsidR="00715559" w:rsidRDefault="00EF7DF3" w:rsidP="00715559">
      <w:pPr>
        <w:spacing w:after="120" w:line="276" w:lineRule="auto"/>
        <w:jc w:val="both"/>
      </w:pPr>
      <w:r>
        <w:t>Rapidement : j</w:t>
      </w:r>
      <w:r w:rsidR="00715559" w:rsidRPr="00FD05AE">
        <w:t>e définis le graffiti comme un texte-énoncé syncrétique verbo-iconique non autorisé,</w:t>
      </w:r>
      <w:r w:rsidR="00715559">
        <w:t xml:space="preserve"> clandestin, qui relève d’une écriture de la marge dont le potentiel critique, mais aussi esthétique est important. La site-</w:t>
      </w:r>
      <w:proofErr w:type="spellStart"/>
      <w:r w:rsidR="00715559">
        <w:t>specifity</w:t>
      </w:r>
      <w:proofErr w:type="spellEnd"/>
      <w:r w:rsidR="00715559">
        <w:t xml:space="preserve"> en est caractéristique et </w:t>
      </w:r>
      <w:r w:rsidR="00F82287">
        <w:t>le graffiti-énoncé</w:t>
      </w:r>
      <w:r w:rsidR="00715559">
        <w:t xml:space="preserve"> manifeste des déterminations provenant d’un ensemble de plans de pertinence : de l’environnement urbain, sociétal, culturel, politique ; d’un média comme système de diffusion (ici non point un musée, mais un lieu à ciel ouvert) ; d’un support (un mur souvent abandonné, à la périphérie de la ville, le sol…) et, enfin, du format, notamment générique. Le texte-énoncé</w:t>
      </w:r>
      <w:r w:rsidR="00F62E7A">
        <w:t> </w:t>
      </w:r>
      <w:r w:rsidR="00715559">
        <w:t>– l’œuvre</w:t>
      </w:r>
      <w:r w:rsidR="00F62E7A">
        <w:t> </w:t>
      </w:r>
      <w:r w:rsidR="00715559">
        <w:t xml:space="preserve">– manifeste ces différents niveaux. </w:t>
      </w:r>
    </w:p>
    <w:p w:rsidR="002043C9" w:rsidRPr="00FD05AE" w:rsidRDefault="00787915" w:rsidP="00F62E7A">
      <w:pPr>
        <w:spacing w:after="120" w:line="276" w:lineRule="auto"/>
        <w:jc w:val="both"/>
      </w:pPr>
      <w:r>
        <w:t xml:space="preserve">Mon hypothèse est </w:t>
      </w:r>
      <w:r w:rsidR="00715559">
        <w:t xml:space="preserve">alors </w:t>
      </w:r>
      <w:r>
        <w:t xml:space="preserve">que </w:t>
      </w:r>
      <w:r w:rsidR="00E35E3D">
        <w:t xml:space="preserve">la </w:t>
      </w:r>
      <w:r w:rsidR="00E35E3D" w:rsidRPr="00C637E6">
        <w:rPr>
          <w:i/>
        </w:rPr>
        <w:t>performativité</w:t>
      </w:r>
      <w:r w:rsidR="00E35E3D">
        <w:t xml:space="preserve"> de ces énoncés, qui </w:t>
      </w:r>
      <w:r w:rsidR="00E35E3D" w:rsidRPr="00E35E3D">
        <w:rPr>
          <w:i/>
        </w:rPr>
        <w:t>font exister</w:t>
      </w:r>
      <w:r w:rsidR="00E35E3D">
        <w:t xml:space="preserve"> un être-ensemble et un agir en commun dans l’espace public, est largement </w:t>
      </w:r>
      <w:r w:rsidR="00E35E3D" w:rsidRPr="002043C9">
        <w:rPr>
          <w:i/>
        </w:rPr>
        <w:t xml:space="preserve">fonction </w:t>
      </w:r>
      <w:r w:rsidR="00E35E3D">
        <w:t xml:space="preserve">du pouvoir citationnel des graffitis. </w:t>
      </w:r>
      <w:r w:rsidR="002043C9">
        <w:t>N</w:t>
      </w:r>
      <w:r w:rsidR="002043C9" w:rsidRPr="00FD05AE">
        <w:t>ous verrons qu’il s’agit d’</w:t>
      </w:r>
      <w:r w:rsidR="002043C9" w:rsidRPr="002043C9">
        <w:rPr>
          <w:i/>
        </w:rPr>
        <w:t>allusions</w:t>
      </w:r>
      <w:r w:rsidR="002043C9" w:rsidRPr="00FD05AE">
        <w:t xml:space="preserve"> (au sens où l’entend </w:t>
      </w:r>
      <w:proofErr w:type="spellStart"/>
      <w:r w:rsidR="002043C9" w:rsidRPr="00FD05AE">
        <w:t>Authier-Revuz</w:t>
      </w:r>
      <w:proofErr w:type="spellEnd"/>
      <w:r w:rsidR="002043C9" w:rsidRPr="00FD05AE">
        <w:t xml:space="preserve">), c’est-à-dire de </w:t>
      </w:r>
      <w:proofErr w:type="spellStart"/>
      <w:r w:rsidR="002043C9" w:rsidRPr="00FD05AE">
        <w:t>réénonciations</w:t>
      </w:r>
      <w:proofErr w:type="spellEnd"/>
      <w:r w:rsidR="002043C9" w:rsidRPr="00FD05AE">
        <w:t xml:space="preserve"> qui ne sont pas toujours identifiées comme telles et qui comprennent une dimension « ludique » : « </w:t>
      </w:r>
      <w:r w:rsidR="002043C9" w:rsidRPr="002043C9">
        <w:rPr>
          <w:color w:val="353535"/>
          <w:shd w:val="clear" w:color="auto" w:fill="FFFFFF"/>
        </w:rPr>
        <w:t>A l'opposé des certitudes fournies par l'emprunt balisé, l'allusion fait jouer le registre du dissimulé, déguisé, — et cependant soupçonné, reconnu</w:t>
      </w:r>
      <w:r w:rsidR="00F62E7A">
        <w:rPr>
          <w:color w:val="353535"/>
          <w:shd w:val="clear" w:color="auto" w:fill="FFFFFF"/>
        </w:rPr>
        <w:t> »</w:t>
      </w:r>
      <w:r w:rsidR="002043C9" w:rsidRPr="002043C9">
        <w:rPr>
          <w:color w:val="353535"/>
          <w:shd w:val="clear" w:color="auto" w:fill="FFFFFF"/>
        </w:rPr>
        <w:t>(</w:t>
      </w:r>
      <w:proofErr w:type="spellStart"/>
      <w:r w:rsidR="002043C9" w:rsidRPr="002043C9">
        <w:rPr>
          <w:color w:val="353535"/>
          <w:shd w:val="clear" w:color="auto" w:fill="FFFFFF"/>
        </w:rPr>
        <w:t>Authier-Revuz</w:t>
      </w:r>
      <w:proofErr w:type="spellEnd"/>
      <w:r w:rsidR="002043C9" w:rsidRPr="002043C9">
        <w:rPr>
          <w:color w:val="353535"/>
          <w:shd w:val="clear" w:color="auto" w:fill="FFFFFF"/>
        </w:rPr>
        <w:t xml:space="preserve">, 2000, p. 223). Toute </w:t>
      </w:r>
      <w:proofErr w:type="spellStart"/>
      <w:r w:rsidR="002043C9" w:rsidRPr="002043C9">
        <w:rPr>
          <w:color w:val="353535"/>
          <w:shd w:val="clear" w:color="auto" w:fill="FFFFFF"/>
        </w:rPr>
        <w:t>réénonciation</w:t>
      </w:r>
      <w:proofErr w:type="spellEnd"/>
      <w:r w:rsidR="002043C9" w:rsidRPr="002043C9">
        <w:rPr>
          <w:color w:val="353535"/>
          <w:shd w:val="clear" w:color="auto" w:fill="FFFFFF"/>
        </w:rPr>
        <w:t xml:space="preserve"> allusive est risquée : </w:t>
      </w:r>
      <w:r w:rsidR="00F62E7A">
        <w:rPr>
          <w:color w:val="353535"/>
          <w:shd w:val="clear" w:color="auto" w:fill="FFFFFF"/>
        </w:rPr>
        <w:t>« </w:t>
      </w:r>
      <w:r w:rsidR="002043C9" w:rsidRPr="002043C9">
        <w:rPr>
          <w:color w:val="353535"/>
          <w:shd w:val="clear" w:color="auto" w:fill="FFFFFF"/>
        </w:rPr>
        <w:t>Ainsi le risque subi est-il [...] celui de l'aventure permanente du dire et de son sens</w:t>
      </w:r>
      <w:r w:rsidR="00F62E7A">
        <w:rPr>
          <w:color w:val="353535"/>
          <w:shd w:val="clear" w:color="auto" w:fill="FFFFFF"/>
        </w:rPr>
        <w:t> »</w:t>
      </w:r>
      <w:r w:rsidR="002043C9" w:rsidRPr="002043C9">
        <w:rPr>
          <w:color w:val="353535"/>
          <w:shd w:val="clear" w:color="auto" w:fill="FFFFFF"/>
        </w:rPr>
        <w:t xml:space="preserve"> (</w:t>
      </w:r>
      <w:proofErr w:type="spellStart"/>
      <w:r w:rsidR="002043C9" w:rsidRPr="002043C9">
        <w:rPr>
          <w:color w:val="353535"/>
          <w:shd w:val="clear" w:color="auto" w:fill="FFFFFF"/>
        </w:rPr>
        <w:t>Authier-Revuz</w:t>
      </w:r>
      <w:proofErr w:type="spellEnd"/>
      <w:r w:rsidR="002043C9" w:rsidRPr="002043C9">
        <w:rPr>
          <w:color w:val="353535"/>
          <w:shd w:val="clear" w:color="auto" w:fill="FFFFFF"/>
        </w:rPr>
        <w:t xml:space="preserve">, </w:t>
      </w:r>
      <w:r w:rsidR="002043C9" w:rsidRPr="002043C9">
        <w:rPr>
          <w:i/>
          <w:color w:val="353535"/>
          <w:shd w:val="clear" w:color="auto" w:fill="FFFFFF"/>
        </w:rPr>
        <w:t>ibid</w:t>
      </w:r>
      <w:r w:rsidR="002043C9" w:rsidRPr="002043C9">
        <w:rPr>
          <w:color w:val="353535"/>
          <w:shd w:val="clear" w:color="auto" w:fill="FFFFFF"/>
        </w:rPr>
        <w:t>., p. 229).</w:t>
      </w:r>
    </w:p>
    <w:p w:rsidR="00E35E3D" w:rsidRPr="00F62E7A" w:rsidRDefault="00CB0870" w:rsidP="00F62E7A">
      <w:pPr>
        <w:spacing w:after="120" w:line="276" w:lineRule="auto"/>
        <w:jc w:val="both"/>
      </w:pPr>
      <w:r>
        <w:t>V</w:t>
      </w:r>
      <w:r w:rsidR="00C31F91">
        <w:t xml:space="preserve">olontiers subversives, ces </w:t>
      </w:r>
      <w:proofErr w:type="spellStart"/>
      <w:r w:rsidR="00C31F91">
        <w:t>réénonciations</w:t>
      </w:r>
      <w:proofErr w:type="spellEnd"/>
      <w:r w:rsidR="00C31F91">
        <w:t xml:space="preserve"> </w:t>
      </w:r>
      <w:r w:rsidR="00C31F91" w:rsidRPr="002043C9">
        <w:rPr>
          <w:i/>
        </w:rPr>
        <w:t>détournent</w:t>
      </w:r>
      <w:r w:rsidR="00C31F91">
        <w:t xml:space="preserve"> des messages verbaux (et visuels) préexistants sur un mode à la fois ludique et militant</w:t>
      </w:r>
      <w:r w:rsidR="00F62E7A">
        <w:t>. P</w:t>
      </w:r>
      <w:r>
        <w:t xml:space="preserve">our la notion de détournement, </w:t>
      </w:r>
      <w:r w:rsidR="00913AEB">
        <w:t xml:space="preserve">je renvoie </w:t>
      </w:r>
      <w:r w:rsidR="00715559">
        <w:t xml:space="preserve">à un </w:t>
      </w:r>
      <w:r w:rsidR="00913AEB" w:rsidRPr="00FD05AE">
        <w:t xml:space="preserve">article </w:t>
      </w:r>
      <w:r w:rsidR="00715559">
        <w:t>d’</w:t>
      </w:r>
      <w:proofErr w:type="spellStart"/>
      <w:r w:rsidR="00715559">
        <w:t>Almuth</w:t>
      </w:r>
      <w:proofErr w:type="spellEnd"/>
      <w:r w:rsidR="00715559">
        <w:t xml:space="preserve"> Grésillon et Dominique </w:t>
      </w:r>
      <w:proofErr w:type="spellStart"/>
      <w:r w:rsidR="00715559">
        <w:t>Maingueneau</w:t>
      </w:r>
      <w:proofErr w:type="spellEnd"/>
      <w:r w:rsidR="00F62E7A">
        <w:t xml:space="preserve"> : </w:t>
      </w:r>
      <w:r w:rsidR="00F62E7A" w:rsidRPr="00F62E7A">
        <w:t>e</w:t>
      </w:r>
      <w:r w:rsidR="00E35E3D" w:rsidRPr="00F62E7A">
        <w:t xml:space="preserve">n 1984, </w:t>
      </w:r>
      <w:r w:rsidR="00BE7447" w:rsidRPr="00F62E7A">
        <w:t xml:space="preserve">dans un article intitulé « Polyphonie, proverbe et détournement, ou un proverbe peut en cacher un autre », </w:t>
      </w:r>
      <w:r w:rsidR="00F62E7A">
        <w:t xml:space="preserve">ils </w:t>
      </w:r>
      <w:r w:rsidR="00E35E3D" w:rsidRPr="00F62E7A">
        <w:t>appellent « détournement ludique » de « purs jeux de mots »</w:t>
      </w:r>
      <w:r w:rsidR="00CB04F6" w:rsidRPr="00F62E7A">
        <w:t>. Pour sa part,</w:t>
      </w:r>
      <w:r w:rsidR="00E35E3D" w:rsidRPr="00F62E7A">
        <w:t xml:space="preserve"> le « détourneme</w:t>
      </w:r>
      <w:r w:rsidR="00BE7447" w:rsidRPr="00F62E7A">
        <w:t>n</w:t>
      </w:r>
      <w:r w:rsidR="00E35E3D" w:rsidRPr="00F62E7A">
        <w:t>t militant » vis</w:t>
      </w:r>
      <w:r w:rsidR="00CB04F6" w:rsidRPr="00F62E7A">
        <w:t xml:space="preserve">e </w:t>
      </w:r>
      <w:r w:rsidR="00E35E3D" w:rsidRPr="00F62E7A">
        <w:t>à « donner de l’autorité à un énoncé » ou à ruiner celle-ci (</w:t>
      </w:r>
      <w:r w:rsidR="00BE7447" w:rsidRPr="00F62E7A">
        <w:t>notamment dans le cas de</w:t>
      </w:r>
      <w:r w:rsidR="00E35E3D" w:rsidRPr="00F62E7A">
        <w:t xml:space="preserve"> proverbes), « au nom d’intérêts de divers ordres ». Nous verrons, précisément, en quoi les frontières entre les deux cas de figure sont poreuses, le jeux de mots pouvant servir un art engagé (</w:t>
      </w:r>
      <w:proofErr w:type="spellStart"/>
      <w:r w:rsidR="00E35E3D" w:rsidRPr="00F62E7A">
        <w:t>artivisme</w:t>
      </w:r>
      <w:proofErr w:type="spellEnd"/>
      <w:r w:rsidR="00E35E3D" w:rsidRPr="00F62E7A">
        <w:t xml:space="preserve">). </w:t>
      </w:r>
    </w:p>
    <w:p w:rsidR="006541C3" w:rsidRDefault="006541C3" w:rsidP="00F62E7A">
      <w:pPr>
        <w:spacing w:after="120" w:line="276" w:lineRule="auto"/>
        <w:jc w:val="both"/>
      </w:pPr>
      <w:r>
        <w:t xml:space="preserve">Le temps m’étant compté, je considérerai rapidement </w:t>
      </w:r>
      <w:r w:rsidR="00BE7447">
        <w:t>quatre</w:t>
      </w:r>
      <w:r>
        <w:t xml:space="preserve"> cas de figure qui invitent à mettre les hypothèses à la base de ce colloque à l’épreuve du concret</w:t>
      </w:r>
      <w:r w:rsidR="00F62E7A">
        <w:rPr>
          <w:rStyle w:val="Appelnotedebasdep"/>
        </w:rPr>
        <w:footnoteReference w:id="1"/>
      </w:r>
      <w:r w:rsidR="00715559">
        <w:t>.</w:t>
      </w:r>
    </w:p>
    <w:p w:rsidR="002B7E98" w:rsidRDefault="002B7E98" w:rsidP="00D1647E">
      <w:pPr>
        <w:spacing w:after="120" w:line="276" w:lineRule="auto"/>
        <w:jc w:val="both"/>
      </w:pPr>
      <w:r w:rsidRPr="008673D4">
        <w:rPr>
          <w:b/>
        </w:rPr>
        <w:t xml:space="preserve">Premier </w:t>
      </w:r>
      <w:r w:rsidR="008673D4" w:rsidRPr="008673D4">
        <w:rPr>
          <w:b/>
        </w:rPr>
        <w:t>cas de figure</w:t>
      </w:r>
      <w:r>
        <w:t> </w:t>
      </w:r>
      <w:r w:rsidR="00AC6D01">
        <w:t>et l’hypothèse de la matérialité du discours rapporté</w:t>
      </w:r>
    </w:p>
    <w:p w:rsidR="00BE7447" w:rsidRDefault="00D1647E" w:rsidP="00D1647E">
      <w:pPr>
        <w:spacing w:after="120" w:line="276" w:lineRule="auto"/>
        <w:jc w:val="both"/>
      </w:pPr>
      <w:r>
        <w:t>Partons de l’œuvre d’Emma et Urbain Lord, rue Henri-Noguères, à Paris, dans le 19</w:t>
      </w:r>
      <w:r w:rsidRPr="00F35A62">
        <w:rPr>
          <w:vertAlign w:val="superscript"/>
        </w:rPr>
        <w:t>e</w:t>
      </w:r>
      <w:r>
        <w:t xml:space="preserve">. Cette </w:t>
      </w:r>
      <w:r w:rsidR="00F62E7A">
        <w:t>œuvre</w:t>
      </w:r>
      <w:r>
        <w:t xml:space="preserve"> appartient à la session « Black Lines » du 13 septembre 2020</w:t>
      </w:r>
      <w:r>
        <w:rPr>
          <w:rStyle w:val="Appelnotedebasdep"/>
        </w:rPr>
        <w:footnoteReference w:id="2"/>
      </w:r>
      <w:r>
        <w:t xml:space="preserve">. Le lettrage d’Urbain Lord dispose les mots « Autorité, conformité, insanité » sur trois lignes, légèrement en décalé. Ils détournent la triade « Liberté, égalité, fraternité ». </w:t>
      </w:r>
    </w:p>
    <w:p w:rsidR="00D1647E" w:rsidRDefault="00D1647E" w:rsidP="00D1647E">
      <w:pPr>
        <w:spacing w:after="120" w:line="276" w:lineRule="auto"/>
        <w:jc w:val="both"/>
      </w:pPr>
      <w:r>
        <w:t>Ensuite, le lettrage surplombe un dessin en noir et blanc très élaboré, qui représente Emmanuel Macron hissé sur un char, en train de cravacher le peuple aveuglé et masqué, alors qu’il est lui-</w:t>
      </w:r>
      <w:r>
        <w:lastRenderedPageBreak/>
        <w:t xml:space="preserve">même mené par Bill Gates représentant le capitalisme moderne. </w:t>
      </w:r>
      <w:r w:rsidRPr="007233A3">
        <w:t xml:space="preserve">Le dessin campe au milieu du mur, en joignant deux groupes de figures – le peuple, d’une part, Macron et Gates, d’autre part – dans une ligne horizontale droite en direction des bandes latérales de l’image, à droite et à gauche (les bras étendus de Macron). </w:t>
      </w:r>
      <w:r w:rsidR="00CB0870">
        <w:t>Les</w:t>
      </w:r>
      <w:r>
        <w:t xml:space="preserve"> ligne</w:t>
      </w:r>
      <w:r w:rsidR="00CB0870">
        <w:t>s</w:t>
      </w:r>
      <w:r>
        <w:t xml:space="preserve"> courbe</w:t>
      </w:r>
      <w:r w:rsidR="00CB0870">
        <w:t>s</w:t>
      </w:r>
      <w:r>
        <w:t xml:space="preserve"> </w:t>
      </w:r>
      <w:r w:rsidR="00CB0870" w:rsidRPr="00CB0870">
        <w:t>(le manteau à capuche de Gates, qui rappelle celui de l’homme à la faux, en tant que représentation de la mort, le fouet)</w:t>
      </w:r>
      <w:r w:rsidR="00CB0870">
        <w:t xml:space="preserve"> </w:t>
      </w:r>
      <w:r>
        <w:t>réso</w:t>
      </w:r>
      <w:r w:rsidR="00CB0870">
        <w:t xml:space="preserve">lvent </w:t>
      </w:r>
      <w:r>
        <w:t xml:space="preserve">la tension entre l’horizontalité et la verticalité. </w:t>
      </w:r>
    </w:p>
    <w:p w:rsidR="00D1647E" w:rsidRPr="007233A3" w:rsidRDefault="00D1647E" w:rsidP="00D1647E">
      <w:pPr>
        <w:spacing w:after="120" w:line="276" w:lineRule="auto"/>
        <w:jc w:val="both"/>
      </w:pPr>
      <w:r w:rsidRPr="007233A3">
        <w:t xml:space="preserve">Deux lectures </w:t>
      </w:r>
      <w:r w:rsidR="002B7E98" w:rsidRPr="007233A3">
        <w:t xml:space="preserve">de l’ensemble syncrétique </w:t>
      </w:r>
      <w:r w:rsidRPr="007233A3">
        <w:t>sont possible</w:t>
      </w:r>
      <w:r w:rsidR="004D7985" w:rsidRPr="007233A3">
        <w:t>s</w:t>
      </w:r>
      <w:r w:rsidR="00764F82" w:rsidRPr="007233A3">
        <w:t> </w:t>
      </w:r>
      <w:r w:rsidRPr="007233A3">
        <w:t xml:space="preserve">: (i) un mouvement ascendant peut mener vers un pic d’intensité à hauteur du dessin, l’intensité se nouant patiemment, de proche en proche ; (ii) un mouvement descendant peut amorcer une </w:t>
      </w:r>
      <w:proofErr w:type="spellStart"/>
      <w:r w:rsidRPr="007233A3">
        <w:t>désintensification</w:t>
      </w:r>
      <w:proofErr w:type="spellEnd"/>
      <w:r w:rsidRPr="007233A3">
        <w:t xml:space="preserve"> après le sommet intensif sur « insanité », le dessin fournissant une espèce d’explication, en dépliant le « message » verbal. La première lecture semble accréditée par la progression notable entre le lettrage, réalisé</w:t>
      </w:r>
      <w:r w:rsidR="00764F82" w:rsidRPr="007233A3">
        <w:t xml:space="preserve"> plus</w:t>
      </w:r>
      <w:r w:rsidRPr="007233A3">
        <w:t xml:space="preserve"> rapidement, et le dessin, plus élaboré, qui exige un ralentissement au niveau du tempo. </w:t>
      </w:r>
      <w:r w:rsidR="002B7E98" w:rsidRPr="007233A3">
        <w:t xml:space="preserve">Dans les deux cas, il s’agit de montrer en quoi les composantes verbale et visuelle contribuent à la production d’un tout de sens. </w:t>
      </w:r>
    </w:p>
    <w:p w:rsidR="004D7985" w:rsidRPr="007233A3" w:rsidRDefault="00D1647E" w:rsidP="00D1647E">
      <w:pPr>
        <w:spacing w:after="120" w:line="276" w:lineRule="auto"/>
        <w:jc w:val="both"/>
      </w:pPr>
      <w:r>
        <w:t>Or, il est significatif que le lettrage et le dessin obéissent à des logiques différentes. Le dessin donne prise à une narrativisation, qui introduit une temporalité dans l’image fixe</w:t>
      </w:r>
      <w:r>
        <w:rPr>
          <w:rStyle w:val="Appelnotedebasdep"/>
        </w:rPr>
        <w:footnoteReference w:id="3"/>
      </w:r>
      <w:r>
        <w:t xml:space="preserve">. Ce graffiti capte le </w:t>
      </w:r>
      <w:r w:rsidRPr="004E6C23">
        <w:rPr>
          <w:i/>
        </w:rPr>
        <w:t xml:space="preserve">punctum </w:t>
      </w:r>
      <w:proofErr w:type="spellStart"/>
      <w:r w:rsidRPr="004E6C23">
        <w:rPr>
          <w:i/>
        </w:rPr>
        <w:t>temporis</w:t>
      </w:r>
      <w:proofErr w:type="spellEnd"/>
      <w:r>
        <w:t xml:space="preserve">, le </w:t>
      </w:r>
      <w:r w:rsidRPr="004E6C23">
        <w:rPr>
          <w:i/>
        </w:rPr>
        <w:t>moment remarquable</w:t>
      </w:r>
      <w:r>
        <w:t xml:space="preserve"> à partir </w:t>
      </w:r>
      <w:r w:rsidRPr="00282DFB">
        <w:t>duquel le passant peut déployer un avant et un après, c’est-à-dire développer un récit</w:t>
      </w:r>
      <w:r>
        <w:t xml:space="preserve"> : </w:t>
      </w:r>
      <w:r w:rsidRPr="007233A3">
        <w:t xml:space="preserve">celui d’une gestion de la crise par un Tiers, selon les termes de Coquet (2007), à la fois transcendant – l’autorité qui exerce un pouvoir sur le peuple – et immanent – la peur. </w:t>
      </w:r>
      <w:r>
        <w:t xml:space="preserve">Cependant, la logique du récit, qui suppose un ordonnancement vectorisé des événements, avant tout linéaire, est remise en question, </w:t>
      </w:r>
      <w:r w:rsidRPr="00282DFB">
        <w:t>au niveau du lettrage,</w:t>
      </w:r>
      <w:r>
        <w:t xml:space="preserve"> par la mise en liste des mots « </w:t>
      </w:r>
      <w:r w:rsidR="004D7985">
        <w:t>Autorité, conformité, insanité</w:t>
      </w:r>
      <w:r>
        <w:t xml:space="preserve"> ». La mise en liste </w:t>
      </w:r>
      <w:r w:rsidRPr="007233A3">
        <w:t xml:space="preserve">suppose un rejet du carcan de la syntaxe et elle autorise une possible interversion des mots, et donc un bouleversement de tout ordre strict (malgré la gradation qu’on note entre les mots). Cette tension est essentielle, parce qu’emblématique de cette autre tension, entre une écriture disciplinée, officielle, et une écriture souterraine, </w:t>
      </w:r>
      <w:r w:rsidR="004D7985" w:rsidRPr="007233A3">
        <w:t xml:space="preserve">non autorisée, </w:t>
      </w:r>
      <w:r w:rsidRPr="007233A3">
        <w:t xml:space="preserve">qui résiste et déborde tous les cadres. </w:t>
      </w:r>
      <w:r w:rsidR="004D7985" w:rsidRPr="007233A3">
        <w:t xml:space="preserve">On constate ainsi à quel point le verbal peut pour ainsi dire redoubler la portée proprement subversive du graffiti comme écriture de la marge. </w:t>
      </w:r>
    </w:p>
    <w:p w:rsidR="00AF3C3B" w:rsidRPr="007233A3" w:rsidRDefault="004D7985" w:rsidP="00D00532">
      <w:pPr>
        <w:spacing w:after="120" w:line="276" w:lineRule="auto"/>
        <w:jc w:val="both"/>
      </w:pPr>
      <w:r>
        <w:t>À cela s’ajoute l’</w:t>
      </w:r>
      <w:proofErr w:type="spellStart"/>
      <w:r>
        <w:t>iconisation</w:t>
      </w:r>
      <w:proofErr w:type="spellEnd"/>
      <w:r>
        <w:t xml:space="preserve"> du lettrage, </w:t>
      </w:r>
      <w:r w:rsidR="0082408B">
        <w:t>qui rend pertinent ce</w:t>
      </w:r>
      <w:r>
        <w:t xml:space="preserve"> que Jan </w:t>
      </w:r>
      <w:proofErr w:type="spellStart"/>
      <w:r>
        <w:t>Baetens</w:t>
      </w:r>
      <w:proofErr w:type="spellEnd"/>
      <w:r>
        <w:t xml:space="preserve"> appelle le (typo)graphique. Imitant l’alphabet gothique, </w:t>
      </w:r>
      <w:r w:rsidR="0082408B">
        <w:t>les artistes</w:t>
      </w:r>
      <w:r>
        <w:t xml:space="preserve"> multiplient les fioritures qui ne deviennent signifiantes qu’au moment d’une lecture esthétique. </w:t>
      </w:r>
      <w:r w:rsidR="00F82287">
        <w:t>Elles</w:t>
      </w:r>
      <w:r>
        <w:t xml:space="preserve"> sont rehaussé</w:t>
      </w:r>
      <w:r w:rsidR="00F82287">
        <w:t>e</w:t>
      </w:r>
      <w:r>
        <w:t xml:space="preserve">s par les contrastes chromatiques (du rouge foncé vers le noir et le rouge vif), le rouge vif modalisant le lexème « insanité » à l’instar de l’exclamation, signalée, à l’oral, par une intonation montante. </w:t>
      </w:r>
      <w:r w:rsidR="00D00532">
        <w:t>C</w:t>
      </w:r>
      <w:r w:rsidR="00D00532" w:rsidRPr="009205C2">
        <w:t xml:space="preserve">omme Maria </w:t>
      </w:r>
      <w:proofErr w:type="spellStart"/>
      <w:r w:rsidR="00D00532" w:rsidRPr="009205C2">
        <w:t>Giulia</w:t>
      </w:r>
      <w:proofErr w:type="spellEnd"/>
      <w:r w:rsidR="00D00532" w:rsidRPr="009205C2">
        <w:t xml:space="preserve"> </w:t>
      </w:r>
      <w:proofErr w:type="spellStart"/>
      <w:r w:rsidR="00D00532" w:rsidRPr="009205C2">
        <w:t>Dondero</w:t>
      </w:r>
      <w:proofErr w:type="spellEnd"/>
      <w:r w:rsidR="00D00532" w:rsidRPr="009205C2">
        <w:t xml:space="preserve"> et moi-même l’avons noté dans la </w:t>
      </w:r>
      <w:r w:rsidR="007233A3">
        <w:t>« </w:t>
      </w:r>
      <w:r w:rsidR="00D00532" w:rsidRPr="009205C2">
        <w:t>Présentation</w:t>
      </w:r>
      <w:r w:rsidR="007233A3">
        <w:t> »</w:t>
      </w:r>
      <w:r w:rsidR="00D00532" w:rsidRPr="009205C2">
        <w:t xml:space="preserve"> </w:t>
      </w:r>
      <w:r w:rsidR="00D00532">
        <w:t>d</w:t>
      </w:r>
      <w:r w:rsidR="00D00532" w:rsidRPr="009205C2">
        <w:t>u numéro</w:t>
      </w:r>
      <w:r w:rsidR="00D00532">
        <w:t xml:space="preserve"> 48</w:t>
      </w:r>
      <w:r w:rsidR="00D00532" w:rsidRPr="009205C2">
        <w:t xml:space="preserve"> de la revue </w:t>
      </w:r>
      <w:proofErr w:type="spellStart"/>
      <w:r w:rsidR="00D00532" w:rsidRPr="009205C2">
        <w:rPr>
          <w:i/>
        </w:rPr>
        <w:t>Semen</w:t>
      </w:r>
      <w:proofErr w:type="spellEnd"/>
      <w:r w:rsidR="00D00532" w:rsidRPr="009205C2">
        <w:t xml:space="preserve"> intitulé </w:t>
      </w:r>
      <w:r w:rsidR="007233A3">
        <w:t>« </w:t>
      </w:r>
      <w:r w:rsidR="00D00532" w:rsidRPr="007233A3">
        <w:rPr>
          <w:color w:val="000000" w:themeColor="text1"/>
        </w:rPr>
        <w:t>Signifiant et matière : l’iconicité et la plasticité dans le document numérique verbal et visuel</w:t>
      </w:r>
      <w:r w:rsidR="007233A3">
        <w:rPr>
          <w:color w:val="000000" w:themeColor="text1"/>
        </w:rPr>
        <w:t> »</w:t>
      </w:r>
      <w:r w:rsidR="00D00532">
        <w:t xml:space="preserve">, </w:t>
      </w:r>
      <w:r w:rsidR="00D00532" w:rsidRPr="009205C2">
        <w:rPr>
          <w:color w:val="000000" w:themeColor="text1"/>
        </w:rPr>
        <w:t xml:space="preserve">les propriétés sensibles et perceptibles peuvent être décrites, sur le plan de l’expression d’un discours multimodal, à travers des distinctions entre catégories topologiques, </w:t>
      </w:r>
      <w:proofErr w:type="spellStart"/>
      <w:r w:rsidR="00D00532" w:rsidRPr="009205C2">
        <w:rPr>
          <w:color w:val="000000" w:themeColor="text1"/>
        </w:rPr>
        <w:t>éidétiques</w:t>
      </w:r>
      <w:proofErr w:type="spellEnd"/>
      <w:r w:rsidR="00D00532" w:rsidRPr="009205C2">
        <w:rPr>
          <w:color w:val="000000" w:themeColor="text1"/>
        </w:rPr>
        <w:t xml:space="preserve"> ou chromatiques (Greimas 1984 ; </w:t>
      </w:r>
      <w:proofErr w:type="spellStart"/>
      <w:r w:rsidR="00D00532" w:rsidRPr="009205C2">
        <w:rPr>
          <w:color w:val="000000" w:themeColor="text1"/>
        </w:rPr>
        <w:t>Floch</w:t>
      </w:r>
      <w:proofErr w:type="spellEnd"/>
      <w:r w:rsidR="00D00532" w:rsidRPr="009205C2">
        <w:rPr>
          <w:color w:val="000000" w:themeColor="text1"/>
        </w:rPr>
        <w:t xml:space="preserve"> 1985), entre </w:t>
      </w:r>
      <w:proofErr w:type="spellStart"/>
      <w:r w:rsidR="00D00532" w:rsidRPr="009205C2">
        <w:rPr>
          <w:color w:val="000000" w:themeColor="text1"/>
        </w:rPr>
        <w:t>chromèmes</w:t>
      </w:r>
      <w:proofErr w:type="spellEnd"/>
      <w:r w:rsidR="00D00532" w:rsidRPr="009205C2">
        <w:rPr>
          <w:color w:val="000000" w:themeColor="text1"/>
        </w:rPr>
        <w:t xml:space="preserve">, </w:t>
      </w:r>
      <w:proofErr w:type="spellStart"/>
      <w:r w:rsidR="00D00532" w:rsidRPr="009205C2">
        <w:rPr>
          <w:color w:val="000000" w:themeColor="text1"/>
        </w:rPr>
        <w:t>formèmes</w:t>
      </w:r>
      <w:proofErr w:type="spellEnd"/>
      <w:r w:rsidR="00D00532" w:rsidRPr="009205C2">
        <w:rPr>
          <w:color w:val="000000" w:themeColor="text1"/>
        </w:rPr>
        <w:t xml:space="preserve"> et </w:t>
      </w:r>
      <w:proofErr w:type="spellStart"/>
      <w:r w:rsidR="00D00532" w:rsidRPr="009205C2">
        <w:rPr>
          <w:color w:val="000000" w:themeColor="text1"/>
        </w:rPr>
        <w:t>texturèmes</w:t>
      </w:r>
      <w:proofErr w:type="spellEnd"/>
      <w:r w:rsidR="00D00532" w:rsidRPr="009205C2">
        <w:rPr>
          <w:color w:val="000000" w:themeColor="text1"/>
        </w:rPr>
        <w:t xml:space="preserve"> (Groupe µ 1992). Il faut être sensible aux groupements et </w:t>
      </w:r>
      <w:r w:rsidR="00D00532">
        <w:rPr>
          <w:color w:val="000000" w:themeColor="text1"/>
        </w:rPr>
        <w:t xml:space="preserve">aux </w:t>
      </w:r>
      <w:r w:rsidR="00D00532" w:rsidRPr="009205C2">
        <w:rPr>
          <w:color w:val="000000" w:themeColor="text1"/>
        </w:rPr>
        <w:t xml:space="preserve">substitutions, aux choix typographiques, de police et de taille des caractères, aux modulations de l’espace et aux </w:t>
      </w:r>
      <w:proofErr w:type="spellStart"/>
      <w:r w:rsidR="00D00532" w:rsidRPr="009205C2">
        <w:rPr>
          <w:color w:val="000000" w:themeColor="text1"/>
        </w:rPr>
        <w:t>topo-graphies</w:t>
      </w:r>
      <w:proofErr w:type="spellEnd"/>
      <w:r w:rsidR="00D00532" w:rsidRPr="009205C2">
        <w:rPr>
          <w:color w:val="000000" w:themeColor="text1"/>
        </w:rPr>
        <w:t>.</w:t>
      </w:r>
      <w:r w:rsidR="00D00532">
        <w:rPr>
          <w:color w:val="000000" w:themeColor="text1"/>
        </w:rPr>
        <w:t xml:space="preserve"> </w:t>
      </w:r>
      <w:r w:rsidR="002B7E98">
        <w:t>Si</w:t>
      </w:r>
      <w:r w:rsidR="00AF3C3B" w:rsidRPr="00E26714">
        <w:t xml:space="preserve">, « savoir lire, c’est neutraliser inconsciemment la variation </w:t>
      </w:r>
      <w:r w:rsidR="00AF3C3B" w:rsidRPr="00E26714">
        <w:lastRenderedPageBreak/>
        <w:t xml:space="preserve">typographique des </w:t>
      </w:r>
      <w:proofErr w:type="spellStart"/>
      <w:r w:rsidR="00AF3C3B" w:rsidRPr="00E26714">
        <w:rPr>
          <w:i/>
        </w:rPr>
        <w:t>tokens</w:t>
      </w:r>
      <w:proofErr w:type="spellEnd"/>
      <w:r w:rsidR="00AF3C3B" w:rsidRPr="00E26714">
        <w:t xml:space="preserve"> de façon à décoder sans effort les </w:t>
      </w:r>
      <w:r w:rsidR="00AF3C3B" w:rsidRPr="00E26714">
        <w:rPr>
          <w:i/>
        </w:rPr>
        <w:t xml:space="preserve">types </w:t>
      </w:r>
      <w:r w:rsidR="00AF3C3B" w:rsidRPr="00E26714">
        <w:t>linguistiques qui se cachent derrière toutes les façons d’écrire ou d’imprimer l’alphabet » (</w:t>
      </w:r>
      <w:proofErr w:type="spellStart"/>
      <w:r w:rsidR="00AF3C3B">
        <w:t>Arabyan</w:t>
      </w:r>
      <w:proofErr w:type="spellEnd"/>
      <w:r w:rsidR="00AF3C3B">
        <w:t>, 2012, p. </w:t>
      </w:r>
      <w:r w:rsidR="00AF3C3B" w:rsidRPr="00E26714">
        <w:t>54)</w:t>
      </w:r>
      <w:r w:rsidR="002B7E98">
        <w:t xml:space="preserve">, </w:t>
      </w:r>
      <w:r w:rsidR="00AF3C3B" w:rsidRPr="00E26714">
        <w:t xml:space="preserve">les variations non linguistiques deviennent </w:t>
      </w:r>
      <w:r w:rsidR="002B7E98">
        <w:t xml:space="preserve">ici </w:t>
      </w:r>
      <w:r w:rsidR="00AF3C3B" w:rsidRPr="00E26714">
        <w:t>signifiantes, au-delà même de la transmission d’un « message </w:t>
      </w:r>
      <w:r w:rsidR="00AF3C3B" w:rsidRPr="00304DE7">
        <w:t xml:space="preserve">». C’est </w:t>
      </w:r>
      <w:r w:rsidR="00AF3C3B" w:rsidRPr="007233A3">
        <w:t>tenir compte des f</w:t>
      </w:r>
      <w:r w:rsidR="00C12608" w:rsidRPr="007233A3">
        <w:t>ormants</w:t>
      </w:r>
      <w:r w:rsidR="00AF3C3B" w:rsidRPr="007233A3">
        <w:t xml:space="preserve"> plastique et figurative</w:t>
      </w:r>
      <w:r w:rsidR="00C12608" w:rsidRPr="007233A3">
        <w:t xml:space="preserve"> (Greimas, 1984)</w:t>
      </w:r>
      <w:r w:rsidR="00AF3C3B" w:rsidRPr="007233A3">
        <w:t xml:space="preserve">, c’est-à-dire </w:t>
      </w:r>
      <w:r w:rsidR="00CB0870">
        <w:t xml:space="preserve"> </w:t>
      </w:r>
      <w:r w:rsidR="00AF3C3B" w:rsidRPr="00304DE7">
        <w:t>rétablir face au « plan en langue » le « plan en image</w:t>
      </w:r>
      <w:r w:rsidR="00AF3C3B">
        <w:t> »</w:t>
      </w:r>
      <w:r w:rsidR="00AF3C3B" w:rsidRPr="00304DE7">
        <w:t xml:space="preserve"> (</w:t>
      </w:r>
      <w:proofErr w:type="spellStart"/>
      <w:r w:rsidR="00AF3C3B">
        <w:t>Arabyan</w:t>
      </w:r>
      <w:proofErr w:type="spellEnd"/>
      <w:r w:rsidR="00AF3C3B">
        <w:t xml:space="preserve">, </w:t>
      </w:r>
      <w:r w:rsidR="00AF3C3B" w:rsidRPr="00304DE7">
        <w:t>2012</w:t>
      </w:r>
      <w:r w:rsidR="00AF3C3B">
        <w:t>, p. </w:t>
      </w:r>
      <w:r w:rsidR="00AF3C3B" w:rsidRPr="00304DE7">
        <w:t xml:space="preserve">19). </w:t>
      </w:r>
    </w:p>
    <w:p w:rsidR="00D00532" w:rsidRPr="007233A3" w:rsidRDefault="00D00532" w:rsidP="008673D4">
      <w:pPr>
        <w:spacing w:after="120" w:line="276" w:lineRule="auto"/>
        <w:jc w:val="both"/>
      </w:pPr>
      <w:r>
        <w:rPr>
          <w:color w:val="000000" w:themeColor="text1"/>
        </w:rPr>
        <w:t xml:space="preserve">Ira-t-on jusqu’à dire que </w:t>
      </w:r>
      <w:r>
        <w:t>la profondeur crée une espèce de tridimensionnalité ? Que les mots « Autorité, conformité, insanité » sont pourvus d’un volume et que l’on assiste à leur transformation en objets concrets, tangibles ? Comme c’est le cas pour les mots « </w:t>
      </w:r>
      <w:proofErr w:type="spellStart"/>
      <w:r w:rsidR="008673D4">
        <w:t>T</w:t>
      </w:r>
      <w:r>
        <w:t>oilet</w:t>
      </w:r>
      <w:proofErr w:type="spellEnd"/>
      <w:r>
        <w:t xml:space="preserve"> </w:t>
      </w:r>
      <w:proofErr w:type="spellStart"/>
      <w:r>
        <w:t>paper</w:t>
      </w:r>
      <w:proofErr w:type="spellEnd"/>
      <w:r>
        <w:t xml:space="preserve"> » dans cet autre graffiti </w:t>
      </w:r>
      <w:r w:rsidR="008673D4">
        <w:t xml:space="preserve">(non polyphonique) de Toner </w:t>
      </w:r>
      <w:r w:rsidR="008673D4">
        <w:rPr>
          <w:lang w:val="fr-FR"/>
        </w:rPr>
        <w:t xml:space="preserve">exposé à </w:t>
      </w:r>
      <w:r w:rsidR="008673D4" w:rsidRPr="008046E7">
        <w:rPr>
          <w:lang w:val="fr-FR"/>
        </w:rPr>
        <w:t xml:space="preserve">Bruxelles, </w:t>
      </w:r>
      <w:r w:rsidR="008673D4">
        <w:rPr>
          <w:lang w:val="fr-FR"/>
        </w:rPr>
        <w:t xml:space="preserve">le </w:t>
      </w:r>
      <w:r w:rsidR="008673D4" w:rsidRPr="008046E7">
        <w:rPr>
          <w:lang w:val="fr-FR"/>
        </w:rPr>
        <w:t>27 mars 2020.</w:t>
      </w:r>
      <w:r w:rsidR="008673D4">
        <w:t xml:space="preserve"> </w:t>
      </w:r>
      <w:r w:rsidR="008673D4" w:rsidRPr="007233A3">
        <w:t>On peut déchiffrer avec beaucoup de mal les mots « </w:t>
      </w:r>
      <w:proofErr w:type="spellStart"/>
      <w:r w:rsidR="008673D4" w:rsidRPr="007233A3">
        <w:t>Toilet</w:t>
      </w:r>
      <w:proofErr w:type="spellEnd"/>
      <w:r w:rsidR="008673D4" w:rsidRPr="007233A3">
        <w:t xml:space="preserve"> Paper », en référence à la précipitation irraisonnée de ceux qui, au début du confinement, se sont rués dans les supermarchés pour s’approvisionner en produits de « première nécessité » et les stocker comme en temps de guerre</w:t>
      </w:r>
      <w:r w:rsidR="008673D4" w:rsidRPr="002043C9">
        <w:rPr>
          <w:i/>
        </w:rPr>
        <w:t>.</w:t>
      </w:r>
      <w:r w:rsidR="008673D4" w:rsidRPr="00E26714">
        <w:t xml:space="preserve"> </w:t>
      </w:r>
      <w:r w:rsidR="008673D4">
        <w:t>Nous voyons dans l’enchevêtrement des lettres, entassées, allongées ou recourbées, protubérantes ou reléguées à l’arrière-plan (illusion de la tridimensionnalité), des</w:t>
      </w:r>
      <w:r w:rsidR="008673D4" w:rsidRPr="00E26714">
        <w:t xml:space="preserve"> propriétés du plan de </w:t>
      </w:r>
      <w:r w:rsidR="008673D4">
        <w:t>l’expression. U</w:t>
      </w:r>
      <w:r w:rsidR="008673D4" w:rsidRPr="00E26714">
        <w:t xml:space="preserve">n cadre double, créant un </w:t>
      </w:r>
      <w:r w:rsidR="008673D4" w:rsidRPr="00E26714">
        <w:rPr>
          <w:i/>
        </w:rPr>
        <w:t>in</w:t>
      </w:r>
      <w:r w:rsidR="008673D4" w:rsidRPr="00E26714">
        <w:t xml:space="preserve"> et un </w:t>
      </w:r>
      <w:r w:rsidR="008673D4" w:rsidRPr="00E26714">
        <w:rPr>
          <w:i/>
        </w:rPr>
        <w:t>off</w:t>
      </w:r>
      <w:r w:rsidR="008673D4" w:rsidRPr="00E26714">
        <w:t xml:space="preserve">, à la fois contient </w:t>
      </w:r>
      <w:r w:rsidR="008673D4">
        <w:t xml:space="preserve">les lettres </w:t>
      </w:r>
      <w:r w:rsidR="008673D4" w:rsidRPr="00E26714">
        <w:t xml:space="preserve">et se prête à des </w:t>
      </w:r>
      <w:r w:rsidR="008673D4">
        <w:t xml:space="preserve">dépassements </w:t>
      </w:r>
      <w:r w:rsidR="008673D4" w:rsidRPr="00E26714">
        <w:t>qui le défient</w:t>
      </w:r>
      <w:r w:rsidR="008673D4">
        <w:t xml:space="preserve">. </w:t>
      </w:r>
      <w:r w:rsidR="008673D4" w:rsidRPr="007233A3">
        <w:t xml:space="preserve">Ces derniers opposent au mouvement centripète un mouvement centrifuge et à l’homogénéisation sur une surface intérieure l’hétérogénéité sauvage des bords, voire du dehors. Ou encore, la contrainte exercée par le bord n’arrive pas à brider des forces qui y échappent, comme c’est le cas par temps de </w:t>
      </w:r>
      <w:proofErr w:type="spellStart"/>
      <w:r w:rsidR="008673D4" w:rsidRPr="007233A3">
        <w:t>Covid</w:t>
      </w:r>
      <w:proofErr w:type="spellEnd"/>
      <w:r w:rsidR="008673D4" w:rsidRPr="007233A3">
        <w:t xml:space="preserve">. </w:t>
      </w:r>
    </w:p>
    <w:p w:rsidR="00AF3C3B" w:rsidRPr="007233A3" w:rsidRDefault="00AF3C3B" w:rsidP="00AF3C3B">
      <w:pPr>
        <w:spacing w:after="120" w:line="276" w:lineRule="auto"/>
        <w:jc w:val="both"/>
      </w:pPr>
      <w:r>
        <w:t xml:space="preserve">La </w:t>
      </w:r>
      <w:proofErr w:type="spellStart"/>
      <w:r>
        <w:t>vilisibilité</w:t>
      </w:r>
      <w:proofErr w:type="spellEnd"/>
      <w:r>
        <w:t xml:space="preserve"> de l’énoncé</w:t>
      </w:r>
      <w:r w:rsidR="008673D4">
        <w:t xml:space="preserve"> verbal qui attire notre attention sur la matérialité du discours rapporté</w:t>
      </w:r>
      <w:r w:rsidR="00C12608">
        <w:t xml:space="preserve"> me paraît </w:t>
      </w:r>
      <w:r w:rsidR="002043C9">
        <w:t xml:space="preserve">ainsi </w:t>
      </w:r>
      <w:r w:rsidR="00C12608">
        <w:t xml:space="preserve">caractéristique du graffiti syncrétique </w:t>
      </w:r>
      <w:r w:rsidR="008673D4">
        <w:t xml:space="preserve">polyphonique. </w:t>
      </w:r>
      <w:r w:rsidR="008673D4" w:rsidRPr="007233A3">
        <w:t xml:space="preserve">En dernière instance, elle nous invite à </w:t>
      </w:r>
      <w:r w:rsidRPr="007233A3">
        <w:t>remonter vers une morphologie (</w:t>
      </w:r>
      <w:proofErr w:type="spellStart"/>
      <w:r w:rsidRPr="007233A3">
        <w:t>Bordron</w:t>
      </w:r>
      <w:proofErr w:type="spellEnd"/>
      <w:r w:rsidRPr="007233A3">
        <w:t>, 2019)</w:t>
      </w:r>
      <w:r w:rsidR="008673D4" w:rsidRPr="007233A3">
        <w:t xml:space="preserve">, en deçà de la forme proprement dite </w:t>
      </w:r>
      <w:r w:rsidRPr="007233A3">
        <w:t> : ce qui est rendu perceptible,</w:t>
      </w:r>
      <w:r w:rsidR="002B7E98" w:rsidRPr="007233A3">
        <w:t xml:space="preserve"> </w:t>
      </w:r>
      <w:r w:rsidRPr="007233A3">
        <w:t xml:space="preserve">c’est un ensemble de forces convergentes et divergentes, à l’entrecroisement desquelles émerge une morphologie reconnaissable. </w:t>
      </w:r>
    </w:p>
    <w:p w:rsidR="00AC6D01" w:rsidRDefault="00B97839" w:rsidP="002B7E98">
      <w:pPr>
        <w:spacing w:after="120" w:line="276" w:lineRule="auto"/>
        <w:jc w:val="both"/>
        <w:rPr>
          <w:b/>
        </w:rPr>
      </w:pPr>
      <w:r w:rsidRPr="008673D4">
        <w:rPr>
          <w:b/>
        </w:rPr>
        <w:t xml:space="preserve">Deuxième </w:t>
      </w:r>
      <w:r w:rsidR="008673D4" w:rsidRPr="008673D4">
        <w:rPr>
          <w:b/>
        </w:rPr>
        <w:t>cas de figure</w:t>
      </w:r>
      <w:r w:rsidR="00AC6D01">
        <w:rPr>
          <w:b/>
        </w:rPr>
        <w:t xml:space="preserve"> et l’idée que le support influence le style de rapport des discours : nous verrons comment l’antécédence temporelle du discours originel est convertie en épaisseur spatiale </w:t>
      </w:r>
    </w:p>
    <w:p w:rsidR="001719CC" w:rsidRDefault="002B7E98" w:rsidP="002B7E98">
      <w:pPr>
        <w:spacing w:after="120" w:line="276" w:lineRule="auto"/>
        <w:jc w:val="both"/>
        <w:rPr>
          <w:lang w:val="fr-FR"/>
        </w:rPr>
      </w:pPr>
      <w:r>
        <w:t xml:space="preserve">Enchaînons </w:t>
      </w:r>
      <w:r w:rsidR="00AC6D01">
        <w:t xml:space="preserve">donc </w:t>
      </w:r>
      <w:r>
        <w:t xml:space="preserve">avec le graffiti </w:t>
      </w:r>
      <w:r w:rsidRPr="00BA798C">
        <w:rPr>
          <w:i/>
          <w:iCs/>
          <w:lang w:val="fr-FR"/>
        </w:rPr>
        <w:t>À la Place des oubliés</w:t>
      </w:r>
      <w:r>
        <w:rPr>
          <w:lang w:val="fr-FR"/>
        </w:rPr>
        <w:t xml:space="preserve"> de </w:t>
      </w:r>
      <w:proofErr w:type="spellStart"/>
      <w:r>
        <w:rPr>
          <w:lang w:val="fr-FR"/>
        </w:rPr>
        <w:t>Pleks</w:t>
      </w:r>
      <w:proofErr w:type="spellEnd"/>
      <w:r>
        <w:rPr>
          <w:lang w:val="fr-FR"/>
        </w:rPr>
        <w:t xml:space="preserve">, </w:t>
      </w:r>
      <w:r w:rsidRPr="00BA798C">
        <w:rPr>
          <w:lang w:val="fr-FR"/>
        </w:rPr>
        <w:t>Vallauris, 5 avril 2020</w:t>
      </w:r>
      <w:r w:rsidR="00CB0870">
        <w:rPr>
          <w:lang w:val="fr-FR"/>
        </w:rPr>
        <w:t>. E</w:t>
      </w:r>
      <w:r w:rsidR="001719CC">
        <w:rPr>
          <w:lang w:val="fr-FR"/>
        </w:rPr>
        <w:t xml:space="preserve">n quoi le </w:t>
      </w:r>
      <w:r w:rsidR="001719CC" w:rsidRPr="00CB0870">
        <w:rPr>
          <w:i/>
          <w:lang w:val="fr-FR"/>
        </w:rPr>
        <w:t>support</w:t>
      </w:r>
      <w:r w:rsidR="001719CC">
        <w:rPr>
          <w:lang w:val="fr-FR"/>
        </w:rPr>
        <w:t>, en l’occurrence mural, peut donner à voir la po</w:t>
      </w:r>
      <w:r w:rsidR="007233A3">
        <w:rPr>
          <w:lang w:val="fr-FR"/>
        </w:rPr>
        <w:t>l</w:t>
      </w:r>
      <w:r w:rsidR="001719CC">
        <w:rPr>
          <w:lang w:val="fr-FR"/>
        </w:rPr>
        <w:t>yphonie des discours verbaux</w:t>
      </w:r>
      <w:r w:rsidR="00CB0870">
        <w:rPr>
          <w:lang w:val="fr-FR"/>
        </w:rPr>
        <w:t> ?</w:t>
      </w:r>
      <w:r w:rsidR="001719CC">
        <w:rPr>
          <w:lang w:val="fr-FR"/>
        </w:rPr>
        <w:t xml:space="preserve"> </w:t>
      </w:r>
    </w:p>
    <w:p w:rsidR="001719CC" w:rsidRDefault="002B7E98" w:rsidP="002B7E98">
      <w:pPr>
        <w:spacing w:after="120" w:line="276" w:lineRule="auto"/>
        <w:jc w:val="both"/>
      </w:pPr>
      <w:r>
        <w:t xml:space="preserve">L’espace dialogique est </w:t>
      </w:r>
      <w:r w:rsidR="00CB0870">
        <w:t>ici</w:t>
      </w:r>
      <w:r w:rsidR="001719CC">
        <w:t xml:space="preserve"> </w:t>
      </w:r>
      <w:r>
        <w:t>inséparable de la superposition des inscriptions sur le support mural.</w:t>
      </w:r>
      <w:r w:rsidR="00B97839">
        <w:t xml:space="preserve"> </w:t>
      </w:r>
      <w:r w:rsidR="001719CC">
        <w:t xml:space="preserve">J’aimerais vérifier l’hypothèse que l’espace du mur stratifié, c’est-à-dire feuilleté en couches, pour ainsi dire </w:t>
      </w:r>
      <w:r w:rsidR="001719CC" w:rsidRPr="001719CC">
        <w:rPr>
          <w:i/>
        </w:rPr>
        <w:t>convertit</w:t>
      </w:r>
      <w:r w:rsidR="001719CC">
        <w:t xml:space="preserve"> en épaisseur spatiale celle du temps : nous savons que tout discours rapporté suppose deux moments dans le temps différents, une antécédence liée à la déhiscence ou discordance entre deux situations d’énonciation </w:t>
      </w:r>
      <w:r w:rsidR="000F35BC">
        <w:t xml:space="preserve">(je renvoie plus particulièrement aux travaux de Laurence Rosier) </w:t>
      </w:r>
      <w:r w:rsidR="001719CC">
        <w:t xml:space="preserve">et entre deux sources </w:t>
      </w:r>
      <w:proofErr w:type="spellStart"/>
      <w:r w:rsidR="001719CC">
        <w:t>locutives</w:t>
      </w:r>
      <w:proofErr w:type="spellEnd"/>
      <w:r w:rsidR="001719CC">
        <w:t xml:space="preserve"> différentes. </w:t>
      </w:r>
    </w:p>
    <w:p w:rsidR="002B7E98" w:rsidRDefault="00B97839" w:rsidP="002B7E98">
      <w:pPr>
        <w:spacing w:after="120" w:line="276" w:lineRule="auto"/>
        <w:jc w:val="both"/>
      </w:pPr>
      <w:r>
        <w:t xml:space="preserve">Nous sommes ainsi dans le vif du sujet de notre colloque : </w:t>
      </w:r>
      <w:r w:rsidR="00BE66E1">
        <w:t>comment</w:t>
      </w:r>
      <w:r>
        <w:t xml:space="preserve"> le support </w:t>
      </w:r>
      <w:r w:rsidR="00CB0870">
        <w:t xml:space="preserve">par exemple de type mural </w:t>
      </w:r>
      <w:r w:rsidR="006A6830">
        <w:t>s’accommode-t-il des</w:t>
      </w:r>
      <w:r>
        <w:t xml:space="preserve"> modes de rapport du discours autre ?  </w:t>
      </w:r>
    </w:p>
    <w:p w:rsidR="002B7E98" w:rsidRDefault="002B7E98" w:rsidP="002B7E98">
      <w:pPr>
        <w:spacing w:after="120" w:line="276" w:lineRule="auto"/>
        <w:jc w:val="both"/>
      </w:pPr>
      <w:r>
        <w:t xml:space="preserve">Des inscriptions de couleurs différentes, plus ou moins effacées, qui émaillent le mur et transparaissent en filigrane rehaussent les énoncés suivants, de couleur rouge vif : « MARIANNE ! J’AI ENVIE DE TOIT », la lettre « A » étant surmontée d’un </w:t>
      </w:r>
      <w:proofErr w:type="spellStart"/>
      <w:r>
        <w:t>coeur</w:t>
      </w:r>
      <w:proofErr w:type="spellEnd"/>
      <w:r>
        <w:t xml:space="preserve"> et le mot « « TOIT » étant suivi de l’</w:t>
      </w:r>
      <w:proofErr w:type="spellStart"/>
      <w:r>
        <w:t>émoji</w:t>
      </w:r>
      <w:proofErr w:type="spellEnd"/>
      <w:r>
        <w:t xml:space="preserve"> d’un </w:t>
      </w:r>
      <w:proofErr w:type="spellStart"/>
      <w:r>
        <w:t>coeur</w:t>
      </w:r>
      <w:proofErr w:type="spellEnd"/>
      <w:r>
        <w:t xml:space="preserve"> percé d’une flèche. Ces énoncés surplombent la </w:t>
      </w:r>
      <w:r>
        <w:lastRenderedPageBreak/>
        <w:t xml:space="preserve">masse d’un sans domicile fixe, couché à même le sol </w:t>
      </w:r>
      <w:r w:rsidRPr="007233A3">
        <w:t>(le personnage, dont la tête repose sur un balluchon noir, porte un bonnet noir, une manteau brun et il est enroulé dans une couverture bleue)</w:t>
      </w:r>
      <w:r w:rsidRPr="00CB0870">
        <w:rPr>
          <w:i/>
        </w:rPr>
        <w:t xml:space="preserve">. </w:t>
      </w:r>
      <w:r>
        <w:t>Dans le coin gauche en haut de l’image, le nom de la place publique est occulté ; la place est renommée « places des oubliés » (mise à contribution de l’</w:t>
      </w:r>
      <w:proofErr w:type="spellStart"/>
      <w:r>
        <w:t>odonymie</w:t>
      </w:r>
      <w:proofErr w:type="spellEnd"/>
      <w:r>
        <w:t xml:space="preserve">). Y fait écho le titre de l’œuvre, qui propose néanmoins un déplacement intéressant, du nom (inédit) de la place à une expression figée, le graffiteur endossant le rôle du porte-parole des oubliés (« À la place des oubliés »). Enfin, le graffiti intègre un énoncé officiel préexistant, qui témoigne de l’aménagement de l’espace public : la pancarte-notice « merci de ne pas stationner… », corps étranger dont la source est connue, est intégrée dans le tout de sens à travers des inscriptions qui envahissent son espace et gomment la frontière entre un ici et un là, un intérieur et un extérieur.  </w:t>
      </w:r>
    </w:p>
    <w:p w:rsidR="002B7E98" w:rsidRDefault="002B7E98" w:rsidP="002B7E98">
      <w:pPr>
        <w:spacing w:after="120" w:line="276" w:lineRule="auto"/>
        <w:jc w:val="both"/>
      </w:pPr>
      <w:r>
        <w:t xml:space="preserve">L’intérêt réside d’abord dans l’interpellation de la République (opposée à une figure féminine anonyme), dans l’homonymie phonique qui invite à indexer le lexème « envie » sur deux isotopies distinctes (« désir, besoin » et « désir sexuel ») et dans les homophones « toit «  et « toi ». </w:t>
      </w:r>
      <w:r w:rsidR="00B97839">
        <w:t xml:space="preserve">Une expression figée à source </w:t>
      </w:r>
      <w:proofErr w:type="spellStart"/>
      <w:r w:rsidR="00B97839">
        <w:t>locutive</w:t>
      </w:r>
      <w:proofErr w:type="spellEnd"/>
      <w:r w:rsidR="00B97839">
        <w:t xml:space="preserve"> non localisable (« avoir envie de quelqu’un ») circule comme en sous-main et, même si elle est </w:t>
      </w:r>
      <w:r w:rsidR="000C6CD5">
        <w:t xml:space="preserve">défigée et </w:t>
      </w:r>
      <w:proofErr w:type="spellStart"/>
      <w:r w:rsidR="00B97839">
        <w:t>réénoncée</w:t>
      </w:r>
      <w:proofErr w:type="spellEnd"/>
      <w:r w:rsidR="00B97839">
        <w:t xml:space="preserve"> (</w:t>
      </w:r>
      <w:r w:rsidR="00CE2693">
        <w:t>reprise sous la forme d’un discours direct détourné, avec le dédoublement caractéristique de la</w:t>
      </w:r>
      <w:r w:rsidR="00B97839">
        <w:t xml:space="preserve"> situation d’énonciation), elle résiste à l’arrière-plan, </w:t>
      </w:r>
      <w:r w:rsidR="000C6CD5">
        <w:t xml:space="preserve">constituant ainsi une épaisseur discursive. </w:t>
      </w:r>
    </w:p>
    <w:p w:rsidR="002B7E98" w:rsidRDefault="002B7E98" w:rsidP="002B7E98">
      <w:pPr>
        <w:spacing w:after="120" w:line="276" w:lineRule="auto"/>
        <w:jc w:val="both"/>
      </w:pPr>
      <w:r>
        <w:t>Il est surtout remarquable que les inscriptions se superposent à d’autres inscriptions, de couleurs différentes, qu’elles recouvrent en partie, à des tags, à des lettrages que le regard détaillant peut, par des recadrages, imposer à la vue contre leurs entours. Le mur constitue comme un palimpseste invitant à la découverte d’inscriptions plus ou moins enfouies ou effacées, qui s’étayent mutuellement ou entrent en lutte pour un maximum de visibilité. D’où un jeu sur les formes potentialisées</w:t>
      </w:r>
      <w:r w:rsidR="006A6830">
        <w:t xml:space="preserve"> (reléguées à l’arrière-plan), </w:t>
      </w:r>
      <w:r>
        <w:t xml:space="preserve"> actualisées et réalisées. Aussi une circulation s’installe-t-elle entre une pluralité d’énoncés, entre une multiplicité d’instances d’énonciation. </w:t>
      </w:r>
    </w:p>
    <w:p w:rsidR="002B7E98" w:rsidRDefault="002B7E98" w:rsidP="002B7E98">
      <w:pPr>
        <w:spacing w:after="120" w:line="276" w:lineRule="auto"/>
        <w:jc w:val="both"/>
      </w:pPr>
      <w:r>
        <w:t xml:space="preserve">Si le support mural bleuâtre se voit ainsi stratifié en profondeur, il est sollicité également d’une autre manière : l’espace fictionnel du </w:t>
      </w:r>
      <w:proofErr w:type="spellStart"/>
      <w:r>
        <w:t>graffit</w:t>
      </w:r>
      <w:proofErr w:type="spellEnd"/>
      <w:r>
        <w:t xml:space="preserve"> fait mine de se poursuivre à même le sol, perpendiculairement au mur, à travers une pancarte en carton endossée contre le mur, qui porte les mots « Une pièce à vivre s.v.p. » (double indexation de « pièce » sur l’isotopie « habitat » et sur l’isotopie « monnaie »), à travers un peu de peinture bleu clair pulvérisée sur le trottoir et, d’un côté et de l’autre, une bouteille de bière et un sac poubelle. </w:t>
      </w:r>
    </w:p>
    <w:p w:rsidR="002B7E98" w:rsidRDefault="002B7E98" w:rsidP="007233A3">
      <w:pPr>
        <w:spacing w:after="120" w:line="276" w:lineRule="auto"/>
        <w:jc w:val="both"/>
      </w:pPr>
      <w:r>
        <w:t xml:space="preserve">La matérialité de la peinture, des inscriptions superposées et du mur interagissant avec le trottoir est ainsi rendue sensible, au-delà de la solidarisation des plans du contenu et de l’expression des langages verbal et visuel proprement dits.  </w:t>
      </w:r>
    </w:p>
    <w:p w:rsidR="007233A3" w:rsidRDefault="000C6CD5" w:rsidP="007233A3">
      <w:pPr>
        <w:spacing w:after="120" w:line="276" w:lineRule="auto"/>
        <w:jc w:val="both"/>
      </w:pPr>
      <w:r>
        <w:t xml:space="preserve">Pour résumer, je dirai </w:t>
      </w:r>
      <w:r w:rsidR="00B56BCF">
        <w:t xml:space="preserve">que les stratégies de discours rapporté sont fonction du support – il faut respecter le support mural avec ses propriétés (grain de la surface, couleur, dimensions…, en plus des inscriptions superposées qui l’ont déjà arraché à l’anonymat et </w:t>
      </w:r>
      <w:r w:rsidR="006C318B">
        <w:t>« </w:t>
      </w:r>
      <w:r w:rsidR="00B56BCF">
        <w:t>culturalisé</w:t>
      </w:r>
      <w:r w:rsidR="006C318B">
        <w:t> »</w:t>
      </w:r>
      <w:r w:rsidR="00B56BCF">
        <w:t xml:space="preserve">) -, du format et du genre. </w:t>
      </w:r>
      <w:r w:rsidR="00DF48EF">
        <w:t>On peut considérer que le support ici mural appelle un certain type de discours rapporté (on voit mal le mur accueillir un discours indirect, par exemple)</w:t>
      </w:r>
      <w:r w:rsidR="002043C9">
        <w:t>.</w:t>
      </w:r>
      <w:r w:rsidR="0034567C">
        <w:t xml:space="preserve"> </w:t>
      </w:r>
    </w:p>
    <w:p w:rsidR="000C6CD5" w:rsidRDefault="006C318B" w:rsidP="007233A3">
      <w:pPr>
        <w:spacing w:after="120" w:line="276" w:lineRule="auto"/>
        <w:jc w:val="both"/>
      </w:pPr>
      <w:r>
        <w:lastRenderedPageBreak/>
        <w:t>Surtout, l</w:t>
      </w:r>
      <w:r w:rsidR="00B56BCF">
        <w:t>e support, le format et le genre de discours permettent aux stratégies de discours rapporté de jouer</w:t>
      </w:r>
      <w:r w:rsidR="009205C2">
        <w:t xml:space="preserve"> sur </w:t>
      </w:r>
      <w:r w:rsidR="000C6CD5">
        <w:t>la stratification spatiale (feuilleté)</w:t>
      </w:r>
      <w:r w:rsidR="00B56BCF">
        <w:t xml:space="preserve">, </w:t>
      </w:r>
      <w:r w:rsidR="0056665D">
        <w:t xml:space="preserve">mais aussi </w:t>
      </w:r>
      <w:r>
        <w:t xml:space="preserve">de </w:t>
      </w:r>
      <w:r w:rsidR="0056665D">
        <w:t xml:space="preserve">sensibiliser </w:t>
      </w:r>
      <w:r w:rsidR="0034567C">
        <w:t>aux</w:t>
      </w:r>
      <w:r w:rsidR="00B56BCF">
        <w:t xml:space="preserve"> couches temporelles que </w:t>
      </w:r>
      <w:r w:rsidR="000C6CD5">
        <w:t xml:space="preserve">le caractère plus ou moins effacé des inscriptions </w:t>
      </w:r>
      <w:r w:rsidR="00B56BCF">
        <w:t xml:space="preserve">nous </w:t>
      </w:r>
      <w:r w:rsidR="0056665D">
        <w:t xml:space="preserve">amène </w:t>
      </w:r>
      <w:r w:rsidR="00B56BCF">
        <w:t xml:space="preserve">à reconstituer . </w:t>
      </w:r>
    </w:p>
    <w:p w:rsidR="009834CA" w:rsidRPr="006A6830" w:rsidRDefault="009834CA" w:rsidP="00DA2F57">
      <w:pPr>
        <w:spacing w:after="120" w:line="276" w:lineRule="auto"/>
        <w:jc w:val="both"/>
        <w:rPr>
          <w:b/>
        </w:rPr>
      </w:pPr>
      <w:r w:rsidRPr="006A6830">
        <w:rPr>
          <w:b/>
        </w:rPr>
        <w:t>Troisième cas de figure</w:t>
      </w:r>
      <w:r w:rsidR="00AC6D01">
        <w:rPr>
          <w:b/>
        </w:rPr>
        <w:t> : le support est à la base d’un jeu de mots</w:t>
      </w:r>
    </w:p>
    <w:p w:rsidR="009834CA" w:rsidRPr="009834CA" w:rsidRDefault="009834CA" w:rsidP="007233A3">
      <w:pPr>
        <w:spacing w:after="120" w:line="276" w:lineRule="auto"/>
        <w:jc w:val="both"/>
        <w:rPr>
          <w:lang w:val="fr-FR"/>
        </w:rPr>
      </w:pPr>
      <w:r>
        <w:t>On franchira un pas avec le graffiti intitulé</w:t>
      </w:r>
      <w:r w:rsidRPr="00A5273B">
        <w:rPr>
          <w:lang w:val="fr-FR"/>
        </w:rPr>
        <w:t xml:space="preserve"> </w:t>
      </w:r>
      <w:r w:rsidRPr="00A5273B">
        <w:rPr>
          <w:i/>
          <w:iCs/>
          <w:lang w:val="fr-FR"/>
        </w:rPr>
        <w:t>Émaux bleus</w:t>
      </w:r>
      <w:r w:rsidRPr="00A5273B">
        <w:rPr>
          <w:lang w:val="fr-FR"/>
        </w:rPr>
        <w:t xml:space="preserve">, </w:t>
      </w:r>
      <w:r>
        <w:rPr>
          <w:lang w:val="fr-FR"/>
        </w:rPr>
        <w:t xml:space="preserve">de </w:t>
      </w:r>
      <w:proofErr w:type="spellStart"/>
      <w:r>
        <w:rPr>
          <w:lang w:val="fr-FR"/>
        </w:rPr>
        <w:t>Morèle</w:t>
      </w:r>
      <w:proofErr w:type="spellEnd"/>
      <w:r>
        <w:rPr>
          <w:lang w:val="fr-FR"/>
        </w:rPr>
        <w:t xml:space="preserve">, </w:t>
      </w:r>
      <w:r w:rsidRPr="00A5273B">
        <w:rPr>
          <w:lang w:val="fr-FR"/>
        </w:rPr>
        <w:t>Paris, 28 avril 2020</w:t>
      </w:r>
      <w:r>
        <w:rPr>
          <w:lang w:val="fr-FR"/>
        </w:rPr>
        <w:t xml:space="preserve">. Il propose une représentation, dans les tons brunâtres, beiges et bleus, de Christophe, interprète de la chanson </w:t>
      </w:r>
      <w:r w:rsidRPr="00370AC0">
        <w:rPr>
          <w:i/>
          <w:lang w:val="fr-FR"/>
        </w:rPr>
        <w:t>Les mots bleus</w:t>
      </w:r>
      <w:r>
        <w:rPr>
          <w:lang w:val="fr-FR"/>
        </w:rPr>
        <w:t xml:space="preserve"> et décédé des suites du </w:t>
      </w:r>
      <w:proofErr w:type="spellStart"/>
      <w:r>
        <w:rPr>
          <w:lang w:val="fr-FR"/>
        </w:rPr>
        <w:t>covid</w:t>
      </w:r>
      <w:proofErr w:type="spellEnd"/>
      <w:r>
        <w:rPr>
          <w:lang w:val="fr-FR"/>
        </w:rPr>
        <w:t>, comme le suggère l’inscription dans le coin gauche, en haut de l’image « ciel du 17 avril 2020 ». Le portrait jouxte les mots « </w:t>
      </w:r>
      <w:proofErr w:type="spellStart"/>
      <w:r>
        <w:rPr>
          <w:lang w:val="fr-FR"/>
        </w:rPr>
        <w:t>Emaux</w:t>
      </w:r>
      <w:proofErr w:type="spellEnd"/>
      <w:r>
        <w:rPr>
          <w:lang w:val="fr-FR"/>
        </w:rPr>
        <w:t xml:space="preserve"> </w:t>
      </w:r>
      <w:proofErr w:type="spellStart"/>
      <w:r>
        <w:rPr>
          <w:lang w:val="fr-FR"/>
        </w:rPr>
        <w:t>bleux</w:t>
      </w:r>
      <w:proofErr w:type="spellEnd"/>
      <w:r>
        <w:rPr>
          <w:lang w:val="fr-FR"/>
        </w:rPr>
        <w:t> » formé par un jeu de mots sur « Les mots bleus ». L’ensemble imite une affiche collée sur un support d’émaux dans les tons bleus et blancs. On voit que l’énoncé verbal ne peut être interprété que par l’</w:t>
      </w:r>
      <w:r w:rsidRPr="00370AC0">
        <w:rPr>
          <w:i/>
          <w:lang w:val="fr-FR"/>
        </w:rPr>
        <w:t>entremise du support</w:t>
      </w:r>
      <w:r>
        <w:rPr>
          <w:lang w:val="fr-FR"/>
        </w:rPr>
        <w:t>, qui seul peut justifier et expliquer le glissement homophonique.</w:t>
      </w:r>
    </w:p>
    <w:p w:rsidR="00C41CBD" w:rsidRPr="007233A3" w:rsidRDefault="009834CA" w:rsidP="007233A3">
      <w:pPr>
        <w:spacing w:after="120" w:line="276" w:lineRule="auto"/>
        <w:jc w:val="both"/>
        <w:rPr>
          <w:b/>
        </w:rPr>
      </w:pPr>
      <w:r w:rsidRPr="006A6830">
        <w:rPr>
          <w:b/>
        </w:rPr>
        <w:t xml:space="preserve">Quatrième </w:t>
      </w:r>
      <w:r w:rsidR="00C41CBD" w:rsidRPr="006A6830">
        <w:rPr>
          <w:b/>
        </w:rPr>
        <w:t>cas de figure</w:t>
      </w:r>
      <w:r w:rsidR="00AC6D01">
        <w:rPr>
          <w:b/>
        </w:rPr>
        <w:t> : le discours rapporté sert une cause nationale et internationale</w:t>
      </w:r>
    </w:p>
    <w:p w:rsidR="00C41CBD" w:rsidRDefault="00C41CBD" w:rsidP="007233A3">
      <w:pPr>
        <w:spacing w:after="120" w:line="276" w:lineRule="auto"/>
        <w:jc w:val="both"/>
      </w:pPr>
      <w:r>
        <w:t xml:space="preserve">Je terminerai par deux graffitis qui se répondent l’un à l’autre, tout en </w:t>
      </w:r>
      <w:proofErr w:type="spellStart"/>
      <w:r>
        <w:t>réénonçant</w:t>
      </w:r>
      <w:proofErr w:type="spellEnd"/>
      <w:r>
        <w:t xml:space="preserve"> une affiche bien connue (allusion à peine voilée). </w:t>
      </w:r>
      <w:r w:rsidRPr="007233A3">
        <w:t xml:space="preserve">D’où un entrecroisement de discours sur les plans à la fois horizontal </w:t>
      </w:r>
      <w:r w:rsidR="00CE2693" w:rsidRPr="007233A3">
        <w:t xml:space="preserve">(deux graffitis qui se font face) </w:t>
      </w:r>
      <w:r w:rsidRPr="007233A3">
        <w:t>et vertical</w:t>
      </w:r>
      <w:r w:rsidR="00CE2693" w:rsidRPr="007233A3">
        <w:t xml:space="preserve"> (</w:t>
      </w:r>
      <w:proofErr w:type="spellStart"/>
      <w:r w:rsidR="00CE2693" w:rsidRPr="007233A3">
        <w:t>interdiscours</w:t>
      </w:r>
      <w:proofErr w:type="spellEnd"/>
      <w:r w:rsidR="00CE2693" w:rsidRPr="007233A3">
        <w:t xml:space="preserve"> et intertextualité réactualisant une affiche qui appartient au passé historique). </w:t>
      </w:r>
      <w:r w:rsidR="00C27A57">
        <w:t xml:space="preserve">À travers ces exemples, j’essayerai de souligner la portée proprement politique de graffitis qui, à travers des discours rapportés et détournés, finissent par servir une cause </w:t>
      </w:r>
      <w:r w:rsidR="006A6830">
        <w:t xml:space="preserve">qui les dépasse </w:t>
      </w:r>
      <w:r w:rsidR="00C27A57">
        <w:t>(vaincre la pandémie de</w:t>
      </w:r>
      <w:r w:rsidR="006A6830">
        <w:t xml:space="preserve"> </w:t>
      </w:r>
      <w:r w:rsidR="00C27A57">
        <w:t xml:space="preserve">la </w:t>
      </w:r>
      <w:proofErr w:type="spellStart"/>
      <w:r w:rsidR="00C27A57">
        <w:t>Covid</w:t>
      </w:r>
      <w:proofErr w:type="spellEnd"/>
      <w:r w:rsidR="00C27A57">
        <w:t xml:space="preserve"> 19)</w:t>
      </w:r>
      <w:r w:rsidR="006A6830">
        <w:t>.</w:t>
      </w:r>
    </w:p>
    <w:p w:rsidR="00C41CBD" w:rsidRPr="00920844" w:rsidRDefault="00C41CBD" w:rsidP="00920844">
      <w:pPr>
        <w:pStyle w:val="Notedebasdepage"/>
        <w:spacing w:after="120" w:line="276" w:lineRule="auto"/>
        <w:jc w:val="both"/>
        <w:rPr>
          <w:sz w:val="24"/>
          <w:szCs w:val="24"/>
        </w:rPr>
      </w:pPr>
      <w:r w:rsidRPr="00920844">
        <w:rPr>
          <w:sz w:val="24"/>
          <w:szCs w:val="24"/>
        </w:rPr>
        <w:t xml:space="preserve">Dans le premier cas, il s’agit de </w:t>
      </w:r>
      <w:proofErr w:type="spellStart"/>
      <w:r w:rsidRPr="00920844">
        <w:rPr>
          <w:i/>
          <w:sz w:val="24"/>
          <w:szCs w:val="24"/>
        </w:rPr>
        <w:t>Divided</w:t>
      </w:r>
      <w:proofErr w:type="spellEnd"/>
      <w:r w:rsidRPr="00920844">
        <w:rPr>
          <w:i/>
          <w:sz w:val="24"/>
          <w:szCs w:val="24"/>
        </w:rPr>
        <w:t xml:space="preserve"> </w:t>
      </w:r>
      <w:proofErr w:type="spellStart"/>
      <w:r w:rsidRPr="00920844">
        <w:rPr>
          <w:i/>
          <w:sz w:val="24"/>
          <w:szCs w:val="24"/>
        </w:rPr>
        <w:t>We</w:t>
      </w:r>
      <w:proofErr w:type="spellEnd"/>
      <w:r w:rsidRPr="00920844">
        <w:rPr>
          <w:i/>
          <w:sz w:val="24"/>
          <w:szCs w:val="24"/>
        </w:rPr>
        <w:t xml:space="preserve"> Stand, United </w:t>
      </w:r>
      <w:proofErr w:type="spellStart"/>
      <w:r w:rsidRPr="00920844">
        <w:rPr>
          <w:i/>
          <w:sz w:val="24"/>
          <w:szCs w:val="24"/>
        </w:rPr>
        <w:t>We</w:t>
      </w:r>
      <w:proofErr w:type="spellEnd"/>
      <w:r w:rsidRPr="00920844">
        <w:rPr>
          <w:i/>
          <w:sz w:val="24"/>
          <w:szCs w:val="24"/>
        </w:rPr>
        <w:t xml:space="preserve"> </w:t>
      </w:r>
      <w:proofErr w:type="spellStart"/>
      <w:r w:rsidRPr="00920844">
        <w:rPr>
          <w:i/>
          <w:sz w:val="24"/>
          <w:szCs w:val="24"/>
        </w:rPr>
        <w:t>Fall</w:t>
      </w:r>
      <w:proofErr w:type="spellEnd"/>
      <w:r w:rsidRPr="00920844">
        <w:rPr>
          <w:sz w:val="24"/>
          <w:szCs w:val="24"/>
        </w:rPr>
        <w:t xml:space="preserve">, de TV Boy, Barcelone, 13 mars 2020. On assiste à un détournement de l’énoncé </w:t>
      </w:r>
      <w:r w:rsidRPr="00920844">
        <w:rPr>
          <w:i/>
          <w:sz w:val="24"/>
          <w:szCs w:val="24"/>
        </w:rPr>
        <w:t xml:space="preserve">United </w:t>
      </w:r>
      <w:proofErr w:type="spellStart"/>
      <w:r w:rsidRPr="00920844">
        <w:rPr>
          <w:i/>
          <w:sz w:val="24"/>
          <w:szCs w:val="24"/>
        </w:rPr>
        <w:t>We</w:t>
      </w:r>
      <w:proofErr w:type="spellEnd"/>
      <w:r w:rsidRPr="00920844">
        <w:rPr>
          <w:i/>
          <w:sz w:val="24"/>
          <w:szCs w:val="24"/>
        </w:rPr>
        <w:t xml:space="preserve"> Stand, </w:t>
      </w:r>
      <w:proofErr w:type="spellStart"/>
      <w:r w:rsidRPr="00920844">
        <w:rPr>
          <w:i/>
          <w:sz w:val="24"/>
          <w:szCs w:val="24"/>
        </w:rPr>
        <w:t>Divided</w:t>
      </w:r>
      <w:proofErr w:type="spellEnd"/>
      <w:r w:rsidRPr="00920844">
        <w:rPr>
          <w:i/>
          <w:sz w:val="24"/>
          <w:szCs w:val="24"/>
        </w:rPr>
        <w:t xml:space="preserve"> </w:t>
      </w:r>
      <w:proofErr w:type="spellStart"/>
      <w:r w:rsidRPr="00920844">
        <w:rPr>
          <w:i/>
          <w:sz w:val="24"/>
          <w:szCs w:val="24"/>
        </w:rPr>
        <w:t>We</w:t>
      </w:r>
      <w:proofErr w:type="spellEnd"/>
      <w:r w:rsidRPr="00920844">
        <w:rPr>
          <w:i/>
          <w:sz w:val="24"/>
          <w:szCs w:val="24"/>
        </w:rPr>
        <w:t xml:space="preserve"> </w:t>
      </w:r>
      <w:proofErr w:type="spellStart"/>
      <w:r w:rsidRPr="00920844">
        <w:rPr>
          <w:i/>
          <w:sz w:val="24"/>
          <w:szCs w:val="24"/>
        </w:rPr>
        <w:t>Fall</w:t>
      </w:r>
      <w:proofErr w:type="spellEnd"/>
      <w:r w:rsidRPr="00920844">
        <w:rPr>
          <w:sz w:val="24"/>
          <w:szCs w:val="24"/>
        </w:rPr>
        <w:t>, que certains font remonter à une fable d’Ésope et qui joue un rôle majeur dans l’histoire américaine</w:t>
      </w:r>
      <w:r w:rsidRPr="00920844">
        <w:rPr>
          <w:rStyle w:val="Appelnotedebasdep"/>
          <w:sz w:val="24"/>
          <w:szCs w:val="24"/>
        </w:rPr>
        <w:footnoteReference w:id="4"/>
      </w:r>
      <w:r w:rsidRPr="00920844">
        <w:rPr>
          <w:sz w:val="24"/>
          <w:szCs w:val="24"/>
        </w:rPr>
        <w:t>. À cela s’ajoute la réécriture de la devise de l’affiche de propagande créée pour l’armée américaine en 1917 par James Montgomery, sur laquelle on voit l’Oncle Sam exhorter les civils à s’engager dans la Première guerre mondiale, aux côtés des alliés</w:t>
      </w:r>
      <w:r w:rsidR="00BD46D7">
        <w:rPr>
          <w:sz w:val="24"/>
          <w:szCs w:val="24"/>
        </w:rPr>
        <w:t>. C</w:t>
      </w:r>
      <w:r w:rsidR="00920844" w:rsidRPr="00920844">
        <w:rPr>
          <w:sz w:val="24"/>
          <w:szCs w:val="24"/>
        </w:rPr>
        <w:t xml:space="preserve">ette affiche a été commentée par Jean-Marie </w:t>
      </w:r>
      <w:proofErr w:type="spellStart"/>
      <w:r w:rsidR="00920844" w:rsidRPr="00920844">
        <w:rPr>
          <w:sz w:val="24"/>
          <w:szCs w:val="24"/>
        </w:rPr>
        <w:t>Klinkenberg</w:t>
      </w:r>
      <w:proofErr w:type="spellEnd"/>
      <w:r w:rsidR="00920844" w:rsidRPr="00920844">
        <w:rPr>
          <w:sz w:val="24"/>
          <w:szCs w:val="24"/>
        </w:rPr>
        <w:t xml:space="preserve"> (notamment 2016), qui y voit un mouvement indexical centrifuge, de l’énonciateur interne vers l’énonciataire externe</w:t>
      </w:r>
      <w:r w:rsidR="00BD46D7">
        <w:rPr>
          <w:sz w:val="24"/>
          <w:szCs w:val="24"/>
        </w:rPr>
        <w:t xml:space="preserve">. Ici, </w:t>
      </w:r>
      <w:r w:rsidRPr="00920844">
        <w:rPr>
          <w:sz w:val="24"/>
          <w:szCs w:val="24"/>
        </w:rPr>
        <w:t xml:space="preserve">« I </w:t>
      </w:r>
      <w:proofErr w:type="spellStart"/>
      <w:r w:rsidRPr="00920844">
        <w:rPr>
          <w:sz w:val="24"/>
          <w:szCs w:val="24"/>
        </w:rPr>
        <w:t>want</w:t>
      </w:r>
      <w:proofErr w:type="spellEnd"/>
      <w:r w:rsidRPr="00920844">
        <w:rPr>
          <w:sz w:val="24"/>
          <w:szCs w:val="24"/>
        </w:rPr>
        <w:t xml:space="preserve"> </w:t>
      </w:r>
      <w:proofErr w:type="spellStart"/>
      <w:r w:rsidRPr="00920844">
        <w:rPr>
          <w:sz w:val="24"/>
          <w:szCs w:val="24"/>
        </w:rPr>
        <w:t>you</w:t>
      </w:r>
      <w:proofErr w:type="spellEnd"/>
      <w:r w:rsidRPr="00920844">
        <w:rPr>
          <w:sz w:val="24"/>
          <w:szCs w:val="24"/>
        </w:rPr>
        <w:t xml:space="preserve"> for US </w:t>
      </w:r>
      <w:proofErr w:type="spellStart"/>
      <w:r w:rsidRPr="00920844">
        <w:rPr>
          <w:sz w:val="24"/>
          <w:szCs w:val="24"/>
        </w:rPr>
        <w:t>Army</w:t>
      </w:r>
      <w:proofErr w:type="spellEnd"/>
      <w:r w:rsidRPr="00920844">
        <w:rPr>
          <w:sz w:val="24"/>
          <w:szCs w:val="24"/>
        </w:rPr>
        <w:t> » est transformé en « I WANT YOU TO STAY HOME »</w:t>
      </w:r>
      <w:r w:rsidRPr="00920844">
        <w:rPr>
          <w:rStyle w:val="Appelnotedebasdep"/>
          <w:sz w:val="24"/>
          <w:szCs w:val="24"/>
        </w:rPr>
        <w:footnoteReference w:id="5"/>
      </w:r>
      <w:r w:rsidRPr="00920844">
        <w:rPr>
          <w:sz w:val="24"/>
          <w:szCs w:val="24"/>
        </w:rPr>
        <w:t xml:space="preserve"> ; le personnage est masqué et son chapeau est orné du drapeau européen (plutôt que d’une étoile unique). Le caractère injonctif de ce graffiti s’autorise de sa dimension historiographique – d’une guerre à l’autre, même si, paradoxalement, les comportements auxquels l’oncle Sam (revisité) exhorte sont de nature strictement opposée (« partir </w:t>
      </w:r>
      <w:r w:rsidRPr="00920844">
        <w:rPr>
          <w:i/>
          <w:sz w:val="24"/>
          <w:szCs w:val="24"/>
        </w:rPr>
        <w:t>vs</w:t>
      </w:r>
      <w:r w:rsidRPr="00920844">
        <w:rPr>
          <w:sz w:val="24"/>
          <w:szCs w:val="24"/>
        </w:rPr>
        <w:t xml:space="preserve"> rester »). </w:t>
      </w:r>
    </w:p>
    <w:p w:rsidR="00C41CBD" w:rsidRPr="00920844" w:rsidRDefault="00C41CBD" w:rsidP="00920844">
      <w:pPr>
        <w:spacing w:after="120" w:line="276" w:lineRule="auto"/>
        <w:jc w:val="both"/>
      </w:pPr>
      <w:r w:rsidRPr="00920844">
        <w:t xml:space="preserve">L’œuvre de Combo intitulée </w:t>
      </w:r>
      <w:proofErr w:type="spellStart"/>
      <w:r w:rsidRPr="00920844">
        <w:rPr>
          <w:i/>
        </w:rPr>
        <w:t>Pandemic</w:t>
      </w:r>
      <w:proofErr w:type="spellEnd"/>
      <w:r w:rsidRPr="00920844">
        <w:rPr>
          <w:i/>
        </w:rPr>
        <w:t xml:space="preserve"> </w:t>
      </w:r>
      <w:proofErr w:type="spellStart"/>
      <w:r w:rsidRPr="00920844">
        <w:rPr>
          <w:i/>
        </w:rPr>
        <w:t>War</w:t>
      </w:r>
      <w:proofErr w:type="spellEnd"/>
      <w:r w:rsidRPr="00920844">
        <w:t xml:space="preserve">, montrée à Paris le 17 mars 2020, est plus allusive. Si elle garde l’index pointé en direction de l’énonciataire externe, elle propose une réactualisation et une adaptation au contexte franco-français : le visage et le buste de Macron, qui a remplacé Montgomery, se détachent sur un fond marqué par les traînées bleues blanches </w:t>
      </w:r>
      <w:r w:rsidRPr="00920844">
        <w:lastRenderedPageBreak/>
        <w:t>et rouges laissées dans le ciel par les avions de chasse de la patrouille de France. Le bas de l’image donne à voir la silhouette d’un homme posté devant les Galeries Lafayette, revêtu d’une combinaison et d’un masque pulvérisant un liquide supposé éradiquer le virus. Le lettrage « THE PANDAMIC WAR » fait allusion à l’allocution télévisée du 16 mars 2020, où Macron a parlé de guerre.</w:t>
      </w:r>
    </w:p>
    <w:p w:rsidR="00C41CBD" w:rsidRDefault="00C41CBD" w:rsidP="00C41CBD">
      <w:pPr>
        <w:spacing w:after="120" w:line="276" w:lineRule="auto"/>
        <w:jc w:val="both"/>
      </w:pPr>
      <w:r>
        <w:t>Dans ces deux graffitis, la complémentarité de l’image et du lettrage est mise au service de l’</w:t>
      </w:r>
      <w:proofErr w:type="spellStart"/>
      <w:r>
        <w:t>inter</w:t>
      </w:r>
      <w:r w:rsidR="00CE2693">
        <w:t>discursivité</w:t>
      </w:r>
      <w:proofErr w:type="spellEnd"/>
      <w:r w:rsidR="00CE2693">
        <w:t xml:space="preserve"> et de l’inter</w:t>
      </w:r>
      <w:r>
        <w:t xml:space="preserve">textualité. La </w:t>
      </w:r>
      <w:proofErr w:type="spellStart"/>
      <w:r>
        <w:t>réénonciation</w:t>
      </w:r>
      <w:proofErr w:type="spellEnd"/>
      <w:r>
        <w:t xml:space="preserve"> est tendue entre la reprise, qui assure la reconnaissance de l’affiche originelle et crée une épaisseur historique, et la réinvention à travers sa réactualisation. </w:t>
      </w:r>
    </w:p>
    <w:p w:rsidR="00A03110" w:rsidRDefault="00C27A57" w:rsidP="00A03110">
      <w:pPr>
        <w:spacing w:after="120" w:line="276" w:lineRule="auto"/>
        <w:jc w:val="both"/>
      </w:pPr>
      <w:r>
        <w:t>C</w:t>
      </w:r>
      <w:r w:rsidR="0056665D">
        <w:t>es graffitis témoignent</w:t>
      </w:r>
      <w:r>
        <w:t xml:space="preserve"> </w:t>
      </w:r>
      <w:r w:rsidR="0056665D">
        <w:t xml:space="preserve">de l’enracinement de ces énoncés dans l’environnement historique, sociétal, politique . Ils en portent les marques. </w:t>
      </w:r>
      <w:r w:rsidR="00A03110">
        <w:t xml:space="preserve">Non sans paradoxe, les écritures de la marge se mettent ici au service d’une grande cause nationale et internationale. Elles unissent les passants dans une communauté alternative étendue, consolidant un « être entre » (un </w:t>
      </w:r>
      <w:r w:rsidR="00A03110" w:rsidRPr="003D6C27">
        <w:rPr>
          <w:i/>
        </w:rPr>
        <w:t xml:space="preserve">inter </w:t>
      </w:r>
      <w:proofErr w:type="spellStart"/>
      <w:r w:rsidR="00A03110" w:rsidRPr="003D6C27">
        <w:rPr>
          <w:i/>
        </w:rPr>
        <w:t>homines</w:t>
      </w:r>
      <w:proofErr w:type="spellEnd"/>
      <w:r w:rsidR="00A03110" w:rsidRPr="003D6C27">
        <w:rPr>
          <w:i/>
        </w:rPr>
        <w:t xml:space="preserve"> esse</w:t>
      </w:r>
      <w:r w:rsidR="00A03110">
        <w:t xml:space="preserve">, au sens où l’entend </w:t>
      </w:r>
      <w:proofErr w:type="spellStart"/>
      <w:r w:rsidR="00A03110">
        <w:t>Ricoeur</w:t>
      </w:r>
      <w:proofErr w:type="spellEnd"/>
      <w:r w:rsidR="00A03110">
        <w:t>) qui est un « être avec », un « vivre-ensemble », selon Hannah Arendt. L’espace public est ainsi transformé en un espace « commun ». Les graffitis dont le pouvoir de subversion réside, on vient de le voir, dans la citation qui détourne, perdraient</w:t>
      </w:r>
      <w:r>
        <w:t>-ils</w:t>
      </w:r>
      <w:r w:rsidR="00A03110">
        <w:t xml:space="preserve"> leur âme ? Le graffiti serait-il « récupéré » par le pouvoir ? L’écriture de la marge « régularisée » se trouverait-elle muselée ?</w:t>
      </w:r>
    </w:p>
    <w:p w:rsidR="007F7FDB" w:rsidRDefault="00C27A57" w:rsidP="007F7FDB">
      <w:pPr>
        <w:spacing w:after="120" w:line="276" w:lineRule="auto"/>
        <w:jc w:val="both"/>
      </w:pPr>
      <w:r>
        <w:t>Pour conclure en deux mots, j</w:t>
      </w:r>
      <w:r w:rsidR="00A03110">
        <w:t>e dirai que, transgressif, le graffiti est ce qui préserve l’</w:t>
      </w:r>
      <w:r w:rsidR="00A03110" w:rsidRPr="00053015">
        <w:rPr>
          <w:i/>
        </w:rPr>
        <w:t>impensé</w:t>
      </w:r>
      <w:r w:rsidR="00A03110">
        <w:t xml:space="preserve"> non seulement de l’image, mais de l’énoncé verbo-iconique tout entier, de l’</w:t>
      </w:r>
      <w:r w:rsidR="00A03110" w:rsidRPr="00D468BF">
        <w:rPr>
          <w:i/>
        </w:rPr>
        <w:t xml:space="preserve">objet culturel </w:t>
      </w:r>
      <w:r w:rsidR="00A03110">
        <w:t>trivial (au sens où l’entend Jeanneret)</w:t>
      </w:r>
      <w:r>
        <w:t xml:space="preserve">. </w:t>
      </w:r>
      <w:r w:rsidR="007F7FDB">
        <w:t xml:space="preserve">Il constitue un lieu-carrefour d’échange, au service d’une esthétique et d’une « poétique sociale ». La circulation s’oppose à la vectorisation des programmes narratifs régentant l’écriture officielle de la ville.  </w:t>
      </w:r>
    </w:p>
    <w:p w:rsidR="00A03110" w:rsidRDefault="00C27A57" w:rsidP="00A03110">
      <w:pPr>
        <w:spacing w:after="120" w:line="276" w:lineRule="auto"/>
        <w:jc w:val="both"/>
      </w:pPr>
      <w:r>
        <w:t xml:space="preserve">Or, s’il en est ainsi, c’est grâce à une capacité de détournement des dires et de citation décuplée par les possibilités inhérentes non seulement au </w:t>
      </w:r>
      <w:r w:rsidR="00E733B2">
        <w:t>lieu (environnement urbain), non seulement au f</w:t>
      </w:r>
      <w:r>
        <w:t xml:space="preserve">ormat et au genre, </w:t>
      </w:r>
      <w:r w:rsidR="008B2291">
        <w:t xml:space="preserve">non seulement au texte et à ses dimensions iconique et plastique, </w:t>
      </w:r>
      <w:r>
        <w:t>mais encore au support. C’est ce qui lui permet d’</w:t>
      </w:r>
      <w:r w:rsidR="00A03110" w:rsidRPr="003E7AC8">
        <w:rPr>
          <w:i/>
        </w:rPr>
        <w:t>intervenir</w:t>
      </w:r>
      <w:r w:rsidR="00A03110">
        <w:t xml:space="preserve"> dans et sur l’espace public</w:t>
      </w:r>
      <w:r>
        <w:t xml:space="preserve">, </w:t>
      </w:r>
      <w:r w:rsidR="00A03110">
        <w:t>contre les tentatives de figement du sens</w:t>
      </w:r>
      <w:r>
        <w:t>.</w:t>
      </w:r>
    </w:p>
    <w:p w:rsidR="00905230" w:rsidRDefault="00905230" w:rsidP="0056665D">
      <w:pPr>
        <w:spacing w:line="276" w:lineRule="auto"/>
        <w:jc w:val="both"/>
      </w:pPr>
      <w:bookmarkStart w:id="0" w:name="_GoBack"/>
      <w:bookmarkEnd w:id="0"/>
    </w:p>
    <w:sectPr w:rsidR="00905230" w:rsidSect="0078610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E27" w:rsidRDefault="00726E27" w:rsidP="00D1647E">
      <w:r>
        <w:separator/>
      </w:r>
    </w:p>
  </w:endnote>
  <w:endnote w:type="continuationSeparator" w:id="0">
    <w:p w:rsidR="00726E27" w:rsidRDefault="00726E27" w:rsidP="00D16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altName w:val="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E27" w:rsidRDefault="00726E27" w:rsidP="00D1647E">
      <w:r>
        <w:separator/>
      </w:r>
    </w:p>
  </w:footnote>
  <w:footnote w:type="continuationSeparator" w:id="0">
    <w:p w:rsidR="00726E27" w:rsidRDefault="00726E27" w:rsidP="00D1647E">
      <w:r>
        <w:continuationSeparator/>
      </w:r>
    </w:p>
  </w:footnote>
  <w:footnote w:id="1">
    <w:p w:rsidR="00F62E7A" w:rsidRPr="00F62E7A" w:rsidRDefault="00F62E7A" w:rsidP="00F62E7A">
      <w:pPr>
        <w:pStyle w:val="Notedebasdepage"/>
        <w:jc w:val="both"/>
      </w:pPr>
      <w:r>
        <w:rPr>
          <w:rStyle w:val="Appelnotedebasdep"/>
        </w:rPr>
        <w:footnoteRef/>
      </w:r>
      <w:r>
        <w:t xml:space="preserve"> Pour une étude approfondie, cf. Marion Colas-Blaise, « L’inscription urbaine par temps de </w:t>
      </w:r>
      <w:proofErr w:type="spellStart"/>
      <w:r>
        <w:t>Covid</w:t>
      </w:r>
      <w:proofErr w:type="spellEnd"/>
      <w:r>
        <w:t xml:space="preserve"> », dans A. </w:t>
      </w:r>
      <w:proofErr w:type="spellStart"/>
      <w:r>
        <w:t>Beyaert-Geslin</w:t>
      </w:r>
      <w:proofErr w:type="spellEnd"/>
      <w:r>
        <w:t xml:space="preserve"> (</w:t>
      </w:r>
      <w:proofErr w:type="spellStart"/>
      <w:r>
        <w:t>dir</w:t>
      </w:r>
      <w:proofErr w:type="spellEnd"/>
      <w:r>
        <w:t xml:space="preserve">.), </w:t>
      </w:r>
      <w:r w:rsidRPr="00F62E7A">
        <w:rPr>
          <w:i/>
        </w:rPr>
        <w:t>Sémiotique &amp; écritures urbaines</w:t>
      </w:r>
      <w:r>
        <w:t xml:space="preserve">, Bordeaux, Maison des Sciences de l’Homme d’Aquitaine, 2022, p. 25-36. </w:t>
      </w:r>
    </w:p>
  </w:footnote>
  <w:footnote w:id="2">
    <w:p w:rsidR="00A14AC9" w:rsidRPr="00497966" w:rsidRDefault="00A14AC9" w:rsidP="00D1647E">
      <w:pPr>
        <w:pStyle w:val="Notedebasdepage"/>
        <w:jc w:val="both"/>
        <w:rPr>
          <w:lang w:val="fr-CH"/>
        </w:rPr>
      </w:pPr>
      <w:r>
        <w:rPr>
          <w:rStyle w:val="Appelnotedebasdep"/>
        </w:rPr>
        <w:footnoteRef/>
      </w:r>
      <w:r>
        <w:t xml:space="preserve"> </w:t>
      </w:r>
      <w:r>
        <w:t xml:space="preserve">Nous empruntons nos exemples à l’ouvrage intitulé </w:t>
      </w:r>
      <w:r w:rsidRPr="002C2B38">
        <w:rPr>
          <w:i/>
        </w:rPr>
        <w:t xml:space="preserve">Les murs du confinement. Street art et </w:t>
      </w:r>
      <w:proofErr w:type="spellStart"/>
      <w:r w:rsidRPr="002C2B38">
        <w:rPr>
          <w:i/>
        </w:rPr>
        <w:t>Covid</w:t>
      </w:r>
      <w:proofErr w:type="spellEnd"/>
      <w:r w:rsidRPr="002C2B38">
        <w:rPr>
          <w:i/>
        </w:rPr>
        <w:t xml:space="preserve"> 19</w:t>
      </w:r>
      <w:r>
        <w:t xml:space="preserve">, de Marie Christian et Cyrille Benhamou (2020). Malgré nos efforts, nous n’avons pas obtenu le droit de reproduire les images à des fins scientifiques. </w:t>
      </w:r>
    </w:p>
  </w:footnote>
  <w:footnote w:id="3">
    <w:p w:rsidR="00A14AC9" w:rsidRPr="0029040F" w:rsidRDefault="00A14AC9" w:rsidP="00D1647E">
      <w:pPr>
        <w:pStyle w:val="Notedebasdepage"/>
        <w:rPr>
          <w:lang w:val="fr-CH"/>
        </w:rPr>
      </w:pPr>
      <w:r>
        <w:rPr>
          <w:rStyle w:val="Appelnotedebasdep"/>
        </w:rPr>
        <w:footnoteRef/>
      </w:r>
      <w:r>
        <w:t xml:space="preserve"> </w:t>
      </w:r>
      <w:r>
        <w:rPr>
          <w:lang w:val="fr-CH"/>
        </w:rPr>
        <w:t xml:space="preserve">Au sujet de la temporalisation de l’image fixe, on pourra se reporter à Colas-Blaise (2019). </w:t>
      </w:r>
    </w:p>
  </w:footnote>
  <w:footnote w:id="4">
    <w:p w:rsidR="00A14AC9" w:rsidRPr="0017415F" w:rsidRDefault="00A14AC9" w:rsidP="00C41CBD">
      <w:pPr>
        <w:pStyle w:val="Notedebasdepage"/>
        <w:jc w:val="both"/>
      </w:pPr>
      <w:r>
        <w:rPr>
          <w:rStyle w:val="Appelnotedebasdep"/>
        </w:rPr>
        <w:footnoteRef/>
      </w:r>
      <w:r>
        <w:t xml:space="preserve"> Voir notamment la chanson </w:t>
      </w:r>
      <w:r w:rsidRPr="0017415F">
        <w:rPr>
          <w:i/>
        </w:rPr>
        <w:t>The Liberty Song</w:t>
      </w:r>
      <w:r>
        <w:t xml:space="preserve"> écrite par John Dickinson en 1768 ou encore la devise de l’état du Kentucky. L’énoncé se retrouve également sur le drapeau de l’état du Missouri. Il connaît de nombreuses variantes, dans </w:t>
      </w:r>
      <w:r w:rsidRPr="0017415F">
        <w:rPr>
          <w:i/>
        </w:rPr>
        <w:t xml:space="preserve">Harry Potter and the Goblet of </w:t>
      </w:r>
      <w:proofErr w:type="spellStart"/>
      <w:r w:rsidRPr="0017415F">
        <w:rPr>
          <w:i/>
        </w:rPr>
        <w:t>Fire</w:t>
      </w:r>
      <w:proofErr w:type="spellEnd"/>
      <w:r>
        <w:t xml:space="preserve"> ou encore chez Pink Floyd.  </w:t>
      </w:r>
    </w:p>
  </w:footnote>
  <w:footnote w:id="5">
    <w:p w:rsidR="00A14AC9" w:rsidRPr="001A7087" w:rsidRDefault="00A14AC9" w:rsidP="00C41CBD">
      <w:pPr>
        <w:pStyle w:val="Notedebasdepage"/>
        <w:jc w:val="both"/>
      </w:pPr>
      <w:r>
        <w:rPr>
          <w:rStyle w:val="Appelnotedebasdep"/>
        </w:rPr>
        <w:footnoteRef/>
      </w:r>
      <w:r>
        <w:t xml:space="preserve"> </w:t>
      </w:r>
      <w:r>
        <w:t xml:space="preserve">Nous avons recours à des lettres capitales pour reproduire le message du graffiti de la manière la plus exacte possible (vi-lisibilité). </w:t>
      </w:r>
    </w:p>
    <w:p w:rsidR="00A14AC9" w:rsidRPr="00C33283" w:rsidRDefault="00A14AC9" w:rsidP="00C41CBD">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60B9D"/>
    <w:multiLevelType w:val="hybridMultilevel"/>
    <w:tmpl w:val="0EDEC070"/>
    <w:lvl w:ilvl="0" w:tplc="27625E4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9E4EAD"/>
    <w:multiLevelType w:val="hybridMultilevel"/>
    <w:tmpl w:val="9A1C95F2"/>
    <w:lvl w:ilvl="0" w:tplc="9458724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CAC4B74"/>
    <w:multiLevelType w:val="hybridMultilevel"/>
    <w:tmpl w:val="32962926"/>
    <w:lvl w:ilvl="0" w:tplc="E74835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7E"/>
    <w:rsid w:val="000347DD"/>
    <w:rsid w:val="000508C8"/>
    <w:rsid w:val="000C6CD5"/>
    <w:rsid w:val="000F35BC"/>
    <w:rsid w:val="00134977"/>
    <w:rsid w:val="00167C67"/>
    <w:rsid w:val="001719CC"/>
    <w:rsid w:val="001C13D1"/>
    <w:rsid w:val="002043C9"/>
    <w:rsid w:val="002A2445"/>
    <w:rsid w:val="002B7E98"/>
    <w:rsid w:val="0034567C"/>
    <w:rsid w:val="00406728"/>
    <w:rsid w:val="004607F2"/>
    <w:rsid w:val="004A6726"/>
    <w:rsid w:val="004D7985"/>
    <w:rsid w:val="005165AE"/>
    <w:rsid w:val="005352DD"/>
    <w:rsid w:val="0056665D"/>
    <w:rsid w:val="00606ED7"/>
    <w:rsid w:val="006541C3"/>
    <w:rsid w:val="006A6830"/>
    <w:rsid w:val="006C318B"/>
    <w:rsid w:val="006F4099"/>
    <w:rsid w:val="00701A1A"/>
    <w:rsid w:val="00715559"/>
    <w:rsid w:val="00717EA0"/>
    <w:rsid w:val="007233A3"/>
    <w:rsid w:val="00726E27"/>
    <w:rsid w:val="00764F82"/>
    <w:rsid w:val="0078610D"/>
    <w:rsid w:val="00787915"/>
    <w:rsid w:val="007F7FDB"/>
    <w:rsid w:val="0082408B"/>
    <w:rsid w:val="008673D4"/>
    <w:rsid w:val="008933B9"/>
    <w:rsid w:val="008A77B9"/>
    <w:rsid w:val="008B2291"/>
    <w:rsid w:val="008F26FE"/>
    <w:rsid w:val="00905230"/>
    <w:rsid w:val="00913AEB"/>
    <w:rsid w:val="009205C2"/>
    <w:rsid w:val="00920844"/>
    <w:rsid w:val="009834CA"/>
    <w:rsid w:val="009D26CE"/>
    <w:rsid w:val="00A03110"/>
    <w:rsid w:val="00A14AC9"/>
    <w:rsid w:val="00A65C04"/>
    <w:rsid w:val="00A675BF"/>
    <w:rsid w:val="00AC6D01"/>
    <w:rsid w:val="00AF3C3B"/>
    <w:rsid w:val="00B56BCF"/>
    <w:rsid w:val="00B967C7"/>
    <w:rsid w:val="00B97839"/>
    <w:rsid w:val="00BD46D7"/>
    <w:rsid w:val="00BE409E"/>
    <w:rsid w:val="00BE66E1"/>
    <w:rsid w:val="00BE7447"/>
    <w:rsid w:val="00C12608"/>
    <w:rsid w:val="00C27A57"/>
    <w:rsid w:val="00C31F91"/>
    <w:rsid w:val="00C41CBD"/>
    <w:rsid w:val="00C43D8C"/>
    <w:rsid w:val="00C637E6"/>
    <w:rsid w:val="00C854E9"/>
    <w:rsid w:val="00CA11AB"/>
    <w:rsid w:val="00CB04F6"/>
    <w:rsid w:val="00CB0870"/>
    <w:rsid w:val="00CE2693"/>
    <w:rsid w:val="00D00532"/>
    <w:rsid w:val="00D1647E"/>
    <w:rsid w:val="00DA2F57"/>
    <w:rsid w:val="00DF48EF"/>
    <w:rsid w:val="00E069F5"/>
    <w:rsid w:val="00E167EF"/>
    <w:rsid w:val="00E35E3D"/>
    <w:rsid w:val="00E733B2"/>
    <w:rsid w:val="00EC4DA8"/>
    <w:rsid w:val="00EF7DF3"/>
    <w:rsid w:val="00F62E7A"/>
    <w:rsid w:val="00F821A0"/>
    <w:rsid w:val="00F82287"/>
    <w:rsid w:val="00FD05AE"/>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7A58C"/>
  <w15:chartTrackingRefBased/>
  <w15:docId w15:val="{C94B23A6-E478-BD4C-9AF6-D228C888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L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7E6"/>
    <w:rPr>
      <w:rFonts w:ascii="Times New Roman" w:eastAsia="Times New Roman" w:hAnsi="Times New Roman" w:cs="Times New Roman"/>
      <w:lang w:eastAsia="fr-FR"/>
    </w:rPr>
  </w:style>
  <w:style w:type="paragraph" w:styleId="Titre1">
    <w:name w:val="heading 1"/>
    <w:basedOn w:val="Normal"/>
    <w:link w:val="Titre1Car"/>
    <w:uiPriority w:val="9"/>
    <w:qFormat/>
    <w:rsid w:val="00C637E6"/>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D1647E"/>
    <w:rPr>
      <w:sz w:val="20"/>
      <w:szCs w:val="20"/>
    </w:rPr>
  </w:style>
  <w:style w:type="character" w:customStyle="1" w:styleId="NotedebasdepageCar">
    <w:name w:val="Note de bas de page Car"/>
    <w:basedOn w:val="Policepardfaut"/>
    <w:link w:val="Notedebasdepage"/>
    <w:uiPriority w:val="99"/>
    <w:rsid w:val="00D1647E"/>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D1647E"/>
    <w:rPr>
      <w:vertAlign w:val="superscript"/>
    </w:rPr>
  </w:style>
  <w:style w:type="paragraph" w:styleId="Paragraphedeliste">
    <w:name w:val="List Paragraph"/>
    <w:basedOn w:val="Normal"/>
    <w:uiPriority w:val="34"/>
    <w:qFormat/>
    <w:rsid w:val="00C31F91"/>
    <w:pPr>
      <w:ind w:left="720"/>
      <w:contextualSpacing/>
    </w:pPr>
  </w:style>
  <w:style w:type="paragraph" w:customStyle="1" w:styleId="Corps">
    <w:name w:val="Corps"/>
    <w:rsid w:val="002A2445"/>
    <w:pPr>
      <w:pBdr>
        <w:top w:val="nil"/>
        <w:left w:val="nil"/>
        <w:bottom w:val="nil"/>
        <w:right w:val="nil"/>
        <w:between w:val="nil"/>
        <w:bar w:val="nil"/>
      </w:pBdr>
    </w:pPr>
    <w:rPr>
      <w:rFonts w:ascii="Calibri" w:eastAsia="Calibri" w:hAnsi="Calibri" w:cs="Calibri"/>
      <w:color w:val="000000"/>
      <w:u w:color="000000"/>
      <w:bdr w:val="nil"/>
      <w:lang w:val="fr-FR" w:eastAsia="fr-FR"/>
    </w:rPr>
  </w:style>
  <w:style w:type="character" w:styleId="lev">
    <w:name w:val="Strong"/>
    <w:basedOn w:val="Policepardfaut"/>
    <w:uiPriority w:val="22"/>
    <w:qFormat/>
    <w:rsid w:val="00C637E6"/>
    <w:rPr>
      <w:b/>
      <w:bCs/>
    </w:rPr>
  </w:style>
  <w:style w:type="character" w:styleId="Lienhypertexte">
    <w:name w:val="Hyperlink"/>
    <w:basedOn w:val="Policepardfaut"/>
    <w:uiPriority w:val="99"/>
    <w:semiHidden/>
    <w:unhideWhenUsed/>
    <w:rsid w:val="00C637E6"/>
    <w:rPr>
      <w:color w:val="0000FF"/>
      <w:u w:val="single"/>
    </w:rPr>
  </w:style>
  <w:style w:type="character" w:customStyle="1" w:styleId="apple-converted-space">
    <w:name w:val="apple-converted-space"/>
    <w:basedOn w:val="Policepardfaut"/>
    <w:rsid w:val="00C637E6"/>
  </w:style>
  <w:style w:type="character" w:styleId="Accentuation">
    <w:name w:val="Emphasis"/>
    <w:basedOn w:val="Policepardfaut"/>
    <w:uiPriority w:val="20"/>
    <w:qFormat/>
    <w:rsid w:val="00C637E6"/>
    <w:rPr>
      <w:i/>
      <w:iCs/>
    </w:rPr>
  </w:style>
  <w:style w:type="character" w:customStyle="1" w:styleId="Titre1Car">
    <w:name w:val="Titre 1 Car"/>
    <w:basedOn w:val="Policepardfaut"/>
    <w:link w:val="Titre1"/>
    <w:uiPriority w:val="9"/>
    <w:rsid w:val="00C637E6"/>
    <w:rPr>
      <w:rFonts w:ascii="Times New Roman" w:eastAsia="Times New Roman" w:hAnsi="Times New Roman" w:cs="Times New Roman"/>
      <w:b/>
      <w:bCs/>
      <w:kern w:val="36"/>
      <w:sz w:val="48"/>
      <w:szCs w:val="48"/>
      <w:lang w:eastAsia="fr-FR"/>
    </w:rPr>
  </w:style>
  <w:style w:type="character" w:customStyle="1" w:styleId="text">
    <w:name w:val="text"/>
    <w:basedOn w:val="Policepardfaut"/>
    <w:rsid w:val="00C63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5721">
      <w:bodyDiv w:val="1"/>
      <w:marLeft w:val="0"/>
      <w:marRight w:val="0"/>
      <w:marTop w:val="0"/>
      <w:marBottom w:val="0"/>
      <w:divBdr>
        <w:top w:val="none" w:sz="0" w:space="0" w:color="auto"/>
        <w:left w:val="none" w:sz="0" w:space="0" w:color="auto"/>
        <w:bottom w:val="none" w:sz="0" w:space="0" w:color="auto"/>
        <w:right w:val="none" w:sz="0" w:space="0" w:color="auto"/>
      </w:divBdr>
    </w:div>
    <w:div w:id="36323081">
      <w:bodyDiv w:val="1"/>
      <w:marLeft w:val="0"/>
      <w:marRight w:val="0"/>
      <w:marTop w:val="0"/>
      <w:marBottom w:val="0"/>
      <w:divBdr>
        <w:top w:val="none" w:sz="0" w:space="0" w:color="auto"/>
        <w:left w:val="none" w:sz="0" w:space="0" w:color="auto"/>
        <w:bottom w:val="none" w:sz="0" w:space="0" w:color="auto"/>
        <w:right w:val="none" w:sz="0" w:space="0" w:color="auto"/>
      </w:divBdr>
    </w:div>
    <w:div w:id="52118136">
      <w:bodyDiv w:val="1"/>
      <w:marLeft w:val="0"/>
      <w:marRight w:val="0"/>
      <w:marTop w:val="0"/>
      <w:marBottom w:val="0"/>
      <w:divBdr>
        <w:top w:val="none" w:sz="0" w:space="0" w:color="auto"/>
        <w:left w:val="none" w:sz="0" w:space="0" w:color="auto"/>
        <w:bottom w:val="none" w:sz="0" w:space="0" w:color="auto"/>
        <w:right w:val="none" w:sz="0" w:space="0" w:color="auto"/>
      </w:divBdr>
    </w:div>
    <w:div w:id="287662919">
      <w:bodyDiv w:val="1"/>
      <w:marLeft w:val="0"/>
      <w:marRight w:val="0"/>
      <w:marTop w:val="0"/>
      <w:marBottom w:val="0"/>
      <w:divBdr>
        <w:top w:val="none" w:sz="0" w:space="0" w:color="auto"/>
        <w:left w:val="none" w:sz="0" w:space="0" w:color="auto"/>
        <w:bottom w:val="none" w:sz="0" w:space="0" w:color="auto"/>
        <w:right w:val="none" w:sz="0" w:space="0" w:color="auto"/>
      </w:divBdr>
    </w:div>
    <w:div w:id="626273850">
      <w:bodyDiv w:val="1"/>
      <w:marLeft w:val="0"/>
      <w:marRight w:val="0"/>
      <w:marTop w:val="0"/>
      <w:marBottom w:val="0"/>
      <w:divBdr>
        <w:top w:val="none" w:sz="0" w:space="0" w:color="auto"/>
        <w:left w:val="none" w:sz="0" w:space="0" w:color="auto"/>
        <w:bottom w:val="none" w:sz="0" w:space="0" w:color="auto"/>
        <w:right w:val="none" w:sz="0" w:space="0" w:color="auto"/>
      </w:divBdr>
    </w:div>
    <w:div w:id="898786388">
      <w:bodyDiv w:val="1"/>
      <w:marLeft w:val="0"/>
      <w:marRight w:val="0"/>
      <w:marTop w:val="0"/>
      <w:marBottom w:val="0"/>
      <w:divBdr>
        <w:top w:val="none" w:sz="0" w:space="0" w:color="auto"/>
        <w:left w:val="none" w:sz="0" w:space="0" w:color="auto"/>
        <w:bottom w:val="none" w:sz="0" w:space="0" w:color="auto"/>
        <w:right w:val="none" w:sz="0" w:space="0" w:color="auto"/>
      </w:divBdr>
    </w:div>
    <w:div w:id="1013340587">
      <w:bodyDiv w:val="1"/>
      <w:marLeft w:val="0"/>
      <w:marRight w:val="0"/>
      <w:marTop w:val="0"/>
      <w:marBottom w:val="0"/>
      <w:divBdr>
        <w:top w:val="none" w:sz="0" w:space="0" w:color="auto"/>
        <w:left w:val="none" w:sz="0" w:space="0" w:color="auto"/>
        <w:bottom w:val="none" w:sz="0" w:space="0" w:color="auto"/>
        <w:right w:val="none" w:sz="0" w:space="0" w:color="auto"/>
      </w:divBdr>
    </w:div>
    <w:div w:id="1017120101">
      <w:bodyDiv w:val="1"/>
      <w:marLeft w:val="0"/>
      <w:marRight w:val="0"/>
      <w:marTop w:val="0"/>
      <w:marBottom w:val="0"/>
      <w:divBdr>
        <w:top w:val="none" w:sz="0" w:space="0" w:color="auto"/>
        <w:left w:val="none" w:sz="0" w:space="0" w:color="auto"/>
        <w:bottom w:val="none" w:sz="0" w:space="0" w:color="auto"/>
        <w:right w:val="none" w:sz="0" w:space="0" w:color="auto"/>
      </w:divBdr>
    </w:div>
    <w:div w:id="1312752440">
      <w:bodyDiv w:val="1"/>
      <w:marLeft w:val="0"/>
      <w:marRight w:val="0"/>
      <w:marTop w:val="0"/>
      <w:marBottom w:val="0"/>
      <w:divBdr>
        <w:top w:val="none" w:sz="0" w:space="0" w:color="auto"/>
        <w:left w:val="none" w:sz="0" w:space="0" w:color="auto"/>
        <w:bottom w:val="none" w:sz="0" w:space="0" w:color="auto"/>
        <w:right w:val="none" w:sz="0" w:space="0" w:color="auto"/>
      </w:divBdr>
    </w:div>
    <w:div w:id="1408838852">
      <w:bodyDiv w:val="1"/>
      <w:marLeft w:val="0"/>
      <w:marRight w:val="0"/>
      <w:marTop w:val="0"/>
      <w:marBottom w:val="0"/>
      <w:divBdr>
        <w:top w:val="none" w:sz="0" w:space="0" w:color="auto"/>
        <w:left w:val="none" w:sz="0" w:space="0" w:color="auto"/>
        <w:bottom w:val="none" w:sz="0" w:space="0" w:color="auto"/>
        <w:right w:val="none" w:sz="0" w:space="0" w:color="auto"/>
      </w:divBdr>
    </w:div>
    <w:div w:id="1593471916">
      <w:bodyDiv w:val="1"/>
      <w:marLeft w:val="0"/>
      <w:marRight w:val="0"/>
      <w:marTop w:val="0"/>
      <w:marBottom w:val="0"/>
      <w:divBdr>
        <w:top w:val="none" w:sz="0" w:space="0" w:color="auto"/>
        <w:left w:val="none" w:sz="0" w:space="0" w:color="auto"/>
        <w:bottom w:val="none" w:sz="0" w:space="0" w:color="auto"/>
        <w:right w:val="none" w:sz="0" w:space="0" w:color="auto"/>
      </w:divBdr>
    </w:div>
    <w:div w:id="1667974262">
      <w:bodyDiv w:val="1"/>
      <w:marLeft w:val="0"/>
      <w:marRight w:val="0"/>
      <w:marTop w:val="0"/>
      <w:marBottom w:val="0"/>
      <w:divBdr>
        <w:top w:val="none" w:sz="0" w:space="0" w:color="auto"/>
        <w:left w:val="none" w:sz="0" w:space="0" w:color="auto"/>
        <w:bottom w:val="none" w:sz="0" w:space="0" w:color="auto"/>
        <w:right w:val="none" w:sz="0" w:space="0" w:color="auto"/>
      </w:divBdr>
    </w:div>
    <w:div w:id="1910535294">
      <w:bodyDiv w:val="1"/>
      <w:marLeft w:val="0"/>
      <w:marRight w:val="0"/>
      <w:marTop w:val="0"/>
      <w:marBottom w:val="0"/>
      <w:divBdr>
        <w:top w:val="none" w:sz="0" w:space="0" w:color="auto"/>
        <w:left w:val="none" w:sz="0" w:space="0" w:color="auto"/>
        <w:bottom w:val="none" w:sz="0" w:space="0" w:color="auto"/>
        <w:right w:val="none" w:sz="0" w:space="0" w:color="auto"/>
      </w:divBdr>
    </w:div>
    <w:div w:id="19828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3534</Words>
  <Characters>19443</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Marion COLAS-BLAISE</cp:lastModifiedBy>
  <cp:revision>2</cp:revision>
  <cp:lastPrinted>2022-05-20T20:13:00Z</cp:lastPrinted>
  <dcterms:created xsi:type="dcterms:W3CDTF">2024-01-02T09:26:00Z</dcterms:created>
  <dcterms:modified xsi:type="dcterms:W3CDTF">2024-01-02T09:26:00Z</dcterms:modified>
</cp:coreProperties>
</file>