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9F4" w:rsidRPr="008209F4" w:rsidRDefault="009242EC" w:rsidP="008209F4">
      <w:pPr>
        <w:spacing w:after="120" w:line="276" w:lineRule="auto"/>
        <w:jc w:val="center"/>
        <w:rPr>
          <w:rFonts w:ascii="Times New Roman" w:hAnsi="Times New Roman" w:cs="Times New Roman"/>
          <w:b/>
        </w:rPr>
      </w:pPr>
      <w:r w:rsidRPr="008209F4">
        <w:rPr>
          <w:rFonts w:ascii="Times New Roman" w:hAnsi="Times New Roman" w:cs="Times New Roman"/>
          <w:b/>
        </w:rPr>
        <w:t xml:space="preserve">Présentation du livre </w:t>
      </w:r>
      <w:r w:rsidR="008209F4" w:rsidRPr="008209F4">
        <w:rPr>
          <w:rFonts w:ascii="Times New Roman" w:hAnsi="Times New Roman" w:cs="Times New Roman"/>
          <w:b/>
        </w:rPr>
        <w:t>de</w:t>
      </w:r>
    </w:p>
    <w:p w:rsidR="008209F4" w:rsidRDefault="008209F4" w:rsidP="008209F4">
      <w:pPr>
        <w:spacing w:after="120" w:line="276" w:lineRule="auto"/>
        <w:jc w:val="center"/>
        <w:rPr>
          <w:rFonts w:ascii="Times New Roman" w:hAnsi="Times New Roman" w:cs="Times New Roman"/>
          <w:b/>
        </w:rPr>
      </w:pPr>
      <w:r w:rsidRPr="008209F4">
        <w:rPr>
          <w:rFonts w:ascii="Times New Roman" w:hAnsi="Times New Roman" w:cs="Times New Roman"/>
          <w:b/>
        </w:rPr>
        <w:t xml:space="preserve">Marion Colas-Blaise, </w:t>
      </w:r>
      <w:r w:rsidR="009242EC" w:rsidRPr="008209F4">
        <w:rPr>
          <w:rFonts w:ascii="Times New Roman" w:hAnsi="Times New Roman" w:cs="Times New Roman"/>
          <w:b/>
          <w:i/>
        </w:rPr>
        <w:t xml:space="preserve">L’énonciation. </w:t>
      </w:r>
      <w:r w:rsidRPr="008209F4">
        <w:rPr>
          <w:rFonts w:ascii="Times New Roman" w:hAnsi="Times New Roman" w:cs="Times New Roman"/>
          <w:b/>
          <w:i/>
        </w:rPr>
        <w:t>Evolutions, passages, ouvertures</w:t>
      </w:r>
      <w:r w:rsidRPr="008209F4">
        <w:rPr>
          <w:rFonts w:ascii="Times New Roman" w:hAnsi="Times New Roman" w:cs="Times New Roman"/>
          <w:b/>
        </w:rPr>
        <w:t xml:space="preserve">, </w:t>
      </w:r>
    </w:p>
    <w:p w:rsidR="009242EC" w:rsidRPr="008209F4" w:rsidRDefault="008209F4" w:rsidP="008209F4">
      <w:pPr>
        <w:spacing w:after="120" w:line="276" w:lineRule="auto"/>
        <w:jc w:val="center"/>
        <w:rPr>
          <w:rFonts w:ascii="Times New Roman" w:hAnsi="Times New Roman" w:cs="Times New Roman"/>
          <w:b/>
        </w:rPr>
      </w:pPr>
      <w:r w:rsidRPr="008209F4">
        <w:rPr>
          <w:rFonts w:ascii="Times New Roman" w:hAnsi="Times New Roman" w:cs="Times New Roman"/>
          <w:b/>
        </w:rPr>
        <w:t>Liège, Presses universitaires de Liège, 2023</w:t>
      </w:r>
    </w:p>
    <w:p w:rsidR="008209F4" w:rsidRPr="008209F4" w:rsidRDefault="008209F4" w:rsidP="008209F4">
      <w:pPr>
        <w:spacing w:after="120" w:line="276" w:lineRule="auto"/>
        <w:jc w:val="center"/>
        <w:rPr>
          <w:rFonts w:ascii="Times New Roman" w:hAnsi="Times New Roman" w:cs="Times New Roman"/>
          <w:b/>
        </w:rPr>
      </w:pPr>
      <w:r w:rsidRPr="008209F4">
        <w:rPr>
          <w:rFonts w:ascii="Times New Roman" w:hAnsi="Times New Roman" w:cs="Times New Roman"/>
          <w:b/>
        </w:rPr>
        <w:t>Comptoir des Presses universitaires, Paris</w:t>
      </w:r>
      <w:r>
        <w:rPr>
          <w:rFonts w:ascii="Times New Roman" w:hAnsi="Times New Roman" w:cs="Times New Roman"/>
          <w:b/>
        </w:rPr>
        <w:t xml:space="preserve">, </w:t>
      </w:r>
      <w:bookmarkStart w:id="0" w:name="_GoBack"/>
      <w:bookmarkEnd w:id="0"/>
      <w:r>
        <w:rPr>
          <w:rFonts w:ascii="Times New Roman" w:hAnsi="Times New Roman" w:cs="Times New Roman"/>
          <w:b/>
        </w:rPr>
        <w:t>7 juin 2023</w:t>
      </w:r>
    </w:p>
    <w:p w:rsidR="009242EC" w:rsidRPr="008209F4" w:rsidRDefault="009242EC" w:rsidP="008209F4">
      <w:pPr>
        <w:spacing w:after="120" w:line="276" w:lineRule="auto"/>
        <w:jc w:val="center"/>
        <w:rPr>
          <w:rFonts w:ascii="Times New Roman" w:hAnsi="Times New Roman" w:cs="Times New Roman"/>
          <w:b/>
        </w:rPr>
      </w:pPr>
    </w:p>
    <w:p w:rsidR="00E75672" w:rsidRDefault="00E75672" w:rsidP="006C6A6F">
      <w:pPr>
        <w:spacing w:after="120" w:line="276" w:lineRule="auto"/>
        <w:jc w:val="both"/>
        <w:rPr>
          <w:rFonts w:ascii="Times New Roman" w:hAnsi="Times New Roman" w:cs="Times New Roman"/>
          <w:i/>
        </w:rPr>
      </w:pPr>
      <w:r w:rsidRPr="007E1480">
        <w:rPr>
          <w:rFonts w:ascii="Times New Roman" w:hAnsi="Times New Roman" w:cs="Times New Roman"/>
          <w:i/>
        </w:rPr>
        <w:t xml:space="preserve">L’énonciation. Evolutions, passages, </w:t>
      </w:r>
      <w:r>
        <w:rPr>
          <w:rFonts w:ascii="Times New Roman" w:hAnsi="Times New Roman" w:cs="Times New Roman"/>
          <w:i/>
        </w:rPr>
        <w:t xml:space="preserve">ouvertures : </w:t>
      </w:r>
      <w:r>
        <w:rPr>
          <w:rFonts w:ascii="Times New Roman" w:hAnsi="Times New Roman" w:cs="Times New Roman"/>
        </w:rPr>
        <w:t xml:space="preserve">tel est le titre de mon livre (de 351 pages), qui se décline en quatre grandes patries intitulées « Pour une sémiotique de la marque : défis et enjeux », « Acte, geste d’énonciation et pratique », « La praxis énonciative et l’invention » et, enfin, « De la réénonciation à la transénonciation ». Sa facture est un peu atypique, dans la mesure où des développements théoriques, entrecoupés d’études de cas concrets, alternent avec des </w:t>
      </w:r>
      <w:r w:rsidRPr="00156C49">
        <w:rPr>
          <w:rFonts w:ascii="Times New Roman" w:hAnsi="Times New Roman" w:cs="Times New Roman"/>
          <w:i/>
        </w:rPr>
        <w:t>Ouvertures</w:t>
      </w:r>
      <w:r>
        <w:rPr>
          <w:rFonts w:ascii="Times New Roman" w:hAnsi="Times New Roman" w:cs="Times New Roman"/>
        </w:rPr>
        <w:t xml:space="preserve">, qui, tout en se nourrissant des investigations précédentes, ont une vocation plus exploratoire. J’ai pris quelques risques – ai-je bien fait ? Nous le verrons. </w:t>
      </w:r>
    </w:p>
    <w:p w:rsidR="00E763E4" w:rsidRDefault="00E763E4" w:rsidP="006C6A6F">
      <w:pPr>
        <w:spacing w:after="120" w:line="276" w:lineRule="auto"/>
        <w:jc w:val="both"/>
        <w:rPr>
          <w:rFonts w:ascii="Times New Roman" w:hAnsi="Times New Roman" w:cs="Times New Roman"/>
        </w:rPr>
      </w:pPr>
      <w:r w:rsidRPr="00BE41B7">
        <w:rPr>
          <w:rFonts w:ascii="Times New Roman" w:hAnsi="Times New Roman" w:cs="Times New Roman"/>
          <w:i/>
        </w:rPr>
        <w:t>L’énonciation</w:t>
      </w:r>
      <w:r>
        <w:rPr>
          <w:rFonts w:ascii="Times New Roman" w:hAnsi="Times New Roman" w:cs="Times New Roman"/>
        </w:rPr>
        <w:t xml:space="preserve"> : </w:t>
      </w:r>
      <w:r w:rsidR="006C6A6F">
        <w:rPr>
          <w:rFonts w:ascii="Times New Roman" w:hAnsi="Times New Roman" w:cs="Times New Roman"/>
        </w:rPr>
        <w:t>en quoi</w:t>
      </w:r>
      <w:r>
        <w:rPr>
          <w:rFonts w:ascii="Times New Roman" w:hAnsi="Times New Roman" w:cs="Times New Roman"/>
        </w:rPr>
        <w:t xml:space="preserve"> </w:t>
      </w:r>
      <w:r w:rsidR="001E4CD6" w:rsidRPr="003C1C72">
        <w:rPr>
          <w:rFonts w:ascii="Times New Roman" w:hAnsi="Times New Roman" w:cs="Times New Roman"/>
        </w:rPr>
        <w:t>la question de l’énonciation est</w:t>
      </w:r>
      <w:r w:rsidR="006C6A6F">
        <w:rPr>
          <w:rFonts w:ascii="Times New Roman" w:hAnsi="Times New Roman" w:cs="Times New Roman"/>
        </w:rPr>
        <w:t>-elle</w:t>
      </w:r>
      <w:r w:rsidR="001E4CD6" w:rsidRPr="003C1C72">
        <w:rPr>
          <w:rFonts w:ascii="Times New Roman" w:hAnsi="Times New Roman" w:cs="Times New Roman"/>
        </w:rPr>
        <w:t xml:space="preserve"> toujours d’actua</w:t>
      </w:r>
      <w:r w:rsidR="009A6818" w:rsidRPr="003C1C72">
        <w:rPr>
          <w:rFonts w:ascii="Times New Roman" w:hAnsi="Times New Roman" w:cs="Times New Roman"/>
        </w:rPr>
        <w:t>l</w:t>
      </w:r>
      <w:r w:rsidR="001E4CD6" w:rsidRPr="003C1C72">
        <w:rPr>
          <w:rFonts w:ascii="Times New Roman" w:hAnsi="Times New Roman" w:cs="Times New Roman"/>
        </w:rPr>
        <w:t xml:space="preserve">ité, </w:t>
      </w:r>
      <w:r>
        <w:rPr>
          <w:rFonts w:ascii="Times New Roman" w:hAnsi="Times New Roman" w:cs="Times New Roman"/>
        </w:rPr>
        <w:t xml:space="preserve">du moins </w:t>
      </w:r>
      <w:r w:rsidR="00BE41B7">
        <w:rPr>
          <w:rFonts w:ascii="Times New Roman" w:hAnsi="Times New Roman" w:cs="Times New Roman"/>
        </w:rPr>
        <w:t xml:space="preserve">dans </w:t>
      </w:r>
      <w:r>
        <w:rPr>
          <w:rFonts w:ascii="Times New Roman" w:hAnsi="Times New Roman" w:cs="Times New Roman"/>
        </w:rPr>
        <w:t>l’espace francophone</w:t>
      </w:r>
      <w:r w:rsidR="006C6A6F">
        <w:rPr>
          <w:rFonts w:ascii="Times New Roman" w:hAnsi="Times New Roman" w:cs="Times New Roman"/>
        </w:rPr>
        <w:t xml:space="preserve"> ? Serait-ce parce qu’elle continue </w:t>
      </w:r>
      <w:r>
        <w:rPr>
          <w:rFonts w:ascii="Times New Roman" w:hAnsi="Times New Roman" w:cs="Times New Roman"/>
        </w:rPr>
        <w:t xml:space="preserve">à opposer des points de résistance (notamment parce que la sémiotique accueille plusieurs théories de l’énonciation : globalement, celle de Jacques Fontanille qui considère l’énonciation comme une métalangage, celle de Jean-Claude Coquet qui cherche à surmonter la séparation entre l’énonciation et l’énoncé à travers une approche phénoménologique du langage et celle de Jean-François Bordron qui </w:t>
      </w:r>
      <w:r w:rsidR="007B1101">
        <w:rPr>
          <w:rFonts w:ascii="Times New Roman" w:hAnsi="Times New Roman" w:cs="Times New Roman"/>
        </w:rPr>
        <w:t>intègre la</w:t>
      </w:r>
      <w:r w:rsidR="006C6A6F">
        <w:rPr>
          <w:rFonts w:ascii="Times New Roman" w:hAnsi="Times New Roman" w:cs="Times New Roman"/>
        </w:rPr>
        <w:t xml:space="preserve"> perception dans l’énonciation et </w:t>
      </w:r>
      <w:r>
        <w:rPr>
          <w:rFonts w:ascii="Times New Roman" w:hAnsi="Times New Roman" w:cs="Times New Roman"/>
        </w:rPr>
        <w:t>propose une définition de l’énonciation comme prise (dans une énonciation, la « langue doit prendre sens »</w:t>
      </w:r>
      <w:r w:rsidR="009242EC">
        <w:rPr>
          <w:rFonts w:ascii="Times New Roman" w:hAnsi="Times New Roman" w:cs="Times New Roman"/>
        </w:rPr>
        <w:t>)</w:t>
      </w:r>
      <w:r>
        <w:rPr>
          <w:rFonts w:ascii="Times New Roman" w:hAnsi="Times New Roman" w:cs="Times New Roman"/>
        </w:rPr>
        <w:t>.</w:t>
      </w:r>
      <w:r w:rsidR="00BE41B7">
        <w:rPr>
          <w:rFonts w:ascii="Times New Roman" w:hAnsi="Times New Roman" w:cs="Times New Roman"/>
        </w:rPr>
        <w:t xml:space="preserve"> Je fais également d</w:t>
      </w:r>
      <w:r w:rsidR="00BE41B7" w:rsidRPr="003C1C72">
        <w:rPr>
          <w:rFonts w:ascii="Times New Roman" w:hAnsi="Times New Roman" w:cs="Times New Roman"/>
        </w:rPr>
        <w:t>ialoguer</w:t>
      </w:r>
      <w:r w:rsidR="00BE41B7">
        <w:rPr>
          <w:rFonts w:ascii="Times New Roman" w:hAnsi="Times New Roman" w:cs="Times New Roman"/>
        </w:rPr>
        <w:t>, ou du moins interagir</w:t>
      </w:r>
      <w:r w:rsidR="00BE41B7" w:rsidRPr="003C1C72">
        <w:rPr>
          <w:rFonts w:ascii="Times New Roman" w:hAnsi="Times New Roman" w:cs="Times New Roman"/>
        </w:rPr>
        <w:t xml:space="preserve"> la sémiotique </w:t>
      </w:r>
      <w:r w:rsidR="00BE41B7">
        <w:rPr>
          <w:rFonts w:ascii="Times New Roman" w:hAnsi="Times New Roman" w:cs="Times New Roman"/>
        </w:rPr>
        <w:t>et</w:t>
      </w:r>
      <w:r w:rsidR="00BE41B7" w:rsidRPr="003C1C72">
        <w:rPr>
          <w:rFonts w:ascii="Times New Roman" w:hAnsi="Times New Roman" w:cs="Times New Roman"/>
        </w:rPr>
        <w:t xml:space="preserve"> les théories linguistiques de l’énonciation,</w:t>
      </w:r>
      <w:r w:rsidR="00BE41B7">
        <w:rPr>
          <w:rFonts w:ascii="Times New Roman" w:hAnsi="Times New Roman" w:cs="Times New Roman"/>
        </w:rPr>
        <w:t xml:space="preserve"> </w:t>
      </w:r>
      <w:r w:rsidR="00BE41B7" w:rsidRPr="003C1C72">
        <w:rPr>
          <w:rFonts w:ascii="Times New Roman" w:hAnsi="Times New Roman" w:cs="Times New Roman"/>
        </w:rPr>
        <w:t>la philosophie</w:t>
      </w:r>
      <w:r w:rsidR="00BE41B7">
        <w:rPr>
          <w:rFonts w:ascii="Times New Roman" w:hAnsi="Times New Roman" w:cs="Times New Roman"/>
        </w:rPr>
        <w:t xml:space="preserve"> et</w:t>
      </w:r>
      <w:r w:rsidR="00BE41B7" w:rsidRPr="003C1C72">
        <w:rPr>
          <w:rFonts w:ascii="Times New Roman" w:hAnsi="Times New Roman" w:cs="Times New Roman"/>
        </w:rPr>
        <w:t xml:space="preserve">, plus lointainement, l’anthropologie. </w:t>
      </w:r>
    </w:p>
    <w:p w:rsidR="006C6A6F" w:rsidRDefault="00E763E4" w:rsidP="006C6A6F">
      <w:pPr>
        <w:spacing w:after="120" w:line="276" w:lineRule="auto"/>
        <w:jc w:val="both"/>
        <w:rPr>
          <w:rFonts w:ascii="Times New Roman" w:hAnsi="Times New Roman" w:cs="Times New Roman"/>
        </w:rPr>
      </w:pPr>
      <w:r w:rsidRPr="00BE41B7">
        <w:rPr>
          <w:rFonts w:ascii="Times New Roman" w:hAnsi="Times New Roman" w:cs="Times New Roman"/>
          <w:i/>
        </w:rPr>
        <w:t>Evolutions</w:t>
      </w:r>
      <w:r>
        <w:rPr>
          <w:rFonts w:ascii="Times New Roman" w:hAnsi="Times New Roman" w:cs="Times New Roman"/>
        </w:rPr>
        <w:t xml:space="preserve"> : </w:t>
      </w:r>
      <w:r w:rsidR="00A72EED" w:rsidRPr="003C1C72">
        <w:rPr>
          <w:rFonts w:ascii="Times New Roman" w:hAnsi="Times New Roman" w:cs="Times New Roman"/>
        </w:rPr>
        <w:t xml:space="preserve">je propose une vue d’ensemble des inflexions majeures que </w:t>
      </w:r>
      <w:r w:rsidR="001E4CD6" w:rsidRPr="003C1C72">
        <w:rPr>
          <w:rFonts w:ascii="Times New Roman" w:hAnsi="Times New Roman" w:cs="Times New Roman"/>
        </w:rPr>
        <w:t xml:space="preserve">la notion a </w:t>
      </w:r>
      <w:r w:rsidR="003C1C72" w:rsidRPr="003C1C72">
        <w:rPr>
          <w:rFonts w:ascii="Times New Roman" w:hAnsi="Times New Roman" w:cs="Times New Roman"/>
        </w:rPr>
        <w:t>connues</w:t>
      </w:r>
      <w:r w:rsidR="001E4CD6" w:rsidRPr="003C1C72">
        <w:rPr>
          <w:rFonts w:ascii="Times New Roman" w:hAnsi="Times New Roman" w:cs="Times New Roman"/>
        </w:rPr>
        <w:t xml:space="preserve"> </w:t>
      </w:r>
      <w:r w:rsidR="00A72EED" w:rsidRPr="003C1C72">
        <w:rPr>
          <w:rFonts w:ascii="Times New Roman" w:hAnsi="Times New Roman" w:cs="Times New Roman"/>
        </w:rPr>
        <w:t xml:space="preserve">dans l’espace francophone </w:t>
      </w:r>
      <w:r w:rsidR="001E4CD6" w:rsidRPr="003C1C72">
        <w:rPr>
          <w:rFonts w:ascii="Times New Roman" w:hAnsi="Times New Roman" w:cs="Times New Roman"/>
        </w:rPr>
        <w:t>depuis au moins les années 60</w:t>
      </w:r>
      <w:r>
        <w:rPr>
          <w:rFonts w:ascii="Times New Roman" w:hAnsi="Times New Roman" w:cs="Times New Roman"/>
        </w:rPr>
        <w:t xml:space="preserve">, plus particulièrement en sémiotique greimassienne et postgreimassienne. </w:t>
      </w:r>
      <w:r w:rsidR="00136BA0">
        <w:rPr>
          <w:rFonts w:ascii="Times New Roman" w:hAnsi="Times New Roman" w:cs="Times New Roman"/>
        </w:rPr>
        <w:t xml:space="preserve">En ce sens, mon ouvrage a une ambition plus panoramique (même si, cela va de soi, j’ai été amenée à faire des choix ; je ne prétends aucunement à l’exhaustivité). </w:t>
      </w:r>
    </w:p>
    <w:p w:rsidR="006C6A6F" w:rsidRDefault="006C6A6F" w:rsidP="006C6A6F">
      <w:pPr>
        <w:spacing w:after="120" w:line="276" w:lineRule="auto"/>
        <w:jc w:val="both"/>
        <w:rPr>
          <w:rFonts w:ascii="Times New Roman" w:hAnsi="Times New Roman" w:cs="Times New Roman"/>
        </w:rPr>
      </w:pPr>
      <w:r w:rsidRPr="00BE41B7">
        <w:rPr>
          <w:rFonts w:ascii="Times New Roman" w:hAnsi="Times New Roman" w:cs="Times New Roman"/>
          <w:i/>
        </w:rPr>
        <w:t>Passages</w:t>
      </w:r>
      <w:r>
        <w:rPr>
          <w:rFonts w:ascii="Times New Roman" w:hAnsi="Times New Roman" w:cs="Times New Roman"/>
        </w:rPr>
        <w:t> : j’essaye de contribuer au développement de la notion d’énonciation, en mettant largement l’accent sur les passages, les traversées de couches de sens, les transitions, les stabilisations et les déstabilisations du sens, les traductibilités</w:t>
      </w:r>
      <w:r w:rsidR="00BC24FD">
        <w:rPr>
          <w:rFonts w:ascii="Times New Roman" w:hAnsi="Times New Roman" w:cs="Times New Roman"/>
        </w:rPr>
        <w:t xml:space="preserve"> entre couches de sens</w:t>
      </w:r>
      <w:r>
        <w:rPr>
          <w:rFonts w:ascii="Times New Roman" w:hAnsi="Times New Roman" w:cs="Times New Roman"/>
        </w:rPr>
        <w:t>.</w:t>
      </w:r>
      <w:r w:rsidR="00136BA0">
        <w:rPr>
          <w:rFonts w:ascii="Times New Roman" w:hAnsi="Times New Roman" w:cs="Times New Roman"/>
        </w:rPr>
        <w:t xml:space="preserve"> Je me fais ainsi l’écho d’un parti pris théorique largement présent à l’heure actuelle.</w:t>
      </w:r>
    </w:p>
    <w:p w:rsidR="00156C49" w:rsidRDefault="00156C49" w:rsidP="006C6A6F">
      <w:pPr>
        <w:spacing w:after="120" w:line="276" w:lineRule="auto"/>
        <w:jc w:val="both"/>
        <w:rPr>
          <w:rFonts w:ascii="Times New Roman" w:hAnsi="Times New Roman" w:cs="Times New Roman"/>
        </w:rPr>
      </w:pPr>
      <w:r>
        <w:rPr>
          <w:rFonts w:ascii="Times New Roman" w:hAnsi="Times New Roman" w:cs="Times New Roman"/>
        </w:rPr>
        <w:t xml:space="preserve">Quelle est </w:t>
      </w:r>
      <w:r w:rsidR="00E75672">
        <w:rPr>
          <w:rFonts w:ascii="Times New Roman" w:hAnsi="Times New Roman" w:cs="Times New Roman"/>
        </w:rPr>
        <w:t xml:space="preserve">alors </w:t>
      </w:r>
      <w:r w:rsidR="00312D5B">
        <w:rPr>
          <w:rFonts w:ascii="Times New Roman" w:hAnsi="Times New Roman" w:cs="Times New Roman"/>
        </w:rPr>
        <w:t>l</w:t>
      </w:r>
      <w:r w:rsidR="006C6A6F">
        <w:rPr>
          <w:rFonts w:ascii="Times New Roman" w:hAnsi="Times New Roman" w:cs="Times New Roman"/>
        </w:rPr>
        <w:t xml:space="preserve">a charpente théorique </w:t>
      </w:r>
      <w:r>
        <w:rPr>
          <w:rFonts w:ascii="Times New Roman" w:hAnsi="Times New Roman" w:cs="Times New Roman"/>
        </w:rPr>
        <w:t xml:space="preserve">du livre ? Elle </w:t>
      </w:r>
      <w:r w:rsidR="006C6A6F">
        <w:rPr>
          <w:rFonts w:ascii="Times New Roman" w:hAnsi="Times New Roman" w:cs="Times New Roman"/>
        </w:rPr>
        <w:t xml:space="preserve">est fournie par </w:t>
      </w:r>
      <w:r w:rsidR="00312D5B">
        <w:rPr>
          <w:rFonts w:ascii="Times New Roman" w:hAnsi="Times New Roman" w:cs="Times New Roman"/>
        </w:rPr>
        <w:t xml:space="preserve">les théories </w:t>
      </w:r>
      <w:r w:rsidR="000340A0">
        <w:rPr>
          <w:rFonts w:ascii="Times New Roman" w:hAnsi="Times New Roman" w:cs="Times New Roman"/>
        </w:rPr>
        <w:t xml:space="preserve">linguistiques </w:t>
      </w:r>
      <w:r w:rsidR="00312D5B">
        <w:rPr>
          <w:rFonts w:ascii="Times New Roman" w:hAnsi="Times New Roman" w:cs="Times New Roman"/>
        </w:rPr>
        <w:t>de l’énonciation inspirées, globalement, de Benveniste, et</w:t>
      </w:r>
      <w:r w:rsidR="000340A0">
        <w:rPr>
          <w:rFonts w:ascii="Times New Roman" w:hAnsi="Times New Roman" w:cs="Times New Roman"/>
        </w:rPr>
        <w:t xml:space="preserve"> par l</w:t>
      </w:r>
      <w:r>
        <w:rPr>
          <w:rFonts w:ascii="Times New Roman" w:hAnsi="Times New Roman" w:cs="Times New Roman"/>
        </w:rPr>
        <w:t>es</w:t>
      </w:r>
      <w:r w:rsidR="000340A0">
        <w:rPr>
          <w:rFonts w:ascii="Times New Roman" w:hAnsi="Times New Roman" w:cs="Times New Roman"/>
        </w:rPr>
        <w:t xml:space="preserve"> recherches </w:t>
      </w:r>
      <w:r w:rsidR="007B1101">
        <w:rPr>
          <w:rFonts w:ascii="Times New Roman" w:hAnsi="Times New Roman" w:cs="Times New Roman"/>
        </w:rPr>
        <w:t>e</w:t>
      </w:r>
      <w:r w:rsidR="000340A0">
        <w:rPr>
          <w:rFonts w:ascii="Times New Roman" w:hAnsi="Times New Roman" w:cs="Times New Roman"/>
        </w:rPr>
        <w:t>n sémiotique greimassienne et postgreimassienne</w:t>
      </w:r>
      <w:r w:rsidR="007B1101">
        <w:rPr>
          <w:rFonts w:ascii="Times New Roman" w:hAnsi="Times New Roman" w:cs="Times New Roman"/>
        </w:rPr>
        <w:t xml:space="preserve"> qui</w:t>
      </w:r>
      <w:r>
        <w:rPr>
          <w:rFonts w:ascii="Times New Roman" w:hAnsi="Times New Roman" w:cs="Times New Roman"/>
        </w:rPr>
        <w:t>, je viens de le suggérer,</w:t>
      </w:r>
      <w:r w:rsidR="007B1101">
        <w:rPr>
          <w:rFonts w:ascii="Times New Roman" w:hAnsi="Times New Roman" w:cs="Times New Roman"/>
        </w:rPr>
        <w:t xml:space="preserve"> </w:t>
      </w:r>
      <w:r w:rsidR="00E75672">
        <w:rPr>
          <w:rFonts w:ascii="Times New Roman" w:hAnsi="Times New Roman" w:cs="Times New Roman"/>
        </w:rPr>
        <w:t>donnent lieu à plusieurs théories de l’énonciation, aux</w:t>
      </w:r>
      <w:r w:rsidR="007B1101">
        <w:rPr>
          <w:rFonts w:ascii="Times New Roman" w:hAnsi="Times New Roman" w:cs="Times New Roman"/>
        </w:rPr>
        <w:t xml:space="preserve"> choix épistémologiques divergents. </w:t>
      </w:r>
      <w:r>
        <w:rPr>
          <w:rFonts w:ascii="Times New Roman" w:hAnsi="Times New Roman" w:cs="Times New Roman"/>
        </w:rPr>
        <w:t>Une des questions les</w:t>
      </w:r>
      <w:r w:rsidR="00BC24FD">
        <w:rPr>
          <w:rFonts w:ascii="Times New Roman" w:hAnsi="Times New Roman" w:cs="Times New Roman"/>
        </w:rPr>
        <w:t xml:space="preserve"> </w:t>
      </w:r>
      <w:r>
        <w:rPr>
          <w:rFonts w:ascii="Times New Roman" w:hAnsi="Times New Roman" w:cs="Times New Roman"/>
        </w:rPr>
        <w:t xml:space="preserve">plus difficiles qui se soit posée à moi a donc été la suivante : comment </w:t>
      </w:r>
      <w:r w:rsidR="00BC24FD">
        <w:rPr>
          <w:rFonts w:ascii="Times New Roman" w:hAnsi="Times New Roman" w:cs="Times New Roman"/>
        </w:rPr>
        <w:t>jeter des ponts entre les théories</w:t>
      </w:r>
      <w:r>
        <w:rPr>
          <w:rFonts w:ascii="Times New Roman" w:hAnsi="Times New Roman" w:cs="Times New Roman"/>
        </w:rPr>
        <w:t xml:space="preserve">, tout en veillant à une mise en perspective cohérente ? </w:t>
      </w:r>
    </w:p>
    <w:p w:rsidR="00672D28" w:rsidRDefault="00672D28" w:rsidP="006C6A6F">
      <w:pPr>
        <w:spacing w:after="120" w:line="276" w:lineRule="auto"/>
        <w:jc w:val="both"/>
        <w:rPr>
          <w:rFonts w:ascii="Times New Roman" w:hAnsi="Times New Roman" w:cs="Times New Roman"/>
        </w:rPr>
      </w:pPr>
      <w:r>
        <w:rPr>
          <w:rFonts w:ascii="Times New Roman" w:hAnsi="Times New Roman" w:cs="Times New Roman"/>
        </w:rPr>
        <w:t>Tout au long de cet ouvrage, j</w:t>
      </w:r>
      <w:r w:rsidR="00BC24FD">
        <w:rPr>
          <w:rFonts w:ascii="Times New Roman" w:hAnsi="Times New Roman" w:cs="Times New Roman"/>
        </w:rPr>
        <w:t xml:space="preserve">’ai voulu relever un certain nombre de défis. </w:t>
      </w:r>
      <w:r>
        <w:rPr>
          <w:rFonts w:ascii="Times New Roman" w:hAnsi="Times New Roman" w:cs="Times New Roman"/>
        </w:rPr>
        <w:t xml:space="preserve">Je vous propose d’examiner de plus près trois champs de questionnement. J’essayerai d’être brève, pour ne pas monopoliser le temps de la parole – j’ai hâte d’échanger avec mes discutants et avec la salle. </w:t>
      </w:r>
    </w:p>
    <w:p w:rsidR="00672D28" w:rsidRPr="00672D28" w:rsidRDefault="00672D28" w:rsidP="006C6A6F">
      <w:pPr>
        <w:spacing w:after="120" w:line="276" w:lineRule="auto"/>
        <w:jc w:val="both"/>
        <w:rPr>
          <w:rFonts w:ascii="Times New Roman" w:hAnsi="Times New Roman" w:cs="Times New Roman"/>
          <w:b/>
        </w:rPr>
      </w:pPr>
      <w:r w:rsidRPr="00672D28">
        <w:rPr>
          <w:rFonts w:ascii="Times New Roman" w:hAnsi="Times New Roman" w:cs="Times New Roman"/>
          <w:b/>
        </w:rPr>
        <w:lastRenderedPageBreak/>
        <w:t>1</w:t>
      </w:r>
      <w:r w:rsidRPr="00672D28">
        <w:rPr>
          <w:rFonts w:ascii="Times New Roman" w:hAnsi="Times New Roman" w:cs="Times New Roman"/>
          <w:b/>
          <w:vertAlign w:val="superscript"/>
        </w:rPr>
        <w:t>er</w:t>
      </w:r>
      <w:r w:rsidRPr="00672D28">
        <w:rPr>
          <w:rFonts w:ascii="Times New Roman" w:hAnsi="Times New Roman" w:cs="Times New Roman"/>
          <w:b/>
        </w:rPr>
        <w:t xml:space="preserve"> champ : la marque, la trace, la saillance…</w:t>
      </w:r>
    </w:p>
    <w:p w:rsidR="00156C49" w:rsidRDefault="007B1101" w:rsidP="006C6A6F">
      <w:pPr>
        <w:spacing w:after="120" w:line="276" w:lineRule="auto"/>
        <w:jc w:val="both"/>
        <w:rPr>
          <w:rFonts w:ascii="Times New Roman" w:hAnsi="Times New Roman" w:cs="Times New Roman"/>
        </w:rPr>
      </w:pPr>
      <w:r>
        <w:rPr>
          <w:rFonts w:ascii="Times New Roman" w:hAnsi="Times New Roman" w:cs="Times New Roman"/>
        </w:rPr>
        <w:t>Dévidons la pelote en nous demandant, pour commencer</w:t>
      </w:r>
      <w:r w:rsidR="00156C49">
        <w:rPr>
          <w:rFonts w:ascii="Times New Roman" w:hAnsi="Times New Roman" w:cs="Times New Roman"/>
        </w:rPr>
        <w:t>,</w:t>
      </w:r>
      <w:r>
        <w:rPr>
          <w:rFonts w:ascii="Times New Roman" w:hAnsi="Times New Roman" w:cs="Times New Roman"/>
        </w:rPr>
        <w:t xml:space="preserve"> </w:t>
      </w:r>
      <w:r w:rsidR="00156C49">
        <w:rPr>
          <w:rFonts w:ascii="Times New Roman" w:hAnsi="Times New Roman" w:cs="Times New Roman"/>
        </w:rPr>
        <w:t xml:space="preserve">s’il est possible/opportun de renouveler la réflexion sur la </w:t>
      </w:r>
      <w:r w:rsidR="00156C49" w:rsidRPr="00BC24FD">
        <w:rPr>
          <w:rFonts w:ascii="Times New Roman" w:hAnsi="Times New Roman" w:cs="Times New Roman"/>
          <w:i/>
        </w:rPr>
        <w:t>marque</w:t>
      </w:r>
      <w:r w:rsidR="00156C49">
        <w:rPr>
          <w:rFonts w:ascii="Times New Roman" w:hAnsi="Times New Roman" w:cs="Times New Roman"/>
        </w:rPr>
        <w:t xml:space="preserve"> laissée par l’inscription dans un texte </w:t>
      </w:r>
      <w:r w:rsidR="00BC24FD">
        <w:rPr>
          <w:rFonts w:ascii="Times New Roman" w:hAnsi="Times New Roman" w:cs="Times New Roman"/>
        </w:rPr>
        <w:t>d’</w:t>
      </w:r>
      <w:r w:rsidR="00156C49">
        <w:rPr>
          <w:rFonts w:ascii="Times New Roman" w:hAnsi="Times New Roman" w:cs="Times New Roman"/>
        </w:rPr>
        <w:t>une in</w:t>
      </w:r>
      <w:r w:rsidR="00BC24FD">
        <w:rPr>
          <w:rFonts w:ascii="Times New Roman" w:hAnsi="Times New Roman" w:cs="Times New Roman"/>
        </w:rPr>
        <w:t>s</w:t>
      </w:r>
      <w:r w:rsidR="00156C49">
        <w:rPr>
          <w:rFonts w:ascii="Times New Roman" w:hAnsi="Times New Roman" w:cs="Times New Roman"/>
        </w:rPr>
        <w:t xml:space="preserve">tance et </w:t>
      </w:r>
      <w:r w:rsidR="00BC24FD">
        <w:rPr>
          <w:rFonts w:ascii="Times New Roman" w:hAnsi="Times New Roman" w:cs="Times New Roman"/>
        </w:rPr>
        <w:t>d’</w:t>
      </w:r>
      <w:r w:rsidR="00156C49">
        <w:rPr>
          <w:rFonts w:ascii="Times New Roman" w:hAnsi="Times New Roman" w:cs="Times New Roman"/>
        </w:rPr>
        <w:t>une situation d’énonciation (</w:t>
      </w:r>
      <w:r w:rsidR="00BC24FD">
        <w:rPr>
          <w:rFonts w:ascii="Times New Roman" w:hAnsi="Times New Roman" w:cs="Times New Roman"/>
        </w:rPr>
        <w:t xml:space="preserve">cette approche privilégie ce que les linguistes et les greimassiens entendent par </w:t>
      </w:r>
      <w:r w:rsidR="00156C49">
        <w:rPr>
          <w:rFonts w:ascii="Times New Roman" w:hAnsi="Times New Roman" w:cs="Times New Roman"/>
        </w:rPr>
        <w:t>« énonciation énoncée »). Le projet est de taille, la marque étant bien étudiée en linguistique, où elle prend la forme de déictiques (</w:t>
      </w:r>
      <w:r w:rsidR="00BC24FD">
        <w:rPr>
          <w:rFonts w:ascii="Times New Roman" w:hAnsi="Times New Roman" w:cs="Times New Roman"/>
        </w:rPr>
        <w:t xml:space="preserve">grossièrement : </w:t>
      </w:r>
      <w:r w:rsidR="00156C49">
        <w:rPr>
          <w:rFonts w:ascii="Times New Roman" w:hAnsi="Times New Roman" w:cs="Times New Roman"/>
        </w:rPr>
        <w:t xml:space="preserve">« je, ici, maintenant ») et témoigne d’une </w:t>
      </w:r>
      <w:r w:rsidR="0018054D">
        <w:rPr>
          <w:rFonts w:ascii="Times New Roman" w:hAnsi="Times New Roman" w:cs="Times New Roman"/>
        </w:rPr>
        <w:t>implication</w:t>
      </w:r>
      <w:r w:rsidR="00156C49">
        <w:rPr>
          <w:rFonts w:ascii="Times New Roman" w:hAnsi="Times New Roman" w:cs="Times New Roman"/>
        </w:rPr>
        <w:t xml:space="preserve"> subjective. </w:t>
      </w:r>
    </w:p>
    <w:p w:rsidR="000340A0" w:rsidRDefault="00BC24FD" w:rsidP="006C6A6F">
      <w:pPr>
        <w:spacing w:after="120" w:line="276" w:lineRule="auto"/>
        <w:jc w:val="both"/>
        <w:rPr>
          <w:rFonts w:ascii="Times New Roman" w:hAnsi="Times New Roman" w:cs="Times New Roman"/>
        </w:rPr>
      </w:pPr>
      <w:r>
        <w:rPr>
          <w:rFonts w:ascii="Times New Roman" w:hAnsi="Times New Roman" w:cs="Times New Roman"/>
        </w:rPr>
        <w:t xml:space="preserve">Premier défi : comment articuler la marque avec la </w:t>
      </w:r>
      <w:r w:rsidRPr="00BC24FD">
        <w:rPr>
          <w:rFonts w:ascii="Times New Roman" w:hAnsi="Times New Roman" w:cs="Times New Roman"/>
          <w:i/>
        </w:rPr>
        <w:t>trace</w:t>
      </w:r>
      <w:r>
        <w:rPr>
          <w:rFonts w:ascii="Times New Roman" w:hAnsi="Times New Roman" w:cs="Times New Roman"/>
        </w:rPr>
        <w:t> ? A</w:t>
      </w:r>
      <w:r w:rsidR="007B1101">
        <w:rPr>
          <w:rFonts w:ascii="Times New Roman" w:hAnsi="Times New Roman" w:cs="Times New Roman"/>
        </w:rPr>
        <w:t xml:space="preserve">lors que la première peut être considérée comme stabilisée, la seconde est trace </w:t>
      </w:r>
      <w:r w:rsidR="007B1101" w:rsidRPr="00372E35">
        <w:rPr>
          <w:rFonts w:ascii="Times New Roman" w:hAnsi="Times New Roman" w:cs="Times New Roman"/>
          <w:i/>
        </w:rPr>
        <w:t>d</w:t>
      </w:r>
      <w:r w:rsidR="007B1101">
        <w:rPr>
          <w:rFonts w:ascii="Times New Roman" w:hAnsi="Times New Roman" w:cs="Times New Roman"/>
        </w:rPr>
        <w:t xml:space="preserve">’un quelque chose d’indéterminé et trace </w:t>
      </w:r>
      <w:r w:rsidR="007B1101" w:rsidRPr="00372E35">
        <w:rPr>
          <w:rFonts w:ascii="Times New Roman" w:hAnsi="Times New Roman" w:cs="Times New Roman"/>
          <w:i/>
        </w:rPr>
        <w:t xml:space="preserve">vers </w:t>
      </w:r>
      <w:r w:rsidR="007B1101">
        <w:rPr>
          <w:rFonts w:ascii="Times New Roman" w:hAnsi="Times New Roman" w:cs="Times New Roman"/>
        </w:rPr>
        <w:t>ce que ce quelque chose devient. Les enjeux sont importants : en effet, d’a</w:t>
      </w:r>
      <w:r w:rsidR="00372E35">
        <w:rPr>
          <w:rFonts w:ascii="Times New Roman" w:hAnsi="Times New Roman" w:cs="Times New Roman"/>
        </w:rPr>
        <w:t>près moi, l’interjection ou le juron, pour ne donner que ces exemples, attestent au niveau même de la manifestation linguistique une poussée énonciative, un jaillissement corporel</w:t>
      </w:r>
      <w:r w:rsidR="00C330EF">
        <w:rPr>
          <w:rFonts w:ascii="Times New Roman" w:hAnsi="Times New Roman" w:cs="Times New Roman"/>
        </w:rPr>
        <w:t xml:space="preserve"> ; </w:t>
      </w:r>
      <w:r w:rsidR="007B1101">
        <w:rPr>
          <w:rFonts w:ascii="Times New Roman" w:hAnsi="Times New Roman" w:cs="Times New Roman"/>
        </w:rPr>
        <w:t xml:space="preserve">il s’agit de manifester, </w:t>
      </w:r>
      <w:r w:rsidR="00C330EF" w:rsidRPr="00672D28">
        <w:rPr>
          <w:rFonts w:ascii="Times New Roman" w:hAnsi="Times New Roman" w:cs="Times New Roman"/>
          <w:i/>
        </w:rPr>
        <w:t>dans le logos</w:t>
      </w:r>
      <w:r w:rsidR="00C330EF">
        <w:rPr>
          <w:rFonts w:ascii="Times New Roman" w:hAnsi="Times New Roman" w:cs="Times New Roman"/>
        </w:rPr>
        <w:t xml:space="preserve">, au sens où l’entend Jean-Claude Coquet, l’expérience de « vivre le langage », comme le souhaite Merleau-Ponty. </w:t>
      </w:r>
      <w:r>
        <w:rPr>
          <w:rFonts w:ascii="Times New Roman" w:hAnsi="Times New Roman" w:cs="Times New Roman"/>
        </w:rPr>
        <w:t>C</w:t>
      </w:r>
      <w:r w:rsidR="007B1101">
        <w:rPr>
          <w:rFonts w:ascii="Times New Roman" w:hAnsi="Times New Roman" w:cs="Times New Roman"/>
        </w:rPr>
        <w:t xml:space="preserve">e que la trace textuelle peut donner à voir, c’est la prise de position liminaire d’une instance qui est </w:t>
      </w:r>
      <w:r w:rsidR="007B1101" w:rsidRPr="00BC24FD">
        <w:rPr>
          <w:rFonts w:ascii="Times New Roman" w:hAnsi="Times New Roman" w:cs="Times New Roman"/>
          <w:i/>
        </w:rPr>
        <w:t>au</w:t>
      </w:r>
      <w:r w:rsidR="007B1101">
        <w:rPr>
          <w:rFonts w:ascii="Times New Roman" w:hAnsi="Times New Roman" w:cs="Times New Roman"/>
        </w:rPr>
        <w:t xml:space="preserve"> monde,</w:t>
      </w:r>
      <w:r w:rsidR="00672D28">
        <w:rPr>
          <w:rFonts w:ascii="Times New Roman" w:hAnsi="Times New Roman" w:cs="Times New Roman"/>
        </w:rPr>
        <w:t xml:space="preserve"> c’est-à-dire</w:t>
      </w:r>
      <w:r w:rsidR="007B1101">
        <w:rPr>
          <w:rFonts w:ascii="Times New Roman" w:hAnsi="Times New Roman" w:cs="Times New Roman"/>
        </w:rPr>
        <w:t xml:space="preserve"> immédiatement confrontée </w:t>
      </w:r>
      <w:r>
        <w:rPr>
          <w:rFonts w:ascii="Times New Roman" w:hAnsi="Times New Roman" w:cs="Times New Roman"/>
        </w:rPr>
        <w:t xml:space="preserve">avec un </w:t>
      </w:r>
      <w:r w:rsidRPr="00BC24FD">
        <w:rPr>
          <w:rFonts w:ascii="Times New Roman" w:hAnsi="Times New Roman" w:cs="Times New Roman"/>
          <w:i/>
        </w:rPr>
        <w:t>il y a</w:t>
      </w:r>
      <w:r>
        <w:rPr>
          <w:rFonts w:ascii="Times New Roman" w:hAnsi="Times New Roman" w:cs="Times New Roman"/>
        </w:rPr>
        <w:t xml:space="preserve"> – il y a, avant il y</w:t>
      </w:r>
      <w:r w:rsidR="00723B68">
        <w:rPr>
          <w:rFonts w:ascii="Times New Roman" w:hAnsi="Times New Roman" w:cs="Times New Roman"/>
        </w:rPr>
        <w:t xml:space="preserve"> </w:t>
      </w:r>
      <w:r>
        <w:rPr>
          <w:rFonts w:ascii="Times New Roman" w:hAnsi="Times New Roman" w:cs="Times New Roman"/>
        </w:rPr>
        <w:t xml:space="preserve">a </w:t>
      </w:r>
      <w:r w:rsidRPr="00723B68">
        <w:rPr>
          <w:rFonts w:ascii="Times New Roman" w:hAnsi="Times New Roman" w:cs="Times New Roman"/>
          <w:i/>
        </w:rPr>
        <w:t>quelque chose</w:t>
      </w:r>
      <w:r>
        <w:rPr>
          <w:rFonts w:ascii="Times New Roman" w:hAnsi="Times New Roman" w:cs="Times New Roman"/>
        </w:rPr>
        <w:t xml:space="preserve"> et avant il y a quelque chose </w:t>
      </w:r>
      <w:r w:rsidRPr="00723B68">
        <w:rPr>
          <w:rFonts w:ascii="Times New Roman" w:hAnsi="Times New Roman" w:cs="Times New Roman"/>
          <w:i/>
        </w:rPr>
        <w:t>pour moi</w:t>
      </w:r>
      <w:r w:rsidR="00723B68">
        <w:rPr>
          <w:rFonts w:ascii="Times New Roman" w:hAnsi="Times New Roman" w:cs="Times New Roman"/>
        </w:rPr>
        <w:t xml:space="preserve"> </w:t>
      </w:r>
      <w:r>
        <w:rPr>
          <w:rFonts w:ascii="Times New Roman" w:hAnsi="Times New Roman" w:cs="Times New Roman"/>
        </w:rPr>
        <w:t xml:space="preserve">-, un il y a </w:t>
      </w:r>
      <w:r w:rsidR="00723B68">
        <w:rPr>
          <w:rFonts w:ascii="Times New Roman" w:hAnsi="Times New Roman" w:cs="Times New Roman"/>
        </w:rPr>
        <w:t xml:space="preserve">qu’il s’agit de </w:t>
      </w:r>
      <w:r>
        <w:rPr>
          <w:rFonts w:ascii="Times New Roman" w:hAnsi="Times New Roman" w:cs="Times New Roman"/>
        </w:rPr>
        <w:t xml:space="preserve">percevoir, </w:t>
      </w:r>
      <w:r w:rsidR="00672D28">
        <w:rPr>
          <w:rFonts w:ascii="Times New Roman" w:hAnsi="Times New Roman" w:cs="Times New Roman"/>
        </w:rPr>
        <w:t xml:space="preserve">en se tenant </w:t>
      </w:r>
      <w:r w:rsidR="00672D28" w:rsidRPr="00672D28">
        <w:rPr>
          <w:rFonts w:ascii="Times New Roman" w:hAnsi="Times New Roman" w:cs="Times New Roman"/>
          <w:i/>
        </w:rPr>
        <w:t>devant</w:t>
      </w:r>
      <w:r>
        <w:rPr>
          <w:rFonts w:ascii="Times New Roman" w:hAnsi="Times New Roman" w:cs="Times New Roman"/>
        </w:rPr>
        <w:t xml:space="preserve"> </w:t>
      </w:r>
      <w:r w:rsidR="007B1101">
        <w:rPr>
          <w:rFonts w:ascii="Times New Roman" w:hAnsi="Times New Roman" w:cs="Times New Roman"/>
        </w:rPr>
        <w:t xml:space="preserve">au monde, avant d’être </w:t>
      </w:r>
      <w:r w:rsidR="007B1101" w:rsidRPr="00672D28">
        <w:rPr>
          <w:rFonts w:ascii="Times New Roman" w:hAnsi="Times New Roman" w:cs="Times New Roman"/>
          <w:i/>
        </w:rPr>
        <w:t>dans</w:t>
      </w:r>
      <w:r w:rsidR="007B1101">
        <w:rPr>
          <w:rFonts w:ascii="Times New Roman" w:hAnsi="Times New Roman" w:cs="Times New Roman"/>
        </w:rPr>
        <w:t xml:space="preserve"> le monde</w:t>
      </w:r>
      <w:r w:rsidR="00672D28">
        <w:rPr>
          <w:rFonts w:ascii="Times New Roman" w:hAnsi="Times New Roman" w:cs="Times New Roman"/>
        </w:rPr>
        <w:t xml:space="preserve"> que le recours à ce que Jean-François Bordron appelle le langage symbolique permet de </w:t>
      </w:r>
      <w:r w:rsidR="00672D28" w:rsidRPr="00672D28">
        <w:rPr>
          <w:rFonts w:ascii="Times New Roman" w:hAnsi="Times New Roman" w:cs="Times New Roman"/>
          <w:i/>
        </w:rPr>
        <w:t>dire</w:t>
      </w:r>
      <w:r w:rsidR="00672D28">
        <w:rPr>
          <w:rFonts w:ascii="Times New Roman" w:hAnsi="Times New Roman" w:cs="Times New Roman"/>
        </w:rPr>
        <w:t xml:space="preserve"> (spatialisation, </w:t>
      </w:r>
      <w:r w:rsidR="00723B68">
        <w:rPr>
          <w:rFonts w:ascii="Times New Roman" w:hAnsi="Times New Roman" w:cs="Times New Roman"/>
        </w:rPr>
        <w:t xml:space="preserve">articulation du temps </w:t>
      </w:r>
      <w:r w:rsidR="007B1101">
        <w:rPr>
          <w:rFonts w:ascii="Times New Roman" w:hAnsi="Times New Roman" w:cs="Times New Roman"/>
        </w:rPr>
        <w:t xml:space="preserve">en passé, présent et futur </w:t>
      </w:r>
      <w:r w:rsidR="00723B68">
        <w:rPr>
          <w:rFonts w:ascii="Times New Roman" w:hAnsi="Times New Roman" w:cs="Times New Roman"/>
        </w:rPr>
        <w:t xml:space="preserve">et </w:t>
      </w:r>
      <w:r w:rsidR="00672D28">
        <w:rPr>
          <w:rFonts w:ascii="Times New Roman" w:hAnsi="Times New Roman" w:cs="Times New Roman"/>
        </w:rPr>
        <w:t xml:space="preserve">constitution d’un sujet d’énonciation). </w:t>
      </w:r>
    </w:p>
    <w:p w:rsidR="004546A3" w:rsidRDefault="004546A3" w:rsidP="004546A3">
      <w:pPr>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 xml:space="preserve">Enfin, en aiguillant la discussion vers la figure </w:t>
      </w:r>
      <w:r w:rsidRPr="00E6700B">
        <w:rPr>
          <w:rFonts w:ascii="Times New Roman" w:hAnsi="Times New Roman" w:cs="Times New Roman"/>
          <w:i/>
        </w:rPr>
        <w:t xml:space="preserve">saillante </w:t>
      </w:r>
      <w:r>
        <w:rPr>
          <w:rFonts w:ascii="Times New Roman" w:hAnsi="Times New Roman" w:cs="Times New Roman"/>
        </w:rPr>
        <w:t xml:space="preserve">dans le tableau </w:t>
      </w:r>
      <w:r w:rsidRPr="004546A3">
        <w:rPr>
          <w:rFonts w:ascii="Times New Roman" w:hAnsi="Times New Roman" w:cs="Times New Roman"/>
          <w:i/>
        </w:rPr>
        <w:t>Ad marginem</w:t>
      </w:r>
      <w:r>
        <w:rPr>
          <w:rFonts w:ascii="Times New Roman" w:hAnsi="Times New Roman" w:cs="Times New Roman"/>
        </w:rPr>
        <w:t>, je cherche à montrer en quoi le repérage de la marque/d’un groupement de marques peut contribuer à une analyse immanente du texte visuel</w:t>
      </w:r>
      <w:r w:rsidR="00E6700B">
        <w:rPr>
          <w:rFonts w:ascii="Times New Roman" w:hAnsi="Times New Roman" w:cs="Times New Roman"/>
        </w:rPr>
        <w:t>, qui est parcouru de tensions</w:t>
      </w:r>
      <w:r>
        <w:rPr>
          <w:rFonts w:ascii="Times New Roman" w:hAnsi="Times New Roman" w:cs="Times New Roman"/>
        </w:rPr>
        <w:t>. Le</w:t>
      </w:r>
      <w:r w:rsidRPr="00AB34B3">
        <w:rPr>
          <w:rFonts w:ascii="Times New Roman" w:hAnsi="Times New Roman" w:cs="Times New Roman"/>
        </w:rPr>
        <w:t xml:space="preserve"> disque rouge </w:t>
      </w:r>
      <w:r>
        <w:rPr>
          <w:rFonts w:ascii="Times New Roman" w:hAnsi="Times New Roman" w:cs="Times New Roman"/>
        </w:rPr>
        <w:t xml:space="preserve">saillant </w:t>
      </w:r>
      <w:r w:rsidRPr="00AB34B3">
        <w:rPr>
          <w:rFonts w:ascii="Times New Roman" w:hAnsi="Times New Roman" w:cs="Times New Roman"/>
        </w:rPr>
        <w:t xml:space="preserve">qui sourd au milieu </w:t>
      </w:r>
      <w:r>
        <w:rPr>
          <w:rFonts w:ascii="Times New Roman" w:hAnsi="Times New Roman" w:cs="Times New Roman"/>
        </w:rPr>
        <w:t>de la toile</w:t>
      </w:r>
      <w:r w:rsidRPr="00AB34B3">
        <w:rPr>
          <w:rFonts w:ascii="Times New Roman" w:hAnsi="Times New Roman" w:cs="Times New Roman"/>
        </w:rPr>
        <w:t xml:space="preserve"> </w:t>
      </w:r>
      <w:r>
        <w:rPr>
          <w:rFonts w:ascii="Times New Roman" w:hAnsi="Times New Roman" w:cs="Times New Roman"/>
        </w:rPr>
        <w:t xml:space="preserve">est </w:t>
      </w:r>
      <w:r w:rsidRPr="00AB34B3">
        <w:rPr>
          <w:rFonts w:ascii="Times New Roman" w:hAnsi="Times New Roman" w:cs="Times New Roman"/>
        </w:rPr>
        <w:t xml:space="preserve">non seulement immédiatement reconnaissable, mais </w:t>
      </w:r>
      <w:r>
        <w:rPr>
          <w:rFonts w:ascii="Times New Roman" w:hAnsi="Times New Roman" w:cs="Times New Roman"/>
        </w:rPr>
        <w:t xml:space="preserve">il </w:t>
      </w:r>
      <w:r w:rsidRPr="00AB34B3">
        <w:rPr>
          <w:rFonts w:ascii="Times New Roman" w:hAnsi="Times New Roman" w:cs="Times New Roman"/>
        </w:rPr>
        <w:t xml:space="preserve">crée un </w:t>
      </w:r>
      <w:r>
        <w:rPr>
          <w:rFonts w:ascii="Times New Roman" w:hAnsi="Times New Roman" w:cs="Times New Roman"/>
        </w:rPr>
        <w:t>double </w:t>
      </w:r>
      <w:r w:rsidRPr="00AB34B3">
        <w:rPr>
          <w:rFonts w:ascii="Times New Roman" w:hAnsi="Times New Roman" w:cs="Times New Roman"/>
        </w:rPr>
        <w:t>événement de sens</w:t>
      </w:r>
      <w:r>
        <w:rPr>
          <w:rFonts w:ascii="Times New Roman" w:hAnsi="Times New Roman" w:cs="Times New Roman"/>
        </w:rPr>
        <w:t xml:space="preserve"> : </w:t>
      </w:r>
      <w:r w:rsidRPr="00AB34B3">
        <w:rPr>
          <w:rFonts w:ascii="Times New Roman" w:hAnsi="Times New Roman" w:cs="Times New Roman"/>
        </w:rPr>
        <w:t>en concentrant l’énergie qui monte vers lui à partir de la périphérie du tableau (intensification) et en la redistribuant, l’intensité s’affaiblissent en direction des bords, comme le montre le halo dont le disque est entouré.</w:t>
      </w:r>
      <w:r>
        <w:rPr>
          <w:rFonts w:ascii="Times New Roman" w:hAnsi="Times New Roman" w:cs="Times New Roman"/>
        </w:rPr>
        <w:t xml:space="preserve"> </w:t>
      </w:r>
    </w:p>
    <w:p w:rsidR="00FB5BE9" w:rsidRPr="0039777C" w:rsidRDefault="004546A3" w:rsidP="0039777C">
      <w:pPr>
        <w:spacing w:after="120" w:line="276" w:lineRule="auto"/>
        <w:jc w:val="both"/>
        <w:rPr>
          <w:rFonts w:ascii="Times New Roman" w:hAnsi="Times New Roman" w:cs="Times New Roman"/>
        </w:rPr>
      </w:pPr>
      <w:r>
        <w:rPr>
          <w:rFonts w:ascii="Times New Roman" w:hAnsi="Times New Roman" w:cs="Times New Roman"/>
        </w:rPr>
        <w:t xml:space="preserve">Je viens de parler </w:t>
      </w:r>
      <w:r w:rsidR="00E6700B">
        <w:rPr>
          <w:rFonts w:ascii="Times New Roman" w:hAnsi="Times New Roman" w:cs="Times New Roman"/>
        </w:rPr>
        <w:t xml:space="preserve">de la charge expressive concentrée par une instance d’énonciation. </w:t>
      </w:r>
      <w:r w:rsidR="00672D28">
        <w:rPr>
          <w:rFonts w:ascii="Times New Roman" w:hAnsi="Times New Roman" w:cs="Times New Roman"/>
        </w:rPr>
        <w:t xml:space="preserve">Précisément, le </w:t>
      </w:r>
      <w:r w:rsidR="00BC24FD">
        <w:rPr>
          <w:rFonts w:ascii="Times New Roman" w:hAnsi="Times New Roman" w:cs="Times New Roman"/>
        </w:rPr>
        <w:t>2</w:t>
      </w:r>
      <w:r w:rsidR="00BC24FD" w:rsidRPr="00BC24FD">
        <w:rPr>
          <w:rFonts w:ascii="Times New Roman" w:hAnsi="Times New Roman" w:cs="Times New Roman"/>
          <w:vertAlign w:val="superscript"/>
        </w:rPr>
        <w:t>e</w:t>
      </w:r>
      <w:r w:rsidR="00BC24FD">
        <w:rPr>
          <w:rFonts w:ascii="Times New Roman" w:hAnsi="Times New Roman" w:cs="Times New Roman"/>
        </w:rPr>
        <w:t xml:space="preserve"> défi</w:t>
      </w:r>
      <w:r w:rsidR="00672D28">
        <w:rPr>
          <w:rFonts w:ascii="Times New Roman" w:hAnsi="Times New Roman" w:cs="Times New Roman"/>
        </w:rPr>
        <w:t xml:space="preserve"> est là :</w:t>
      </w:r>
      <w:r w:rsidR="00BC24FD">
        <w:rPr>
          <w:rFonts w:ascii="Times New Roman" w:hAnsi="Times New Roman" w:cs="Times New Roman"/>
        </w:rPr>
        <w:t xml:space="preserve"> </w:t>
      </w:r>
      <w:r w:rsidR="0018054D">
        <w:rPr>
          <w:rFonts w:ascii="Times New Roman" w:hAnsi="Times New Roman" w:cs="Times New Roman"/>
        </w:rPr>
        <w:t>la trace et la marque attesteraient-elles la présence d’</w:t>
      </w:r>
      <w:r w:rsidR="0018054D" w:rsidRPr="00723B68">
        <w:rPr>
          <w:rFonts w:ascii="Times New Roman" w:hAnsi="Times New Roman" w:cs="Times New Roman"/>
          <w:i/>
        </w:rPr>
        <w:t xml:space="preserve">instances d’énonciation </w:t>
      </w:r>
      <w:r w:rsidR="00E6700B">
        <w:rPr>
          <w:rFonts w:ascii="Times New Roman" w:hAnsi="Times New Roman" w:cs="Times New Roman"/>
        </w:rPr>
        <w:t>distinctes</w:t>
      </w:r>
      <w:r w:rsidR="0018054D">
        <w:rPr>
          <w:rFonts w:ascii="Times New Roman" w:hAnsi="Times New Roman" w:cs="Times New Roman"/>
        </w:rPr>
        <w:t xml:space="preserve"> ? Du </w:t>
      </w:r>
      <w:r w:rsidR="00FB5BE9">
        <w:rPr>
          <w:rFonts w:ascii="Times New Roman" w:hAnsi="Times New Roman" w:cs="Times New Roman"/>
        </w:rPr>
        <w:t>« </w:t>
      </w:r>
      <w:r w:rsidR="0018054D">
        <w:rPr>
          <w:rFonts w:ascii="Times New Roman" w:hAnsi="Times New Roman" w:cs="Times New Roman"/>
        </w:rPr>
        <w:t>corps qui énonce</w:t>
      </w:r>
      <w:r w:rsidR="00FB5BE9">
        <w:rPr>
          <w:rFonts w:ascii="Times New Roman" w:hAnsi="Times New Roman" w:cs="Times New Roman"/>
        </w:rPr>
        <w:t> »</w:t>
      </w:r>
      <w:r w:rsidR="0018054D">
        <w:rPr>
          <w:rFonts w:ascii="Times New Roman" w:hAnsi="Times New Roman" w:cs="Times New Roman"/>
        </w:rPr>
        <w:t xml:space="preserve">, écrit Coquet, alors que le </w:t>
      </w:r>
      <w:r w:rsidR="00FB5BE9">
        <w:rPr>
          <w:rFonts w:ascii="Times New Roman" w:hAnsi="Times New Roman" w:cs="Times New Roman"/>
        </w:rPr>
        <w:t>« </w:t>
      </w:r>
      <w:r w:rsidR="0018054D">
        <w:rPr>
          <w:rFonts w:ascii="Times New Roman" w:hAnsi="Times New Roman" w:cs="Times New Roman"/>
        </w:rPr>
        <w:t xml:space="preserve">sujet </w:t>
      </w:r>
      <w:r w:rsidR="0018054D" w:rsidRPr="00723B68">
        <w:rPr>
          <w:rFonts w:ascii="Times New Roman" w:hAnsi="Times New Roman" w:cs="Times New Roman"/>
          <w:i/>
        </w:rPr>
        <w:t>s</w:t>
      </w:r>
      <w:r w:rsidR="0018054D">
        <w:rPr>
          <w:rFonts w:ascii="Times New Roman" w:hAnsi="Times New Roman" w:cs="Times New Roman"/>
        </w:rPr>
        <w:t>’énonce</w:t>
      </w:r>
      <w:r w:rsidR="00FB5BE9">
        <w:rPr>
          <w:rFonts w:ascii="Times New Roman" w:hAnsi="Times New Roman" w:cs="Times New Roman"/>
        </w:rPr>
        <w:t> »</w:t>
      </w:r>
      <w:r w:rsidR="0018054D">
        <w:rPr>
          <w:rFonts w:ascii="Times New Roman" w:hAnsi="Times New Roman" w:cs="Times New Roman"/>
        </w:rPr>
        <w:t>.</w:t>
      </w:r>
      <w:r w:rsidR="00FB5BE9">
        <w:rPr>
          <w:rFonts w:ascii="Times New Roman" w:hAnsi="Times New Roman" w:cs="Times New Roman"/>
        </w:rPr>
        <w:t xml:space="preserve"> Ou encore, </w:t>
      </w:r>
      <w:r w:rsidR="00E6700B">
        <w:rPr>
          <w:rFonts w:ascii="Times New Roman" w:hAnsi="Times New Roman" w:cs="Times New Roman"/>
        </w:rPr>
        <w:t>on peut distinguer</w:t>
      </w:r>
      <w:r w:rsidR="00FB5BE9">
        <w:rPr>
          <w:rFonts w:ascii="Times New Roman" w:hAnsi="Times New Roman" w:cs="Times New Roman"/>
        </w:rPr>
        <w:t xml:space="preserve"> différents types de subjectivité : </w:t>
      </w:r>
      <w:r w:rsidR="0018054D">
        <w:rPr>
          <w:rFonts w:ascii="Times New Roman" w:hAnsi="Times New Roman" w:cs="Times New Roman"/>
        </w:rPr>
        <w:t xml:space="preserve"> </w:t>
      </w:r>
      <w:r w:rsidR="00FB5BE9">
        <w:rPr>
          <w:rFonts w:ascii="Times New Roman" w:hAnsi="Times New Roman" w:cs="Times New Roman"/>
        </w:rPr>
        <w:t>participante (être au monde), percevante (être devant le monde) et subjective</w:t>
      </w:r>
      <w:r w:rsidR="00136BA0">
        <w:rPr>
          <w:rFonts w:ascii="Times New Roman" w:hAnsi="Times New Roman" w:cs="Times New Roman"/>
        </w:rPr>
        <w:t xml:space="preserve"> : </w:t>
      </w:r>
      <w:r w:rsidR="00FB5BE9">
        <w:rPr>
          <w:rFonts w:ascii="Times New Roman" w:hAnsi="Times New Roman" w:cs="Times New Roman"/>
        </w:rPr>
        <w:t xml:space="preserve">être </w:t>
      </w:r>
      <w:r w:rsidR="00FB5BE9" w:rsidRPr="00672D28">
        <w:rPr>
          <w:rFonts w:ascii="Times New Roman" w:hAnsi="Times New Roman" w:cs="Times New Roman"/>
          <w:i/>
        </w:rPr>
        <w:t>dans</w:t>
      </w:r>
      <w:r w:rsidR="00FB5BE9">
        <w:rPr>
          <w:rFonts w:ascii="Times New Roman" w:hAnsi="Times New Roman" w:cs="Times New Roman"/>
        </w:rPr>
        <w:t xml:space="preserve"> </w:t>
      </w:r>
      <w:r w:rsidR="00672D28">
        <w:rPr>
          <w:rFonts w:ascii="Times New Roman" w:hAnsi="Times New Roman" w:cs="Times New Roman"/>
        </w:rPr>
        <w:t>le</w:t>
      </w:r>
      <w:r w:rsidR="00FB5BE9">
        <w:rPr>
          <w:rFonts w:ascii="Times New Roman" w:hAnsi="Times New Roman" w:cs="Times New Roman"/>
        </w:rPr>
        <w:t xml:space="preserve"> monde</w:t>
      </w:r>
      <w:r w:rsidR="00672D28">
        <w:rPr>
          <w:rFonts w:ascii="Times New Roman" w:hAnsi="Times New Roman" w:cs="Times New Roman"/>
        </w:rPr>
        <w:t>, comme je viens de l</w:t>
      </w:r>
      <w:r w:rsidR="00E6700B">
        <w:rPr>
          <w:rFonts w:ascii="Times New Roman" w:hAnsi="Times New Roman" w:cs="Times New Roman"/>
        </w:rPr>
        <w:t>e</w:t>
      </w:r>
      <w:r w:rsidR="00672D28">
        <w:rPr>
          <w:rFonts w:ascii="Times New Roman" w:hAnsi="Times New Roman" w:cs="Times New Roman"/>
        </w:rPr>
        <w:t xml:space="preserve"> dire.</w:t>
      </w:r>
    </w:p>
    <w:p w:rsidR="00174119" w:rsidRPr="00672D28" w:rsidRDefault="00FB5BE9" w:rsidP="0039777C">
      <w:pPr>
        <w:autoSpaceDE w:val="0"/>
        <w:autoSpaceDN w:val="0"/>
        <w:adjustRightInd w:val="0"/>
        <w:spacing w:after="120" w:line="276" w:lineRule="auto"/>
        <w:jc w:val="both"/>
        <w:rPr>
          <w:rFonts w:ascii="Times New Roman" w:hAnsi="Times New Roman" w:cs="Times New Roman"/>
        </w:rPr>
      </w:pPr>
      <w:r w:rsidRPr="0039777C">
        <w:rPr>
          <w:rFonts w:ascii="Times New Roman" w:hAnsi="Times New Roman" w:cs="Times New Roman"/>
        </w:rPr>
        <w:t xml:space="preserve">Un des points les plus sensibles que j’aie eu à traiter est celui de la deixis ou déicticité. Rappelons-nous que pour Jacques Fontanille, </w:t>
      </w:r>
      <w:r w:rsidR="00174119" w:rsidRPr="0039777C">
        <w:rPr>
          <w:rFonts w:ascii="Times New Roman" w:hAnsi="Times New Roman" w:cs="Times New Roman"/>
        </w:rPr>
        <w:t xml:space="preserve">(je renvoie à un article sur « Sémiotique littéraire et phénoménologie », 1996), « la profondeur elle-même présuppose en droit la deixis et les horizons mais, de fait, en tant qu’effet de sens, elle suffit le plus souvent à actualiser directement le centre déictique et les limites du champ ». Ce dernier est en effet centré : la lecture « phénoménologique » du texte littéraire s’organise </w:t>
      </w:r>
      <w:r w:rsidR="00174119" w:rsidRPr="00672D28">
        <w:rPr>
          <w:rFonts w:ascii="Times New Roman" w:hAnsi="Times New Roman" w:cs="Times New Roman"/>
          <w:i/>
        </w:rPr>
        <w:t>ainsi</w:t>
      </w:r>
      <w:r w:rsidR="00174119" w:rsidRPr="0039777C">
        <w:rPr>
          <w:rFonts w:ascii="Times New Roman" w:hAnsi="Times New Roman" w:cs="Times New Roman"/>
        </w:rPr>
        <w:t xml:space="preserve"> autour d’un « centre déictique Ego, </w:t>
      </w:r>
      <w:r w:rsidR="00174119" w:rsidRPr="00672D28">
        <w:rPr>
          <w:rFonts w:ascii="Times New Roman" w:hAnsi="Times New Roman" w:cs="Times New Roman"/>
          <w:i/>
        </w:rPr>
        <w:t>dont le champ de présence est cerné, dessiné, prédiqué par la visée de l’autre ; cerné dans le temps aussi bien que dans l’espace, puisque c’est cet autre même qui définit les limites du champ en rétention et en protension »</w:t>
      </w:r>
      <w:r w:rsidR="00174119" w:rsidRPr="0039777C">
        <w:rPr>
          <w:rFonts w:ascii="Times New Roman" w:hAnsi="Times New Roman" w:cs="Times New Roman"/>
        </w:rPr>
        <w:t xml:space="preserve">. </w:t>
      </w:r>
      <w:r w:rsidR="00174119" w:rsidRPr="00672D28">
        <w:rPr>
          <w:rFonts w:ascii="Times New Roman" w:hAnsi="Times New Roman" w:cs="Times New Roman"/>
          <w:i/>
        </w:rPr>
        <w:t xml:space="preserve">Et Fontanille de poursuivre : « […] cette activité </w:t>
      </w:r>
      <w:r w:rsidR="00174119" w:rsidRPr="00672D28">
        <w:rPr>
          <w:rFonts w:ascii="Times New Roman" w:hAnsi="Times New Roman" w:cs="Times New Roman"/>
          <w:i/>
        </w:rPr>
        <w:lastRenderedPageBreak/>
        <w:t xml:space="preserve">présupppose elle-même une visée du sujet-centre déictique, au cours de laquelle il identifie l’autre comme autre chair intentionnelle, en empathie avec sa propre chair » </w:t>
      </w:r>
      <w:proofErr w:type="gramStart"/>
      <w:r w:rsidR="00174119" w:rsidRPr="00672D28">
        <w:rPr>
          <w:rFonts w:ascii="Times New Roman" w:hAnsi="Times New Roman" w:cs="Times New Roman"/>
          <w:i/>
        </w:rPr>
        <w:t>( p.</w:t>
      </w:r>
      <w:proofErr w:type="gramEnd"/>
      <w:r w:rsidR="00174119" w:rsidRPr="00672D28">
        <w:rPr>
          <w:rFonts w:ascii="Times New Roman" w:hAnsi="Times New Roman" w:cs="Times New Roman"/>
          <w:i/>
        </w:rPr>
        <w:t> 171-172)</w:t>
      </w:r>
      <w:r w:rsidR="00672D28">
        <w:rPr>
          <w:rFonts w:ascii="Times New Roman" w:hAnsi="Times New Roman" w:cs="Times New Roman"/>
        </w:rPr>
        <w:t>.</w:t>
      </w:r>
    </w:p>
    <w:p w:rsidR="007432A5" w:rsidRDefault="00672D28" w:rsidP="00D77343">
      <w:pPr>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Or, peut-on penser une déicticité floue, voire s’affranchir de toute déicticité</w:t>
      </w:r>
      <w:r w:rsidR="00E6700B">
        <w:rPr>
          <w:rFonts w:ascii="Times New Roman" w:hAnsi="Times New Roman" w:cs="Times New Roman"/>
        </w:rPr>
        <w:t>, ou en montrer la genèse</w:t>
      </w:r>
      <w:r>
        <w:rPr>
          <w:rFonts w:ascii="Times New Roman" w:hAnsi="Times New Roman" w:cs="Times New Roman"/>
        </w:rPr>
        <w:t xml:space="preserve"> ? </w:t>
      </w:r>
      <w:r w:rsidR="007432A5">
        <w:rPr>
          <w:rFonts w:ascii="Times New Roman" w:hAnsi="Times New Roman" w:cs="Times New Roman"/>
        </w:rPr>
        <w:t xml:space="preserve">L’idée d’une egogenèse et donc de la constitution </w:t>
      </w:r>
      <w:r w:rsidR="00E6700B">
        <w:rPr>
          <w:rFonts w:ascii="Times New Roman" w:hAnsi="Times New Roman" w:cs="Times New Roman"/>
        </w:rPr>
        <w:t>du centre déictique,</w:t>
      </w:r>
      <w:r w:rsidR="007432A5">
        <w:rPr>
          <w:rFonts w:ascii="Times New Roman" w:hAnsi="Times New Roman" w:cs="Times New Roman"/>
        </w:rPr>
        <w:t xml:space="preserve"> qui est d’abord flou, mais aussi celle d’un au-delà possible de tout déicticité sont séduisantes – ainsi, </w:t>
      </w:r>
      <w:r w:rsidR="00174119" w:rsidRPr="0039777C">
        <w:rPr>
          <w:rFonts w:ascii="Times New Roman" w:hAnsi="Times New Roman" w:cs="Times New Roman"/>
        </w:rPr>
        <w:t>Claudio Paolucci</w:t>
      </w:r>
      <w:r w:rsidR="007432A5">
        <w:rPr>
          <w:rFonts w:ascii="Times New Roman" w:hAnsi="Times New Roman" w:cs="Times New Roman"/>
        </w:rPr>
        <w:t xml:space="preserve"> </w:t>
      </w:r>
      <w:r w:rsidR="00174119" w:rsidRPr="0039777C">
        <w:rPr>
          <w:rFonts w:ascii="Times New Roman" w:hAnsi="Times New Roman" w:cs="Times New Roman"/>
        </w:rPr>
        <w:t xml:space="preserve">se demande si on peut concevoir un </w:t>
      </w:r>
      <w:r w:rsidR="007432A5">
        <w:rPr>
          <w:rFonts w:ascii="Times New Roman" w:hAnsi="Times New Roman" w:cs="Times New Roman"/>
        </w:rPr>
        <w:t>« </w:t>
      </w:r>
      <w:r w:rsidR="00174119" w:rsidRPr="0039777C">
        <w:rPr>
          <w:rFonts w:ascii="Times New Roman" w:hAnsi="Times New Roman" w:cs="Times New Roman"/>
        </w:rPr>
        <w:t>appareil formel de l’énonciation affranchi de toute logique personnelle, subjective ou anthropoïde » (2017)</w:t>
      </w:r>
      <w:r w:rsidR="007432A5">
        <w:rPr>
          <w:rFonts w:ascii="Times New Roman" w:hAnsi="Times New Roman" w:cs="Times New Roman"/>
        </w:rPr>
        <w:t xml:space="preserve">. On retrouve la problématique en linguistique, qui apporte des réponses tout autres : </w:t>
      </w:r>
      <w:r w:rsidR="00AB34B3" w:rsidRPr="0039777C">
        <w:rPr>
          <w:rFonts w:ascii="Times New Roman" w:hAnsi="Times New Roman" w:cs="Times New Roman"/>
        </w:rPr>
        <w:t>Alain Rabatel, notamment, cherche à définir un appareil formel de l’effacement énonciatif</w:t>
      </w:r>
      <w:r w:rsidR="00E6700B">
        <w:rPr>
          <w:rFonts w:ascii="Times New Roman" w:hAnsi="Times New Roman" w:cs="Times New Roman"/>
        </w:rPr>
        <w:t xml:space="preserve"> ; quant à </w:t>
      </w:r>
      <w:r w:rsidR="00056E9A" w:rsidRPr="0039777C">
        <w:rPr>
          <w:rFonts w:ascii="Times New Roman" w:hAnsi="Times New Roman" w:cs="Times New Roman"/>
        </w:rPr>
        <w:t>la praxématique</w:t>
      </w:r>
      <w:r w:rsidR="00E6700B">
        <w:rPr>
          <w:rFonts w:ascii="Times New Roman" w:hAnsi="Times New Roman" w:cs="Times New Roman"/>
        </w:rPr>
        <w:t>, elle</w:t>
      </w:r>
      <w:r w:rsidR="00056E9A" w:rsidRPr="0039777C">
        <w:rPr>
          <w:rFonts w:ascii="Times New Roman" w:hAnsi="Times New Roman" w:cs="Times New Roman"/>
        </w:rPr>
        <w:t xml:space="preserve"> veut rendre compte de la transition d’un ensemble encore indifférencié vers une discrimination des personnes</w:t>
      </w:r>
      <w:r w:rsidR="007432A5">
        <w:rPr>
          <w:rFonts w:ascii="Times New Roman" w:hAnsi="Times New Roman" w:cs="Times New Roman"/>
        </w:rPr>
        <w:t>. P</w:t>
      </w:r>
      <w:r w:rsidR="00AB34B3" w:rsidRPr="0039777C">
        <w:rPr>
          <w:rFonts w:ascii="Times New Roman" w:hAnsi="Times New Roman" w:cs="Times New Roman"/>
        </w:rPr>
        <w:t>ou</w:t>
      </w:r>
      <w:r w:rsidR="00056E9A" w:rsidRPr="0039777C">
        <w:rPr>
          <w:rFonts w:ascii="Times New Roman" w:hAnsi="Times New Roman" w:cs="Times New Roman"/>
        </w:rPr>
        <w:t>r</w:t>
      </w:r>
      <w:r w:rsidR="00AB34B3" w:rsidRPr="0039777C">
        <w:rPr>
          <w:rFonts w:ascii="Times New Roman" w:hAnsi="Times New Roman" w:cs="Times New Roman"/>
        </w:rPr>
        <w:t xml:space="preserve"> Coquet,</w:t>
      </w:r>
      <w:r w:rsidR="00174119" w:rsidRPr="0039777C">
        <w:rPr>
          <w:rFonts w:ascii="Times New Roman" w:hAnsi="Times New Roman" w:cs="Times New Roman"/>
        </w:rPr>
        <w:t xml:space="preserve"> le </w:t>
      </w:r>
      <w:proofErr w:type="gramStart"/>
      <w:r w:rsidR="00174119" w:rsidRPr="0039777C">
        <w:rPr>
          <w:rFonts w:ascii="Times New Roman" w:hAnsi="Times New Roman" w:cs="Times New Roman"/>
        </w:rPr>
        <w:t>« je » entre</w:t>
      </w:r>
      <w:proofErr w:type="gramEnd"/>
      <w:r w:rsidR="00174119" w:rsidRPr="0039777C">
        <w:rPr>
          <w:rFonts w:ascii="Times New Roman" w:hAnsi="Times New Roman" w:cs="Times New Roman"/>
        </w:rPr>
        <w:t xml:space="preserve"> en résonance ou en conflit avec le « on », voire avec le « ça »</w:t>
      </w:r>
      <w:r w:rsidR="00AB34B3" w:rsidRPr="0039777C">
        <w:rPr>
          <w:rFonts w:ascii="Times New Roman" w:hAnsi="Times New Roman" w:cs="Times New Roman"/>
        </w:rPr>
        <w:t xml:space="preserve">. </w:t>
      </w:r>
      <w:r w:rsidR="007432A5">
        <w:rPr>
          <w:rFonts w:ascii="Times New Roman" w:hAnsi="Times New Roman" w:cs="Times New Roman"/>
        </w:rPr>
        <w:t>Le ça ? Sommes-nous renvoyés, également, à ce moment</w:t>
      </w:r>
      <w:r w:rsidR="00E6700B">
        <w:rPr>
          <w:rFonts w:ascii="Times New Roman" w:hAnsi="Times New Roman" w:cs="Times New Roman"/>
        </w:rPr>
        <w:t xml:space="preserve"> </w:t>
      </w:r>
      <w:r w:rsidR="007432A5">
        <w:rPr>
          <w:rFonts w:ascii="Times New Roman" w:hAnsi="Times New Roman" w:cs="Times New Roman"/>
        </w:rPr>
        <w:t xml:space="preserve">où, selon </w:t>
      </w:r>
      <w:r w:rsidR="00AB34B3" w:rsidRPr="0039777C">
        <w:rPr>
          <w:rFonts w:ascii="Times New Roman" w:hAnsi="Times New Roman" w:cs="Times New Roman"/>
        </w:rPr>
        <w:t>Deleuze et Guattari (1980)</w:t>
      </w:r>
      <w:r w:rsidR="007432A5">
        <w:rPr>
          <w:rFonts w:ascii="Times New Roman" w:hAnsi="Times New Roman" w:cs="Times New Roman"/>
        </w:rPr>
        <w:t>,</w:t>
      </w:r>
      <w:r w:rsidR="00AB34B3" w:rsidRPr="0039777C">
        <w:rPr>
          <w:rFonts w:ascii="Times New Roman" w:hAnsi="Times New Roman" w:cs="Times New Roman"/>
        </w:rPr>
        <w:t xml:space="preserve"> l’instance est aspirée, happée par le devenir</w:t>
      </w:r>
      <w:r w:rsidR="007432A5">
        <w:rPr>
          <w:rFonts w:ascii="Times New Roman" w:hAnsi="Times New Roman" w:cs="Times New Roman"/>
        </w:rPr>
        <w:t xml:space="preserve"> ? </w:t>
      </w:r>
      <w:r w:rsidR="00AB34B3" w:rsidRPr="0039777C">
        <w:rPr>
          <w:rFonts w:ascii="Times New Roman" w:hAnsi="Times New Roman" w:cs="Times New Roman"/>
        </w:rPr>
        <w:t xml:space="preserve">« Non pas en arriver au point où l’on ne dit plus je, </w:t>
      </w:r>
      <w:r w:rsidR="007432A5">
        <w:rPr>
          <w:rFonts w:ascii="Times New Roman" w:hAnsi="Times New Roman" w:cs="Times New Roman"/>
        </w:rPr>
        <w:t xml:space="preserve">écrivent-ils, </w:t>
      </w:r>
      <w:r w:rsidR="00AB34B3" w:rsidRPr="0039777C">
        <w:rPr>
          <w:rFonts w:ascii="Times New Roman" w:hAnsi="Times New Roman" w:cs="Times New Roman"/>
        </w:rPr>
        <w:t xml:space="preserve">mais au point où cela n’a plus aucune importance de dire ou de ne pas dire je. Nous ne sommes plus nous-mêmes […] Nous avons été aidés, aspirés, multipliés » (ibid., p. 9) ». </w:t>
      </w:r>
    </w:p>
    <w:p w:rsidR="007432A5" w:rsidRDefault="00AB34B3" w:rsidP="00D77343">
      <w:pPr>
        <w:autoSpaceDE w:val="0"/>
        <w:autoSpaceDN w:val="0"/>
        <w:adjustRightInd w:val="0"/>
        <w:spacing w:after="120" w:line="276" w:lineRule="auto"/>
        <w:jc w:val="both"/>
        <w:rPr>
          <w:rFonts w:ascii="Times New Roman" w:hAnsi="Times New Roman" w:cs="Times New Roman"/>
        </w:rPr>
      </w:pPr>
      <w:r w:rsidRPr="0039777C">
        <w:rPr>
          <w:rFonts w:ascii="Times New Roman" w:hAnsi="Times New Roman" w:cs="Times New Roman"/>
        </w:rPr>
        <w:t xml:space="preserve">Telles sont </w:t>
      </w:r>
      <w:r w:rsidR="007432A5">
        <w:rPr>
          <w:rFonts w:ascii="Times New Roman" w:hAnsi="Times New Roman" w:cs="Times New Roman"/>
        </w:rPr>
        <w:t>donc quelques-unes d</w:t>
      </w:r>
      <w:r w:rsidRPr="0039777C">
        <w:rPr>
          <w:rFonts w:ascii="Times New Roman" w:hAnsi="Times New Roman" w:cs="Times New Roman"/>
        </w:rPr>
        <w:t xml:space="preserve">es considérations qui me conduisent à </w:t>
      </w:r>
      <w:r w:rsidR="00056E9A" w:rsidRPr="0039777C">
        <w:rPr>
          <w:rFonts w:ascii="Times New Roman" w:hAnsi="Times New Roman" w:cs="Times New Roman"/>
        </w:rPr>
        <w:t>adapter la perspective d’</w:t>
      </w:r>
      <w:r w:rsidRPr="0039777C">
        <w:rPr>
          <w:rFonts w:ascii="Times New Roman" w:hAnsi="Times New Roman" w:cs="Times New Roman"/>
        </w:rPr>
        <w:t xml:space="preserve">une egogenèse </w:t>
      </w:r>
      <w:r w:rsidR="00056E9A" w:rsidRPr="0039777C">
        <w:rPr>
          <w:rFonts w:ascii="Times New Roman" w:hAnsi="Times New Roman" w:cs="Times New Roman"/>
        </w:rPr>
        <w:t>débouchant sur la mise en place d’une (inter)subjectivité pléniè</w:t>
      </w:r>
      <w:r w:rsidR="007432A5">
        <w:rPr>
          <w:rFonts w:ascii="Times New Roman" w:hAnsi="Times New Roman" w:cs="Times New Roman"/>
        </w:rPr>
        <w:t>re (ipséité)</w:t>
      </w:r>
      <w:r w:rsidR="00893F38">
        <w:rPr>
          <w:rFonts w:ascii="Times New Roman" w:hAnsi="Times New Roman" w:cs="Times New Roman"/>
        </w:rPr>
        <w:t>, d’un « je » qui dit « je</w:t>
      </w:r>
      <w:r w:rsidR="00E6700B">
        <w:rPr>
          <w:rFonts w:ascii="Times New Roman" w:hAnsi="Times New Roman" w:cs="Times New Roman"/>
        </w:rPr>
        <w:t> »</w:t>
      </w:r>
      <w:r w:rsidR="00893F38">
        <w:rPr>
          <w:rFonts w:ascii="Times New Roman" w:hAnsi="Times New Roman" w:cs="Times New Roman"/>
        </w:rPr>
        <w:t xml:space="preserve"> (pour parler comme Bneveniste).</w:t>
      </w:r>
    </w:p>
    <w:p w:rsidR="00AA72E7" w:rsidRDefault="00056E9A" w:rsidP="00D77343">
      <w:pPr>
        <w:autoSpaceDE w:val="0"/>
        <w:autoSpaceDN w:val="0"/>
        <w:adjustRightInd w:val="0"/>
        <w:spacing w:after="120" w:line="276" w:lineRule="auto"/>
        <w:jc w:val="both"/>
        <w:rPr>
          <w:rFonts w:ascii="Times New Roman" w:hAnsi="Times New Roman" w:cs="Times New Roman"/>
        </w:rPr>
      </w:pPr>
      <w:r w:rsidRPr="0039777C">
        <w:rPr>
          <w:rFonts w:ascii="Times New Roman" w:hAnsi="Times New Roman" w:cs="Times New Roman"/>
        </w:rPr>
        <w:t>Ma proposition</w:t>
      </w:r>
      <w:r w:rsidR="007432A5">
        <w:rPr>
          <w:rFonts w:ascii="Times New Roman" w:hAnsi="Times New Roman" w:cs="Times New Roman"/>
        </w:rPr>
        <w:t> </w:t>
      </w:r>
      <w:r w:rsidR="005D1EF2">
        <w:rPr>
          <w:rFonts w:ascii="Times New Roman" w:hAnsi="Times New Roman" w:cs="Times New Roman"/>
        </w:rPr>
        <w:t xml:space="preserve">– une des propositions qui me tiennent le plus à coeur - </w:t>
      </w:r>
      <w:r w:rsidRPr="0039777C">
        <w:rPr>
          <w:rFonts w:ascii="Times New Roman" w:hAnsi="Times New Roman" w:cs="Times New Roman"/>
        </w:rPr>
        <w:t xml:space="preserve">est </w:t>
      </w:r>
      <w:r w:rsidR="00D77343">
        <w:rPr>
          <w:rFonts w:ascii="Times New Roman" w:hAnsi="Times New Roman" w:cs="Times New Roman"/>
        </w:rPr>
        <w:t xml:space="preserve">alors </w:t>
      </w:r>
      <w:r w:rsidRPr="0039777C">
        <w:rPr>
          <w:rFonts w:ascii="Times New Roman" w:hAnsi="Times New Roman" w:cs="Times New Roman"/>
        </w:rPr>
        <w:t xml:space="preserve">la suivante : </w:t>
      </w:r>
      <w:r w:rsidR="0039777C" w:rsidRPr="0039777C">
        <w:rPr>
          <w:rFonts w:ascii="Times New Roman" w:hAnsi="Times New Roman" w:cs="Times New Roman"/>
        </w:rPr>
        <w:t xml:space="preserve">(i) </w:t>
      </w:r>
      <w:r w:rsidRPr="0039777C">
        <w:rPr>
          <w:rFonts w:ascii="Times New Roman" w:hAnsi="Times New Roman" w:cs="Times New Roman"/>
        </w:rPr>
        <w:t>l’installation du « je » comme sujet d’énonciation qui statue sur le discours, l’asserte et l’assume, le décrit et le commente, clôture une egogenèse</w:t>
      </w:r>
      <w:r w:rsidR="0039777C" w:rsidRPr="0039777C">
        <w:rPr>
          <w:rFonts w:ascii="Times New Roman" w:hAnsi="Times New Roman" w:cs="Times New Roman"/>
        </w:rPr>
        <w:t> ;</w:t>
      </w:r>
      <w:r w:rsidRPr="0039777C">
        <w:rPr>
          <w:rFonts w:ascii="Times New Roman" w:hAnsi="Times New Roman" w:cs="Times New Roman"/>
        </w:rPr>
        <w:t xml:space="preserve"> </w:t>
      </w:r>
      <w:r w:rsidR="0039777C" w:rsidRPr="0039777C">
        <w:rPr>
          <w:rFonts w:ascii="Times New Roman" w:hAnsi="Times New Roman" w:cs="Times New Roman"/>
        </w:rPr>
        <w:t>(ii)</w:t>
      </w:r>
      <w:r w:rsidRPr="0039777C">
        <w:rPr>
          <w:rFonts w:ascii="Times New Roman" w:hAnsi="Times New Roman" w:cs="Times New Roman"/>
        </w:rPr>
        <w:t xml:space="preserve"> celle-ci est portée, en profondeur, par un soubassement actantiel</w:t>
      </w:r>
      <w:r w:rsidR="0039777C">
        <w:rPr>
          <w:rFonts w:ascii="Times New Roman" w:hAnsi="Times New Roman" w:cs="Times New Roman"/>
        </w:rPr>
        <w:t>, par des forces actantielles collectives, plus ou moins anonymes, circulant dans ce que Dele</w:t>
      </w:r>
      <w:r w:rsidR="00D77343">
        <w:rPr>
          <w:rFonts w:ascii="Times New Roman" w:hAnsi="Times New Roman" w:cs="Times New Roman"/>
        </w:rPr>
        <w:t>u</w:t>
      </w:r>
      <w:r w:rsidR="0039777C">
        <w:rPr>
          <w:rFonts w:ascii="Times New Roman" w:hAnsi="Times New Roman" w:cs="Times New Roman"/>
        </w:rPr>
        <w:t>ze et Guattari appellent un « espace de forces « a-centré ». Nous pourrons revenir dans la discussion sur le détail de ces actants</w:t>
      </w:r>
      <w:r w:rsidR="00D77343">
        <w:rPr>
          <w:rFonts w:ascii="Times New Roman" w:hAnsi="Times New Roman" w:cs="Times New Roman"/>
        </w:rPr>
        <w:t> –</w:t>
      </w:r>
      <w:r w:rsidR="0039777C">
        <w:rPr>
          <w:rFonts w:ascii="Times New Roman" w:hAnsi="Times New Roman" w:cs="Times New Roman"/>
        </w:rPr>
        <w:t xml:space="preserve"> </w:t>
      </w:r>
      <w:r w:rsidR="00D77343">
        <w:rPr>
          <w:rFonts w:ascii="Times New Roman" w:hAnsi="Times New Roman" w:cs="Times New Roman"/>
        </w:rPr>
        <w:t>transitionnel (timide ébauche de sujet et d’objet, « on »), fluent (ça »), « transactantiel » (« nous ») –, qui ne peuvent être conçus sur le modèle d</w:t>
      </w:r>
      <w:r w:rsidR="00AA72E7">
        <w:rPr>
          <w:rFonts w:ascii="Times New Roman" w:hAnsi="Times New Roman" w:cs="Times New Roman"/>
        </w:rPr>
        <w:t>’</w:t>
      </w:r>
      <w:r w:rsidR="00D77343">
        <w:rPr>
          <w:rFonts w:ascii="Times New Roman" w:hAnsi="Times New Roman" w:cs="Times New Roman"/>
        </w:rPr>
        <w:t xml:space="preserve">actants endossant des rôles actantiels, </w:t>
      </w:r>
      <w:r w:rsidR="00AA72E7">
        <w:rPr>
          <w:rFonts w:ascii="Times New Roman" w:hAnsi="Times New Roman" w:cs="Times New Roman"/>
        </w:rPr>
        <w:t>investis d’une charge modale et entrant dans des</w:t>
      </w:r>
      <w:r w:rsidR="00D77343">
        <w:rPr>
          <w:rFonts w:ascii="Times New Roman" w:hAnsi="Times New Roman" w:cs="Times New Roman"/>
        </w:rPr>
        <w:t xml:space="preserve"> relations fonctionnelles (sujet, objet)</w:t>
      </w:r>
      <w:r w:rsidR="00AA72E7">
        <w:rPr>
          <w:rFonts w:ascii="Times New Roman" w:hAnsi="Times New Roman" w:cs="Times New Roman"/>
        </w:rPr>
        <w:t>.</w:t>
      </w:r>
    </w:p>
    <w:p w:rsidR="00BF2CB8" w:rsidRPr="00F34911" w:rsidRDefault="00E6700B" w:rsidP="00F34911">
      <w:pPr>
        <w:spacing w:after="120" w:line="276" w:lineRule="auto"/>
        <w:jc w:val="both"/>
        <w:rPr>
          <w:rFonts w:ascii="Times New Roman" w:hAnsi="Times New Roman" w:cs="Times New Roman"/>
        </w:rPr>
      </w:pPr>
      <w:r>
        <w:rPr>
          <w:rFonts w:ascii="Times New Roman" w:hAnsi="Times New Roman" w:cs="Times New Roman"/>
        </w:rPr>
        <w:t>Enfin,</w:t>
      </w:r>
      <w:r w:rsidR="00AA72E7">
        <w:rPr>
          <w:rFonts w:ascii="Times New Roman" w:hAnsi="Times New Roman" w:cs="Times New Roman"/>
        </w:rPr>
        <w:t xml:space="preserve"> </w:t>
      </w:r>
      <w:r w:rsidR="00BF2CB8" w:rsidRPr="00AB34B3">
        <w:rPr>
          <w:rFonts w:ascii="Times New Roman" w:hAnsi="Times New Roman" w:cs="Times New Roman"/>
        </w:rPr>
        <w:t>4</w:t>
      </w:r>
      <w:r w:rsidR="0018054D" w:rsidRPr="00AB34B3">
        <w:rPr>
          <w:rFonts w:ascii="Times New Roman" w:hAnsi="Times New Roman" w:cs="Times New Roman"/>
          <w:vertAlign w:val="superscript"/>
        </w:rPr>
        <w:t>e</w:t>
      </w:r>
      <w:r w:rsidR="0018054D">
        <w:rPr>
          <w:rFonts w:ascii="Times New Roman" w:hAnsi="Times New Roman" w:cs="Times New Roman"/>
        </w:rPr>
        <w:t xml:space="preserve"> défi</w:t>
      </w:r>
      <w:r>
        <w:rPr>
          <w:rFonts w:ascii="Times New Roman" w:hAnsi="Times New Roman" w:cs="Times New Roman"/>
        </w:rPr>
        <w:t> </w:t>
      </w:r>
      <w:r w:rsidR="00AA72E7">
        <w:rPr>
          <w:rFonts w:ascii="Times New Roman" w:hAnsi="Times New Roman" w:cs="Times New Roman"/>
        </w:rPr>
        <w:t xml:space="preserve">lancé par </w:t>
      </w:r>
      <w:r w:rsidR="00BF2CB8">
        <w:rPr>
          <w:rFonts w:ascii="Times New Roman" w:hAnsi="Times New Roman" w:cs="Times New Roman"/>
        </w:rPr>
        <w:t>la réflexion sur l</w:t>
      </w:r>
      <w:r w:rsidR="00056E9A">
        <w:rPr>
          <w:rFonts w:ascii="Times New Roman" w:hAnsi="Times New Roman" w:cs="Times New Roman"/>
        </w:rPr>
        <w:t>a</w:t>
      </w:r>
      <w:r w:rsidR="00BF2CB8">
        <w:rPr>
          <w:rFonts w:ascii="Times New Roman" w:hAnsi="Times New Roman" w:cs="Times New Roman"/>
        </w:rPr>
        <w:t xml:space="preserve"> marque et la trace</w:t>
      </w:r>
      <w:r>
        <w:rPr>
          <w:rFonts w:ascii="Times New Roman" w:hAnsi="Times New Roman" w:cs="Times New Roman"/>
        </w:rPr>
        <w:t> :</w:t>
      </w:r>
      <w:r w:rsidR="0039777C">
        <w:rPr>
          <w:rFonts w:ascii="Times New Roman" w:hAnsi="Times New Roman" w:cs="Times New Roman"/>
        </w:rPr>
        <w:t xml:space="preserve"> surtout dans la perspective d’une phénoménologie du langage</w:t>
      </w:r>
      <w:r>
        <w:rPr>
          <w:rFonts w:ascii="Times New Roman" w:hAnsi="Times New Roman" w:cs="Times New Roman"/>
        </w:rPr>
        <w:t>, p</w:t>
      </w:r>
      <w:r w:rsidR="00AA72E7">
        <w:rPr>
          <w:rFonts w:ascii="Times New Roman" w:hAnsi="Times New Roman" w:cs="Times New Roman"/>
        </w:rPr>
        <w:t xml:space="preserve">asser de la marque à la trace et au traçage, c’est basculer </w:t>
      </w:r>
      <w:r w:rsidR="00BF2CB8">
        <w:rPr>
          <w:rFonts w:ascii="Times New Roman" w:hAnsi="Times New Roman" w:cs="Times New Roman"/>
        </w:rPr>
        <w:t xml:space="preserve">du point de vue de l’énonciation dite énoncée vers l’énonciation comme « trace, le dire », pour citer Coquet </w:t>
      </w:r>
      <w:r w:rsidR="00174119">
        <w:rPr>
          <w:rFonts w:ascii="Times New Roman" w:hAnsi="Times New Roman" w:cs="Times New Roman"/>
        </w:rPr>
        <w:t xml:space="preserve">(article de 2016) </w:t>
      </w:r>
      <w:r w:rsidR="00BF2CB8">
        <w:rPr>
          <w:rFonts w:ascii="Times New Roman" w:hAnsi="Times New Roman" w:cs="Times New Roman"/>
        </w:rPr>
        <w:t xml:space="preserve">(s’y oppose du côté de de la philosophie du langage, « signe, énoncé, le dit » (je cite encore). </w:t>
      </w:r>
      <w:r w:rsidR="00AA72E7">
        <w:rPr>
          <w:rFonts w:ascii="Times New Roman" w:hAnsi="Times New Roman" w:cs="Times New Roman"/>
        </w:rPr>
        <w:t xml:space="preserve">Moment combien décisif pour la suite des </w:t>
      </w:r>
      <w:r w:rsidR="00AA72E7" w:rsidRPr="00F34911">
        <w:rPr>
          <w:rFonts w:ascii="Times New Roman" w:hAnsi="Times New Roman" w:cs="Times New Roman"/>
        </w:rPr>
        <w:t>développements sémiotiques.</w:t>
      </w:r>
    </w:p>
    <w:p w:rsidR="00F34911" w:rsidRDefault="00D77343" w:rsidP="00F34911">
      <w:pPr>
        <w:autoSpaceDE w:val="0"/>
        <w:autoSpaceDN w:val="0"/>
        <w:adjustRightInd w:val="0"/>
        <w:spacing w:after="120" w:line="276" w:lineRule="auto"/>
        <w:jc w:val="both"/>
        <w:rPr>
          <w:rFonts w:ascii="Times New Roman" w:hAnsi="Times New Roman" w:cs="Times New Roman"/>
        </w:rPr>
      </w:pPr>
      <w:r w:rsidRPr="00F34911">
        <w:rPr>
          <w:rFonts w:ascii="Times New Roman" w:hAnsi="Times New Roman" w:cs="Times New Roman"/>
          <w:b/>
        </w:rPr>
        <w:t>Mon deuxième champ de questionnement</w:t>
      </w:r>
      <w:r w:rsidRPr="00F34911">
        <w:rPr>
          <w:rFonts w:ascii="Times New Roman" w:hAnsi="Times New Roman" w:cs="Times New Roman"/>
        </w:rPr>
        <w:t xml:space="preserve"> a donc à voir avec l’énonciation « vivante », en relation avec le </w:t>
      </w:r>
      <w:r w:rsidR="005D1EF2" w:rsidRPr="00F34911">
        <w:rPr>
          <w:rFonts w:ascii="Times New Roman" w:hAnsi="Times New Roman" w:cs="Times New Roman"/>
        </w:rPr>
        <w:t>« </w:t>
      </w:r>
      <w:r w:rsidRPr="00F34911">
        <w:rPr>
          <w:rFonts w:ascii="Times New Roman" w:hAnsi="Times New Roman" w:cs="Times New Roman"/>
        </w:rPr>
        <w:t xml:space="preserve">discours en acte » (cf. Fontanille dans </w:t>
      </w:r>
      <w:r w:rsidRPr="00F34911">
        <w:rPr>
          <w:rFonts w:ascii="Times New Roman" w:hAnsi="Times New Roman" w:cs="Times New Roman"/>
          <w:i/>
        </w:rPr>
        <w:t>La sémiotique du discours</w:t>
      </w:r>
      <w:r w:rsidRPr="00F34911">
        <w:rPr>
          <w:rFonts w:ascii="Times New Roman" w:hAnsi="Times New Roman" w:cs="Times New Roman"/>
        </w:rPr>
        <w:t xml:space="preserve">, 1999). </w:t>
      </w:r>
      <w:r w:rsidR="005D1EF2" w:rsidRPr="00F34911">
        <w:rPr>
          <w:rFonts w:ascii="Times New Roman" w:hAnsi="Times New Roman" w:cs="Times New Roman"/>
        </w:rPr>
        <w:t xml:space="preserve">Je veux montrer en quoi la double orientation – </w:t>
      </w:r>
      <w:r w:rsidR="00DA6018" w:rsidRPr="00F34911">
        <w:rPr>
          <w:rFonts w:ascii="Times New Roman" w:hAnsi="Times New Roman" w:cs="Times New Roman"/>
        </w:rPr>
        <w:t>l’</w:t>
      </w:r>
      <w:r w:rsidR="005D1EF2" w:rsidRPr="00F34911">
        <w:rPr>
          <w:rFonts w:ascii="Times New Roman" w:hAnsi="Times New Roman" w:cs="Times New Roman"/>
        </w:rPr>
        <w:t>énonciation énoncée et l’énonciation comme acte – est présente dès les débuts de la réflexion linguistique (1970 est une année charnière : Benveniste définit l’énonciation comme la « mise en fonctionnement de la langue par un acte individuel d’utilisation » et Todorov</w:t>
      </w:r>
      <w:r w:rsidR="00AA72E7" w:rsidRPr="00F34911">
        <w:rPr>
          <w:rFonts w:ascii="Times New Roman" w:hAnsi="Times New Roman" w:cs="Times New Roman"/>
        </w:rPr>
        <w:t xml:space="preserve"> note que la langue n’est pas se</w:t>
      </w:r>
      <w:r w:rsidR="00DA6018" w:rsidRPr="00F34911">
        <w:rPr>
          <w:rFonts w:ascii="Times New Roman" w:hAnsi="Times New Roman" w:cs="Times New Roman"/>
        </w:rPr>
        <w:t>u</w:t>
      </w:r>
      <w:r w:rsidR="00AA72E7" w:rsidRPr="00F34911">
        <w:rPr>
          <w:rFonts w:ascii="Times New Roman" w:hAnsi="Times New Roman" w:cs="Times New Roman"/>
        </w:rPr>
        <w:t>lement un répertoire de signes et syst</w:t>
      </w:r>
      <w:r w:rsidR="00DA6018" w:rsidRPr="00F34911">
        <w:rPr>
          <w:rFonts w:ascii="Times New Roman" w:hAnsi="Times New Roman" w:cs="Times New Roman"/>
        </w:rPr>
        <w:t>è</w:t>
      </w:r>
      <w:r w:rsidR="00AA72E7" w:rsidRPr="00F34911">
        <w:rPr>
          <w:rFonts w:ascii="Times New Roman" w:hAnsi="Times New Roman" w:cs="Times New Roman"/>
        </w:rPr>
        <w:t>me de leurs</w:t>
      </w:r>
      <w:r w:rsidR="00DA6018" w:rsidRPr="00F34911">
        <w:rPr>
          <w:rFonts w:ascii="Times New Roman" w:hAnsi="Times New Roman" w:cs="Times New Roman"/>
        </w:rPr>
        <w:t xml:space="preserve"> </w:t>
      </w:r>
      <w:r w:rsidR="00AA72E7" w:rsidRPr="00F34911">
        <w:rPr>
          <w:rFonts w:ascii="Times New Roman" w:hAnsi="Times New Roman" w:cs="Times New Roman"/>
        </w:rPr>
        <w:t>combinaisons”,</w:t>
      </w:r>
      <w:r w:rsidR="00DA6018" w:rsidRPr="00F34911">
        <w:rPr>
          <w:rFonts w:ascii="Times New Roman" w:hAnsi="Times New Roman" w:cs="Times New Roman"/>
        </w:rPr>
        <w:t xml:space="preserve"> mais encore une</w:t>
      </w:r>
      <w:r w:rsidR="00AA72E7" w:rsidRPr="00F34911">
        <w:rPr>
          <w:rFonts w:ascii="Times New Roman" w:hAnsi="Times New Roman" w:cs="Times New Roman"/>
        </w:rPr>
        <w:t xml:space="preserve"> </w:t>
      </w:r>
      <w:r w:rsidR="00952E36">
        <w:rPr>
          <w:rFonts w:ascii="Times New Roman" w:hAnsi="Times New Roman" w:cs="Times New Roman"/>
        </w:rPr>
        <w:t>« </w:t>
      </w:r>
      <w:r w:rsidR="00AA72E7" w:rsidRPr="00F34911">
        <w:rPr>
          <w:rFonts w:ascii="Times New Roman" w:hAnsi="Times New Roman" w:cs="Times New Roman"/>
        </w:rPr>
        <w:t>activit</w:t>
      </w:r>
      <w:r w:rsidR="00DA6018" w:rsidRPr="00F34911">
        <w:rPr>
          <w:rFonts w:ascii="Times New Roman" w:hAnsi="Times New Roman" w:cs="Times New Roman"/>
        </w:rPr>
        <w:t>é</w:t>
      </w:r>
      <w:r w:rsidR="00AA72E7" w:rsidRPr="00F34911">
        <w:rPr>
          <w:rFonts w:ascii="Times New Roman" w:hAnsi="Times New Roman" w:cs="Times New Roman"/>
        </w:rPr>
        <w:t xml:space="preserve"> manifest</w:t>
      </w:r>
      <w:r w:rsidR="00DA6018" w:rsidRPr="00F34911">
        <w:rPr>
          <w:rFonts w:ascii="Times New Roman" w:hAnsi="Times New Roman" w:cs="Times New Roman"/>
        </w:rPr>
        <w:t>é</w:t>
      </w:r>
      <w:r w:rsidR="00AA72E7" w:rsidRPr="00F34911">
        <w:rPr>
          <w:rFonts w:ascii="Times New Roman" w:hAnsi="Times New Roman" w:cs="Times New Roman"/>
        </w:rPr>
        <w:t>e dans les</w:t>
      </w:r>
      <w:r w:rsidR="00F34911">
        <w:rPr>
          <w:rFonts w:ascii="Times New Roman" w:hAnsi="Times New Roman" w:cs="Times New Roman"/>
        </w:rPr>
        <w:t xml:space="preserve"> </w:t>
      </w:r>
      <w:r w:rsidR="00AA72E7" w:rsidRPr="00F34911">
        <w:rPr>
          <w:rFonts w:ascii="Times New Roman" w:hAnsi="Times New Roman" w:cs="Times New Roman"/>
        </w:rPr>
        <w:t>instances de discours”</w:t>
      </w:r>
      <w:r w:rsidR="00DA6018" w:rsidRPr="00F34911">
        <w:rPr>
          <w:rFonts w:ascii="Times New Roman" w:hAnsi="Times New Roman" w:cs="Times New Roman"/>
        </w:rPr>
        <w:t xml:space="preserve">). Pour ma part, après avoir rappelé que Greimas et Courtés ont consacré des entrées du </w:t>
      </w:r>
      <w:r w:rsidR="00DA6018" w:rsidRPr="00F34911">
        <w:rPr>
          <w:rFonts w:ascii="Times New Roman" w:hAnsi="Times New Roman" w:cs="Times New Roman"/>
          <w:i/>
        </w:rPr>
        <w:t>Dictionnaire</w:t>
      </w:r>
      <w:r w:rsidR="00DA6018" w:rsidRPr="00F34911">
        <w:rPr>
          <w:rFonts w:ascii="Times New Roman" w:hAnsi="Times New Roman" w:cs="Times New Roman"/>
        </w:rPr>
        <w:t xml:space="preserve"> à l’acte (acte de langage) et que Courtés, en 1998, dans </w:t>
      </w:r>
      <w:r w:rsidR="00DA6018" w:rsidRPr="00F34911">
        <w:rPr>
          <w:rFonts w:ascii="Times New Roman" w:hAnsi="Times New Roman" w:cs="Times New Roman"/>
        </w:rPr>
        <w:lastRenderedPageBreak/>
        <w:t>« L’énonciation comme acte sémiotiqu</w:t>
      </w:r>
      <w:r w:rsidR="00F34911">
        <w:rPr>
          <w:rFonts w:ascii="Times New Roman" w:hAnsi="Times New Roman" w:cs="Times New Roman"/>
        </w:rPr>
        <w:t xml:space="preserve">e » </w:t>
      </w:r>
      <w:r w:rsidR="00DA6018" w:rsidRPr="00F34911">
        <w:rPr>
          <w:rFonts w:ascii="Times New Roman" w:hAnsi="Times New Roman" w:cs="Times New Roman"/>
        </w:rPr>
        <w:t>(1998)</w:t>
      </w:r>
      <w:r w:rsidR="00952E36">
        <w:rPr>
          <w:rFonts w:ascii="Times New Roman" w:hAnsi="Times New Roman" w:cs="Times New Roman"/>
        </w:rPr>
        <w:t>,</w:t>
      </w:r>
      <w:r w:rsidR="00DA6018" w:rsidRPr="00F34911">
        <w:rPr>
          <w:rFonts w:ascii="Times New Roman" w:hAnsi="Times New Roman" w:cs="Times New Roman"/>
        </w:rPr>
        <w:t xml:space="preserve"> opte pour une narrativisation de l’acte d’énonciation comme acte de communication, je me penche sur le geste, qui peut être assisté par la machine, comme je le montre en étudiant une œuvre nanoartistique de l’artiste japonais Susumu, Nishinaga</w:t>
      </w:r>
      <w:r w:rsidR="00952E36">
        <w:rPr>
          <w:rFonts w:ascii="Times New Roman" w:hAnsi="Times New Roman" w:cs="Times New Roman"/>
        </w:rPr>
        <w:t>. L</w:t>
      </w:r>
      <w:r w:rsidR="00DA6018" w:rsidRPr="00F34911">
        <w:rPr>
          <w:rFonts w:ascii="Times New Roman" w:hAnsi="Times New Roman" w:cs="Times New Roman"/>
        </w:rPr>
        <w:t xml:space="preserve">e geste réunit en effet plusieurs propriétés à même de pousser plus avant </w:t>
      </w:r>
      <w:r w:rsidR="00E769BE" w:rsidRPr="00F34911">
        <w:rPr>
          <w:rFonts w:ascii="Times New Roman" w:hAnsi="Times New Roman" w:cs="Times New Roman"/>
        </w:rPr>
        <w:t xml:space="preserve">la réflexion sur une dynamicité plus ou moins latente </w:t>
      </w:r>
      <w:r w:rsidR="00DA6018" w:rsidRPr="00F34911">
        <w:rPr>
          <w:rFonts w:ascii="Times New Roman" w:hAnsi="Times New Roman" w:cs="Times New Roman"/>
        </w:rPr>
        <w:t xml:space="preserve">(je renvoie aussi à un article capital de Pierluigi Basso Fossali à ce sujet) : il est processuel, </w:t>
      </w:r>
      <w:r w:rsidR="00E769BE" w:rsidRPr="00F34911">
        <w:rPr>
          <w:rFonts w:ascii="Times New Roman" w:hAnsi="Times New Roman" w:cs="Times New Roman"/>
        </w:rPr>
        <w:t>précaire et provisoire, interstitiel ; il a un soubassement sensible, il est transversal en ce qu’il fluidifie les échanges entre instances d’énonciation et environnement ; il est instaurateur en ce qu’il fait exister une instance d’énonciation et un objet de sens textuel (</w:t>
      </w:r>
      <w:r w:rsidR="00952E36">
        <w:rPr>
          <w:rFonts w:ascii="Times New Roman" w:hAnsi="Times New Roman" w:cs="Times New Roman"/>
        </w:rPr>
        <w:t>par exemple</w:t>
      </w:r>
      <w:r w:rsidR="00E769BE" w:rsidRPr="00F34911">
        <w:rPr>
          <w:rFonts w:ascii="Times New Roman" w:hAnsi="Times New Roman" w:cs="Times New Roman"/>
        </w:rPr>
        <w:t xml:space="preserve"> à travers la rencontre esthétique). Il est spectaculaire, faisant voir et appelant le voir faire. Je ne vais pas m’étendre davantage – nous aurons sans doute l’occasion d’en discuter ensemble. Juste ceci : j’envisage non seulement le geste collaboratif capté sur le vif, par exemple au moment de l’interprétation d’une pièce de musique par un orchestre, mais</w:t>
      </w:r>
      <w:r w:rsidR="00952E36">
        <w:rPr>
          <w:rFonts w:ascii="Times New Roman" w:hAnsi="Times New Roman" w:cs="Times New Roman"/>
        </w:rPr>
        <w:t> </w:t>
      </w:r>
      <w:r w:rsidR="00E769BE" w:rsidRPr="00F34911">
        <w:rPr>
          <w:rFonts w:ascii="Times New Roman" w:hAnsi="Times New Roman" w:cs="Times New Roman"/>
        </w:rPr>
        <w:t>– défi extrême</w:t>
      </w:r>
      <w:r w:rsidR="00952E36">
        <w:rPr>
          <w:rFonts w:ascii="Times New Roman" w:hAnsi="Times New Roman" w:cs="Times New Roman"/>
        </w:rPr>
        <w:t> </w:t>
      </w:r>
      <w:r w:rsidR="00E769BE" w:rsidRPr="00F34911">
        <w:rPr>
          <w:rFonts w:ascii="Times New Roman" w:hAnsi="Times New Roman" w:cs="Times New Roman"/>
        </w:rPr>
        <w:t xml:space="preserve">– le spectacle </w:t>
      </w:r>
      <w:r w:rsidR="00F34911" w:rsidRPr="00F34911">
        <w:rPr>
          <w:rFonts w:ascii="Times New Roman" w:hAnsi="Times New Roman" w:cs="Times New Roman"/>
        </w:rPr>
        <w:t xml:space="preserve">proposé par ce qui, </w:t>
      </w:r>
      <w:r w:rsidR="00F34911">
        <w:rPr>
          <w:rFonts w:ascii="Times New Roman" w:hAnsi="Times New Roman" w:cs="Times New Roman"/>
        </w:rPr>
        <w:t xml:space="preserve">pourtant est supposé donner accès au seul </w:t>
      </w:r>
      <w:r w:rsidR="00F34911" w:rsidRPr="00F34911">
        <w:rPr>
          <w:rFonts w:ascii="Times New Roman" w:hAnsi="Times New Roman" w:cs="Times New Roman"/>
        </w:rPr>
        <w:t xml:space="preserve">résultat : le texte littéraire lui-même (en l’occurrence, </w:t>
      </w:r>
      <w:r w:rsidR="00F34911" w:rsidRPr="00F34911">
        <w:rPr>
          <w:rFonts w:ascii="Times New Roman" w:hAnsi="Times New Roman" w:cs="Times New Roman"/>
          <w:i/>
        </w:rPr>
        <w:t>La Modification</w:t>
      </w:r>
      <w:r w:rsidR="00F34911" w:rsidRPr="00F34911">
        <w:rPr>
          <w:rFonts w:ascii="Times New Roman" w:hAnsi="Times New Roman" w:cs="Times New Roman"/>
        </w:rPr>
        <w:t xml:space="preserve"> de Michel Butor mime une processualité à travers un formatage particulier).</w:t>
      </w:r>
    </w:p>
    <w:p w:rsidR="00F34911" w:rsidRDefault="00F34911" w:rsidP="00F34911">
      <w:pPr>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Mais</w:t>
      </w:r>
      <w:r w:rsidR="00952E36">
        <w:rPr>
          <w:rFonts w:ascii="Times New Roman" w:hAnsi="Times New Roman" w:cs="Times New Roman"/>
        </w:rPr>
        <w:t xml:space="preserve"> là n’est pas le tout et</w:t>
      </w:r>
      <w:r>
        <w:rPr>
          <w:rFonts w:ascii="Times New Roman" w:hAnsi="Times New Roman" w:cs="Times New Roman"/>
        </w:rPr>
        <w:t xml:space="preserve">, une nouvelle fois, les enjeux sont très importants : comment articuler le geste d’énonciation avec la </w:t>
      </w:r>
      <w:r w:rsidRPr="00F34911">
        <w:rPr>
          <w:rFonts w:ascii="Times New Roman" w:hAnsi="Times New Roman" w:cs="Times New Roman"/>
          <w:i/>
        </w:rPr>
        <w:t>pratique</w:t>
      </w:r>
      <w:r>
        <w:rPr>
          <w:rFonts w:ascii="Times New Roman" w:hAnsi="Times New Roman" w:cs="Times New Roman"/>
        </w:rPr>
        <w:t xml:space="preserve"> telle que la définit Fontanille en 2008 ?</w:t>
      </w:r>
      <w:r w:rsidR="00F46BCD">
        <w:rPr>
          <w:rFonts w:ascii="Times New Roman" w:hAnsi="Times New Roman" w:cs="Times New Roman"/>
        </w:rPr>
        <w:t xml:space="preserve"> Pour le dire de m</w:t>
      </w:r>
      <w:r w:rsidR="0064144A">
        <w:rPr>
          <w:rFonts w:ascii="Times New Roman" w:hAnsi="Times New Roman" w:cs="Times New Roman"/>
        </w:rPr>
        <w:t>a</w:t>
      </w:r>
      <w:r w:rsidR="00F46BCD">
        <w:rPr>
          <w:rFonts w:ascii="Times New Roman" w:hAnsi="Times New Roman" w:cs="Times New Roman"/>
        </w:rPr>
        <w:t xml:space="preserve">nière un peu abrupte : ma proposition est de considérer l’énonciation elle-même comme une pratique, c’est-à-dire comme </w:t>
      </w:r>
      <w:r w:rsidR="00952E36">
        <w:rPr>
          <w:rFonts w:ascii="Times New Roman" w:hAnsi="Times New Roman" w:cs="Times New Roman"/>
        </w:rPr>
        <w:t xml:space="preserve">ce que Fontanille appelle </w:t>
      </w:r>
      <w:r w:rsidR="00F46BCD">
        <w:rPr>
          <w:rFonts w:ascii="Times New Roman" w:hAnsi="Times New Roman" w:cs="Times New Roman"/>
        </w:rPr>
        <w:t>un « cours d’action ouvert et fluctuant »</w:t>
      </w:r>
      <w:r w:rsidR="00952E36">
        <w:rPr>
          <w:rFonts w:ascii="Times New Roman" w:hAnsi="Times New Roman" w:cs="Times New Roman"/>
        </w:rPr>
        <w:t>.</w:t>
      </w:r>
    </w:p>
    <w:p w:rsidR="00F46BCD" w:rsidRPr="00E33BA2" w:rsidRDefault="00F46BCD" w:rsidP="00E33BA2">
      <w:pPr>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 xml:space="preserve">Non seulement ce choix me paraît-il lourd de conséquences théoriques et pratiques, comme </w:t>
      </w:r>
      <w:r w:rsidRPr="00E33BA2">
        <w:rPr>
          <w:rFonts w:ascii="Times New Roman" w:hAnsi="Times New Roman" w:cs="Times New Roman"/>
        </w:rPr>
        <w:t xml:space="preserve">j’essayerai de le montrer, mais il présuppose des décisions radicales. </w:t>
      </w:r>
    </w:p>
    <w:p w:rsidR="00F34911" w:rsidRPr="00E33BA2" w:rsidRDefault="00F46BCD" w:rsidP="00E33BA2">
      <w:pPr>
        <w:autoSpaceDE w:val="0"/>
        <w:autoSpaceDN w:val="0"/>
        <w:adjustRightInd w:val="0"/>
        <w:spacing w:after="120" w:line="276" w:lineRule="auto"/>
        <w:jc w:val="both"/>
        <w:rPr>
          <w:rFonts w:ascii="Times New Roman" w:hAnsi="Times New Roman" w:cs="Times New Roman"/>
        </w:rPr>
      </w:pPr>
      <w:r w:rsidRPr="00E33BA2">
        <w:rPr>
          <w:rFonts w:ascii="Times New Roman" w:hAnsi="Times New Roman" w:cs="Times New Roman"/>
        </w:rPr>
        <w:t xml:space="preserve">L’urgence est de donner à l’énonciation des limites, donc de la distinguer de ce qu’elle n’est pas – le danger du « tout énonciation » guette ; Paolucci (2017) résume </w:t>
      </w:r>
      <w:r w:rsidR="00663768">
        <w:rPr>
          <w:rFonts w:ascii="Times New Roman" w:hAnsi="Times New Roman" w:cs="Times New Roman"/>
        </w:rPr>
        <w:t>un versant du</w:t>
      </w:r>
      <w:r w:rsidRPr="00E33BA2">
        <w:rPr>
          <w:rFonts w:ascii="Times New Roman" w:hAnsi="Times New Roman" w:cs="Times New Roman"/>
        </w:rPr>
        <w:t xml:space="preserve"> problème en ces termes : </w:t>
      </w:r>
    </w:p>
    <w:p w:rsidR="00F34911" w:rsidRPr="00E33BA2" w:rsidRDefault="00F46BCD" w:rsidP="00663768">
      <w:pPr>
        <w:autoSpaceDE w:val="0"/>
        <w:autoSpaceDN w:val="0"/>
        <w:adjustRightInd w:val="0"/>
        <w:spacing w:after="120" w:line="276" w:lineRule="auto"/>
        <w:ind w:left="567"/>
        <w:jc w:val="both"/>
        <w:rPr>
          <w:rFonts w:ascii="Times New Roman" w:hAnsi="Times New Roman" w:cs="Times New Roman"/>
        </w:rPr>
      </w:pPr>
      <w:r w:rsidRPr="00E33BA2">
        <w:rPr>
          <w:rFonts w:ascii="Times New Roman" w:hAnsi="Times New Roman" w:cs="Times New Roman"/>
        </w:rPr>
        <w:t>En effet, si l’</w:t>
      </w:r>
      <w:r w:rsidR="00E33BA2" w:rsidRPr="00E33BA2">
        <w:rPr>
          <w:rFonts w:ascii="Times New Roman" w:hAnsi="Times New Roman" w:cs="Times New Roman"/>
        </w:rPr>
        <w:t>é</w:t>
      </w:r>
      <w:r w:rsidRPr="00E33BA2">
        <w:rPr>
          <w:rFonts w:ascii="Times New Roman" w:hAnsi="Times New Roman" w:cs="Times New Roman"/>
        </w:rPr>
        <w:t>nonciation est l’instance suppos</w:t>
      </w:r>
      <w:r w:rsidR="00E33BA2" w:rsidRPr="00E33BA2">
        <w:rPr>
          <w:rFonts w:ascii="Times New Roman" w:hAnsi="Times New Roman" w:cs="Times New Roman"/>
        </w:rPr>
        <w:t>é</w:t>
      </w:r>
      <w:r w:rsidRPr="00E33BA2">
        <w:rPr>
          <w:rFonts w:ascii="Times New Roman" w:hAnsi="Times New Roman" w:cs="Times New Roman"/>
        </w:rPr>
        <w:t>e par l’</w:t>
      </w:r>
      <w:r w:rsidR="00E33BA2" w:rsidRPr="00E33BA2">
        <w:rPr>
          <w:rFonts w:ascii="Times New Roman" w:hAnsi="Times New Roman" w:cs="Times New Roman"/>
        </w:rPr>
        <w:t>é</w:t>
      </w:r>
      <w:r w:rsidRPr="00E33BA2">
        <w:rPr>
          <w:rFonts w:ascii="Times New Roman" w:hAnsi="Times New Roman" w:cs="Times New Roman"/>
        </w:rPr>
        <w:t>nonc</w:t>
      </w:r>
      <w:r w:rsidR="00E33BA2" w:rsidRPr="00E33BA2">
        <w:rPr>
          <w:rFonts w:ascii="Times New Roman" w:hAnsi="Times New Roman" w:cs="Times New Roman"/>
        </w:rPr>
        <w:t>é</w:t>
      </w:r>
      <w:r w:rsidRPr="00E33BA2">
        <w:rPr>
          <w:rFonts w:ascii="Times New Roman" w:hAnsi="Times New Roman" w:cs="Times New Roman"/>
        </w:rPr>
        <w:t xml:space="preserve"> dans</w:t>
      </w:r>
      <w:r w:rsidR="00E33BA2" w:rsidRPr="00E33BA2">
        <w:rPr>
          <w:rFonts w:ascii="Times New Roman" w:hAnsi="Times New Roman" w:cs="Times New Roman"/>
        </w:rPr>
        <w:t xml:space="preserve"> </w:t>
      </w:r>
      <w:r w:rsidRPr="00E33BA2">
        <w:rPr>
          <w:rFonts w:ascii="Times New Roman" w:hAnsi="Times New Roman" w:cs="Times New Roman"/>
        </w:rPr>
        <w:t>lequel elle laisse des marques ou des traces et ces traces ne concernent</w:t>
      </w:r>
      <w:r w:rsidR="00E33BA2" w:rsidRPr="00E33BA2">
        <w:rPr>
          <w:rFonts w:ascii="Times New Roman" w:hAnsi="Times New Roman" w:cs="Times New Roman"/>
        </w:rPr>
        <w:t xml:space="preserve"> </w:t>
      </w:r>
      <w:r w:rsidRPr="00E33BA2">
        <w:rPr>
          <w:rFonts w:ascii="Times New Roman" w:hAnsi="Times New Roman" w:cs="Times New Roman"/>
        </w:rPr>
        <w:t>plus seulement les espaces (ici), les temps (maintenant) et les acteurs (je),</w:t>
      </w:r>
      <w:r w:rsidR="00E33BA2" w:rsidRPr="00E33BA2">
        <w:rPr>
          <w:rFonts w:ascii="Times New Roman" w:hAnsi="Times New Roman" w:cs="Times New Roman"/>
        </w:rPr>
        <w:t xml:space="preserve"> </w:t>
      </w:r>
      <w:r w:rsidRPr="00E33BA2">
        <w:rPr>
          <w:rFonts w:ascii="Times New Roman" w:hAnsi="Times New Roman" w:cs="Times New Roman"/>
        </w:rPr>
        <w:t>le niveau de l’</w:t>
      </w:r>
      <w:r w:rsidR="00E33BA2" w:rsidRPr="00E33BA2">
        <w:rPr>
          <w:rFonts w:ascii="Times New Roman" w:hAnsi="Times New Roman" w:cs="Times New Roman"/>
        </w:rPr>
        <w:t>é</w:t>
      </w:r>
      <w:r w:rsidRPr="00E33BA2">
        <w:rPr>
          <w:rFonts w:ascii="Times New Roman" w:hAnsi="Times New Roman" w:cs="Times New Roman"/>
        </w:rPr>
        <w:t>nonciation concerne tout, c’est-</w:t>
      </w:r>
      <w:r w:rsidR="00952E36">
        <w:rPr>
          <w:rFonts w:ascii="Times New Roman" w:hAnsi="Times New Roman" w:cs="Times New Roman"/>
        </w:rPr>
        <w:t>à-</w:t>
      </w:r>
      <w:r w:rsidRPr="00E33BA2">
        <w:rPr>
          <w:rFonts w:ascii="Times New Roman" w:hAnsi="Times New Roman" w:cs="Times New Roman"/>
        </w:rPr>
        <w:t>dire toutes les grandeurs</w:t>
      </w:r>
      <w:r w:rsidR="00E33BA2" w:rsidRPr="00E33BA2">
        <w:rPr>
          <w:rFonts w:ascii="Times New Roman" w:hAnsi="Times New Roman" w:cs="Times New Roman"/>
        </w:rPr>
        <w:t xml:space="preserve"> à</w:t>
      </w:r>
      <w:r w:rsidRPr="00E33BA2">
        <w:rPr>
          <w:rFonts w:ascii="Times New Roman" w:hAnsi="Times New Roman" w:cs="Times New Roman"/>
        </w:rPr>
        <w:t xml:space="preserve"> l’int</w:t>
      </w:r>
      <w:r w:rsidR="00E33BA2" w:rsidRPr="00E33BA2">
        <w:rPr>
          <w:rFonts w:ascii="Times New Roman" w:hAnsi="Times New Roman" w:cs="Times New Roman"/>
        </w:rPr>
        <w:t>é</w:t>
      </w:r>
      <w:r w:rsidRPr="00E33BA2">
        <w:rPr>
          <w:rFonts w:ascii="Times New Roman" w:hAnsi="Times New Roman" w:cs="Times New Roman"/>
        </w:rPr>
        <w:t>rieur de l’</w:t>
      </w:r>
      <w:r w:rsidR="00E33BA2" w:rsidRPr="00E33BA2">
        <w:rPr>
          <w:rFonts w:ascii="Times New Roman" w:hAnsi="Times New Roman" w:cs="Times New Roman"/>
        </w:rPr>
        <w:t>é</w:t>
      </w:r>
      <w:r w:rsidRPr="00E33BA2">
        <w:rPr>
          <w:rFonts w:ascii="Times New Roman" w:hAnsi="Times New Roman" w:cs="Times New Roman"/>
        </w:rPr>
        <w:t>non</w:t>
      </w:r>
      <w:r w:rsidR="00663768">
        <w:rPr>
          <w:rFonts w:ascii="Times New Roman" w:hAnsi="Times New Roman" w:cs="Times New Roman"/>
        </w:rPr>
        <w:t>c</w:t>
      </w:r>
      <w:r w:rsidR="00E33BA2" w:rsidRPr="00E33BA2">
        <w:rPr>
          <w:rFonts w:ascii="Times New Roman" w:hAnsi="Times New Roman" w:cs="Times New Roman"/>
        </w:rPr>
        <w:t>é</w:t>
      </w:r>
      <w:r w:rsidRPr="00E33BA2">
        <w:rPr>
          <w:rFonts w:ascii="Times New Roman" w:hAnsi="Times New Roman" w:cs="Times New Roman"/>
        </w:rPr>
        <w:t>, comme le style, les th</w:t>
      </w:r>
      <w:r w:rsidR="00E33BA2" w:rsidRPr="00E33BA2">
        <w:rPr>
          <w:rFonts w:ascii="Times New Roman" w:hAnsi="Times New Roman" w:cs="Times New Roman"/>
        </w:rPr>
        <w:t>è</w:t>
      </w:r>
      <w:r w:rsidRPr="00E33BA2">
        <w:rPr>
          <w:rFonts w:ascii="Times New Roman" w:hAnsi="Times New Roman" w:cs="Times New Roman"/>
        </w:rPr>
        <w:t>mes, les motifs, et non</w:t>
      </w:r>
      <w:r w:rsidR="00E33BA2" w:rsidRPr="00E33BA2">
        <w:rPr>
          <w:rFonts w:ascii="Times New Roman" w:hAnsi="Times New Roman" w:cs="Times New Roman"/>
        </w:rPr>
        <w:t xml:space="preserve"> </w:t>
      </w:r>
      <w:r w:rsidRPr="00E33BA2">
        <w:rPr>
          <w:rFonts w:ascii="Times New Roman" w:hAnsi="Times New Roman" w:cs="Times New Roman"/>
        </w:rPr>
        <w:t>seulement</w:t>
      </w:r>
      <w:r w:rsidR="00E33BA2" w:rsidRPr="00E33BA2">
        <w:rPr>
          <w:rFonts w:ascii="Times New Roman" w:hAnsi="Times New Roman" w:cs="Times New Roman"/>
        </w:rPr>
        <w:t xml:space="preserve"> </w:t>
      </w:r>
      <w:r w:rsidRPr="00E33BA2">
        <w:rPr>
          <w:rFonts w:ascii="Times New Roman" w:hAnsi="Times New Roman" w:cs="Times New Roman"/>
        </w:rPr>
        <w:t>les espaces, les temps et les acteurs (comme dans la th</w:t>
      </w:r>
      <w:r w:rsidR="00E33BA2" w:rsidRPr="00E33BA2">
        <w:rPr>
          <w:rFonts w:ascii="Times New Roman" w:hAnsi="Times New Roman" w:cs="Times New Roman"/>
        </w:rPr>
        <w:t>é</w:t>
      </w:r>
      <w:r w:rsidRPr="00E33BA2">
        <w:rPr>
          <w:rFonts w:ascii="Times New Roman" w:hAnsi="Times New Roman" w:cs="Times New Roman"/>
        </w:rPr>
        <w:t>orie</w:t>
      </w:r>
      <w:r w:rsidR="00E33BA2" w:rsidRPr="00E33BA2">
        <w:rPr>
          <w:rFonts w:ascii="Times New Roman" w:hAnsi="Times New Roman" w:cs="Times New Roman"/>
        </w:rPr>
        <w:t xml:space="preserve"> </w:t>
      </w:r>
      <w:r w:rsidRPr="00E33BA2">
        <w:rPr>
          <w:rFonts w:ascii="Times New Roman" w:hAnsi="Times New Roman" w:cs="Times New Roman"/>
        </w:rPr>
        <w:t>classique de Greimas).</w:t>
      </w:r>
    </w:p>
    <w:p w:rsidR="00663768" w:rsidRDefault="00E33BA2" w:rsidP="00673F0A">
      <w:pPr>
        <w:pStyle w:val="NormalWeb"/>
        <w:spacing w:before="0" w:beforeAutospacing="0" w:after="120" w:afterAutospacing="0" w:line="276" w:lineRule="auto"/>
        <w:jc w:val="both"/>
      </w:pPr>
      <w:r>
        <w:t xml:space="preserve">Face à cette urgence, donc, </w:t>
      </w:r>
      <w:r w:rsidR="00952E36">
        <w:t>je considère l’énonciation comme une pratique métadiscursive,</w:t>
      </w:r>
      <w:r>
        <w:t xml:space="preserve"> dans le sillage de celle de Greimas et de Fontanille (1999), </w:t>
      </w:r>
      <w:r w:rsidR="00663768">
        <w:t xml:space="preserve">contre une définition de l’énonciation benvenistienne comme </w:t>
      </w:r>
      <w:r w:rsidR="00673F0A">
        <w:t xml:space="preserve">acte de solidarisation des plans de l’énonciation et du contenu. </w:t>
      </w:r>
      <w:r w:rsidR="00952E36">
        <w:t xml:space="preserve">L’argument est bien connu. Je résume : </w:t>
      </w:r>
      <w:r w:rsidR="00673F0A" w:rsidRPr="00337F28">
        <w:t xml:space="preserve">Greimas </w:t>
      </w:r>
      <w:r w:rsidR="00673F0A">
        <w:t>se demande en</w:t>
      </w:r>
      <w:r w:rsidR="00673F0A" w:rsidRPr="00337F28">
        <w:t xml:space="preserve"> 1974</w:t>
      </w:r>
      <w:r w:rsidR="00673F0A">
        <w:t>, dans un article</w:t>
      </w:r>
      <w:r w:rsidR="00673F0A" w:rsidRPr="00337F28">
        <w:t xml:space="preserve"> intitulé « L’énonciation (une posture épistémolog</w:t>
      </w:r>
      <w:r w:rsidR="00673F0A">
        <w:t>i</w:t>
      </w:r>
      <w:r w:rsidR="00673F0A" w:rsidRPr="00337F28">
        <w:t>que</w:t>
      </w:r>
      <w:r w:rsidR="00673F0A">
        <w:t>)</w:t>
      </w:r>
      <w:r w:rsidR="00673F0A" w:rsidRPr="00337F28">
        <w:t xml:space="preserve"> ; PUC-SP </w:t>
      </w:r>
      <w:r w:rsidR="00673F0A" w:rsidRPr="00337F28">
        <w:rPr>
          <w:color w:val="4D5156"/>
          <w:shd w:val="clear" w:color="auto" w:fill="FFFFFF"/>
        </w:rPr>
        <w:t>Pontifícia Universidade Católica de São Paulo ??)</w:t>
      </w:r>
      <w:r w:rsidR="00952E36">
        <w:rPr>
          <w:color w:val="4D5156"/>
          <w:shd w:val="clear" w:color="auto" w:fill="FFFFFF"/>
        </w:rPr>
        <w:t>,</w:t>
      </w:r>
      <w:r w:rsidR="00673F0A">
        <w:rPr>
          <w:color w:val="4D5156"/>
          <w:shd w:val="clear" w:color="auto" w:fill="FFFFFF"/>
        </w:rPr>
        <w:t xml:space="preserve"> « </w:t>
      </w:r>
      <w:r w:rsidR="00673F0A" w:rsidRPr="00337F28">
        <w:t>si le passage de l’énoncé au niveau de l’énonciation n’est pas un passage « du niveau de la langue objet au niveau métali</w:t>
      </w:r>
      <w:r w:rsidR="00673F0A">
        <w:t>n</w:t>
      </w:r>
      <w:r w:rsidR="00673F0A" w:rsidRPr="00337F28">
        <w:t>guistique »</w:t>
      </w:r>
      <w:r w:rsidR="00673F0A">
        <w:t>. Et Fontanille</w:t>
      </w:r>
      <w:r w:rsidR="00952E36">
        <w:t xml:space="preserve">, </w:t>
      </w:r>
      <w:r w:rsidR="00663768">
        <w:t xml:space="preserve">dans </w:t>
      </w:r>
      <w:r w:rsidR="00663768" w:rsidRPr="00663768">
        <w:rPr>
          <w:i/>
        </w:rPr>
        <w:t>Sémiotique du discours</w:t>
      </w:r>
      <w:r w:rsidR="00663768">
        <w:t xml:space="preserve"> (p. 279), </w:t>
      </w:r>
      <w:r w:rsidR="00673F0A">
        <w:t xml:space="preserve">de faire de </w:t>
      </w:r>
      <w:r w:rsidR="00663768">
        <w:t>l’énonciation « le lieu d’organisation du discours tout entier, l’instance responsable du devenir de ses figures, et, plus généralement, responsable des actes qui en font un ensemble signifiant, soumis à quelque rationalité et à quelque axiologie ».</w:t>
      </w:r>
      <w:r w:rsidR="00663768" w:rsidRPr="00663768">
        <w:t xml:space="preserve"> </w:t>
      </w:r>
      <w:r w:rsidR="00663768" w:rsidRPr="00952E36">
        <w:rPr>
          <w:i/>
        </w:rPr>
        <w:t>L’activité énonciative suppose une déhiscence de type méta-sémiotique</w:t>
      </w:r>
      <w:r w:rsidR="00663768">
        <w:t>. L’énonciation prédique l’énoncé, affichant son activité, la codant et en faisant un « événement sensible ou observable ».</w:t>
      </w:r>
      <w:r w:rsidR="00F65AD7">
        <w:t xml:space="preserve"> </w:t>
      </w:r>
      <w:r w:rsidR="00952E36">
        <w:lastRenderedPageBreak/>
        <w:t xml:space="preserve">Une position qui est affinée dans </w:t>
      </w:r>
      <w:r w:rsidR="00952E36" w:rsidRPr="00952E36">
        <w:rPr>
          <w:i/>
        </w:rPr>
        <w:t>Terres de sens</w:t>
      </w:r>
      <w:r w:rsidR="00952E36">
        <w:t xml:space="preserve"> (2018) :  </w:t>
      </w:r>
      <w:r w:rsidR="00551A75">
        <w:t xml:space="preserve">pour chaque procès – p. ex. le procès de totalisation du sens lié aux textes -, on peut détailler les conditions énonciatives (le point de vue adopté). </w:t>
      </w:r>
      <w:r w:rsidR="00F65AD7">
        <w:t xml:space="preserve">Ma </w:t>
      </w:r>
      <w:r w:rsidR="00952E36">
        <w:t xml:space="preserve">propre </w:t>
      </w:r>
      <w:r w:rsidR="00F65AD7">
        <w:t xml:space="preserve">position est la suivante : </w:t>
      </w:r>
      <w:r w:rsidR="00673F0A">
        <w:t xml:space="preserve">l’énonciation édicte les </w:t>
      </w:r>
      <w:r w:rsidR="00673F0A" w:rsidRPr="00673F0A">
        <w:rPr>
          <w:i/>
        </w:rPr>
        <w:t>conditions</w:t>
      </w:r>
      <w:r w:rsidR="00673F0A">
        <w:t xml:space="preserve"> – par exemple de possibilité, de faisabilité – de ce que Fontanille et Couégnas appellent des régimes </w:t>
      </w:r>
      <w:r w:rsidR="00551A75">
        <w:t>sémiotiques</w:t>
      </w:r>
      <w:r w:rsidR="00673F0A">
        <w:t xml:space="preserve">, </w:t>
      </w:r>
      <w:r w:rsidR="00952E36">
        <w:t>mais aussi</w:t>
      </w:r>
      <w:r w:rsidR="00673F0A">
        <w:t xml:space="preserve"> gère concrètement les modalités d</w:t>
      </w:r>
      <w:r w:rsidR="00952E36">
        <w:t>es</w:t>
      </w:r>
      <w:r w:rsidR="00673F0A">
        <w:t xml:space="preserve"> productions sémiosiques. </w:t>
      </w:r>
    </w:p>
    <w:p w:rsidR="009C4190" w:rsidRDefault="00F65AD7" w:rsidP="00BF0106">
      <w:pPr>
        <w:autoSpaceDE w:val="0"/>
        <w:autoSpaceDN w:val="0"/>
        <w:adjustRightInd w:val="0"/>
        <w:spacing w:after="120" w:line="276" w:lineRule="auto"/>
        <w:jc w:val="both"/>
        <w:rPr>
          <w:rFonts w:ascii="Times New Roman" w:hAnsi="Times New Roman" w:cs="Times New Roman"/>
        </w:rPr>
      </w:pPr>
      <w:r w:rsidRPr="00BF0106">
        <w:rPr>
          <w:rFonts w:ascii="Times New Roman" w:hAnsi="Times New Roman" w:cs="Times New Roman"/>
        </w:rPr>
        <w:t xml:space="preserve">Grâce, en particulier, à un </w:t>
      </w:r>
      <w:r w:rsidRPr="00551A75">
        <w:rPr>
          <w:rFonts w:ascii="Times New Roman" w:hAnsi="Times New Roman" w:cs="Times New Roman"/>
          <w:i/>
        </w:rPr>
        <w:t>dispositif énonciatif</w:t>
      </w:r>
      <w:r w:rsidRPr="00BF0106">
        <w:rPr>
          <w:rFonts w:ascii="Times New Roman" w:hAnsi="Times New Roman" w:cs="Times New Roman"/>
        </w:rPr>
        <w:t xml:space="preserve"> qui – prenons l’exemple du texte capté dans son développement - </w:t>
      </w:r>
      <w:r w:rsidR="00551A75">
        <w:rPr>
          <w:rFonts w:ascii="Times New Roman" w:hAnsi="Times New Roman" w:cs="Times New Roman"/>
        </w:rPr>
        <w:t>convoque</w:t>
      </w:r>
      <w:r w:rsidRPr="00BF0106">
        <w:rPr>
          <w:rFonts w:ascii="Times New Roman" w:hAnsi="Times New Roman" w:cs="Times New Roman"/>
        </w:rPr>
        <w:t xml:space="preserve"> des déterminations</w:t>
      </w:r>
      <w:r w:rsidR="001B7223" w:rsidRPr="00BF0106">
        <w:rPr>
          <w:rFonts w:ascii="Times New Roman" w:hAnsi="Times New Roman" w:cs="Times New Roman"/>
        </w:rPr>
        <w:t xml:space="preserve"> </w:t>
      </w:r>
      <w:r w:rsidR="00551A75">
        <w:rPr>
          <w:rFonts w:ascii="Times New Roman" w:hAnsi="Times New Roman" w:cs="Times New Roman"/>
        </w:rPr>
        <w:t xml:space="preserve">et des possibles </w:t>
      </w:r>
      <w:r w:rsidR="001B7223" w:rsidRPr="00BF0106">
        <w:rPr>
          <w:rFonts w:ascii="Times New Roman" w:hAnsi="Times New Roman" w:cs="Times New Roman"/>
        </w:rPr>
        <w:t>à conduire vers la réalisation</w:t>
      </w:r>
      <w:r w:rsidRPr="00BF0106">
        <w:rPr>
          <w:rFonts w:ascii="Times New Roman" w:hAnsi="Times New Roman" w:cs="Times New Roman"/>
        </w:rPr>
        <w:t xml:space="preserve">, gère la </w:t>
      </w:r>
      <w:r w:rsidR="00551A75">
        <w:rPr>
          <w:rFonts w:ascii="Times New Roman" w:hAnsi="Times New Roman" w:cs="Times New Roman"/>
        </w:rPr>
        <w:t>conversion d</w:t>
      </w:r>
      <w:r w:rsidRPr="00BF0106">
        <w:rPr>
          <w:rFonts w:ascii="Times New Roman" w:hAnsi="Times New Roman" w:cs="Times New Roman"/>
        </w:rPr>
        <w:t xml:space="preserve">es produits de la praxis énonciative en des éléments de sens nouveaux, </w:t>
      </w:r>
      <w:r w:rsidR="001B7223" w:rsidRPr="00BF0106">
        <w:rPr>
          <w:rFonts w:ascii="Times New Roman" w:hAnsi="Times New Roman" w:cs="Times New Roman"/>
        </w:rPr>
        <w:t xml:space="preserve">prend une option </w:t>
      </w:r>
      <w:r w:rsidRPr="00BF0106">
        <w:rPr>
          <w:rFonts w:ascii="Times New Roman" w:hAnsi="Times New Roman" w:cs="Times New Roman"/>
        </w:rPr>
        <w:t>sur la suite du texte en la profilant</w:t>
      </w:r>
      <w:r w:rsidR="001B7223" w:rsidRPr="00BF0106">
        <w:rPr>
          <w:rFonts w:ascii="Times New Roman" w:hAnsi="Times New Roman" w:cs="Times New Roman"/>
        </w:rPr>
        <w:t> </w:t>
      </w:r>
      <w:r w:rsidRPr="00BF0106">
        <w:rPr>
          <w:rFonts w:ascii="Times New Roman" w:hAnsi="Times New Roman" w:cs="Times New Roman"/>
        </w:rPr>
        <w:t>; l’évocation des formations di</w:t>
      </w:r>
      <w:r w:rsidR="001B7223" w:rsidRPr="00BF0106">
        <w:rPr>
          <w:rFonts w:ascii="Times New Roman" w:hAnsi="Times New Roman" w:cs="Times New Roman"/>
        </w:rPr>
        <w:t>s</w:t>
      </w:r>
      <w:r w:rsidRPr="00BF0106">
        <w:rPr>
          <w:rFonts w:ascii="Times New Roman" w:hAnsi="Times New Roman" w:cs="Times New Roman"/>
        </w:rPr>
        <w:t>cursives et non discursives antécédentes</w:t>
      </w:r>
      <w:r w:rsidR="001B7223" w:rsidRPr="00BF0106">
        <w:rPr>
          <w:rFonts w:ascii="Times New Roman" w:hAnsi="Times New Roman" w:cs="Times New Roman"/>
        </w:rPr>
        <w:t xml:space="preserve"> veillant à l’arrière-plan</w:t>
      </w:r>
      <w:r w:rsidRPr="00BF0106">
        <w:rPr>
          <w:rFonts w:ascii="Times New Roman" w:hAnsi="Times New Roman" w:cs="Times New Roman"/>
        </w:rPr>
        <w:t xml:space="preserve"> et la validation </w:t>
      </w:r>
      <w:r w:rsidRPr="00BF0106">
        <w:rPr>
          <w:rFonts w:ascii="Times New Roman" w:hAnsi="Times New Roman" w:cs="Times New Roman"/>
          <w:i/>
        </w:rPr>
        <w:t>a posteriori</w:t>
      </w:r>
      <w:r w:rsidRPr="00BF0106">
        <w:rPr>
          <w:rFonts w:ascii="Times New Roman" w:hAnsi="Times New Roman" w:cs="Times New Roman"/>
        </w:rPr>
        <w:t xml:space="preserve"> complètent le dispositif. </w:t>
      </w:r>
    </w:p>
    <w:p w:rsidR="009C4190" w:rsidRDefault="00551A75" w:rsidP="00BF0106">
      <w:pPr>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 xml:space="preserve">Dans la suite de mon ouvrage, je prête une attention particulière à </w:t>
      </w:r>
      <w:r w:rsidR="009C4190">
        <w:rPr>
          <w:rFonts w:ascii="Times New Roman" w:hAnsi="Times New Roman" w:cs="Times New Roman"/>
        </w:rPr>
        <w:t xml:space="preserve">l’opération de la conversion </w:t>
      </w:r>
      <w:r>
        <w:rPr>
          <w:rFonts w:ascii="Times New Roman" w:hAnsi="Times New Roman" w:cs="Times New Roman"/>
        </w:rPr>
        <w:t>en formations nouvelles des</w:t>
      </w:r>
      <w:r w:rsidR="009C4190">
        <w:rPr>
          <w:rFonts w:ascii="Times New Roman" w:hAnsi="Times New Roman" w:cs="Times New Roman"/>
        </w:rPr>
        <w:t xml:space="preserve"> </w:t>
      </w:r>
      <w:r>
        <w:rPr>
          <w:rFonts w:ascii="Times New Roman" w:hAnsi="Times New Roman" w:cs="Times New Roman"/>
        </w:rPr>
        <w:t xml:space="preserve">produits de la praxis énonciative, </w:t>
      </w:r>
      <w:r w:rsidR="009C4190">
        <w:rPr>
          <w:rFonts w:ascii="Times New Roman" w:hAnsi="Times New Roman" w:cs="Times New Roman"/>
        </w:rPr>
        <w:t>bien décrite en sémiotique</w:t>
      </w:r>
      <w:r>
        <w:rPr>
          <w:rFonts w:ascii="Times New Roman" w:hAnsi="Times New Roman" w:cs="Times New Roman"/>
        </w:rPr>
        <w:t>. Je reprends la problématique sur de nouveaux frais à travers la notion de réénonciation. D</w:t>
      </w:r>
      <w:r w:rsidR="009C4190">
        <w:rPr>
          <w:rFonts w:ascii="Times New Roman" w:hAnsi="Times New Roman" w:cs="Times New Roman"/>
        </w:rPr>
        <w:t xml:space="preserve">ans mon livre, je consacre </w:t>
      </w:r>
      <w:r>
        <w:rPr>
          <w:rFonts w:ascii="Times New Roman" w:hAnsi="Times New Roman" w:cs="Times New Roman"/>
        </w:rPr>
        <w:t>la quatrième partie</w:t>
      </w:r>
      <w:r w:rsidR="009C4190">
        <w:rPr>
          <w:rFonts w:ascii="Times New Roman" w:hAnsi="Times New Roman" w:cs="Times New Roman"/>
        </w:rPr>
        <w:t xml:space="preserve"> à la réénonciation</w:t>
      </w:r>
      <w:r>
        <w:rPr>
          <w:rFonts w:ascii="Times New Roman" w:hAnsi="Times New Roman" w:cs="Times New Roman"/>
        </w:rPr>
        <w:t xml:space="preserve">, </w:t>
      </w:r>
      <w:r w:rsidR="009C4190">
        <w:rPr>
          <w:rFonts w:ascii="Times New Roman" w:hAnsi="Times New Roman" w:cs="Times New Roman"/>
        </w:rPr>
        <w:t xml:space="preserve">par exemple d’une photo par un texte verbal dans </w:t>
      </w:r>
      <w:r w:rsidR="009C4190" w:rsidRPr="009C4190">
        <w:rPr>
          <w:rFonts w:ascii="Times New Roman" w:hAnsi="Times New Roman" w:cs="Times New Roman"/>
          <w:i/>
        </w:rPr>
        <w:t>L’usage de la photo</w:t>
      </w:r>
      <w:r w:rsidR="009C4190">
        <w:rPr>
          <w:rFonts w:ascii="Times New Roman" w:hAnsi="Times New Roman" w:cs="Times New Roman"/>
        </w:rPr>
        <w:t xml:space="preserve"> d’Annie Ernaux et de Marc Marie ; de tableaux de maître ou de photos de bâtiments, etc. par l’hyperphoto de Jean-François Rauzier ; de tableaux </w:t>
      </w:r>
      <w:r w:rsidR="007A4FE7">
        <w:rPr>
          <w:rFonts w:ascii="Times New Roman" w:hAnsi="Times New Roman" w:cs="Times New Roman"/>
        </w:rPr>
        <w:t>des XVIe aux XIXe siè</w:t>
      </w:r>
      <w:r>
        <w:rPr>
          <w:rFonts w:ascii="Times New Roman" w:hAnsi="Times New Roman" w:cs="Times New Roman"/>
        </w:rPr>
        <w:t>c</w:t>
      </w:r>
      <w:r w:rsidR="007A4FE7">
        <w:rPr>
          <w:rFonts w:ascii="Times New Roman" w:hAnsi="Times New Roman" w:cs="Times New Roman"/>
        </w:rPr>
        <w:t xml:space="preserve">les numérisés, </w:t>
      </w:r>
      <w:r w:rsidR="009C4190">
        <w:rPr>
          <w:rFonts w:ascii="Times New Roman" w:hAnsi="Times New Roman" w:cs="Times New Roman"/>
        </w:rPr>
        <w:t>ensuite animés et insérés dans un vidéoclip (par R</w:t>
      </w:r>
      <w:r w:rsidR="007A4FE7">
        <w:rPr>
          <w:rFonts w:ascii="Times New Roman" w:hAnsi="Times New Roman" w:cs="Times New Roman"/>
        </w:rPr>
        <w:t>ino</w:t>
      </w:r>
      <w:r w:rsidR="009C4190">
        <w:rPr>
          <w:rFonts w:ascii="Times New Roman" w:hAnsi="Times New Roman" w:cs="Times New Roman"/>
        </w:rPr>
        <w:t xml:space="preserve"> Tagliafierro) ; </w:t>
      </w:r>
      <w:r w:rsidR="008010A2">
        <w:rPr>
          <w:rFonts w:ascii="Times New Roman" w:hAnsi="Times New Roman" w:cs="Times New Roman"/>
        </w:rPr>
        <w:t>ou encore</w:t>
      </w:r>
      <w:r>
        <w:rPr>
          <w:rFonts w:ascii="Times New Roman" w:hAnsi="Times New Roman" w:cs="Times New Roman"/>
        </w:rPr>
        <w:t xml:space="preserve"> des stratégies de l’hypertextualité numérique</w:t>
      </w:r>
      <w:r w:rsidR="009C4190">
        <w:rPr>
          <w:rFonts w:ascii="Times New Roman" w:hAnsi="Times New Roman" w:cs="Times New Roman"/>
        </w:rPr>
        <w:t xml:space="preserve">, </w:t>
      </w:r>
      <w:r>
        <w:rPr>
          <w:rFonts w:ascii="Times New Roman" w:hAnsi="Times New Roman" w:cs="Times New Roman"/>
        </w:rPr>
        <w:t>imitées</w:t>
      </w:r>
      <w:r w:rsidR="009C4190">
        <w:rPr>
          <w:rFonts w:ascii="Times New Roman" w:hAnsi="Times New Roman" w:cs="Times New Roman"/>
        </w:rPr>
        <w:t xml:space="preserve"> dans un texte littéraire sur papier</w:t>
      </w:r>
      <w:r>
        <w:rPr>
          <w:rFonts w:ascii="Times New Roman" w:hAnsi="Times New Roman" w:cs="Times New Roman"/>
        </w:rPr>
        <w:t xml:space="preserve"> </w:t>
      </w:r>
      <w:r w:rsidR="009C4190">
        <w:rPr>
          <w:rFonts w:ascii="Times New Roman" w:hAnsi="Times New Roman" w:cs="Times New Roman"/>
        </w:rPr>
        <w:t xml:space="preserve">(je renvoie à des écrits d’Eric Sadin). </w:t>
      </w:r>
    </w:p>
    <w:p w:rsidR="0018054D" w:rsidRDefault="008010A2" w:rsidP="00BF0106">
      <w:pPr>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 xml:space="preserve">Dans ce cas, comment décrire ces opérations de conversion plus finement ? En dégageant des styles, ici des styles de production de mélanges (hybridation, bricolage, métissage, singularisation). Mais aussi en montrant qu’elles impliquent </w:t>
      </w:r>
      <w:r w:rsidR="001B7223" w:rsidRPr="00BF0106">
        <w:rPr>
          <w:rFonts w:ascii="Times New Roman" w:hAnsi="Times New Roman" w:cs="Times New Roman"/>
        </w:rPr>
        <w:t xml:space="preserve">différents paliers de pertinence : (i) l’environnement ou </w:t>
      </w:r>
      <w:r w:rsidR="00BF0106" w:rsidRPr="00BF0106">
        <w:rPr>
          <w:rFonts w:ascii="Times New Roman" w:hAnsi="Times New Roman" w:cs="Times New Roman"/>
        </w:rPr>
        <w:t>le</w:t>
      </w:r>
      <w:r w:rsidR="001B7223" w:rsidRPr="00BF0106">
        <w:rPr>
          <w:rFonts w:ascii="Times New Roman" w:hAnsi="Times New Roman" w:cs="Times New Roman"/>
        </w:rPr>
        <w:t xml:space="preserve"> contexte culturel, historique, social, </w:t>
      </w:r>
      <w:r w:rsidR="00BF0106" w:rsidRPr="00BF0106">
        <w:rPr>
          <w:rFonts w:ascii="Times New Roman" w:hAnsi="Times New Roman" w:cs="Times New Roman"/>
        </w:rPr>
        <w:t>é</w:t>
      </w:r>
      <w:r w:rsidR="001B7223" w:rsidRPr="00BF0106">
        <w:rPr>
          <w:rFonts w:ascii="Times New Roman" w:hAnsi="Times New Roman" w:cs="Times New Roman"/>
        </w:rPr>
        <w:t>conomique…</w:t>
      </w:r>
      <w:r w:rsidR="00BF0106">
        <w:rPr>
          <w:rFonts w:ascii="Times New Roman" w:hAnsi="Times New Roman" w:cs="Times New Roman"/>
        </w:rPr>
        <w:t xml:space="preserve"> </w:t>
      </w:r>
      <w:r w:rsidR="001B7223" w:rsidRPr="00BF0106">
        <w:rPr>
          <w:rFonts w:ascii="Times New Roman" w:hAnsi="Times New Roman" w:cs="Times New Roman"/>
        </w:rPr>
        <w:t xml:space="preserve">(dans un sens large), (ii) </w:t>
      </w:r>
      <w:r w:rsidR="00BF0106" w:rsidRPr="00BF0106">
        <w:rPr>
          <w:rFonts w:ascii="Times New Roman" w:hAnsi="Times New Roman" w:cs="Times New Roman"/>
        </w:rPr>
        <w:t>les</w:t>
      </w:r>
      <w:r w:rsidR="001B7223" w:rsidRPr="00BF0106">
        <w:rPr>
          <w:rFonts w:ascii="Times New Roman" w:hAnsi="Times New Roman" w:cs="Times New Roman"/>
        </w:rPr>
        <w:t xml:space="preserve"> m</w:t>
      </w:r>
      <w:r w:rsidR="00BF0106" w:rsidRPr="00BF0106">
        <w:rPr>
          <w:rFonts w:ascii="Times New Roman" w:hAnsi="Times New Roman" w:cs="Times New Roman"/>
        </w:rPr>
        <w:t>é</w:t>
      </w:r>
      <w:r w:rsidR="001B7223" w:rsidRPr="00BF0106">
        <w:rPr>
          <w:rFonts w:ascii="Times New Roman" w:hAnsi="Times New Roman" w:cs="Times New Roman"/>
        </w:rPr>
        <w:t xml:space="preserve">dias, (iii) </w:t>
      </w:r>
      <w:r w:rsidR="00BF0106" w:rsidRPr="00BF0106">
        <w:rPr>
          <w:rFonts w:ascii="Times New Roman" w:hAnsi="Times New Roman" w:cs="Times New Roman"/>
        </w:rPr>
        <w:t>les</w:t>
      </w:r>
      <w:r w:rsidR="001B7223" w:rsidRPr="00BF0106">
        <w:rPr>
          <w:rFonts w:ascii="Times New Roman" w:hAnsi="Times New Roman" w:cs="Times New Roman"/>
        </w:rPr>
        <w:t xml:space="preserve"> </w:t>
      </w:r>
      <w:r w:rsidR="00BF0106" w:rsidRPr="00BF0106">
        <w:rPr>
          <w:rFonts w:ascii="Times New Roman" w:hAnsi="Times New Roman" w:cs="Times New Roman"/>
        </w:rPr>
        <w:t>mé</w:t>
      </w:r>
      <w:r w:rsidR="001B7223" w:rsidRPr="00BF0106">
        <w:rPr>
          <w:rFonts w:ascii="Times New Roman" w:hAnsi="Times New Roman" w:cs="Times New Roman"/>
        </w:rPr>
        <w:t>diums, supports</w:t>
      </w:r>
      <w:r w:rsidR="00BF0106">
        <w:rPr>
          <w:rFonts w:ascii="Times New Roman" w:hAnsi="Times New Roman" w:cs="Times New Roman"/>
        </w:rPr>
        <w:t xml:space="preserve"> e</w:t>
      </w:r>
      <w:r w:rsidR="001B7223" w:rsidRPr="00BF0106">
        <w:rPr>
          <w:rFonts w:ascii="Times New Roman" w:hAnsi="Times New Roman" w:cs="Times New Roman"/>
        </w:rPr>
        <w:t>t</w:t>
      </w:r>
      <w:r w:rsidR="00BF0106" w:rsidRPr="00BF0106">
        <w:rPr>
          <w:rFonts w:ascii="Times New Roman" w:hAnsi="Times New Roman" w:cs="Times New Roman"/>
        </w:rPr>
        <w:t xml:space="preserve"> </w:t>
      </w:r>
      <w:r w:rsidR="001B7223" w:rsidRPr="00BF0106">
        <w:rPr>
          <w:rFonts w:ascii="Times New Roman" w:hAnsi="Times New Roman" w:cs="Times New Roman"/>
        </w:rPr>
        <w:t xml:space="preserve">objets, (iv) </w:t>
      </w:r>
      <w:r w:rsidR="00BF0106" w:rsidRPr="00BF0106">
        <w:rPr>
          <w:rFonts w:ascii="Times New Roman" w:hAnsi="Times New Roman" w:cs="Times New Roman"/>
        </w:rPr>
        <w:t>l</w:t>
      </w:r>
      <w:r w:rsidR="001B7223" w:rsidRPr="00BF0106">
        <w:rPr>
          <w:rFonts w:ascii="Times New Roman" w:hAnsi="Times New Roman" w:cs="Times New Roman"/>
        </w:rPr>
        <w:t>es formats, notamment g</w:t>
      </w:r>
      <w:r w:rsidR="00BF0106" w:rsidRPr="00BF0106">
        <w:rPr>
          <w:rFonts w:ascii="Times New Roman" w:hAnsi="Times New Roman" w:cs="Times New Roman"/>
        </w:rPr>
        <w:t>é</w:t>
      </w:r>
      <w:r w:rsidR="001B7223" w:rsidRPr="00BF0106">
        <w:rPr>
          <w:rFonts w:ascii="Times New Roman" w:hAnsi="Times New Roman" w:cs="Times New Roman"/>
        </w:rPr>
        <w:t>n</w:t>
      </w:r>
      <w:r w:rsidR="00BF0106" w:rsidRPr="00BF0106">
        <w:rPr>
          <w:rFonts w:ascii="Times New Roman" w:hAnsi="Times New Roman" w:cs="Times New Roman"/>
        </w:rPr>
        <w:t>é</w:t>
      </w:r>
      <w:r w:rsidR="001B7223" w:rsidRPr="00BF0106">
        <w:rPr>
          <w:rFonts w:ascii="Times New Roman" w:hAnsi="Times New Roman" w:cs="Times New Roman"/>
        </w:rPr>
        <w:t xml:space="preserve">riques, et (v) </w:t>
      </w:r>
      <w:r w:rsidR="00BF0106" w:rsidRPr="00BF0106">
        <w:rPr>
          <w:rFonts w:ascii="Times New Roman" w:hAnsi="Times New Roman" w:cs="Times New Roman"/>
        </w:rPr>
        <w:t>les</w:t>
      </w:r>
      <w:r w:rsidR="001B7223" w:rsidRPr="00BF0106">
        <w:rPr>
          <w:rFonts w:ascii="Times New Roman" w:hAnsi="Times New Roman" w:cs="Times New Roman"/>
        </w:rPr>
        <w:t xml:space="preserve"> textes.</w:t>
      </w:r>
      <w:r w:rsidR="009C4190">
        <w:rPr>
          <w:rFonts w:ascii="Times New Roman" w:hAnsi="Times New Roman" w:cs="Times New Roman"/>
        </w:rPr>
        <w:t xml:space="preserve"> </w:t>
      </w:r>
    </w:p>
    <w:p w:rsidR="00BF0106" w:rsidRPr="00BF0106" w:rsidRDefault="00BF0106" w:rsidP="00BF0106">
      <w:pPr>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 xml:space="preserve">Nous pourrons discuter de cette stratification qui a l’avantage, tout comme le parcours génératif de l’expression de Fontanille, d’accepter un mouvement ascendant et descendant : ainsi, le texte manifeste un choix de format, de médium ou de support ; il porte la marque d’un système de diffusion et de communication (le média), d’un environnement ou milieu. </w:t>
      </w:r>
      <w:r w:rsidR="009C4190">
        <w:rPr>
          <w:rFonts w:ascii="Times New Roman" w:hAnsi="Times New Roman" w:cs="Times New Roman"/>
        </w:rPr>
        <w:t xml:space="preserve">Je le montre plus particulièrement à travers une analyse de la scénarisation muséale qui fait resignifier une exposition de photos d’Edward Steichen. </w:t>
      </w:r>
    </w:p>
    <w:p w:rsidR="00F65AD7" w:rsidRDefault="00BF0106" w:rsidP="00BF0106">
      <w:pPr>
        <w:spacing w:after="120" w:line="276" w:lineRule="auto"/>
        <w:jc w:val="both"/>
        <w:rPr>
          <w:rFonts w:ascii="Times New Roman" w:hAnsi="Times New Roman" w:cs="Times New Roman"/>
        </w:rPr>
      </w:pPr>
      <w:r>
        <w:rPr>
          <w:rFonts w:ascii="Times New Roman" w:hAnsi="Times New Roman" w:cs="Times New Roman"/>
        </w:rPr>
        <w:t>On le voit, tout converge vers le texte</w:t>
      </w:r>
      <w:r w:rsidR="007A4FE7">
        <w:rPr>
          <w:rFonts w:ascii="Times New Roman" w:hAnsi="Times New Roman" w:cs="Times New Roman"/>
        </w:rPr>
        <w:t xml:space="preserve"> (verbal ou visuel)</w:t>
      </w:r>
      <w:r w:rsidR="008010A2">
        <w:rPr>
          <w:rFonts w:ascii="Times New Roman" w:hAnsi="Times New Roman" w:cs="Times New Roman"/>
        </w:rPr>
        <w:t xml:space="preserve"> et son au-delà </w:t>
      </w:r>
      <w:r>
        <w:rPr>
          <w:rFonts w:ascii="Times New Roman" w:hAnsi="Times New Roman" w:cs="Times New Roman"/>
        </w:rPr>
        <w:t>:</w:t>
      </w:r>
      <w:r w:rsidR="008010A2">
        <w:rPr>
          <w:rFonts w:ascii="Times New Roman" w:hAnsi="Times New Roman" w:cs="Times New Roman"/>
        </w:rPr>
        <w:t xml:space="preserve"> s’il</w:t>
      </w:r>
      <w:r>
        <w:rPr>
          <w:rFonts w:ascii="Times New Roman" w:hAnsi="Times New Roman" w:cs="Times New Roman"/>
        </w:rPr>
        <w:t xml:space="preserve"> </w:t>
      </w:r>
      <w:r w:rsidR="008010A2">
        <w:rPr>
          <w:rFonts w:ascii="Times New Roman" w:hAnsi="Times New Roman" w:cs="Times New Roman"/>
        </w:rPr>
        <w:t>faut savoir sortir du texte, ce dernier continue à occuper</w:t>
      </w:r>
      <w:r>
        <w:rPr>
          <w:rFonts w:ascii="Times New Roman" w:hAnsi="Times New Roman" w:cs="Times New Roman"/>
        </w:rPr>
        <w:t xml:space="preserve"> une position central</w:t>
      </w:r>
      <w:r w:rsidR="008010A2">
        <w:rPr>
          <w:rFonts w:ascii="Times New Roman" w:hAnsi="Times New Roman" w:cs="Times New Roman"/>
        </w:rPr>
        <w:t>e. J</w:t>
      </w:r>
      <w:r>
        <w:rPr>
          <w:rFonts w:ascii="Times New Roman" w:hAnsi="Times New Roman" w:cs="Times New Roman"/>
        </w:rPr>
        <w:t xml:space="preserve">’ai essayé de l’approcher sous différents angles. C’est mon </w:t>
      </w:r>
      <w:r w:rsidRPr="00BF0106">
        <w:rPr>
          <w:rFonts w:ascii="Times New Roman" w:hAnsi="Times New Roman" w:cs="Times New Roman"/>
          <w:b/>
        </w:rPr>
        <w:t>troisième et dernier champ de questionnement</w:t>
      </w:r>
      <w:r>
        <w:rPr>
          <w:rFonts w:ascii="Times New Roman" w:hAnsi="Times New Roman" w:cs="Times New Roman"/>
        </w:rPr>
        <w:t xml:space="preserve">. </w:t>
      </w:r>
    </w:p>
    <w:p w:rsidR="008010A2" w:rsidRDefault="008010A2" w:rsidP="00BF0106">
      <w:pPr>
        <w:spacing w:after="120" w:line="276" w:lineRule="auto"/>
        <w:jc w:val="both"/>
        <w:rPr>
          <w:rFonts w:ascii="Times New Roman" w:hAnsi="Times New Roman" w:cs="Times New Roman"/>
        </w:rPr>
      </w:pPr>
      <w:r>
        <w:rPr>
          <w:rFonts w:ascii="Times New Roman" w:hAnsi="Times New Roman" w:cs="Times New Roman"/>
        </w:rPr>
        <w:t>D’abord, c</w:t>
      </w:r>
      <w:r w:rsidR="00BF0106">
        <w:rPr>
          <w:rFonts w:ascii="Times New Roman" w:hAnsi="Times New Roman" w:cs="Times New Roman"/>
        </w:rPr>
        <w:t xml:space="preserve">omment rendre compte de la dynamicité interne au texte, de son </w:t>
      </w:r>
      <w:r w:rsidR="00BF0106" w:rsidRPr="007A4FE7">
        <w:rPr>
          <w:rFonts w:ascii="Times New Roman" w:hAnsi="Times New Roman" w:cs="Times New Roman"/>
          <w:i/>
        </w:rPr>
        <w:t xml:space="preserve">devenir </w:t>
      </w:r>
      <w:r w:rsidR="009F5D7E" w:rsidRPr="007A4FE7">
        <w:rPr>
          <w:rFonts w:ascii="Times New Roman" w:hAnsi="Times New Roman" w:cs="Times New Roman"/>
          <w:i/>
        </w:rPr>
        <w:t>un texte</w:t>
      </w:r>
      <w:r w:rsidR="009F5D7E">
        <w:rPr>
          <w:rFonts w:ascii="Times New Roman" w:hAnsi="Times New Roman" w:cs="Times New Roman"/>
        </w:rPr>
        <w:t xml:space="preserve"> (textualisation dans le sens linguistique du terme), avec ses anticipations, ses retours en arrière, ses bifurcations, ses stabilisations et ses déstabilisations (notamment en réception, chaque réception étant une réinterprétation – également au sens musical du terme) ? Ceci alors même que le texte est volontiers considéré comme un tout de sens, comme une sémiose fermée (Fontanille) ? </w:t>
      </w:r>
      <w:r>
        <w:rPr>
          <w:rFonts w:ascii="Times New Roman" w:hAnsi="Times New Roman" w:cs="Times New Roman"/>
        </w:rPr>
        <w:t>C</w:t>
      </w:r>
      <w:r w:rsidR="009F5D7E">
        <w:rPr>
          <w:rFonts w:ascii="Times New Roman" w:hAnsi="Times New Roman" w:cs="Times New Roman"/>
        </w:rPr>
        <w:t xml:space="preserve">omme une concrétion, dirai-je, </w:t>
      </w:r>
      <w:r>
        <w:rPr>
          <w:rFonts w:ascii="Times New Roman" w:hAnsi="Times New Roman" w:cs="Times New Roman"/>
        </w:rPr>
        <w:t xml:space="preserve">qui est toutefois animée, </w:t>
      </w:r>
      <w:r w:rsidR="009F5D7E">
        <w:rPr>
          <w:rFonts w:ascii="Times New Roman" w:hAnsi="Times New Roman" w:cs="Times New Roman"/>
        </w:rPr>
        <w:t xml:space="preserve">souterrainement, par </w:t>
      </w:r>
      <w:r w:rsidR="009F5D7E">
        <w:rPr>
          <w:rFonts w:ascii="Times New Roman" w:hAnsi="Times New Roman" w:cs="Times New Roman"/>
        </w:rPr>
        <w:lastRenderedPageBreak/>
        <w:t>ce qu’on peut peut-être appeler avec Pierluigi une configuration</w:t>
      </w:r>
      <w:r>
        <w:rPr>
          <w:rFonts w:ascii="Times New Roman" w:hAnsi="Times New Roman" w:cs="Times New Roman"/>
        </w:rPr>
        <w:t>, toujours précaire, qui se cherche un mode d’expression</w:t>
      </w:r>
      <w:r w:rsidR="009F5D7E">
        <w:rPr>
          <w:rFonts w:ascii="Times New Roman" w:hAnsi="Times New Roman" w:cs="Times New Roman"/>
        </w:rPr>
        <w:t xml:space="preserve">. Par des forces qui se déploient, par </w:t>
      </w:r>
      <w:r>
        <w:rPr>
          <w:rFonts w:ascii="Times New Roman" w:hAnsi="Times New Roman" w:cs="Times New Roman"/>
        </w:rPr>
        <w:t>l</w:t>
      </w:r>
      <w:r w:rsidR="009F5D7E">
        <w:rPr>
          <w:rFonts w:ascii="Times New Roman" w:hAnsi="Times New Roman" w:cs="Times New Roman"/>
        </w:rPr>
        <w:t>e flux du sen</w:t>
      </w:r>
      <w:r w:rsidR="00A35145">
        <w:rPr>
          <w:rFonts w:ascii="Times New Roman" w:hAnsi="Times New Roman" w:cs="Times New Roman"/>
        </w:rPr>
        <w:t>s, s</w:t>
      </w:r>
      <w:r w:rsidR="009F5D7E">
        <w:rPr>
          <w:rFonts w:ascii="Times New Roman" w:hAnsi="Times New Roman" w:cs="Times New Roman"/>
        </w:rPr>
        <w:t>elon Fontanille et Couégnas</w:t>
      </w:r>
      <w:r w:rsidR="00A35145">
        <w:rPr>
          <w:rFonts w:ascii="Times New Roman" w:hAnsi="Times New Roman" w:cs="Times New Roman"/>
        </w:rPr>
        <w:t xml:space="preserve"> (2018), qui doit être régulé. </w:t>
      </w:r>
    </w:p>
    <w:p w:rsidR="009715AA" w:rsidRDefault="008010A2" w:rsidP="009715AA">
      <w:pPr>
        <w:spacing w:after="120" w:line="276" w:lineRule="auto"/>
        <w:jc w:val="both"/>
        <w:rPr>
          <w:rFonts w:ascii="Times New Roman" w:hAnsi="Times New Roman" w:cs="Times New Roman"/>
        </w:rPr>
      </w:pPr>
      <w:r>
        <w:rPr>
          <w:rFonts w:ascii="Times New Roman" w:hAnsi="Times New Roman" w:cs="Times New Roman"/>
        </w:rPr>
        <w:t>Tel est alors l’enjeu : alors que Font</w:t>
      </w:r>
      <w:r w:rsidR="009715AA">
        <w:rPr>
          <w:rFonts w:ascii="Times New Roman" w:hAnsi="Times New Roman" w:cs="Times New Roman"/>
        </w:rPr>
        <w:t>anille</w:t>
      </w:r>
      <w:r>
        <w:rPr>
          <w:rFonts w:ascii="Times New Roman" w:hAnsi="Times New Roman" w:cs="Times New Roman"/>
        </w:rPr>
        <w:t xml:space="preserve"> et Couégnas </w:t>
      </w:r>
      <w:r w:rsidR="009715AA">
        <w:rPr>
          <w:rFonts w:ascii="Times New Roman" w:hAnsi="Times New Roman" w:cs="Times New Roman"/>
        </w:rPr>
        <w:t xml:space="preserve">(2018) </w:t>
      </w:r>
      <w:r>
        <w:rPr>
          <w:rFonts w:ascii="Times New Roman" w:hAnsi="Times New Roman" w:cs="Times New Roman"/>
        </w:rPr>
        <w:t xml:space="preserve">envisagent le flux du sens sous l’angle du procès de </w:t>
      </w:r>
      <w:r w:rsidR="009715AA">
        <w:rPr>
          <w:rFonts w:ascii="Times New Roman" w:hAnsi="Times New Roman" w:cs="Times New Roman"/>
        </w:rPr>
        <w:t>régulation</w:t>
      </w:r>
      <w:r>
        <w:rPr>
          <w:rFonts w:ascii="Times New Roman" w:hAnsi="Times New Roman" w:cs="Times New Roman"/>
        </w:rPr>
        <w:t xml:space="preserve"> </w:t>
      </w:r>
      <w:r w:rsidR="009715AA">
        <w:rPr>
          <w:rFonts w:ascii="Times New Roman" w:hAnsi="Times New Roman" w:cs="Times New Roman"/>
        </w:rPr>
        <w:t>c</w:t>
      </w:r>
      <w:r>
        <w:rPr>
          <w:rFonts w:ascii="Times New Roman" w:hAnsi="Times New Roman" w:cs="Times New Roman"/>
        </w:rPr>
        <w:t xml:space="preserve">ursive du sens (un régime sémiotique </w:t>
      </w:r>
      <w:r w:rsidR="00837DA9">
        <w:rPr>
          <w:rFonts w:ascii="Times New Roman" w:hAnsi="Times New Roman" w:cs="Times New Roman"/>
        </w:rPr>
        <w:t>différent de celui</w:t>
      </w:r>
      <w:r w:rsidR="009715AA">
        <w:rPr>
          <w:rFonts w:ascii="Times New Roman" w:hAnsi="Times New Roman" w:cs="Times New Roman"/>
        </w:rPr>
        <w:t xml:space="preserve"> </w:t>
      </w:r>
      <w:r w:rsidR="00837DA9">
        <w:rPr>
          <w:rFonts w:ascii="Times New Roman" w:hAnsi="Times New Roman" w:cs="Times New Roman"/>
        </w:rPr>
        <w:t xml:space="preserve">qui </w:t>
      </w:r>
      <w:r w:rsidR="009715AA">
        <w:rPr>
          <w:rFonts w:ascii="Times New Roman" w:hAnsi="Times New Roman" w:cs="Times New Roman"/>
        </w:rPr>
        <w:t>sous-tend la totalisation des textes, ces niveaux n’admettent aucune analyse continue</w:t>
      </w:r>
      <w:r w:rsidR="00A41BE2">
        <w:rPr>
          <w:rFonts w:ascii="Times New Roman" w:hAnsi="Times New Roman" w:cs="Times New Roman"/>
        </w:rPr>
        <w:t>)</w:t>
      </w:r>
      <w:r w:rsidR="007A4FE7">
        <w:rPr>
          <w:rFonts w:ascii="Times New Roman" w:hAnsi="Times New Roman" w:cs="Times New Roman"/>
        </w:rPr>
        <w:t>, j</w:t>
      </w:r>
      <w:r w:rsidR="00A35145">
        <w:rPr>
          <w:rFonts w:ascii="Times New Roman" w:hAnsi="Times New Roman" w:cs="Times New Roman"/>
        </w:rPr>
        <w:t>e propose</w:t>
      </w:r>
      <w:r w:rsidR="009715AA">
        <w:rPr>
          <w:rFonts w:ascii="Times New Roman" w:hAnsi="Times New Roman" w:cs="Times New Roman"/>
        </w:rPr>
        <w:t>, pour ma part,</w:t>
      </w:r>
      <w:r w:rsidR="00A35145">
        <w:rPr>
          <w:rFonts w:ascii="Times New Roman" w:hAnsi="Times New Roman" w:cs="Times New Roman"/>
        </w:rPr>
        <w:t xml:space="preserve"> un modèle intégratif avec trois couches organisées sous forme de pyramide, entre lesquelles des circulations sont possibles</w:t>
      </w:r>
      <w:r w:rsidR="009715AA">
        <w:rPr>
          <w:rFonts w:ascii="Times New Roman" w:hAnsi="Times New Roman" w:cs="Times New Roman"/>
        </w:rPr>
        <w:t>. D’abord,</w:t>
      </w:r>
      <w:r w:rsidR="00A35145">
        <w:rPr>
          <w:rFonts w:ascii="Times New Roman" w:hAnsi="Times New Roman" w:cs="Times New Roman"/>
        </w:rPr>
        <w:t xml:space="preserve"> un soubassement tensionnel (métamodu</w:t>
      </w:r>
      <w:r w:rsidR="007A4FE7">
        <w:rPr>
          <w:rFonts w:ascii="Times New Roman" w:hAnsi="Times New Roman" w:cs="Times New Roman"/>
        </w:rPr>
        <w:t>l</w:t>
      </w:r>
      <w:r w:rsidR="00A35145">
        <w:rPr>
          <w:rFonts w:ascii="Times New Roman" w:hAnsi="Times New Roman" w:cs="Times New Roman"/>
        </w:rPr>
        <w:t xml:space="preserve">ations), </w:t>
      </w:r>
      <w:r w:rsidR="009715AA">
        <w:rPr>
          <w:rFonts w:ascii="Times New Roman" w:hAnsi="Times New Roman" w:cs="Times New Roman"/>
        </w:rPr>
        <w:t>ensuite</w:t>
      </w:r>
      <w:r w:rsidR="007A4FE7">
        <w:rPr>
          <w:rFonts w:ascii="Times New Roman" w:hAnsi="Times New Roman" w:cs="Times New Roman"/>
        </w:rPr>
        <w:t xml:space="preserve"> </w:t>
      </w:r>
      <w:r w:rsidR="00A35145">
        <w:rPr>
          <w:rFonts w:ascii="Times New Roman" w:hAnsi="Times New Roman" w:cs="Times New Roman"/>
        </w:rPr>
        <w:t xml:space="preserve">une strate intermédiaire, où le </w:t>
      </w:r>
      <w:r w:rsidR="00A35145" w:rsidRPr="007A4FE7">
        <w:rPr>
          <w:rFonts w:ascii="Times New Roman" w:hAnsi="Times New Roman" w:cs="Times New Roman"/>
          <w:i/>
        </w:rPr>
        <w:t>ensuite</w:t>
      </w:r>
      <w:r w:rsidR="00A35145">
        <w:rPr>
          <w:rFonts w:ascii="Times New Roman" w:hAnsi="Times New Roman" w:cs="Times New Roman"/>
        </w:rPr>
        <w:t xml:space="preserve">, le </w:t>
      </w:r>
      <w:r w:rsidR="00A35145" w:rsidRPr="007A4FE7">
        <w:rPr>
          <w:rFonts w:ascii="Times New Roman" w:hAnsi="Times New Roman" w:cs="Times New Roman"/>
          <w:i/>
        </w:rPr>
        <w:t>et alors</w:t>
      </w:r>
      <w:r w:rsidR="00A35145">
        <w:rPr>
          <w:rFonts w:ascii="Times New Roman" w:hAnsi="Times New Roman" w:cs="Times New Roman"/>
        </w:rPr>
        <w:t xml:space="preserve">, le </w:t>
      </w:r>
      <w:r w:rsidR="00A35145" w:rsidRPr="007A4FE7">
        <w:rPr>
          <w:rFonts w:ascii="Times New Roman" w:hAnsi="Times New Roman" w:cs="Times New Roman"/>
          <w:i/>
        </w:rPr>
        <w:t>pour</w:t>
      </w:r>
      <w:r w:rsidR="00A35145">
        <w:rPr>
          <w:rFonts w:ascii="Times New Roman" w:hAnsi="Times New Roman" w:cs="Times New Roman"/>
        </w:rPr>
        <w:t xml:space="preserve">, le </w:t>
      </w:r>
      <w:r w:rsidR="00A35145" w:rsidRPr="007A4FE7">
        <w:rPr>
          <w:rFonts w:ascii="Times New Roman" w:hAnsi="Times New Roman" w:cs="Times New Roman"/>
          <w:i/>
        </w:rPr>
        <w:t>devant,</w:t>
      </w:r>
      <w:r w:rsidR="00A35145">
        <w:rPr>
          <w:rFonts w:ascii="Times New Roman" w:hAnsi="Times New Roman" w:cs="Times New Roman"/>
        </w:rPr>
        <w:t xml:space="preserve"> le </w:t>
      </w:r>
      <w:r w:rsidR="00A35145" w:rsidRPr="007A4FE7">
        <w:rPr>
          <w:rFonts w:ascii="Times New Roman" w:hAnsi="Times New Roman" w:cs="Times New Roman"/>
          <w:i/>
        </w:rPr>
        <w:t>contre</w:t>
      </w:r>
      <w:r w:rsidR="009715AA">
        <w:rPr>
          <w:rFonts w:ascii="Times New Roman" w:hAnsi="Times New Roman" w:cs="Times New Roman"/>
        </w:rPr>
        <w:t xml:space="preserve">… à la fois subissent les pressions du soubassement tensionnel et </w:t>
      </w:r>
      <w:r w:rsidR="00A35145">
        <w:rPr>
          <w:rFonts w:ascii="Times New Roman" w:hAnsi="Times New Roman" w:cs="Times New Roman"/>
        </w:rPr>
        <w:t xml:space="preserve">règlent en profondeur les rapports </w:t>
      </w:r>
      <w:r w:rsidR="007A4FE7">
        <w:rPr>
          <w:rFonts w:ascii="Times New Roman" w:hAnsi="Times New Roman" w:cs="Times New Roman"/>
        </w:rPr>
        <w:t xml:space="preserve">(également polémiques) </w:t>
      </w:r>
      <w:r w:rsidR="00A35145">
        <w:rPr>
          <w:rFonts w:ascii="Times New Roman" w:hAnsi="Times New Roman" w:cs="Times New Roman"/>
        </w:rPr>
        <w:t>entre l’homme et le monde</w:t>
      </w:r>
      <w:r w:rsidR="009715AA">
        <w:rPr>
          <w:rFonts w:ascii="Times New Roman" w:hAnsi="Times New Roman" w:cs="Times New Roman"/>
        </w:rPr>
        <w:t xml:space="preserve"> (couche supérieure). Concrètement, au moment de la rencontre, notamment esthétique, une instance d’énonciation en train de se constituer interagit avec un texte en devenir : à travers la réalisation des potentialités inhérentes, ils se voient accorder un mode d’existence (par exemple, celui de l’artiste et de l’objet textuel (avec son support, sa matérialité) requalifié en œuvre d’art, quand il circule dans un milieu artistique plus ou moins institutionnalisé</w:t>
      </w:r>
      <w:r w:rsidR="00D554E6">
        <w:rPr>
          <w:rFonts w:ascii="Times New Roman" w:hAnsi="Times New Roman" w:cs="Times New Roman"/>
        </w:rPr>
        <w:t>)</w:t>
      </w:r>
      <w:r w:rsidR="009715AA">
        <w:rPr>
          <w:rFonts w:ascii="Times New Roman" w:hAnsi="Times New Roman" w:cs="Times New Roman"/>
        </w:rPr>
        <w:t xml:space="preserve">. </w:t>
      </w:r>
    </w:p>
    <w:p w:rsidR="009715AA" w:rsidRDefault="00D554E6" w:rsidP="00BF0106">
      <w:pPr>
        <w:spacing w:after="120" w:line="276" w:lineRule="auto"/>
        <w:jc w:val="both"/>
        <w:rPr>
          <w:rFonts w:ascii="Times New Roman" w:hAnsi="Times New Roman" w:cs="Times New Roman"/>
        </w:rPr>
      </w:pPr>
      <w:r>
        <w:rPr>
          <w:rFonts w:ascii="Times New Roman" w:hAnsi="Times New Roman" w:cs="Times New Roman"/>
        </w:rPr>
        <w:t>Un dernier mot pour dire que la notion de transénonciation, introduite au terme de mon parcours, a vocation non point à supplanter celle d’énonciation, mais à en exhiber certaines facettes</w:t>
      </w:r>
      <w:r w:rsidR="002D0FD2">
        <w:rPr>
          <w:rFonts w:ascii="Times New Roman" w:hAnsi="Times New Roman" w:cs="Times New Roman"/>
        </w:rPr>
        <w:t> : l</w:t>
      </w:r>
      <w:r>
        <w:rPr>
          <w:rFonts w:ascii="Times New Roman" w:hAnsi="Times New Roman" w:cs="Times New Roman"/>
        </w:rPr>
        <w:t xml:space="preserve">a capacité à gérer des passages, des transitions qui impliquent des transversalités. </w:t>
      </w:r>
      <w:r w:rsidR="002D0FD2">
        <w:rPr>
          <w:rFonts w:ascii="Times New Roman" w:hAnsi="Times New Roman" w:cs="Times New Roman"/>
        </w:rPr>
        <w:t xml:space="preserve">Très brièvement, pour ne pas abuser de votre patience : </w:t>
      </w:r>
      <w:r>
        <w:rPr>
          <w:rFonts w:ascii="Times New Roman" w:hAnsi="Times New Roman" w:cs="Times New Roman"/>
        </w:rPr>
        <w:t>des passages entre les couches du modèle intégratif ; mais aussi au sein même de la textualisation (dernière couche)</w:t>
      </w:r>
      <w:r w:rsidR="002D0FD2">
        <w:rPr>
          <w:rFonts w:ascii="Times New Roman" w:hAnsi="Times New Roman" w:cs="Times New Roman"/>
        </w:rPr>
        <w:t> ; enfin, comme j’ai essayé de le dire,</w:t>
      </w:r>
      <w:r>
        <w:rPr>
          <w:rFonts w:ascii="Times New Roman" w:hAnsi="Times New Roman" w:cs="Times New Roman"/>
        </w:rPr>
        <w:t xml:space="preserve"> tout texte manifest</w:t>
      </w:r>
      <w:r w:rsidR="002D0FD2">
        <w:rPr>
          <w:rFonts w:ascii="Times New Roman" w:hAnsi="Times New Roman" w:cs="Times New Roman"/>
        </w:rPr>
        <w:t xml:space="preserve">e </w:t>
      </w:r>
      <w:r>
        <w:rPr>
          <w:rFonts w:ascii="Times New Roman" w:hAnsi="Times New Roman" w:cs="Times New Roman"/>
        </w:rPr>
        <w:t>des choix énonciatifs opérés à différents niveaux de pertinence</w:t>
      </w:r>
      <w:r w:rsidR="002D0FD2">
        <w:rPr>
          <w:rFonts w:ascii="Times New Roman" w:hAnsi="Times New Roman" w:cs="Times New Roman"/>
        </w:rPr>
        <w:t>.</w:t>
      </w:r>
      <w:r>
        <w:rPr>
          <w:rFonts w:ascii="Times New Roman" w:hAnsi="Times New Roman" w:cs="Times New Roman"/>
        </w:rPr>
        <w:t xml:space="preserve"> </w:t>
      </w:r>
    </w:p>
    <w:p w:rsidR="00F65AD7" w:rsidRDefault="00F65AD7" w:rsidP="00F34911">
      <w:pPr>
        <w:spacing w:after="120" w:line="276" w:lineRule="auto"/>
        <w:jc w:val="both"/>
        <w:rPr>
          <w:rFonts w:ascii="Times New Roman" w:hAnsi="Times New Roman" w:cs="Times New Roman"/>
        </w:rPr>
      </w:pPr>
    </w:p>
    <w:p w:rsidR="009C4190" w:rsidRDefault="009C4190" w:rsidP="00F34911">
      <w:pPr>
        <w:spacing w:after="120" w:line="276" w:lineRule="auto"/>
        <w:jc w:val="both"/>
        <w:rPr>
          <w:rFonts w:ascii="Times New Roman" w:hAnsi="Times New Roman" w:cs="Times New Roman"/>
        </w:rPr>
      </w:pPr>
    </w:p>
    <w:p w:rsidR="009C4190" w:rsidRDefault="009C4190" w:rsidP="00F34911">
      <w:pPr>
        <w:spacing w:after="120" w:line="276" w:lineRule="auto"/>
        <w:jc w:val="both"/>
        <w:rPr>
          <w:rFonts w:ascii="Times New Roman" w:hAnsi="Times New Roman" w:cs="Times New Roman"/>
        </w:rPr>
      </w:pPr>
    </w:p>
    <w:p w:rsidR="009C4190" w:rsidRDefault="009C4190" w:rsidP="00F34911">
      <w:pPr>
        <w:spacing w:after="120" w:line="276" w:lineRule="auto"/>
        <w:jc w:val="both"/>
        <w:rPr>
          <w:rFonts w:ascii="Times New Roman" w:hAnsi="Times New Roman" w:cs="Times New Roman"/>
        </w:rPr>
      </w:pPr>
    </w:p>
    <w:p w:rsidR="009C4190" w:rsidRDefault="009C4190" w:rsidP="00F34911">
      <w:pPr>
        <w:spacing w:after="120" w:line="276" w:lineRule="auto"/>
        <w:jc w:val="both"/>
        <w:rPr>
          <w:rFonts w:ascii="Times New Roman" w:hAnsi="Times New Roman" w:cs="Times New Roman"/>
        </w:rPr>
      </w:pPr>
    </w:p>
    <w:p w:rsidR="009C4190" w:rsidRDefault="009C4190" w:rsidP="00F34911">
      <w:pPr>
        <w:spacing w:after="120" w:line="276" w:lineRule="auto"/>
        <w:jc w:val="both"/>
        <w:rPr>
          <w:rFonts w:ascii="Times New Roman" w:hAnsi="Times New Roman" w:cs="Times New Roman"/>
        </w:rPr>
      </w:pPr>
    </w:p>
    <w:p w:rsidR="009C4190" w:rsidRDefault="009C4190" w:rsidP="00F34911">
      <w:pPr>
        <w:spacing w:after="120" w:line="276" w:lineRule="auto"/>
        <w:jc w:val="both"/>
        <w:rPr>
          <w:rFonts w:ascii="Times New Roman" w:hAnsi="Times New Roman" w:cs="Times New Roman"/>
        </w:rPr>
      </w:pPr>
    </w:p>
    <w:p w:rsidR="009C4190" w:rsidRDefault="009C4190" w:rsidP="00F34911">
      <w:pPr>
        <w:spacing w:after="120" w:line="276" w:lineRule="auto"/>
        <w:jc w:val="both"/>
        <w:rPr>
          <w:rFonts w:ascii="Times New Roman" w:hAnsi="Times New Roman" w:cs="Times New Roman"/>
        </w:rPr>
      </w:pPr>
    </w:p>
    <w:p w:rsidR="009C4190" w:rsidRDefault="009C4190" w:rsidP="00F34911">
      <w:pPr>
        <w:spacing w:after="120" w:line="276" w:lineRule="auto"/>
        <w:jc w:val="both"/>
        <w:rPr>
          <w:rFonts w:ascii="Times New Roman" w:hAnsi="Times New Roman" w:cs="Times New Roman"/>
        </w:rPr>
      </w:pPr>
    </w:p>
    <w:p w:rsidR="009C4190" w:rsidRDefault="009C4190" w:rsidP="00F34911">
      <w:pPr>
        <w:spacing w:after="120" w:line="276" w:lineRule="auto"/>
        <w:jc w:val="both"/>
        <w:rPr>
          <w:rFonts w:ascii="Times New Roman" w:hAnsi="Times New Roman" w:cs="Times New Roman"/>
        </w:rPr>
      </w:pPr>
    </w:p>
    <w:p w:rsidR="00D554E6" w:rsidRDefault="00D554E6" w:rsidP="00F34911">
      <w:pPr>
        <w:spacing w:after="120" w:line="276" w:lineRule="auto"/>
        <w:jc w:val="both"/>
        <w:rPr>
          <w:rFonts w:ascii="Times New Roman" w:hAnsi="Times New Roman" w:cs="Times New Roman"/>
        </w:rPr>
      </w:pPr>
    </w:p>
    <w:p w:rsidR="00D554E6" w:rsidRDefault="00D554E6" w:rsidP="00F34911">
      <w:pPr>
        <w:spacing w:after="120" w:line="276" w:lineRule="auto"/>
        <w:jc w:val="both"/>
        <w:rPr>
          <w:rFonts w:ascii="Times New Roman" w:hAnsi="Times New Roman" w:cs="Times New Roman"/>
        </w:rPr>
      </w:pPr>
    </w:p>
    <w:p w:rsidR="00D554E6" w:rsidRDefault="00D554E6" w:rsidP="00F34911">
      <w:pPr>
        <w:spacing w:after="120" w:line="276" w:lineRule="auto"/>
        <w:jc w:val="both"/>
        <w:rPr>
          <w:rFonts w:ascii="Times New Roman" w:hAnsi="Times New Roman" w:cs="Times New Roman"/>
        </w:rPr>
      </w:pPr>
    </w:p>
    <w:p w:rsidR="00D554E6" w:rsidRDefault="00D554E6" w:rsidP="00F34911">
      <w:pPr>
        <w:spacing w:after="120" w:line="276" w:lineRule="auto"/>
        <w:jc w:val="both"/>
        <w:rPr>
          <w:rFonts w:ascii="Times New Roman" w:hAnsi="Times New Roman" w:cs="Times New Roman"/>
        </w:rPr>
      </w:pPr>
    </w:p>
    <w:p w:rsidR="00D554E6" w:rsidRDefault="00D554E6" w:rsidP="00F34911">
      <w:pPr>
        <w:spacing w:after="120" w:line="276" w:lineRule="auto"/>
        <w:jc w:val="both"/>
        <w:rPr>
          <w:rFonts w:ascii="Times New Roman" w:hAnsi="Times New Roman" w:cs="Times New Roman"/>
        </w:rPr>
      </w:pPr>
    </w:p>
    <w:p w:rsidR="00D554E6" w:rsidRDefault="00D554E6" w:rsidP="00F34911">
      <w:pPr>
        <w:spacing w:after="120" w:line="276" w:lineRule="auto"/>
        <w:jc w:val="both"/>
        <w:rPr>
          <w:rFonts w:ascii="Times New Roman" w:hAnsi="Times New Roman" w:cs="Times New Roman"/>
        </w:rPr>
      </w:pPr>
    </w:p>
    <w:p w:rsidR="00D554E6" w:rsidRDefault="00D554E6" w:rsidP="00F34911">
      <w:pPr>
        <w:spacing w:after="120" w:line="276" w:lineRule="auto"/>
        <w:jc w:val="both"/>
        <w:rPr>
          <w:rFonts w:ascii="Times New Roman" w:hAnsi="Times New Roman" w:cs="Times New Roman"/>
        </w:rPr>
      </w:pPr>
    </w:p>
    <w:p w:rsidR="007B1101" w:rsidRPr="00F34911" w:rsidRDefault="0018054D" w:rsidP="00F34911">
      <w:pPr>
        <w:spacing w:after="120" w:line="276" w:lineRule="auto"/>
        <w:jc w:val="both"/>
        <w:rPr>
          <w:rFonts w:ascii="Times New Roman" w:hAnsi="Times New Roman" w:cs="Times New Roman"/>
        </w:rPr>
      </w:pPr>
      <w:proofErr w:type="gramStart"/>
      <w:r w:rsidRPr="00F34911">
        <w:rPr>
          <w:rFonts w:ascii="Times New Roman" w:hAnsi="Times New Roman" w:cs="Times New Roman"/>
        </w:rPr>
        <w:t>comment</w:t>
      </w:r>
      <w:proofErr w:type="gramEnd"/>
      <w:r w:rsidRPr="00F34911">
        <w:rPr>
          <w:rFonts w:ascii="Times New Roman" w:hAnsi="Times New Roman" w:cs="Times New Roman"/>
        </w:rPr>
        <w:t xml:space="preserve"> rendre compte de </w:t>
      </w:r>
      <w:r w:rsidR="00372E35" w:rsidRPr="00F34911">
        <w:rPr>
          <w:rFonts w:ascii="Times New Roman" w:hAnsi="Times New Roman" w:cs="Times New Roman"/>
        </w:rPr>
        <w:t xml:space="preserve">la trace </w:t>
      </w:r>
      <w:r w:rsidRPr="00F34911">
        <w:rPr>
          <w:rFonts w:ascii="Times New Roman" w:hAnsi="Times New Roman" w:cs="Times New Roman"/>
        </w:rPr>
        <w:t xml:space="preserve">qui </w:t>
      </w:r>
      <w:r w:rsidR="00372E35" w:rsidRPr="00F34911">
        <w:rPr>
          <w:rFonts w:ascii="Times New Roman" w:hAnsi="Times New Roman" w:cs="Times New Roman"/>
        </w:rPr>
        <w:t xml:space="preserve">est mouvement, </w:t>
      </w:r>
      <w:r w:rsidRPr="00F34911">
        <w:rPr>
          <w:rFonts w:ascii="Times New Roman" w:hAnsi="Times New Roman" w:cs="Times New Roman"/>
        </w:rPr>
        <w:t xml:space="preserve">traçage ? </w:t>
      </w:r>
      <w:r w:rsidR="00372E35" w:rsidRPr="00F34911">
        <w:rPr>
          <w:rFonts w:ascii="Times New Roman" w:hAnsi="Times New Roman" w:cs="Times New Roman"/>
        </w:rPr>
        <w:t xml:space="preserve">cela nous conduit à </w:t>
      </w:r>
      <w:r w:rsidR="00C330EF" w:rsidRPr="00F34911">
        <w:rPr>
          <w:rFonts w:ascii="Times New Roman" w:hAnsi="Times New Roman" w:cs="Times New Roman"/>
        </w:rPr>
        <w:t xml:space="preserve">basculer du point de vue de l’énonciation dite énoncée vers l’énonciation comme « trace, dire », pour citer Coquet qui défend une phénoménologie du langage (s’y oppose du côté de de la philosophie du langage, « signe, énoncé, le dit » (je cite encore). </w:t>
      </w:r>
    </w:p>
    <w:p w:rsidR="00C330EF" w:rsidRPr="00F34911" w:rsidRDefault="00C330EF" w:rsidP="00F34911">
      <w:pPr>
        <w:spacing w:after="120" w:line="276" w:lineRule="auto"/>
        <w:jc w:val="both"/>
        <w:rPr>
          <w:rFonts w:ascii="Times New Roman" w:hAnsi="Times New Roman" w:cs="Times New Roman"/>
        </w:rPr>
      </w:pPr>
      <w:r w:rsidRPr="00F34911">
        <w:rPr>
          <w:rFonts w:ascii="Times New Roman" w:hAnsi="Times New Roman" w:cs="Times New Roman"/>
        </w:rPr>
        <w:t xml:space="preserve">Et une autre des six directions dans lesquelles se sont développées les réflexions sémiotiques sur l’énonciation est bien celle-ci : vers une sémiotique phénoménologique et une typologie des instances énonçantes. Je retrouverai la question dans quelques instants. </w:t>
      </w:r>
    </w:p>
    <w:p w:rsidR="00C330EF" w:rsidRDefault="00C330EF" w:rsidP="006C6A6F">
      <w:pPr>
        <w:spacing w:after="120" w:line="276" w:lineRule="auto"/>
        <w:jc w:val="both"/>
        <w:rPr>
          <w:rFonts w:ascii="Times New Roman" w:hAnsi="Times New Roman" w:cs="Times New Roman"/>
        </w:rPr>
      </w:pPr>
      <w:r>
        <w:rPr>
          <w:rFonts w:ascii="Times New Roman" w:hAnsi="Times New Roman" w:cs="Times New Roman"/>
        </w:rPr>
        <w:t xml:space="preserve">Mais si l’énonciation est </w:t>
      </w:r>
    </w:p>
    <w:p w:rsidR="00C330EF" w:rsidRDefault="00C330EF" w:rsidP="006C6A6F">
      <w:pPr>
        <w:spacing w:after="120" w:line="276" w:lineRule="auto"/>
        <w:jc w:val="both"/>
        <w:rPr>
          <w:rFonts w:ascii="Times New Roman" w:hAnsi="Times New Roman" w:cs="Times New Roman"/>
        </w:rPr>
      </w:pPr>
    </w:p>
    <w:p w:rsidR="00C330EF" w:rsidRDefault="00C330EF" w:rsidP="006C6A6F">
      <w:pPr>
        <w:spacing w:after="120" w:line="276" w:lineRule="auto"/>
        <w:jc w:val="both"/>
        <w:rPr>
          <w:rFonts w:ascii="Times New Roman" w:hAnsi="Times New Roman" w:cs="Times New Roman"/>
        </w:rPr>
      </w:pPr>
    </w:p>
    <w:p w:rsidR="000340A0" w:rsidRDefault="00C330EF" w:rsidP="006C6A6F">
      <w:pPr>
        <w:spacing w:after="120" w:line="276" w:lineRule="auto"/>
        <w:jc w:val="both"/>
        <w:rPr>
          <w:rFonts w:ascii="Times New Roman" w:hAnsi="Times New Roman" w:cs="Times New Roman"/>
        </w:rPr>
      </w:pPr>
      <w:r>
        <w:rPr>
          <w:rFonts w:ascii="Times New Roman" w:hAnsi="Times New Roman" w:cs="Times New Roman"/>
        </w:rPr>
        <w:t xml:space="preserve">De la trace au traçage, dirai-je, </w:t>
      </w:r>
    </w:p>
    <w:p w:rsidR="006C6A6F" w:rsidRDefault="006C6A6F" w:rsidP="006C6A6F">
      <w:pPr>
        <w:spacing w:after="120" w:line="276" w:lineRule="auto"/>
        <w:jc w:val="both"/>
        <w:rPr>
          <w:rFonts w:ascii="Times New Roman" w:hAnsi="Times New Roman" w:cs="Times New Roman"/>
        </w:rPr>
      </w:pPr>
    </w:p>
    <w:p w:rsidR="00372E35" w:rsidRDefault="00372E35" w:rsidP="00372E3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En effet, si l</w:t>
      </w:r>
      <w:proofErr w:type="gramStart"/>
      <w:r>
        <w:rPr>
          <w:rFonts w:ascii="Times New Roman" w:hAnsi="Times New Roman" w:cs="Times New Roman"/>
          <w:sz w:val="20"/>
          <w:szCs w:val="20"/>
        </w:rPr>
        <w:t>’.nonciation</w:t>
      </w:r>
      <w:proofErr w:type="gramEnd"/>
      <w:r>
        <w:rPr>
          <w:rFonts w:ascii="Times New Roman" w:hAnsi="Times New Roman" w:cs="Times New Roman"/>
          <w:sz w:val="20"/>
          <w:szCs w:val="20"/>
        </w:rPr>
        <w:t xml:space="preserve"> est l’instance suppos.e par l’.nonc. </w:t>
      </w:r>
      <w:proofErr w:type="gramStart"/>
      <w:r>
        <w:rPr>
          <w:rFonts w:ascii="Times New Roman" w:hAnsi="Times New Roman" w:cs="Times New Roman"/>
          <w:sz w:val="20"/>
          <w:szCs w:val="20"/>
        </w:rPr>
        <w:t>dans</w:t>
      </w:r>
      <w:proofErr w:type="gramEnd"/>
    </w:p>
    <w:p w:rsidR="00372E35" w:rsidRDefault="00372E35" w:rsidP="00372E35">
      <w:pPr>
        <w:autoSpaceDE w:val="0"/>
        <w:autoSpaceDN w:val="0"/>
        <w:adjustRightInd w:val="0"/>
        <w:rPr>
          <w:rFonts w:ascii="Times New Roman" w:hAnsi="Times New Roman" w:cs="Times New Roman"/>
          <w:sz w:val="20"/>
          <w:szCs w:val="20"/>
        </w:rPr>
      </w:pPr>
      <w:proofErr w:type="gramStart"/>
      <w:r>
        <w:rPr>
          <w:rFonts w:ascii="Times New Roman" w:hAnsi="Times New Roman" w:cs="Times New Roman"/>
          <w:sz w:val="20"/>
          <w:szCs w:val="20"/>
        </w:rPr>
        <w:t>lequel</w:t>
      </w:r>
      <w:proofErr w:type="gramEnd"/>
      <w:r>
        <w:rPr>
          <w:rFonts w:ascii="Times New Roman" w:hAnsi="Times New Roman" w:cs="Times New Roman"/>
          <w:sz w:val="20"/>
          <w:szCs w:val="20"/>
        </w:rPr>
        <w:t xml:space="preserve"> elle laisse des marques ou des traces et ces traces ne concernent</w:t>
      </w:r>
    </w:p>
    <w:p w:rsidR="00372E35" w:rsidRDefault="00372E35" w:rsidP="00372E35">
      <w:pPr>
        <w:autoSpaceDE w:val="0"/>
        <w:autoSpaceDN w:val="0"/>
        <w:adjustRightInd w:val="0"/>
        <w:rPr>
          <w:rFonts w:ascii="Times New Roman" w:hAnsi="Times New Roman" w:cs="Times New Roman"/>
          <w:sz w:val="20"/>
          <w:szCs w:val="20"/>
        </w:rPr>
      </w:pPr>
      <w:proofErr w:type="gramStart"/>
      <w:r>
        <w:rPr>
          <w:rFonts w:ascii="Times New Roman" w:hAnsi="Times New Roman" w:cs="Times New Roman"/>
          <w:sz w:val="20"/>
          <w:szCs w:val="20"/>
        </w:rPr>
        <w:t>plus</w:t>
      </w:r>
      <w:proofErr w:type="gramEnd"/>
      <w:r>
        <w:rPr>
          <w:rFonts w:ascii="Times New Roman" w:hAnsi="Times New Roman" w:cs="Times New Roman"/>
          <w:sz w:val="20"/>
          <w:szCs w:val="20"/>
        </w:rPr>
        <w:t xml:space="preserve"> seulement les espaces (ici), les temps (maintenant) et les acteurs (je),</w:t>
      </w:r>
    </w:p>
    <w:p w:rsidR="00372E35" w:rsidRDefault="00372E35" w:rsidP="00372E35">
      <w:pPr>
        <w:autoSpaceDE w:val="0"/>
        <w:autoSpaceDN w:val="0"/>
        <w:adjustRightInd w:val="0"/>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niveau de l’.nonciation concerne tout, c’est-.-dire toutes les grandeurs</w:t>
      </w:r>
    </w:p>
    <w:p w:rsidR="00372E35" w:rsidRDefault="00372E35" w:rsidP="00372E3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l’int.rieur</w:t>
      </w:r>
      <w:proofErr w:type="gramEnd"/>
      <w:r>
        <w:rPr>
          <w:rFonts w:ascii="Times New Roman" w:hAnsi="Times New Roman" w:cs="Times New Roman"/>
          <w:sz w:val="20"/>
          <w:szCs w:val="20"/>
        </w:rPr>
        <w:t xml:space="preserve"> de l’.nonc., comme le style, les th.mes, les motifs, et non</w:t>
      </w:r>
    </w:p>
    <w:p w:rsidR="00372E35" w:rsidRDefault="00372E35" w:rsidP="00372E35">
      <w:pPr>
        <w:autoSpaceDE w:val="0"/>
        <w:autoSpaceDN w:val="0"/>
        <w:adjustRightInd w:val="0"/>
        <w:rPr>
          <w:rFonts w:ascii="Times New Roman" w:hAnsi="Times New Roman" w:cs="Times New Roman"/>
          <w:sz w:val="20"/>
          <w:szCs w:val="20"/>
        </w:rPr>
      </w:pPr>
      <w:proofErr w:type="gramStart"/>
      <w:r>
        <w:rPr>
          <w:rFonts w:ascii="Times New Roman" w:hAnsi="Times New Roman" w:cs="Times New Roman"/>
          <w:sz w:val="20"/>
          <w:szCs w:val="20"/>
        </w:rPr>
        <w:t>seulement</w:t>
      </w:r>
      <w:proofErr w:type="gramEnd"/>
    </w:p>
    <w:p w:rsidR="00372E35" w:rsidRDefault="00372E35" w:rsidP="00372E35">
      <w:pPr>
        <w:autoSpaceDE w:val="0"/>
        <w:autoSpaceDN w:val="0"/>
        <w:adjustRightInd w:val="0"/>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espaces, les temps et les acteurs (comme dans la th.orie</w:t>
      </w:r>
    </w:p>
    <w:p w:rsidR="006C6A6F" w:rsidRDefault="00372E35" w:rsidP="00372E35">
      <w:pPr>
        <w:spacing w:after="120" w:line="276" w:lineRule="auto"/>
        <w:jc w:val="both"/>
        <w:rPr>
          <w:rFonts w:ascii="Times New Roman" w:hAnsi="Times New Roman" w:cs="Times New Roman"/>
        </w:rPr>
      </w:pPr>
      <w:proofErr w:type="gramStart"/>
      <w:r>
        <w:rPr>
          <w:rFonts w:ascii="Times New Roman" w:hAnsi="Times New Roman" w:cs="Times New Roman"/>
          <w:sz w:val="20"/>
          <w:szCs w:val="20"/>
        </w:rPr>
        <w:t>classique</w:t>
      </w:r>
      <w:proofErr w:type="gramEnd"/>
      <w:r>
        <w:rPr>
          <w:rFonts w:ascii="Times New Roman" w:hAnsi="Times New Roman" w:cs="Times New Roman"/>
          <w:sz w:val="20"/>
          <w:szCs w:val="20"/>
        </w:rPr>
        <w:t xml:space="preserve"> de Greimas).</w:t>
      </w:r>
    </w:p>
    <w:p w:rsidR="006C6A6F" w:rsidRDefault="006C6A6F" w:rsidP="006C6A6F">
      <w:pPr>
        <w:spacing w:after="120" w:line="276" w:lineRule="auto"/>
        <w:jc w:val="both"/>
        <w:rPr>
          <w:rFonts w:ascii="Times New Roman" w:hAnsi="Times New Roman" w:cs="Times New Roman"/>
        </w:rPr>
      </w:pPr>
    </w:p>
    <w:p w:rsidR="006C6A6F" w:rsidRDefault="006C6A6F" w:rsidP="006C6A6F">
      <w:pPr>
        <w:spacing w:after="120" w:line="276" w:lineRule="auto"/>
        <w:jc w:val="both"/>
        <w:rPr>
          <w:rFonts w:ascii="Times New Roman" w:hAnsi="Times New Roman" w:cs="Times New Roman"/>
        </w:rPr>
      </w:pPr>
    </w:p>
    <w:p w:rsidR="00E763E4" w:rsidRDefault="00886991" w:rsidP="00E763E4">
      <w:pPr>
        <w:spacing w:line="276" w:lineRule="auto"/>
        <w:jc w:val="both"/>
        <w:rPr>
          <w:rFonts w:ascii="Times New Roman" w:hAnsi="Times New Roman" w:cs="Times New Roman"/>
        </w:rPr>
      </w:pPr>
      <w:r>
        <w:rPr>
          <w:rFonts w:ascii="Times New Roman" w:hAnsi="Times New Roman" w:cs="Times New Roman"/>
        </w:rPr>
        <w:t>J</w:t>
      </w:r>
      <w:r w:rsidR="00E763E4" w:rsidRPr="003C1C72">
        <w:rPr>
          <w:rFonts w:ascii="Times New Roman" w:hAnsi="Times New Roman" w:cs="Times New Roman"/>
        </w:rPr>
        <w:t>e cible des moments-clefs d</w:t>
      </w:r>
      <w:r>
        <w:rPr>
          <w:rFonts w:ascii="Times New Roman" w:hAnsi="Times New Roman" w:cs="Times New Roman"/>
        </w:rPr>
        <w:t>e son</w:t>
      </w:r>
      <w:r w:rsidR="00E763E4" w:rsidRPr="003C1C72">
        <w:rPr>
          <w:rFonts w:ascii="Times New Roman" w:hAnsi="Times New Roman" w:cs="Times New Roman"/>
        </w:rPr>
        <w:t xml:space="preserve"> développement</w:t>
      </w:r>
      <w:r w:rsidR="00BE41B7">
        <w:rPr>
          <w:rFonts w:ascii="Times New Roman" w:hAnsi="Times New Roman" w:cs="Times New Roman"/>
        </w:rPr>
        <w:t xml:space="preserve"> en poussant la réflexion plus avant </w:t>
      </w:r>
      <w:r w:rsidR="00E763E4" w:rsidRPr="003C1C72">
        <w:rPr>
          <w:rFonts w:ascii="Times New Roman" w:hAnsi="Times New Roman" w:cs="Times New Roman"/>
        </w:rPr>
        <w:t>: par exemple, en sémiotique, le déplacement de l’attention de l’énonciation énoncée à l’énonciation vivante, en acte</w:t>
      </w:r>
      <w:r w:rsidR="00E763E4">
        <w:rPr>
          <w:rFonts w:ascii="Times New Roman" w:hAnsi="Times New Roman" w:cs="Times New Roman"/>
        </w:rPr>
        <w:t xml:space="preserve"> : je me demande en quoi l’énonciation peut elle-même être conçue comme une pratique ou un cours d’action ouvert déterminant les conditions énonciatives et gérant les modalités du déploiement de régimes sémiotiques ; dans mon livre, je considère principalement, le régime </w:t>
      </w:r>
      <w:r>
        <w:rPr>
          <w:rFonts w:ascii="Times New Roman" w:hAnsi="Times New Roman" w:cs="Times New Roman"/>
        </w:rPr>
        <w:t xml:space="preserve">sémiotique </w:t>
      </w:r>
      <w:r w:rsidR="00E763E4">
        <w:rPr>
          <w:rFonts w:ascii="Times New Roman" w:hAnsi="Times New Roman" w:cs="Times New Roman"/>
        </w:rPr>
        <w:t xml:space="preserve">associé aux textes. </w:t>
      </w:r>
    </w:p>
    <w:p w:rsidR="00BE41B7" w:rsidRPr="003C1C72" w:rsidRDefault="00BE41B7" w:rsidP="00E763E4">
      <w:pPr>
        <w:spacing w:line="276" w:lineRule="auto"/>
        <w:jc w:val="both"/>
        <w:rPr>
          <w:rFonts w:ascii="Times New Roman" w:hAnsi="Times New Roman" w:cs="Times New Roman"/>
        </w:rPr>
      </w:pPr>
    </w:p>
    <w:p w:rsidR="003C1C72" w:rsidRDefault="00E763E4" w:rsidP="0094518E">
      <w:pPr>
        <w:spacing w:line="276" w:lineRule="auto"/>
        <w:jc w:val="both"/>
        <w:rPr>
          <w:rFonts w:ascii="Times New Roman" w:hAnsi="Times New Roman" w:cs="Times New Roman"/>
        </w:rPr>
      </w:pPr>
      <w:r>
        <w:rPr>
          <w:rFonts w:ascii="Times New Roman" w:hAnsi="Times New Roman" w:cs="Times New Roman"/>
        </w:rPr>
        <w:t>Toute une partie est consacrée aux</w:t>
      </w:r>
      <w:r w:rsidR="0094518E">
        <w:rPr>
          <w:rFonts w:ascii="Times New Roman" w:hAnsi="Times New Roman" w:cs="Times New Roman"/>
        </w:rPr>
        <w:t xml:space="preserve"> réénonciations</w:t>
      </w:r>
      <w:r>
        <w:rPr>
          <w:rFonts w:ascii="Times New Roman" w:hAnsi="Times New Roman" w:cs="Times New Roman"/>
        </w:rPr>
        <w:t>.</w:t>
      </w:r>
      <w:r w:rsidR="0094518E">
        <w:rPr>
          <w:rFonts w:ascii="Times New Roman" w:hAnsi="Times New Roman" w:cs="Times New Roman"/>
        </w:rPr>
        <w:t xml:space="preserve"> </w:t>
      </w:r>
      <w:r w:rsidR="00886991">
        <w:rPr>
          <w:rFonts w:ascii="Times New Roman" w:hAnsi="Times New Roman" w:cs="Times New Roman"/>
        </w:rPr>
        <w:t>Plus largement,</w:t>
      </w:r>
      <w:r>
        <w:rPr>
          <w:rFonts w:ascii="Times New Roman" w:hAnsi="Times New Roman" w:cs="Times New Roman"/>
        </w:rPr>
        <w:t xml:space="preserve"> je m’intéresse aux modalités</w:t>
      </w:r>
      <w:r w:rsidR="0094518E">
        <w:rPr>
          <w:rFonts w:ascii="Times New Roman" w:hAnsi="Times New Roman" w:cs="Times New Roman"/>
        </w:rPr>
        <w:t xml:space="preserve"> </w:t>
      </w:r>
      <w:r>
        <w:rPr>
          <w:rFonts w:ascii="Times New Roman" w:hAnsi="Times New Roman" w:cs="Times New Roman"/>
        </w:rPr>
        <w:t>d’une</w:t>
      </w:r>
      <w:r w:rsidR="0094518E">
        <w:rPr>
          <w:rFonts w:ascii="Times New Roman" w:hAnsi="Times New Roman" w:cs="Times New Roman"/>
        </w:rPr>
        <w:t xml:space="preserve"> mise en mouvement généralisée que je cible à travers la notion de transénonciation. Cette notion n’entre pas en concurrence avec celle d’énonciation, mais en rehausse certains aspects. </w:t>
      </w:r>
    </w:p>
    <w:p w:rsidR="003C1C72" w:rsidRDefault="003C1C72" w:rsidP="0094518E">
      <w:pPr>
        <w:spacing w:line="276" w:lineRule="auto"/>
        <w:jc w:val="both"/>
        <w:rPr>
          <w:rFonts w:ascii="Times New Roman" w:hAnsi="Times New Roman" w:cs="Times New Roman"/>
        </w:rPr>
      </w:pPr>
    </w:p>
    <w:p w:rsidR="00886991" w:rsidRDefault="00886991" w:rsidP="0094518E">
      <w:pPr>
        <w:spacing w:line="276" w:lineRule="auto"/>
        <w:jc w:val="both"/>
        <w:rPr>
          <w:rFonts w:ascii="Times New Roman" w:hAnsi="Times New Roman" w:cs="Times New Roman"/>
        </w:rPr>
      </w:pPr>
      <w:r>
        <w:rPr>
          <w:rFonts w:ascii="Times New Roman" w:hAnsi="Times New Roman" w:cs="Times New Roman"/>
        </w:rPr>
        <w:t>Ainsi, en ouverture, j</w:t>
      </w:r>
      <w:r w:rsidR="00160BA1">
        <w:rPr>
          <w:rFonts w:ascii="Times New Roman" w:hAnsi="Times New Roman" w:cs="Times New Roman"/>
        </w:rPr>
        <w:t xml:space="preserve">e cherche à renouveler la question </w:t>
      </w:r>
      <w:r>
        <w:rPr>
          <w:rFonts w:ascii="Times New Roman" w:hAnsi="Times New Roman" w:cs="Times New Roman"/>
        </w:rPr>
        <w:t xml:space="preserve">bien étudiée </w:t>
      </w:r>
      <w:r w:rsidR="00160BA1">
        <w:rPr>
          <w:rFonts w:ascii="Times New Roman" w:hAnsi="Times New Roman" w:cs="Times New Roman"/>
        </w:rPr>
        <w:t>de</w:t>
      </w:r>
      <w:r w:rsidR="001E4CD6" w:rsidRPr="003C1C72">
        <w:rPr>
          <w:rFonts w:ascii="Times New Roman" w:hAnsi="Times New Roman" w:cs="Times New Roman"/>
        </w:rPr>
        <w:t xml:space="preserve">s marques </w:t>
      </w:r>
      <w:r>
        <w:rPr>
          <w:rFonts w:ascii="Times New Roman" w:hAnsi="Times New Roman" w:cs="Times New Roman"/>
        </w:rPr>
        <w:t>textuelles en l’approchant sous l’angle de l’expressivité et de la saillance et en développant une réflexion sur les traces.</w:t>
      </w:r>
    </w:p>
    <w:p w:rsidR="00886991" w:rsidRDefault="00886991" w:rsidP="0094518E">
      <w:pPr>
        <w:spacing w:line="276" w:lineRule="auto"/>
        <w:jc w:val="both"/>
        <w:rPr>
          <w:rFonts w:ascii="Times New Roman" w:hAnsi="Times New Roman" w:cs="Times New Roman"/>
        </w:rPr>
      </w:pPr>
    </w:p>
    <w:p w:rsidR="00886991" w:rsidRDefault="00886991" w:rsidP="00886991">
      <w:pPr>
        <w:spacing w:line="276" w:lineRule="auto"/>
        <w:jc w:val="both"/>
        <w:rPr>
          <w:rFonts w:ascii="Times New Roman" w:hAnsi="Times New Roman" w:cs="Times New Roman"/>
        </w:rPr>
      </w:pPr>
      <w:r>
        <w:rPr>
          <w:rFonts w:ascii="Times New Roman" w:hAnsi="Times New Roman" w:cs="Times New Roman"/>
        </w:rPr>
        <w:lastRenderedPageBreak/>
        <w:t xml:space="preserve">Ou encore, je m’attarde sur une typologie possible des instances d’énonciation, en questionnant la notion de déicticité ou de centre déictique sur de nouveaux frais (au profit d’une déicticité diffuse, mais aussi d’actants collectifs plus ou moins anonymes). </w:t>
      </w:r>
    </w:p>
    <w:p w:rsidR="00886991" w:rsidRDefault="00886991" w:rsidP="0094518E">
      <w:pPr>
        <w:spacing w:line="276" w:lineRule="auto"/>
        <w:jc w:val="both"/>
        <w:rPr>
          <w:rFonts w:ascii="Times New Roman" w:hAnsi="Times New Roman" w:cs="Times New Roman"/>
        </w:rPr>
      </w:pPr>
    </w:p>
    <w:p w:rsidR="009C1875" w:rsidRDefault="00886991" w:rsidP="0094518E">
      <w:pPr>
        <w:spacing w:line="276" w:lineRule="auto"/>
        <w:jc w:val="both"/>
        <w:rPr>
          <w:rFonts w:ascii="Times New Roman" w:hAnsi="Times New Roman" w:cs="Times New Roman"/>
        </w:rPr>
      </w:pPr>
      <w:r>
        <w:rPr>
          <w:rFonts w:ascii="Times New Roman" w:hAnsi="Times New Roman" w:cs="Times New Roman"/>
        </w:rPr>
        <w:t>J’</w:t>
      </w:r>
      <w:r w:rsidR="0094518E">
        <w:rPr>
          <w:rFonts w:ascii="Times New Roman" w:hAnsi="Times New Roman" w:cs="Times New Roman"/>
        </w:rPr>
        <w:t xml:space="preserve">aborde </w:t>
      </w:r>
      <w:r>
        <w:rPr>
          <w:rFonts w:ascii="Times New Roman" w:hAnsi="Times New Roman" w:cs="Times New Roman"/>
        </w:rPr>
        <w:t xml:space="preserve">également </w:t>
      </w:r>
      <w:r w:rsidR="0094518E">
        <w:rPr>
          <w:rFonts w:ascii="Times New Roman" w:hAnsi="Times New Roman" w:cs="Times New Roman"/>
        </w:rPr>
        <w:t>l</w:t>
      </w:r>
      <w:r>
        <w:rPr>
          <w:rFonts w:ascii="Times New Roman" w:hAnsi="Times New Roman" w:cs="Times New Roman"/>
        </w:rPr>
        <w:t>e processus sémiotique de la</w:t>
      </w:r>
      <w:r w:rsidR="0094518E">
        <w:rPr>
          <w:rFonts w:ascii="Times New Roman" w:hAnsi="Times New Roman" w:cs="Times New Roman"/>
        </w:rPr>
        <w:t xml:space="preserve"> textualisation dans une </w:t>
      </w:r>
      <w:r w:rsidR="0094518E" w:rsidRPr="003C1C72">
        <w:rPr>
          <w:rFonts w:ascii="Times New Roman" w:hAnsi="Times New Roman" w:cs="Times New Roman"/>
        </w:rPr>
        <w:t>perspective dynamiciste</w:t>
      </w:r>
      <w:r w:rsidR="0094518E">
        <w:rPr>
          <w:rFonts w:ascii="Times New Roman" w:hAnsi="Times New Roman" w:cs="Times New Roman"/>
        </w:rPr>
        <w:t xml:space="preserve"> (profilages, anticipations, évocations, validations, etc.), en montrant en quoi </w:t>
      </w:r>
      <w:r>
        <w:rPr>
          <w:rFonts w:ascii="Times New Roman" w:hAnsi="Times New Roman" w:cs="Times New Roman"/>
        </w:rPr>
        <w:t xml:space="preserve">la textualisation </w:t>
      </w:r>
      <w:r w:rsidR="0094518E">
        <w:rPr>
          <w:rFonts w:ascii="Times New Roman" w:hAnsi="Times New Roman" w:cs="Times New Roman"/>
        </w:rPr>
        <w:t xml:space="preserve">manifeste des choix énonciatifs opérés à opérés à différents niveaux de pertinence (par exemple, l’environnement, les médias, les formats, le support…). </w:t>
      </w:r>
      <w:r>
        <w:rPr>
          <w:rFonts w:ascii="Times New Roman" w:hAnsi="Times New Roman" w:cs="Times New Roman"/>
        </w:rPr>
        <w:t>Je</w:t>
      </w:r>
      <w:r w:rsidR="009C1875">
        <w:rPr>
          <w:rFonts w:ascii="Times New Roman" w:hAnsi="Times New Roman" w:cs="Times New Roman"/>
        </w:rPr>
        <w:t xml:space="preserve"> défends l’idée que le processus est porté, en profondeur, par </w:t>
      </w:r>
      <w:r>
        <w:rPr>
          <w:rFonts w:ascii="Times New Roman" w:hAnsi="Times New Roman" w:cs="Times New Roman"/>
        </w:rPr>
        <w:t xml:space="preserve">le flux du sens, </w:t>
      </w:r>
      <w:r w:rsidR="009C1875" w:rsidRPr="003C1C72">
        <w:rPr>
          <w:rFonts w:ascii="Times New Roman" w:hAnsi="Times New Roman" w:cs="Times New Roman"/>
        </w:rPr>
        <w:t>des forces souterraines convergentes et divergentes (métamodulations)</w:t>
      </w:r>
      <w:r w:rsidR="009C1875">
        <w:rPr>
          <w:rFonts w:ascii="Times New Roman" w:hAnsi="Times New Roman" w:cs="Times New Roman"/>
        </w:rPr>
        <w:t xml:space="preserve">, ainsi que par des modalités d’altération, avant qu’une instance d’énonciation </w:t>
      </w:r>
      <w:r w:rsidR="0094518E">
        <w:rPr>
          <w:rFonts w:ascii="Times New Roman" w:hAnsi="Times New Roman" w:cs="Times New Roman"/>
        </w:rPr>
        <w:t xml:space="preserve">ne </w:t>
      </w:r>
      <w:r w:rsidR="009C1875">
        <w:rPr>
          <w:rFonts w:ascii="Times New Roman" w:hAnsi="Times New Roman" w:cs="Times New Roman"/>
        </w:rPr>
        <w:t>pou</w:t>
      </w:r>
      <w:r w:rsidR="0094518E">
        <w:rPr>
          <w:rFonts w:ascii="Times New Roman" w:hAnsi="Times New Roman" w:cs="Times New Roman"/>
        </w:rPr>
        <w:t>r</w:t>
      </w:r>
      <w:r w:rsidR="009C1875">
        <w:rPr>
          <w:rFonts w:ascii="Times New Roman" w:hAnsi="Times New Roman" w:cs="Times New Roman"/>
        </w:rPr>
        <w:t xml:space="preserve">voie l’objet de sens textuel d’un mode d’existence. </w:t>
      </w:r>
    </w:p>
    <w:p w:rsidR="009C1875" w:rsidRDefault="009C1875" w:rsidP="0094518E">
      <w:pPr>
        <w:spacing w:line="276" w:lineRule="auto"/>
        <w:jc w:val="both"/>
        <w:rPr>
          <w:rFonts w:ascii="Times New Roman" w:hAnsi="Times New Roman" w:cs="Times New Roman"/>
        </w:rPr>
      </w:pPr>
    </w:p>
    <w:p w:rsidR="0094518E" w:rsidRPr="003C1C72" w:rsidRDefault="0094518E" w:rsidP="0094518E">
      <w:pPr>
        <w:spacing w:line="276" w:lineRule="auto"/>
        <w:jc w:val="both"/>
        <w:rPr>
          <w:rFonts w:ascii="Times New Roman" w:hAnsi="Times New Roman" w:cs="Times New Roman"/>
        </w:rPr>
      </w:pPr>
      <w:r w:rsidRPr="003C1C72">
        <w:rPr>
          <w:rFonts w:ascii="Times New Roman" w:hAnsi="Times New Roman" w:cs="Times New Roman"/>
        </w:rPr>
        <w:t xml:space="preserve">Enfin, tout au long de l’ouvrage, </w:t>
      </w:r>
      <w:r w:rsidR="007B59D6">
        <w:rPr>
          <w:rFonts w:ascii="Times New Roman" w:hAnsi="Times New Roman" w:cs="Times New Roman"/>
        </w:rPr>
        <w:t>je mets</w:t>
      </w:r>
      <w:r w:rsidRPr="003C1C72">
        <w:rPr>
          <w:rFonts w:ascii="Times New Roman" w:hAnsi="Times New Roman" w:cs="Times New Roman"/>
        </w:rPr>
        <w:t xml:space="preserve"> les hypothèses à l’épreuve </w:t>
      </w:r>
      <w:r w:rsidR="007B59D6">
        <w:rPr>
          <w:rFonts w:ascii="Times New Roman" w:hAnsi="Times New Roman" w:cs="Times New Roman"/>
        </w:rPr>
        <w:t>d’</w:t>
      </w:r>
      <w:r w:rsidRPr="003C1C72">
        <w:rPr>
          <w:rFonts w:ascii="Times New Roman" w:hAnsi="Times New Roman" w:cs="Times New Roman"/>
        </w:rPr>
        <w:t>études de cas</w:t>
      </w:r>
      <w:r w:rsidR="00886991">
        <w:rPr>
          <w:rFonts w:ascii="Times New Roman" w:hAnsi="Times New Roman" w:cs="Times New Roman"/>
        </w:rPr>
        <w:t xml:space="preserve"> : </w:t>
      </w:r>
      <w:r w:rsidRPr="003C1C72">
        <w:rPr>
          <w:rFonts w:ascii="Times New Roman" w:hAnsi="Times New Roman" w:cs="Times New Roman"/>
        </w:rPr>
        <w:t>textes littéraires</w:t>
      </w:r>
      <w:r>
        <w:rPr>
          <w:rFonts w:ascii="Times New Roman" w:hAnsi="Times New Roman" w:cs="Times New Roman"/>
        </w:rPr>
        <w:t xml:space="preserve"> (Yann Andréa, Michel Butor)</w:t>
      </w:r>
      <w:r w:rsidRPr="003C1C72">
        <w:rPr>
          <w:rFonts w:ascii="Times New Roman" w:hAnsi="Times New Roman" w:cs="Times New Roman"/>
        </w:rPr>
        <w:t>, énoncés syncrétiques</w:t>
      </w:r>
      <w:r>
        <w:rPr>
          <w:rFonts w:ascii="Times New Roman" w:hAnsi="Times New Roman" w:cs="Times New Roman"/>
        </w:rPr>
        <w:t xml:space="preserve"> (Annie Ernaux, Marc Marie)</w:t>
      </w:r>
      <w:r w:rsidRPr="003C1C72">
        <w:rPr>
          <w:rFonts w:ascii="Times New Roman" w:hAnsi="Times New Roman" w:cs="Times New Roman"/>
        </w:rPr>
        <w:t>, tableaux et collages</w:t>
      </w:r>
      <w:r>
        <w:rPr>
          <w:rFonts w:ascii="Times New Roman" w:hAnsi="Times New Roman" w:cs="Times New Roman"/>
        </w:rPr>
        <w:t xml:space="preserve"> (Paul Klee, Andy Warhol, Elaine Sturtevant, Cy Twombly)</w:t>
      </w:r>
      <w:r w:rsidRPr="003C1C72">
        <w:rPr>
          <w:rFonts w:ascii="Times New Roman" w:hAnsi="Times New Roman" w:cs="Times New Roman"/>
        </w:rPr>
        <w:t>, photographies</w:t>
      </w:r>
      <w:r>
        <w:rPr>
          <w:rFonts w:ascii="Times New Roman" w:hAnsi="Times New Roman" w:cs="Times New Roman"/>
        </w:rPr>
        <w:t xml:space="preserve"> (Edward Steichen, Jeff Wall)</w:t>
      </w:r>
      <w:r w:rsidRPr="003C1C72">
        <w:rPr>
          <w:rFonts w:ascii="Times New Roman" w:hAnsi="Times New Roman" w:cs="Times New Roman"/>
        </w:rPr>
        <w:t>, œuvres nanoartistiques</w:t>
      </w:r>
      <w:r>
        <w:rPr>
          <w:rFonts w:ascii="Times New Roman" w:hAnsi="Times New Roman" w:cs="Times New Roman"/>
        </w:rPr>
        <w:t xml:space="preserve"> (Susumu Nishinaga),</w:t>
      </w:r>
      <w:r w:rsidRPr="003C1C72">
        <w:rPr>
          <w:rFonts w:ascii="Times New Roman" w:hAnsi="Times New Roman" w:cs="Times New Roman"/>
        </w:rPr>
        <w:t xml:space="preserve"> un vidéoclip </w:t>
      </w:r>
      <w:r>
        <w:rPr>
          <w:rFonts w:ascii="Times New Roman" w:hAnsi="Times New Roman" w:cs="Times New Roman"/>
        </w:rPr>
        <w:t>(Stefano Tasgliafierro) o</w:t>
      </w:r>
      <w:r w:rsidRPr="003C1C72">
        <w:rPr>
          <w:rFonts w:ascii="Times New Roman" w:hAnsi="Times New Roman" w:cs="Times New Roman"/>
        </w:rPr>
        <w:t>u encore des écrits littéraires sur papier imitant les stratégies de l’hypertextualité</w:t>
      </w:r>
      <w:r>
        <w:rPr>
          <w:rFonts w:ascii="Times New Roman" w:hAnsi="Times New Roman" w:cs="Times New Roman"/>
        </w:rPr>
        <w:t xml:space="preserve"> (Eric Sadin)</w:t>
      </w:r>
      <w:r w:rsidRPr="003C1C72">
        <w:rPr>
          <w:rFonts w:ascii="Times New Roman" w:hAnsi="Times New Roman" w:cs="Times New Roman"/>
        </w:rPr>
        <w:t xml:space="preserve">). </w:t>
      </w:r>
    </w:p>
    <w:p w:rsidR="009C1875" w:rsidRDefault="009C1875" w:rsidP="0094518E">
      <w:pPr>
        <w:spacing w:line="276" w:lineRule="auto"/>
        <w:jc w:val="both"/>
        <w:rPr>
          <w:rFonts w:ascii="Times New Roman" w:hAnsi="Times New Roman" w:cs="Times New Roman"/>
        </w:rPr>
      </w:pPr>
    </w:p>
    <w:p w:rsidR="009C1875" w:rsidRDefault="009C1875" w:rsidP="0094518E">
      <w:pPr>
        <w:spacing w:line="276" w:lineRule="auto"/>
        <w:jc w:val="both"/>
        <w:rPr>
          <w:rFonts w:ascii="Times New Roman" w:hAnsi="Times New Roman" w:cs="Times New Roman"/>
        </w:rPr>
      </w:pPr>
    </w:p>
    <w:p w:rsidR="00160BA1" w:rsidRDefault="00160BA1" w:rsidP="0094518E">
      <w:pPr>
        <w:spacing w:line="276" w:lineRule="auto"/>
        <w:jc w:val="both"/>
        <w:rPr>
          <w:rFonts w:ascii="Times New Roman" w:hAnsi="Times New Roman" w:cs="Times New Roman"/>
        </w:rPr>
      </w:pPr>
    </w:p>
    <w:p w:rsidR="0094518E" w:rsidRDefault="0094518E" w:rsidP="0094518E">
      <w:pPr>
        <w:spacing w:line="276" w:lineRule="auto"/>
        <w:jc w:val="both"/>
        <w:rPr>
          <w:rFonts w:ascii="Times New Roman" w:hAnsi="Times New Roman" w:cs="Times New Roman"/>
        </w:rPr>
      </w:pPr>
    </w:p>
    <w:p w:rsidR="0094518E" w:rsidRDefault="0094518E" w:rsidP="0094518E">
      <w:pPr>
        <w:spacing w:line="276" w:lineRule="auto"/>
        <w:jc w:val="both"/>
        <w:rPr>
          <w:rFonts w:ascii="Times New Roman" w:hAnsi="Times New Roman" w:cs="Times New Roman"/>
        </w:rPr>
      </w:pPr>
    </w:p>
    <w:p w:rsidR="0094518E" w:rsidRDefault="0094518E" w:rsidP="0094518E">
      <w:pPr>
        <w:spacing w:line="276" w:lineRule="auto"/>
        <w:jc w:val="both"/>
        <w:rPr>
          <w:rFonts w:ascii="Times New Roman" w:hAnsi="Times New Roman" w:cs="Times New Roman"/>
        </w:rPr>
      </w:pPr>
    </w:p>
    <w:p w:rsidR="0094518E" w:rsidRDefault="0094518E">
      <w:pPr>
        <w:rPr>
          <w:rFonts w:ascii="Times New Roman" w:hAnsi="Times New Roman" w:cs="Times New Roman"/>
        </w:rPr>
      </w:pPr>
    </w:p>
    <w:p w:rsidR="0094518E" w:rsidRDefault="0094518E">
      <w:pPr>
        <w:rPr>
          <w:rFonts w:ascii="Times New Roman" w:hAnsi="Times New Roman" w:cs="Times New Roman"/>
        </w:rPr>
      </w:pPr>
    </w:p>
    <w:p w:rsidR="0094518E" w:rsidRDefault="0094518E">
      <w:pPr>
        <w:rPr>
          <w:rFonts w:ascii="Times New Roman" w:hAnsi="Times New Roman" w:cs="Times New Roman"/>
        </w:rPr>
      </w:pPr>
    </w:p>
    <w:p w:rsidR="0094518E" w:rsidRDefault="0094518E">
      <w:pPr>
        <w:rPr>
          <w:rFonts w:ascii="Times New Roman" w:hAnsi="Times New Roman" w:cs="Times New Roman"/>
        </w:rPr>
      </w:pPr>
    </w:p>
    <w:p w:rsidR="0094518E" w:rsidRDefault="0094518E">
      <w:pPr>
        <w:rPr>
          <w:rFonts w:ascii="Times New Roman" w:hAnsi="Times New Roman" w:cs="Times New Roman"/>
        </w:rPr>
      </w:pPr>
    </w:p>
    <w:p w:rsidR="0094518E" w:rsidRDefault="0094518E">
      <w:pPr>
        <w:rPr>
          <w:rFonts w:ascii="Times New Roman" w:hAnsi="Times New Roman" w:cs="Times New Roman"/>
        </w:rPr>
      </w:pPr>
    </w:p>
    <w:p w:rsidR="0094518E" w:rsidRDefault="0094518E">
      <w:pPr>
        <w:rPr>
          <w:rFonts w:ascii="Times New Roman" w:hAnsi="Times New Roman" w:cs="Times New Roman"/>
        </w:rPr>
      </w:pPr>
    </w:p>
    <w:p w:rsidR="0094518E" w:rsidRDefault="0094518E">
      <w:pPr>
        <w:rPr>
          <w:rFonts w:ascii="Times New Roman" w:hAnsi="Times New Roman" w:cs="Times New Roman"/>
        </w:rPr>
      </w:pPr>
    </w:p>
    <w:p w:rsidR="0094518E" w:rsidRDefault="0094518E">
      <w:pPr>
        <w:rPr>
          <w:rFonts w:ascii="Times New Roman" w:hAnsi="Times New Roman" w:cs="Times New Roman"/>
        </w:rPr>
      </w:pPr>
    </w:p>
    <w:p w:rsidR="0094518E" w:rsidRDefault="0094518E">
      <w:pPr>
        <w:rPr>
          <w:rFonts w:ascii="Times New Roman" w:hAnsi="Times New Roman" w:cs="Times New Roman"/>
        </w:rPr>
      </w:pPr>
    </w:p>
    <w:p w:rsidR="00B0479C" w:rsidRDefault="00B0479C">
      <w:pPr>
        <w:rPr>
          <w:rFonts w:ascii="Times New Roman" w:hAnsi="Times New Roman" w:cs="Times New Roman"/>
        </w:rPr>
      </w:pPr>
    </w:p>
    <w:p w:rsidR="00B0479C" w:rsidRDefault="00B0479C">
      <w:pPr>
        <w:rPr>
          <w:rFonts w:ascii="Times New Roman" w:hAnsi="Times New Roman" w:cs="Times New Roman"/>
        </w:rPr>
      </w:pPr>
    </w:p>
    <w:p w:rsidR="00B0479C" w:rsidRDefault="00B0479C">
      <w:pPr>
        <w:rPr>
          <w:rFonts w:ascii="Times New Roman" w:hAnsi="Times New Roman" w:cs="Times New Roman"/>
        </w:rPr>
      </w:pPr>
    </w:p>
    <w:p w:rsidR="00B0479C" w:rsidRDefault="00B0479C">
      <w:pPr>
        <w:rPr>
          <w:rFonts w:ascii="Times New Roman" w:hAnsi="Times New Roman" w:cs="Times New Roman"/>
        </w:rPr>
      </w:pPr>
    </w:p>
    <w:p w:rsidR="00B0479C" w:rsidRDefault="00B0479C">
      <w:pPr>
        <w:rPr>
          <w:rFonts w:ascii="Times New Roman" w:hAnsi="Times New Roman" w:cs="Times New Roman"/>
        </w:rPr>
      </w:pPr>
    </w:p>
    <w:p w:rsidR="00B0479C" w:rsidRDefault="00B0479C">
      <w:pPr>
        <w:rPr>
          <w:rFonts w:ascii="Times New Roman" w:hAnsi="Times New Roman" w:cs="Times New Roman"/>
        </w:rPr>
      </w:pPr>
    </w:p>
    <w:p w:rsidR="00B0479C" w:rsidRDefault="00B0479C">
      <w:pPr>
        <w:rPr>
          <w:rFonts w:ascii="Times New Roman" w:hAnsi="Times New Roman" w:cs="Times New Roman"/>
        </w:rPr>
      </w:pPr>
    </w:p>
    <w:p w:rsidR="00B0479C" w:rsidRDefault="00B0479C">
      <w:pPr>
        <w:rPr>
          <w:rFonts w:ascii="Times New Roman" w:hAnsi="Times New Roman" w:cs="Times New Roman"/>
        </w:rPr>
      </w:pPr>
    </w:p>
    <w:p w:rsidR="00B0479C" w:rsidRDefault="00B0479C">
      <w:pPr>
        <w:rPr>
          <w:rFonts w:ascii="Times New Roman" w:hAnsi="Times New Roman" w:cs="Times New Roman"/>
        </w:rPr>
      </w:pPr>
    </w:p>
    <w:p w:rsidR="00B0479C" w:rsidRDefault="00B0479C">
      <w:pPr>
        <w:rPr>
          <w:rFonts w:ascii="Times New Roman" w:hAnsi="Times New Roman" w:cs="Times New Roman"/>
        </w:rPr>
      </w:pPr>
    </w:p>
    <w:p w:rsidR="00B0479C" w:rsidRDefault="00B0479C">
      <w:pPr>
        <w:rPr>
          <w:rFonts w:ascii="Times New Roman" w:hAnsi="Times New Roman" w:cs="Times New Roman"/>
        </w:rPr>
      </w:pPr>
    </w:p>
    <w:p w:rsidR="00B0479C" w:rsidRDefault="00B0479C">
      <w:pPr>
        <w:rPr>
          <w:rFonts w:ascii="Times New Roman" w:hAnsi="Times New Roman" w:cs="Times New Roman"/>
        </w:rPr>
      </w:pPr>
    </w:p>
    <w:p w:rsidR="00B0479C" w:rsidRDefault="00B0479C">
      <w:pPr>
        <w:rPr>
          <w:rFonts w:ascii="Times New Roman" w:hAnsi="Times New Roman" w:cs="Times New Roman"/>
        </w:rPr>
      </w:pPr>
    </w:p>
    <w:p w:rsidR="00B0479C" w:rsidRDefault="00B0479C">
      <w:pPr>
        <w:rPr>
          <w:rFonts w:ascii="Times New Roman" w:hAnsi="Times New Roman" w:cs="Times New Roman"/>
        </w:rPr>
      </w:pPr>
    </w:p>
    <w:p w:rsidR="00B0479C" w:rsidRDefault="00B0479C">
      <w:pPr>
        <w:rPr>
          <w:rFonts w:ascii="Times New Roman" w:hAnsi="Times New Roman" w:cs="Times New Roman"/>
        </w:rPr>
      </w:pPr>
    </w:p>
    <w:p w:rsidR="00B0479C" w:rsidRDefault="00B0479C">
      <w:pPr>
        <w:rPr>
          <w:rFonts w:ascii="Times New Roman" w:hAnsi="Times New Roman" w:cs="Times New Roman"/>
        </w:rPr>
      </w:pPr>
    </w:p>
    <w:p w:rsidR="00B0479C" w:rsidRDefault="00B0479C">
      <w:pPr>
        <w:rPr>
          <w:rFonts w:ascii="Times New Roman" w:hAnsi="Times New Roman" w:cs="Times New Roman"/>
        </w:rPr>
      </w:pPr>
    </w:p>
    <w:p w:rsidR="00B0479C" w:rsidRDefault="00B0479C">
      <w:pPr>
        <w:rPr>
          <w:rFonts w:ascii="Times New Roman" w:hAnsi="Times New Roman" w:cs="Times New Roman"/>
        </w:rPr>
      </w:pPr>
    </w:p>
    <w:p w:rsidR="00B0479C" w:rsidRDefault="00B0479C">
      <w:pPr>
        <w:rPr>
          <w:rFonts w:ascii="Times New Roman" w:hAnsi="Times New Roman" w:cs="Times New Roman"/>
        </w:rPr>
      </w:pPr>
    </w:p>
    <w:p w:rsidR="00B0479C" w:rsidRDefault="00B0479C">
      <w:pPr>
        <w:rPr>
          <w:rFonts w:ascii="Times New Roman" w:hAnsi="Times New Roman" w:cs="Times New Roman"/>
        </w:rPr>
      </w:pPr>
    </w:p>
    <w:p w:rsidR="00B0479C" w:rsidRDefault="00B0479C">
      <w:pPr>
        <w:rPr>
          <w:rFonts w:ascii="Times New Roman" w:hAnsi="Times New Roman" w:cs="Times New Roman"/>
        </w:rPr>
      </w:pPr>
    </w:p>
    <w:p w:rsidR="00B0479C" w:rsidRDefault="00B0479C">
      <w:pPr>
        <w:rPr>
          <w:rFonts w:ascii="Times New Roman" w:hAnsi="Times New Roman" w:cs="Times New Roman"/>
        </w:rPr>
      </w:pPr>
    </w:p>
    <w:p w:rsidR="00B0479C" w:rsidRDefault="00B0479C">
      <w:pPr>
        <w:rPr>
          <w:rFonts w:ascii="Times New Roman" w:hAnsi="Times New Roman" w:cs="Times New Roman"/>
        </w:rPr>
      </w:pPr>
    </w:p>
    <w:p w:rsidR="00B0479C" w:rsidRDefault="00B0479C">
      <w:pPr>
        <w:rPr>
          <w:rFonts w:ascii="Times New Roman" w:hAnsi="Times New Roman" w:cs="Times New Roman"/>
        </w:rPr>
      </w:pPr>
    </w:p>
    <w:p w:rsidR="00B0479C" w:rsidRDefault="00B0479C">
      <w:pPr>
        <w:rPr>
          <w:rFonts w:ascii="Times New Roman" w:hAnsi="Times New Roman" w:cs="Times New Roman"/>
        </w:rPr>
      </w:pPr>
    </w:p>
    <w:p w:rsidR="00B0479C" w:rsidRDefault="00B0479C">
      <w:pPr>
        <w:rPr>
          <w:rFonts w:ascii="Times New Roman" w:hAnsi="Times New Roman" w:cs="Times New Roman"/>
        </w:rPr>
      </w:pPr>
    </w:p>
    <w:p w:rsidR="00B0479C" w:rsidRDefault="00B0479C">
      <w:pPr>
        <w:rPr>
          <w:rFonts w:ascii="Times New Roman" w:hAnsi="Times New Roman" w:cs="Times New Roman"/>
        </w:rPr>
      </w:pPr>
    </w:p>
    <w:p w:rsidR="00B0479C" w:rsidRDefault="00B0479C">
      <w:pPr>
        <w:rPr>
          <w:rFonts w:ascii="Times New Roman" w:hAnsi="Times New Roman" w:cs="Times New Roman"/>
        </w:rPr>
      </w:pPr>
    </w:p>
    <w:p w:rsidR="00B0479C" w:rsidRDefault="00B0479C">
      <w:pPr>
        <w:rPr>
          <w:rFonts w:ascii="Times New Roman" w:hAnsi="Times New Roman" w:cs="Times New Roman"/>
        </w:rPr>
      </w:pPr>
    </w:p>
    <w:p w:rsidR="00B0479C" w:rsidRDefault="00B0479C">
      <w:pPr>
        <w:rPr>
          <w:rFonts w:ascii="Times New Roman" w:hAnsi="Times New Roman" w:cs="Times New Roman"/>
        </w:rPr>
      </w:pPr>
    </w:p>
    <w:p w:rsidR="00B0479C" w:rsidRDefault="00B0479C">
      <w:pPr>
        <w:rPr>
          <w:rFonts w:ascii="Times New Roman" w:hAnsi="Times New Roman" w:cs="Times New Roman"/>
        </w:rPr>
      </w:pPr>
    </w:p>
    <w:p w:rsidR="001E4CD6" w:rsidRPr="003C1C72" w:rsidRDefault="00160BA1">
      <w:pPr>
        <w:rPr>
          <w:rFonts w:ascii="Times New Roman" w:hAnsi="Times New Roman" w:cs="Times New Roman"/>
          <w:i/>
        </w:rPr>
      </w:pPr>
      <w:r>
        <w:rPr>
          <w:rFonts w:ascii="Times New Roman" w:hAnsi="Times New Roman" w:cs="Times New Roman"/>
        </w:rPr>
        <w:t>Le cadre étant tracé, j’essaye de contribuer au développement de la notion : en renouvelant la question de la marque et la trace approchées sous l’angle de l’expressivité et de la saillance. En mettant l’accent sur le texte et ses réécrltiures, en particulieur sur</w:t>
      </w:r>
      <w:r w:rsidR="00A90CB0" w:rsidRPr="003C1C72">
        <w:rPr>
          <w:rFonts w:ascii="Times New Roman" w:hAnsi="Times New Roman" w:cs="Times New Roman"/>
        </w:rPr>
        <w:t xml:space="preserve"> textualisation </w:t>
      </w:r>
      <w:r w:rsidR="001E4CD6" w:rsidRPr="003C1C72">
        <w:rPr>
          <w:rFonts w:ascii="Times New Roman" w:hAnsi="Times New Roman" w:cs="Times New Roman"/>
        </w:rPr>
        <w:t>dans une perspective dynamiciste</w:t>
      </w:r>
      <w:r w:rsidR="003C1C72">
        <w:rPr>
          <w:rFonts w:ascii="Times New Roman" w:hAnsi="Times New Roman" w:cs="Times New Roman"/>
        </w:rPr>
        <w:t xml:space="preserve"> (profilages, anticipations, évocations, validations, etc.)</w:t>
      </w:r>
      <w:r>
        <w:rPr>
          <w:rFonts w:ascii="Times New Roman" w:hAnsi="Times New Roman" w:cs="Times New Roman"/>
        </w:rPr>
        <w:t xml:space="preserve">, </w:t>
      </w:r>
      <w:r w:rsidR="003C1C72">
        <w:rPr>
          <w:rFonts w:ascii="Times New Roman" w:hAnsi="Times New Roman" w:cs="Times New Roman"/>
        </w:rPr>
        <w:t xml:space="preserve">tout en </w:t>
      </w:r>
      <w:r>
        <w:rPr>
          <w:rFonts w:ascii="Times New Roman" w:hAnsi="Times New Roman" w:cs="Times New Roman"/>
        </w:rPr>
        <w:t xml:space="preserve">montrant que le texte manifeste des choix énonciatifs opérés à différents niveaux de pertinence (par exemple, l’environnement, les médias, les formats, le support…). D’une part, j’essaye de mpmtrer comment le texte est pourvu d’un mde d’existence à travers la textuaisation conçue acomme une renocntre avec une instance d’énonciaiton. D’autre part, la dynymique de la textualisation est portée, en profondeur, </w:t>
      </w:r>
      <w:r w:rsidR="001E4CD6" w:rsidRPr="003C1C72">
        <w:rPr>
          <w:rFonts w:ascii="Times New Roman" w:hAnsi="Times New Roman" w:cs="Times New Roman"/>
        </w:rPr>
        <w:t>par des forces souterraines convergentes et divergentes (</w:t>
      </w:r>
      <w:r w:rsidR="003C1C72" w:rsidRPr="003C1C72">
        <w:rPr>
          <w:rFonts w:ascii="Times New Roman" w:hAnsi="Times New Roman" w:cs="Times New Roman"/>
        </w:rPr>
        <w:t>méta</w:t>
      </w:r>
      <w:r w:rsidR="001E4CD6" w:rsidRPr="003C1C72">
        <w:rPr>
          <w:rFonts w:ascii="Times New Roman" w:hAnsi="Times New Roman" w:cs="Times New Roman"/>
        </w:rPr>
        <w:t xml:space="preserve">modulations). </w:t>
      </w:r>
      <w:r w:rsidR="00A90CB0" w:rsidRPr="003C1C72">
        <w:rPr>
          <w:rFonts w:ascii="Times New Roman" w:hAnsi="Times New Roman" w:cs="Times New Roman"/>
          <w:i/>
        </w:rPr>
        <w:t>Je me suis deman</w:t>
      </w:r>
      <w:r w:rsidR="009A6818" w:rsidRPr="003C1C72">
        <w:rPr>
          <w:rFonts w:ascii="Times New Roman" w:hAnsi="Times New Roman" w:cs="Times New Roman"/>
          <w:i/>
        </w:rPr>
        <w:t>d</w:t>
      </w:r>
      <w:r w:rsidR="00A90CB0" w:rsidRPr="003C1C72">
        <w:rPr>
          <w:rFonts w:ascii="Times New Roman" w:hAnsi="Times New Roman" w:cs="Times New Roman"/>
          <w:i/>
        </w:rPr>
        <w:t>é en quoi l’énonciation peut elle-mêm</w:t>
      </w:r>
      <w:r w:rsidR="009A6818" w:rsidRPr="003C1C72">
        <w:rPr>
          <w:rFonts w:ascii="Times New Roman" w:hAnsi="Times New Roman" w:cs="Times New Roman"/>
          <w:i/>
        </w:rPr>
        <w:t>e</w:t>
      </w:r>
      <w:r w:rsidR="00A90CB0" w:rsidRPr="003C1C72">
        <w:rPr>
          <w:rFonts w:ascii="Times New Roman" w:hAnsi="Times New Roman" w:cs="Times New Roman"/>
          <w:i/>
        </w:rPr>
        <w:t xml:space="preserve"> être considérée comme une pratique. </w:t>
      </w:r>
    </w:p>
    <w:p w:rsidR="001E4CD6" w:rsidRPr="003C1C72" w:rsidRDefault="001E4CD6">
      <w:pPr>
        <w:rPr>
          <w:rFonts w:ascii="Times New Roman" w:hAnsi="Times New Roman" w:cs="Times New Roman"/>
          <w:i/>
        </w:rPr>
      </w:pPr>
    </w:p>
    <w:p w:rsidR="008A77B9" w:rsidRPr="003C1C72" w:rsidRDefault="003C1C72">
      <w:pPr>
        <w:rPr>
          <w:rFonts w:ascii="Times New Roman" w:hAnsi="Times New Roman" w:cs="Times New Roman"/>
        </w:rPr>
      </w:pPr>
      <w:r>
        <w:rPr>
          <w:rFonts w:ascii="Times New Roman" w:hAnsi="Times New Roman" w:cs="Times New Roman"/>
        </w:rPr>
        <w:t xml:space="preserve">Confrontant différentes théories sémiotiques de l’énonciation (essentiellement, celles de Jacques Fontanille, de Jean-Claude Coquet et de Jean-François Bordron), </w:t>
      </w:r>
      <w:r w:rsidR="001E4CD6" w:rsidRPr="003C1C72">
        <w:rPr>
          <w:rFonts w:ascii="Times New Roman" w:hAnsi="Times New Roman" w:cs="Times New Roman"/>
        </w:rPr>
        <w:t>J’ai ainsi souhaité me faire l’écho de diffé</w:t>
      </w:r>
      <w:r w:rsidR="00A90CB0" w:rsidRPr="003C1C72">
        <w:rPr>
          <w:rFonts w:ascii="Times New Roman" w:hAnsi="Times New Roman" w:cs="Times New Roman"/>
        </w:rPr>
        <w:t>r</w:t>
      </w:r>
      <w:r w:rsidR="001E4CD6" w:rsidRPr="003C1C72">
        <w:rPr>
          <w:rFonts w:ascii="Times New Roman" w:hAnsi="Times New Roman" w:cs="Times New Roman"/>
        </w:rPr>
        <w:t>entes sensibilités théoriques au sein même de la sémiotique : si je considère que l’énonciation gère les différents processus sémiosiques, je me suis ég</w:t>
      </w:r>
      <w:r w:rsidR="00A90CB0" w:rsidRPr="003C1C72">
        <w:rPr>
          <w:rFonts w:ascii="Times New Roman" w:hAnsi="Times New Roman" w:cs="Times New Roman"/>
        </w:rPr>
        <w:t>a</w:t>
      </w:r>
      <w:r w:rsidR="001E4CD6" w:rsidRPr="003C1C72">
        <w:rPr>
          <w:rFonts w:ascii="Times New Roman" w:hAnsi="Times New Roman" w:cs="Times New Roman"/>
        </w:rPr>
        <w:t>lement faite l’écho de l’approche phéno</w:t>
      </w:r>
      <w:r w:rsidR="009A6818" w:rsidRPr="003C1C72">
        <w:rPr>
          <w:rFonts w:ascii="Times New Roman" w:hAnsi="Times New Roman" w:cs="Times New Roman"/>
        </w:rPr>
        <w:t>m</w:t>
      </w:r>
      <w:r w:rsidR="001E4CD6" w:rsidRPr="003C1C72">
        <w:rPr>
          <w:rFonts w:ascii="Times New Roman" w:hAnsi="Times New Roman" w:cs="Times New Roman"/>
        </w:rPr>
        <w:t xml:space="preserve">énologique du langage selon Coquet et d’une conception élargie de l’énonciation comme prise, qui comprend, selon </w:t>
      </w:r>
      <w:r w:rsidR="00A90CB0" w:rsidRPr="003C1C72">
        <w:rPr>
          <w:rFonts w:ascii="Times New Roman" w:hAnsi="Times New Roman" w:cs="Times New Roman"/>
        </w:rPr>
        <w:t xml:space="preserve">Jean-François Bordron, la perception elle-même. </w:t>
      </w:r>
    </w:p>
    <w:p w:rsidR="00A90CB0" w:rsidRPr="003C1C72" w:rsidRDefault="00A90CB0">
      <w:pPr>
        <w:rPr>
          <w:rFonts w:ascii="Times New Roman" w:hAnsi="Times New Roman" w:cs="Times New Roman"/>
        </w:rPr>
      </w:pPr>
    </w:p>
    <w:sectPr w:rsidR="00A90CB0" w:rsidRPr="003C1C72" w:rsidSect="0078610D">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D9F" w:rsidRDefault="00B15D9F" w:rsidP="00F34911">
      <w:r>
        <w:separator/>
      </w:r>
    </w:p>
  </w:endnote>
  <w:endnote w:type="continuationSeparator" w:id="0">
    <w:p w:rsidR="00B15D9F" w:rsidRDefault="00B15D9F" w:rsidP="00F34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D9F" w:rsidRDefault="00B15D9F" w:rsidP="00F34911">
      <w:r>
        <w:separator/>
      </w:r>
    </w:p>
  </w:footnote>
  <w:footnote w:type="continuationSeparator" w:id="0">
    <w:p w:rsidR="00B15D9F" w:rsidRDefault="00B15D9F" w:rsidP="00F349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CD6"/>
    <w:rsid w:val="000340A0"/>
    <w:rsid w:val="00056E9A"/>
    <w:rsid w:val="00136BA0"/>
    <w:rsid w:val="00156C49"/>
    <w:rsid w:val="00160BA1"/>
    <w:rsid w:val="00174119"/>
    <w:rsid w:val="0018054D"/>
    <w:rsid w:val="00194856"/>
    <w:rsid w:val="001B7223"/>
    <w:rsid w:val="001D1790"/>
    <w:rsid w:val="001E4CD6"/>
    <w:rsid w:val="002D0FD2"/>
    <w:rsid w:val="00300A2C"/>
    <w:rsid w:val="00311434"/>
    <w:rsid w:val="00312D5B"/>
    <w:rsid w:val="00335A5F"/>
    <w:rsid w:val="00372E35"/>
    <w:rsid w:val="0039777C"/>
    <w:rsid w:val="003C1C72"/>
    <w:rsid w:val="003D2196"/>
    <w:rsid w:val="004546A3"/>
    <w:rsid w:val="00551A75"/>
    <w:rsid w:val="005D1EF2"/>
    <w:rsid w:val="005D6EC7"/>
    <w:rsid w:val="0064144A"/>
    <w:rsid w:val="00663768"/>
    <w:rsid w:val="00672D28"/>
    <w:rsid w:val="00673F0A"/>
    <w:rsid w:val="006C6A6F"/>
    <w:rsid w:val="00700484"/>
    <w:rsid w:val="00711D55"/>
    <w:rsid w:val="00723B68"/>
    <w:rsid w:val="007432A5"/>
    <w:rsid w:val="0078610D"/>
    <w:rsid w:val="007A4FE7"/>
    <w:rsid w:val="007B1101"/>
    <w:rsid w:val="007B59D6"/>
    <w:rsid w:val="007E1480"/>
    <w:rsid w:val="008010A2"/>
    <w:rsid w:val="008209F4"/>
    <w:rsid w:val="00837DA9"/>
    <w:rsid w:val="00886991"/>
    <w:rsid w:val="00893F38"/>
    <w:rsid w:val="008A77B9"/>
    <w:rsid w:val="00910D5F"/>
    <w:rsid w:val="009242EC"/>
    <w:rsid w:val="00924F68"/>
    <w:rsid w:val="0094518E"/>
    <w:rsid w:val="00952E36"/>
    <w:rsid w:val="009715AA"/>
    <w:rsid w:val="009A6818"/>
    <w:rsid w:val="009C1875"/>
    <w:rsid w:val="009C4190"/>
    <w:rsid w:val="009F5D7E"/>
    <w:rsid w:val="00A35145"/>
    <w:rsid w:val="00A41BE2"/>
    <w:rsid w:val="00A72EED"/>
    <w:rsid w:val="00A90CB0"/>
    <w:rsid w:val="00AA72E7"/>
    <w:rsid w:val="00AB34B3"/>
    <w:rsid w:val="00AC50B7"/>
    <w:rsid w:val="00B0479C"/>
    <w:rsid w:val="00B15D9F"/>
    <w:rsid w:val="00BC24FD"/>
    <w:rsid w:val="00BE41B7"/>
    <w:rsid w:val="00BE4A8F"/>
    <w:rsid w:val="00BF0106"/>
    <w:rsid w:val="00BF2CB8"/>
    <w:rsid w:val="00C21430"/>
    <w:rsid w:val="00C330EF"/>
    <w:rsid w:val="00D554E6"/>
    <w:rsid w:val="00D77343"/>
    <w:rsid w:val="00DA6018"/>
    <w:rsid w:val="00E10396"/>
    <w:rsid w:val="00E33BA2"/>
    <w:rsid w:val="00E6700B"/>
    <w:rsid w:val="00E75672"/>
    <w:rsid w:val="00E763E4"/>
    <w:rsid w:val="00E769BE"/>
    <w:rsid w:val="00F34911"/>
    <w:rsid w:val="00F3733E"/>
    <w:rsid w:val="00F46BCD"/>
    <w:rsid w:val="00F65AD7"/>
    <w:rsid w:val="00FB5BE9"/>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D34F5"/>
  <w15:chartTrackingRefBased/>
  <w15:docId w15:val="{EB1CB2FB-CD26-334C-A868-25E44A03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L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4911"/>
    <w:pPr>
      <w:tabs>
        <w:tab w:val="center" w:pos="4536"/>
        <w:tab w:val="right" w:pos="9072"/>
      </w:tabs>
    </w:pPr>
  </w:style>
  <w:style w:type="character" w:customStyle="1" w:styleId="En-tteCar">
    <w:name w:val="En-tête Car"/>
    <w:basedOn w:val="Policepardfaut"/>
    <w:link w:val="En-tte"/>
    <w:uiPriority w:val="99"/>
    <w:rsid w:val="00F34911"/>
    <w:rPr>
      <w:lang w:val="fr-FR"/>
    </w:rPr>
  </w:style>
  <w:style w:type="paragraph" w:styleId="Pieddepage">
    <w:name w:val="footer"/>
    <w:basedOn w:val="Normal"/>
    <w:link w:val="PieddepageCar"/>
    <w:uiPriority w:val="99"/>
    <w:unhideWhenUsed/>
    <w:rsid w:val="00F34911"/>
    <w:pPr>
      <w:tabs>
        <w:tab w:val="center" w:pos="4536"/>
        <w:tab w:val="right" w:pos="9072"/>
      </w:tabs>
    </w:pPr>
  </w:style>
  <w:style w:type="character" w:customStyle="1" w:styleId="PieddepageCar">
    <w:name w:val="Pied de page Car"/>
    <w:basedOn w:val="Policepardfaut"/>
    <w:link w:val="Pieddepage"/>
    <w:uiPriority w:val="99"/>
    <w:rsid w:val="00F34911"/>
    <w:rPr>
      <w:lang w:val="fr-FR"/>
    </w:rPr>
  </w:style>
  <w:style w:type="paragraph" w:styleId="NormalWeb">
    <w:name w:val="Normal (Web)"/>
    <w:basedOn w:val="Normal"/>
    <w:uiPriority w:val="99"/>
    <w:unhideWhenUsed/>
    <w:rsid w:val="00673F0A"/>
    <w:pPr>
      <w:spacing w:before="100" w:beforeAutospacing="1" w:after="100" w:afterAutospacing="1"/>
    </w:pPr>
    <w:rPr>
      <w:rFonts w:ascii="Times New Roman" w:eastAsia="Times New Roman" w:hAnsi="Times New Roman" w:cs="Times New Roman"/>
      <w:lang w:val="fr-LU"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01132-A19B-7345-8661-8441CA4DF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3878</Words>
  <Characters>21335</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COLAS-BLAISE</dc:creator>
  <cp:keywords/>
  <dc:description/>
  <cp:lastModifiedBy>Marion COLAS-BLAISE</cp:lastModifiedBy>
  <cp:revision>2</cp:revision>
  <dcterms:created xsi:type="dcterms:W3CDTF">2024-01-01T09:42:00Z</dcterms:created>
  <dcterms:modified xsi:type="dcterms:W3CDTF">2024-01-01T09:42:00Z</dcterms:modified>
</cp:coreProperties>
</file>