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C8E5" w14:textId="7F5133C2" w:rsidR="00420B66" w:rsidRDefault="00420B66" w:rsidP="00FE0A0C">
      <w:pPr>
        <w:rPr>
          <w:b/>
          <w:lang w:val="fr-FR"/>
        </w:rPr>
      </w:pPr>
      <w:r w:rsidRPr="00DA2033">
        <w:rPr>
          <w:b/>
          <w:lang w:val="fr-FR"/>
        </w:rPr>
        <w:t>La transition et l’utopie : de l’utopie grâce à la transition à la transition grâce à l’utopie</w:t>
      </w:r>
    </w:p>
    <w:p w14:paraId="33C3BCDA" w14:textId="77777777" w:rsidR="000D3B1D" w:rsidRDefault="000D3B1D" w:rsidP="00FE0A0C">
      <w:pPr>
        <w:rPr>
          <w:b/>
          <w:lang w:val="fr-FR"/>
        </w:rPr>
      </w:pPr>
    </w:p>
    <w:p w14:paraId="693B9601" w14:textId="5FA0A5CD" w:rsidR="000D3B1D" w:rsidRPr="00DA2033" w:rsidRDefault="000D3B1D" w:rsidP="00FE0A0C">
      <w:pPr>
        <w:rPr>
          <w:b/>
          <w:lang w:val="fr-FR"/>
        </w:rPr>
      </w:pPr>
      <w:r>
        <w:rPr>
          <w:b/>
          <w:lang w:val="fr-FR"/>
        </w:rPr>
        <w:t>Marion Colas-Blaise</w:t>
      </w:r>
      <w:r>
        <w:rPr>
          <w:rStyle w:val="Appelnotedebasdep"/>
          <w:b/>
          <w:lang w:val="fr-FR"/>
        </w:rPr>
        <w:footnoteReference w:id="1"/>
      </w:r>
    </w:p>
    <w:p w14:paraId="6AFD7765" w14:textId="6307B0F5" w:rsidR="000D3B1D" w:rsidRDefault="000D3B1D" w:rsidP="000D3B1D">
      <w:pPr>
        <w:ind w:right="851"/>
        <w:jc w:val="both"/>
        <w:rPr>
          <w:b/>
          <w:highlight w:val="black"/>
          <w:lang w:val="fr-FR"/>
        </w:rPr>
      </w:pPr>
    </w:p>
    <w:p w14:paraId="52AA1A34" w14:textId="77777777" w:rsidR="000D3B1D" w:rsidRPr="00DA2033" w:rsidRDefault="000D3B1D" w:rsidP="00FE0A0C">
      <w:pPr>
        <w:ind w:left="851" w:right="851"/>
        <w:jc w:val="both"/>
        <w:rPr>
          <w:b/>
          <w:bCs/>
          <w:sz w:val="20"/>
          <w:szCs w:val="20"/>
          <w:lang w:val="fr-FR"/>
        </w:rPr>
      </w:pPr>
    </w:p>
    <w:p w14:paraId="74891BB9" w14:textId="1997135A" w:rsidR="009900FD" w:rsidRPr="00DA2033" w:rsidRDefault="009900FD" w:rsidP="00FE0A0C">
      <w:pPr>
        <w:ind w:left="851" w:right="851"/>
        <w:jc w:val="both"/>
        <w:rPr>
          <w:b/>
          <w:bCs/>
          <w:sz w:val="20"/>
          <w:szCs w:val="20"/>
          <w:lang w:val="fr-FR"/>
        </w:rPr>
      </w:pPr>
      <w:r w:rsidRPr="00DA2033">
        <w:rPr>
          <w:b/>
          <w:bCs/>
          <w:sz w:val="20"/>
          <w:szCs w:val="20"/>
          <w:lang w:val="fr-FR"/>
        </w:rPr>
        <w:t>Résumé</w:t>
      </w:r>
    </w:p>
    <w:p w14:paraId="4AF98676" w14:textId="4150D9B4" w:rsidR="00E948DB" w:rsidRPr="00DA2033" w:rsidRDefault="009900FD" w:rsidP="00FE0A0C">
      <w:pPr>
        <w:spacing w:after="120"/>
        <w:ind w:left="851" w:right="851"/>
        <w:jc w:val="both"/>
        <w:rPr>
          <w:lang w:val="fr-FR"/>
        </w:rPr>
      </w:pPr>
      <w:r w:rsidRPr="00DA2033">
        <w:rPr>
          <w:sz w:val="20"/>
          <w:szCs w:val="20"/>
          <w:lang w:val="fr-FR"/>
        </w:rPr>
        <w:t>Cet article se propose</w:t>
      </w:r>
      <w:r w:rsidR="00F84CAD" w:rsidRPr="00DA2033">
        <w:rPr>
          <w:sz w:val="20"/>
          <w:szCs w:val="20"/>
          <w:lang w:val="fr-FR"/>
        </w:rPr>
        <w:t xml:space="preserve">, d’une part, </w:t>
      </w:r>
      <w:r w:rsidRPr="00DA2033">
        <w:rPr>
          <w:sz w:val="20"/>
          <w:szCs w:val="20"/>
          <w:lang w:val="fr-FR"/>
        </w:rPr>
        <w:t>de dégager un soubassement transitionnel</w:t>
      </w:r>
      <w:r w:rsidR="00E948DB" w:rsidRPr="00DA2033">
        <w:rPr>
          <w:sz w:val="20"/>
          <w:szCs w:val="20"/>
          <w:lang w:val="fr-FR"/>
        </w:rPr>
        <w:t xml:space="preserve"> de la transformation, qui gère le flux du sens et les métamorphoses, et</w:t>
      </w:r>
      <w:r w:rsidR="00F84CAD" w:rsidRPr="00DA2033">
        <w:rPr>
          <w:sz w:val="20"/>
          <w:szCs w:val="20"/>
          <w:lang w:val="fr-FR"/>
        </w:rPr>
        <w:t xml:space="preserve">, d’autre part, </w:t>
      </w:r>
      <w:r w:rsidR="00E948DB" w:rsidRPr="00DA2033">
        <w:rPr>
          <w:sz w:val="20"/>
          <w:szCs w:val="20"/>
          <w:lang w:val="fr-FR"/>
        </w:rPr>
        <w:t xml:space="preserve">de montrer que la transition garantit la fluidité de la </w:t>
      </w:r>
      <w:proofErr w:type="spellStart"/>
      <w:r w:rsidR="00E948DB" w:rsidRPr="00DA2033">
        <w:rPr>
          <w:sz w:val="20"/>
          <w:szCs w:val="20"/>
          <w:lang w:val="fr-FR"/>
        </w:rPr>
        <w:t>textualisation</w:t>
      </w:r>
      <w:proofErr w:type="spellEnd"/>
      <w:r w:rsidR="00E948DB" w:rsidRPr="00DA2033">
        <w:rPr>
          <w:sz w:val="20"/>
          <w:szCs w:val="20"/>
          <w:lang w:val="fr-FR"/>
        </w:rPr>
        <w:t xml:space="preserve"> elle-même. La transition ainsi conçue peut alors faciliter la production d’utopies, en particulier d’</w:t>
      </w:r>
      <w:proofErr w:type="spellStart"/>
      <w:r w:rsidR="00E948DB" w:rsidRPr="00DA2033">
        <w:rPr>
          <w:sz w:val="20"/>
          <w:szCs w:val="20"/>
          <w:lang w:val="fr-FR"/>
        </w:rPr>
        <w:t>écotopies</w:t>
      </w:r>
      <w:proofErr w:type="spellEnd"/>
      <w:r w:rsidR="00E948DB" w:rsidRPr="00DA2033">
        <w:rPr>
          <w:sz w:val="20"/>
          <w:szCs w:val="20"/>
          <w:lang w:val="fr-FR"/>
        </w:rPr>
        <w:t xml:space="preserve">, en-deçà ou au-delà de l’opposition entre deux états de la société et deux rationalités jugés incompatibles. Enfin, il s’agit d’approcher la transition à la lumière d’un </w:t>
      </w:r>
      <w:r w:rsidR="00F84CAD" w:rsidRPr="00DA2033">
        <w:rPr>
          <w:sz w:val="20"/>
          <w:szCs w:val="20"/>
          <w:lang w:val="fr-FR"/>
        </w:rPr>
        <w:t>« </w:t>
      </w:r>
      <w:r w:rsidR="00E948DB" w:rsidRPr="00DA2033">
        <w:rPr>
          <w:sz w:val="20"/>
          <w:szCs w:val="20"/>
          <w:lang w:val="fr-FR"/>
        </w:rPr>
        <w:t>tiers lieu</w:t>
      </w:r>
      <w:r w:rsidR="00F84CAD" w:rsidRPr="00DA2033">
        <w:rPr>
          <w:sz w:val="20"/>
          <w:szCs w:val="20"/>
          <w:lang w:val="fr-FR"/>
        </w:rPr>
        <w:t> »</w:t>
      </w:r>
      <w:r w:rsidR="00E948DB" w:rsidRPr="00DA2033">
        <w:rPr>
          <w:sz w:val="20"/>
          <w:szCs w:val="20"/>
          <w:lang w:val="fr-FR"/>
        </w:rPr>
        <w:t xml:space="preserve">, qui partage certaines propriétés </w:t>
      </w:r>
      <w:r w:rsidR="00F84CAD" w:rsidRPr="00DA2033">
        <w:rPr>
          <w:sz w:val="20"/>
          <w:szCs w:val="20"/>
          <w:lang w:val="fr-FR"/>
        </w:rPr>
        <w:t>avec</w:t>
      </w:r>
      <w:r w:rsidR="00E948DB" w:rsidRPr="00DA2033">
        <w:rPr>
          <w:sz w:val="20"/>
          <w:szCs w:val="20"/>
          <w:lang w:val="fr-FR"/>
        </w:rPr>
        <w:t xml:space="preserve"> la « zone utopique » (</w:t>
      </w:r>
      <w:proofErr w:type="spellStart"/>
      <w:r w:rsidR="00E948DB" w:rsidRPr="00DA2033">
        <w:rPr>
          <w:sz w:val="20"/>
          <w:szCs w:val="20"/>
          <w:lang w:val="fr-FR"/>
        </w:rPr>
        <w:t>Fontanille</w:t>
      </w:r>
      <w:proofErr w:type="spellEnd"/>
      <w:r w:rsidR="00E948DB" w:rsidRPr="00DA2033">
        <w:rPr>
          <w:sz w:val="20"/>
          <w:szCs w:val="20"/>
          <w:lang w:val="fr-FR"/>
        </w:rPr>
        <w:t xml:space="preserve"> 2021) et s’ouvre aux relations interpersonnelles placées</w:t>
      </w:r>
      <w:r w:rsidR="00F84CAD" w:rsidRPr="00DA2033">
        <w:rPr>
          <w:sz w:val="20"/>
          <w:szCs w:val="20"/>
          <w:lang w:val="fr-FR"/>
        </w:rPr>
        <w:t xml:space="preserve"> </w:t>
      </w:r>
      <w:r w:rsidR="00E948DB" w:rsidRPr="00DA2033">
        <w:rPr>
          <w:sz w:val="20"/>
          <w:szCs w:val="20"/>
          <w:lang w:val="fr-FR"/>
        </w:rPr>
        <w:t xml:space="preserve">sous le signe </w:t>
      </w:r>
      <w:proofErr w:type="gramStart"/>
      <w:r w:rsidR="00E948DB" w:rsidRPr="00DA2033">
        <w:rPr>
          <w:sz w:val="20"/>
          <w:szCs w:val="20"/>
          <w:lang w:val="fr-FR"/>
        </w:rPr>
        <w:t xml:space="preserve">du </w:t>
      </w:r>
      <w:r w:rsidR="00E948DB" w:rsidRPr="00DA2033">
        <w:rPr>
          <w:i/>
          <w:sz w:val="20"/>
          <w:szCs w:val="20"/>
          <w:lang w:val="fr-FR"/>
        </w:rPr>
        <w:t>care</w:t>
      </w:r>
      <w:proofErr w:type="gramEnd"/>
      <w:r w:rsidR="00E948DB" w:rsidRPr="00DA2033">
        <w:rPr>
          <w:sz w:val="20"/>
          <w:szCs w:val="20"/>
          <w:lang w:val="fr-FR"/>
        </w:rPr>
        <w:t xml:space="preserve">, mais aussi </w:t>
      </w:r>
      <w:r w:rsidR="00F84CAD" w:rsidRPr="00DA2033">
        <w:rPr>
          <w:sz w:val="20"/>
          <w:szCs w:val="20"/>
          <w:lang w:val="fr-FR"/>
        </w:rPr>
        <w:t>à l’</w:t>
      </w:r>
      <w:r w:rsidR="00E948DB" w:rsidRPr="00DA2033">
        <w:rPr>
          <w:sz w:val="20"/>
          <w:szCs w:val="20"/>
          <w:lang w:val="fr-FR"/>
        </w:rPr>
        <w:t>imaginaire</w:t>
      </w:r>
      <w:r w:rsidR="00F84CAD" w:rsidRPr="00DA2033">
        <w:rPr>
          <w:sz w:val="20"/>
          <w:szCs w:val="20"/>
          <w:lang w:val="fr-FR"/>
        </w:rPr>
        <w:t xml:space="preserve"> (« </w:t>
      </w:r>
      <w:proofErr w:type="spellStart"/>
      <w:r w:rsidR="00F84CAD" w:rsidRPr="00DA2033">
        <w:rPr>
          <w:sz w:val="20"/>
          <w:szCs w:val="20"/>
          <w:lang w:val="fr-FR"/>
        </w:rPr>
        <w:t>réenchantement</w:t>
      </w:r>
      <w:proofErr w:type="spellEnd"/>
      <w:r w:rsidR="00F84CAD" w:rsidRPr="00DA2033">
        <w:rPr>
          <w:sz w:val="20"/>
          <w:szCs w:val="20"/>
          <w:lang w:val="fr-FR"/>
        </w:rPr>
        <w:t> »)</w:t>
      </w:r>
      <w:r w:rsidR="00E948DB" w:rsidRPr="00DA2033">
        <w:rPr>
          <w:sz w:val="20"/>
          <w:szCs w:val="20"/>
          <w:lang w:val="fr-FR"/>
        </w:rPr>
        <w:t>, à la création et à l’invention</w:t>
      </w:r>
      <w:r w:rsidR="00E948DB" w:rsidRPr="00DA2033">
        <w:rPr>
          <w:lang w:val="fr-FR"/>
        </w:rPr>
        <w:t>.</w:t>
      </w:r>
    </w:p>
    <w:p w14:paraId="32B03245" w14:textId="2C44A33D" w:rsidR="00BA1520" w:rsidRDefault="00F84CAD" w:rsidP="004B0A10">
      <w:pPr>
        <w:ind w:left="851" w:right="851"/>
        <w:jc w:val="both"/>
        <w:rPr>
          <w:sz w:val="20"/>
          <w:szCs w:val="20"/>
          <w:lang w:val="fr-FR"/>
        </w:rPr>
      </w:pPr>
      <w:r w:rsidRPr="004B0A10">
        <w:rPr>
          <w:b/>
          <w:bCs/>
          <w:sz w:val="20"/>
          <w:szCs w:val="20"/>
          <w:lang w:val="fr-FR"/>
        </w:rPr>
        <w:t>Mots-clés</w:t>
      </w:r>
      <w:r w:rsidRPr="00DA2033">
        <w:rPr>
          <w:sz w:val="20"/>
          <w:szCs w:val="20"/>
          <w:lang w:val="fr-FR"/>
        </w:rPr>
        <w:t xml:space="preserve"> : </w:t>
      </w:r>
      <w:r w:rsidR="006D0B78" w:rsidRPr="00DA2033">
        <w:rPr>
          <w:sz w:val="20"/>
          <w:szCs w:val="20"/>
          <w:lang w:val="fr-FR"/>
        </w:rPr>
        <w:t>Transition, métamorphose, transformation, utopie, tiers lieu</w:t>
      </w:r>
      <w:r w:rsidR="00F863B5" w:rsidRPr="00DA2033">
        <w:rPr>
          <w:sz w:val="20"/>
          <w:szCs w:val="20"/>
          <w:lang w:val="fr-FR"/>
        </w:rPr>
        <w:t xml:space="preserve"> </w:t>
      </w:r>
      <w:proofErr w:type="spellStart"/>
      <w:r w:rsidR="00F863B5" w:rsidRPr="00DA2033">
        <w:rPr>
          <w:sz w:val="20"/>
          <w:szCs w:val="20"/>
          <w:lang w:val="fr-FR"/>
        </w:rPr>
        <w:t>transitionneur</w:t>
      </w:r>
      <w:proofErr w:type="spellEnd"/>
    </w:p>
    <w:p w14:paraId="02B96AA7" w14:textId="10C31768" w:rsidR="0063003B" w:rsidRDefault="0063003B" w:rsidP="0063003B">
      <w:pPr>
        <w:jc w:val="both"/>
        <w:rPr>
          <w:lang w:val="fr-FR"/>
        </w:rPr>
      </w:pPr>
    </w:p>
    <w:p w14:paraId="44571C76" w14:textId="77777777" w:rsidR="00FC3CA7" w:rsidRPr="00FC3CA7" w:rsidRDefault="00FC3CA7" w:rsidP="00FC3CA7">
      <w:pPr>
        <w:ind w:left="851" w:right="851"/>
        <w:jc w:val="both"/>
        <w:rPr>
          <w:b/>
          <w:sz w:val="20"/>
          <w:szCs w:val="20"/>
          <w:lang w:val="en-US"/>
        </w:rPr>
      </w:pPr>
      <w:r w:rsidRPr="00FC3CA7">
        <w:rPr>
          <w:b/>
          <w:sz w:val="20"/>
          <w:szCs w:val="20"/>
          <w:lang w:val="en-US"/>
        </w:rPr>
        <w:t>Abstract</w:t>
      </w:r>
    </w:p>
    <w:p w14:paraId="2EA3AC38" w14:textId="3BF25BEE" w:rsidR="00FC3CA7" w:rsidRDefault="00FC3CA7" w:rsidP="00FC3CA7">
      <w:pPr>
        <w:ind w:left="851" w:right="851"/>
        <w:jc w:val="both"/>
        <w:rPr>
          <w:sz w:val="20"/>
          <w:szCs w:val="20"/>
          <w:lang w:val="en-US"/>
        </w:rPr>
      </w:pPr>
      <w:r w:rsidRPr="00FC3CA7">
        <w:rPr>
          <w:sz w:val="20"/>
          <w:szCs w:val="20"/>
          <w:lang w:val="en-US"/>
        </w:rPr>
        <w:t>The aim of this article is, on the one hand, to identify a transitional underpinning of transformation, which manages the flow of meaning and metamorphoses, and, on the other, to show that transition guarantees the fluidity of textualization itself. The transition thus conceived can then facilitate the production of utopias, in particular ecotopias, below or beyond the opposition between two states of society and two rationalities deemed incompatible. Finally, the aim is to approach transition in the light of a "third place", which shares certain properties with the "utopian zone" (</w:t>
      </w:r>
      <w:proofErr w:type="spellStart"/>
      <w:r w:rsidRPr="00FC3CA7">
        <w:rPr>
          <w:sz w:val="20"/>
          <w:szCs w:val="20"/>
          <w:lang w:val="en-US"/>
        </w:rPr>
        <w:t>Fontanille</w:t>
      </w:r>
      <w:proofErr w:type="spellEnd"/>
      <w:r w:rsidRPr="00FC3CA7">
        <w:rPr>
          <w:sz w:val="20"/>
          <w:szCs w:val="20"/>
          <w:lang w:val="en-US"/>
        </w:rPr>
        <w:t xml:space="preserve"> 2021) and is open to interpersonal relations placed under the sign of </w:t>
      </w:r>
      <w:r w:rsidRPr="00FC3CA7">
        <w:rPr>
          <w:i/>
          <w:sz w:val="20"/>
          <w:szCs w:val="20"/>
          <w:lang w:val="en-US"/>
        </w:rPr>
        <w:t>care</w:t>
      </w:r>
      <w:r w:rsidRPr="00FC3CA7">
        <w:rPr>
          <w:sz w:val="20"/>
          <w:szCs w:val="20"/>
          <w:lang w:val="en-US"/>
        </w:rPr>
        <w:t>, but also to the imaginary ("re-enchantment"), to creation and invention.</w:t>
      </w:r>
    </w:p>
    <w:p w14:paraId="5BBD82AA" w14:textId="77777777" w:rsidR="00FC3CA7" w:rsidRPr="00FC3CA7" w:rsidRDefault="00FC3CA7" w:rsidP="00FC3CA7">
      <w:pPr>
        <w:ind w:left="851" w:right="851"/>
        <w:jc w:val="both"/>
        <w:rPr>
          <w:sz w:val="20"/>
          <w:szCs w:val="20"/>
          <w:lang w:val="en-US"/>
        </w:rPr>
      </w:pPr>
    </w:p>
    <w:p w14:paraId="2765B2A5" w14:textId="29F2D772" w:rsidR="00FC3CA7" w:rsidRDefault="00FC3CA7" w:rsidP="00FC3CA7">
      <w:pPr>
        <w:ind w:left="851" w:right="851"/>
        <w:jc w:val="both"/>
        <w:rPr>
          <w:sz w:val="20"/>
          <w:szCs w:val="20"/>
          <w:lang w:val="fr-FR"/>
        </w:rPr>
      </w:pPr>
      <w:proofErr w:type="gramStart"/>
      <w:r w:rsidRPr="00FC3CA7">
        <w:rPr>
          <w:b/>
          <w:sz w:val="20"/>
          <w:szCs w:val="20"/>
          <w:lang w:val="fr-FR"/>
        </w:rPr>
        <w:t>Keywords:</w:t>
      </w:r>
      <w:proofErr w:type="gramEnd"/>
      <w:r w:rsidRPr="00FC3CA7">
        <w:rPr>
          <w:sz w:val="20"/>
          <w:szCs w:val="20"/>
          <w:lang w:val="fr-FR"/>
        </w:rPr>
        <w:t xml:space="preserve"> Transition, </w:t>
      </w:r>
      <w:proofErr w:type="spellStart"/>
      <w:r w:rsidRPr="00FC3CA7">
        <w:rPr>
          <w:sz w:val="20"/>
          <w:szCs w:val="20"/>
          <w:lang w:val="fr-FR"/>
        </w:rPr>
        <w:t>metamorphosis</w:t>
      </w:r>
      <w:proofErr w:type="spellEnd"/>
      <w:r w:rsidRPr="00FC3CA7">
        <w:rPr>
          <w:sz w:val="20"/>
          <w:szCs w:val="20"/>
          <w:lang w:val="fr-FR"/>
        </w:rPr>
        <w:t xml:space="preserve">, transformation, </w:t>
      </w:r>
      <w:proofErr w:type="spellStart"/>
      <w:r w:rsidRPr="00FC3CA7">
        <w:rPr>
          <w:sz w:val="20"/>
          <w:szCs w:val="20"/>
          <w:lang w:val="fr-FR"/>
        </w:rPr>
        <w:t>utopia</w:t>
      </w:r>
      <w:proofErr w:type="spellEnd"/>
      <w:r w:rsidRPr="00FC3CA7">
        <w:rPr>
          <w:sz w:val="20"/>
          <w:szCs w:val="20"/>
          <w:lang w:val="fr-FR"/>
        </w:rPr>
        <w:t xml:space="preserve">, </w:t>
      </w:r>
      <w:proofErr w:type="spellStart"/>
      <w:r w:rsidRPr="00FC3CA7">
        <w:rPr>
          <w:sz w:val="20"/>
          <w:szCs w:val="20"/>
          <w:lang w:val="fr-FR"/>
        </w:rPr>
        <w:t>transitional</w:t>
      </w:r>
      <w:proofErr w:type="spellEnd"/>
      <w:r w:rsidRPr="00FC3CA7">
        <w:rPr>
          <w:sz w:val="20"/>
          <w:szCs w:val="20"/>
          <w:lang w:val="fr-FR"/>
        </w:rPr>
        <w:t xml:space="preserve"> </w:t>
      </w:r>
      <w:proofErr w:type="spellStart"/>
      <w:r w:rsidRPr="00FC3CA7">
        <w:rPr>
          <w:sz w:val="20"/>
          <w:szCs w:val="20"/>
          <w:lang w:val="fr-FR"/>
        </w:rPr>
        <w:t>third</w:t>
      </w:r>
      <w:proofErr w:type="spellEnd"/>
      <w:r w:rsidRPr="00FC3CA7">
        <w:rPr>
          <w:sz w:val="20"/>
          <w:szCs w:val="20"/>
          <w:lang w:val="fr-FR"/>
        </w:rPr>
        <w:t xml:space="preserve"> place</w:t>
      </w:r>
    </w:p>
    <w:p w14:paraId="64400B9A" w14:textId="77777777" w:rsidR="00FC3CA7" w:rsidRPr="00FC3CA7" w:rsidRDefault="00FC3CA7" w:rsidP="00FC3CA7">
      <w:pPr>
        <w:ind w:left="851" w:right="851"/>
        <w:jc w:val="both"/>
        <w:rPr>
          <w:sz w:val="20"/>
          <w:szCs w:val="20"/>
          <w:lang w:val="fr-FR"/>
        </w:rPr>
      </w:pPr>
    </w:p>
    <w:p w14:paraId="620AB495" w14:textId="39D780AC" w:rsidR="00FC3CA7" w:rsidRPr="00DA2033" w:rsidRDefault="00420B66" w:rsidP="0063003B">
      <w:pPr>
        <w:jc w:val="both"/>
        <w:rPr>
          <w:lang w:val="fr-FR"/>
        </w:rPr>
      </w:pPr>
      <w:r w:rsidRPr="00DA2033">
        <w:rPr>
          <w:lang w:val="fr-FR"/>
        </w:rPr>
        <w:t>Comment renforcer les contours notionnels de la transition ? En particulier, comment penser ensemble transition et transformation, au-delà d’une vague proximité ? La notion de transition cible-t-elle des modalités spécifiques du proces</w:t>
      </w:r>
      <w:r w:rsidR="004B7322" w:rsidRPr="00DA2033">
        <w:rPr>
          <w:lang w:val="fr-FR"/>
        </w:rPr>
        <w:t>s</w:t>
      </w:r>
      <w:r w:rsidRPr="00DA2033">
        <w:rPr>
          <w:lang w:val="fr-FR"/>
        </w:rPr>
        <w:t xml:space="preserve">us </w:t>
      </w:r>
      <w:proofErr w:type="spellStart"/>
      <w:r w:rsidRPr="00DA2033">
        <w:rPr>
          <w:lang w:val="fr-FR"/>
        </w:rPr>
        <w:t>sémiosique</w:t>
      </w:r>
      <w:proofErr w:type="spellEnd"/>
      <w:r w:rsidRPr="00DA2033">
        <w:rPr>
          <w:lang w:val="fr-FR"/>
        </w:rPr>
        <w:t xml:space="preserve">, dont la définition de </w:t>
      </w:r>
      <w:r w:rsidR="00BE75AB" w:rsidRPr="00DA2033">
        <w:rPr>
          <w:lang w:val="fr-FR"/>
        </w:rPr>
        <w:t xml:space="preserve">la </w:t>
      </w:r>
      <w:r w:rsidRPr="00DA2033">
        <w:rPr>
          <w:lang w:val="fr-FR"/>
        </w:rPr>
        <w:t>transformation comme la « corrélation (ou son établissement) entre deux ou plusieurs objets sémiotiques : phrases</w:t>
      </w:r>
      <w:r w:rsidR="00E36F81" w:rsidRPr="00DA2033">
        <w:rPr>
          <w:lang w:val="fr-FR"/>
        </w:rPr>
        <w:t>,</w:t>
      </w:r>
      <w:r w:rsidRPr="00DA2033">
        <w:rPr>
          <w:lang w:val="fr-FR"/>
        </w:rPr>
        <w:t xml:space="preserve"> segments text</w:t>
      </w:r>
      <w:r w:rsidR="0037157C" w:rsidRPr="00DA2033">
        <w:rPr>
          <w:lang w:val="fr-FR"/>
        </w:rPr>
        <w:t>u</w:t>
      </w:r>
      <w:r w:rsidRPr="00DA2033">
        <w:rPr>
          <w:lang w:val="fr-FR"/>
        </w:rPr>
        <w:t xml:space="preserve">els, discours, systèmes sémiotiques » (Greimas </w:t>
      </w:r>
      <w:r w:rsidR="004814E8" w:rsidRPr="00DA2033">
        <w:rPr>
          <w:lang w:val="fr-FR"/>
        </w:rPr>
        <w:t>&amp;</w:t>
      </w:r>
      <w:r w:rsidRPr="00DA2033">
        <w:rPr>
          <w:lang w:val="fr-FR"/>
        </w:rPr>
        <w:t xml:space="preserve"> Courtés 1979 : 399) ne rend compte qu’imparfaitement ? Les enjeux sont de taille, car il y va de la possibilité de prévoir une strate d’organisation du sens qui </w:t>
      </w:r>
      <w:r w:rsidRPr="00DA2033">
        <w:rPr>
          <w:i/>
          <w:lang w:val="fr-FR"/>
        </w:rPr>
        <w:t>sous-tend</w:t>
      </w:r>
      <w:r w:rsidR="00BE75AB" w:rsidRPr="00DA2033">
        <w:rPr>
          <w:i/>
          <w:lang w:val="fr-FR"/>
        </w:rPr>
        <w:t>e</w:t>
      </w:r>
      <w:r w:rsidRPr="00DA2033">
        <w:rPr>
          <w:lang w:val="fr-FR"/>
        </w:rPr>
        <w:t xml:space="preserve"> les opérations logiques gérant le passage d’un terme à l’autre du carré sémiotique ainsi que les opérations de conjonction et de disjonction (transformations élémentaires). Une telle hypothèse s’autoriserait-elle, </w:t>
      </w:r>
      <w:r w:rsidRPr="00DA2033">
        <w:rPr>
          <w:i/>
          <w:lang w:val="fr-FR"/>
        </w:rPr>
        <w:t>in fine</w:t>
      </w:r>
      <w:r w:rsidRPr="00DA2033">
        <w:rPr>
          <w:lang w:val="fr-FR"/>
        </w:rPr>
        <w:t>, de la définition de la « relation de transitivité » par Greimas et Courtés (</w:t>
      </w:r>
      <w:r w:rsidRPr="00DA2033">
        <w:rPr>
          <w:i/>
          <w:lang w:val="fr-FR"/>
        </w:rPr>
        <w:t>ibid</w:t>
      </w:r>
      <w:r w:rsidRPr="00DA2033">
        <w:rPr>
          <w:lang w:val="fr-FR"/>
        </w:rPr>
        <w:t xml:space="preserve">. : 402) ? Selon ces derniers, c’est en effet à partir de la relation de transitivité qu’on « peut, </w:t>
      </w:r>
      <w:r w:rsidRPr="00DA2033">
        <w:rPr>
          <w:i/>
          <w:lang w:val="fr-FR"/>
        </w:rPr>
        <w:t>ensuite, par investissements complémentaires</w:t>
      </w:r>
      <w:r w:rsidRPr="00DA2033">
        <w:rPr>
          <w:lang w:val="fr-FR"/>
        </w:rPr>
        <w:t>, procéder à la distinction des prédicats de transformation et de jonction, comme à la mise en place de deux formes canoniques d’énoncés élémentaires : les énoncés de faire et les énoncés d’état » (</w:t>
      </w:r>
      <w:r w:rsidR="000D3B1D" w:rsidRPr="000D3B1D">
        <w:rPr>
          <w:i/>
          <w:lang w:val="fr-FR"/>
        </w:rPr>
        <w:t>ibid</w:t>
      </w:r>
      <w:r w:rsidR="000D3B1D">
        <w:rPr>
          <w:lang w:val="fr-FR"/>
        </w:rPr>
        <w:t xml:space="preserve">., </w:t>
      </w:r>
      <w:r w:rsidRPr="00DA2033">
        <w:rPr>
          <w:lang w:val="fr-FR"/>
        </w:rPr>
        <w:t xml:space="preserve">nous soulignons). Peut-on concevoir une « relation de transitivité » qui soit première, fondamentale ? Elle aurait en charge toute une architecture du sens. Enfin, notre hypothèse comporte un deuxième versant : la transition serait également responsable de la fluidification de la </w:t>
      </w:r>
      <w:proofErr w:type="spellStart"/>
      <w:r w:rsidRPr="00DA2033">
        <w:rPr>
          <w:i/>
          <w:lang w:val="fr-FR"/>
        </w:rPr>
        <w:t>textualisation</w:t>
      </w:r>
      <w:proofErr w:type="spellEnd"/>
      <w:r w:rsidRPr="00DA2033">
        <w:rPr>
          <w:lang w:val="fr-FR"/>
        </w:rPr>
        <w:t>.</w:t>
      </w:r>
    </w:p>
    <w:p w14:paraId="13286604" w14:textId="58A3F5E0" w:rsidR="00420B66" w:rsidRPr="00DA2033" w:rsidRDefault="00420B66" w:rsidP="00F10F72">
      <w:pPr>
        <w:jc w:val="both"/>
        <w:rPr>
          <w:lang w:val="fr-FR"/>
        </w:rPr>
      </w:pPr>
      <w:r w:rsidRPr="00DA2033">
        <w:rPr>
          <w:lang w:val="fr-FR"/>
        </w:rPr>
        <w:t xml:space="preserve">Certes, la transition n’est pas absente des travaux des sémioticiens. Cependant, elle n’est pas toujours érigée au rang de concept intégrant pleinement le bagage de la discipline. Abordée de front par Pierluigi </w:t>
      </w:r>
      <w:proofErr w:type="spellStart"/>
      <w:r w:rsidRPr="00DA2033">
        <w:rPr>
          <w:lang w:val="fr-FR"/>
        </w:rPr>
        <w:t>Basso</w:t>
      </w:r>
      <w:proofErr w:type="spellEnd"/>
      <w:r w:rsidRPr="00DA2033">
        <w:rPr>
          <w:lang w:val="fr-FR"/>
        </w:rPr>
        <w:t xml:space="preserve"> </w:t>
      </w:r>
      <w:proofErr w:type="spellStart"/>
      <w:r w:rsidRPr="00DA2033">
        <w:rPr>
          <w:lang w:val="fr-FR"/>
        </w:rPr>
        <w:t>Fossali</w:t>
      </w:r>
      <w:proofErr w:type="spellEnd"/>
      <w:r w:rsidRPr="00DA2033">
        <w:rPr>
          <w:lang w:val="fr-FR"/>
        </w:rPr>
        <w:t xml:space="preserve"> (2017), elle garantit la « transversalité du sens » (Alonso, Bertrand, </w:t>
      </w:r>
      <w:proofErr w:type="spellStart"/>
      <w:r w:rsidRPr="00DA2033">
        <w:rPr>
          <w:lang w:val="fr-FR"/>
        </w:rPr>
        <w:t>Costantini</w:t>
      </w:r>
      <w:proofErr w:type="spellEnd"/>
      <w:r w:rsidRPr="00DA2033">
        <w:rPr>
          <w:lang w:val="fr-FR"/>
        </w:rPr>
        <w:t xml:space="preserve"> </w:t>
      </w:r>
      <w:r w:rsidR="004814E8" w:rsidRPr="00DA2033">
        <w:rPr>
          <w:lang w:val="fr-FR"/>
        </w:rPr>
        <w:t>&amp;</w:t>
      </w:r>
      <w:r w:rsidRPr="00DA2033">
        <w:rPr>
          <w:lang w:val="fr-FR"/>
        </w:rPr>
        <w:t xml:space="preserve"> </w:t>
      </w:r>
      <w:proofErr w:type="spellStart"/>
      <w:r w:rsidRPr="00DA2033">
        <w:rPr>
          <w:lang w:val="fr-FR"/>
        </w:rPr>
        <w:t>Dambrine</w:t>
      </w:r>
      <w:proofErr w:type="spellEnd"/>
      <w:r w:rsidRPr="00DA2033">
        <w:rPr>
          <w:lang w:val="fr-FR"/>
        </w:rPr>
        <w:t xml:space="preserve"> (</w:t>
      </w:r>
      <w:proofErr w:type="spellStart"/>
      <w:r w:rsidRPr="00DA2033">
        <w:rPr>
          <w:lang w:val="fr-FR"/>
        </w:rPr>
        <w:t>dirs</w:t>
      </w:r>
      <w:proofErr w:type="spellEnd"/>
      <w:r w:rsidRPr="00DA2033">
        <w:rPr>
          <w:lang w:val="fr-FR"/>
        </w:rPr>
        <w:t xml:space="preserve">) 2006), en relation, plus particulièrement, avec une </w:t>
      </w:r>
      <w:r w:rsidRPr="00DA2033">
        <w:rPr>
          <w:lang w:val="fr-FR"/>
        </w:rPr>
        <w:lastRenderedPageBreak/>
        <w:t xml:space="preserve">expérience du sens corporelle et sensible (Coquet 2006) ou </w:t>
      </w:r>
      <w:r w:rsidR="00BE75AB" w:rsidRPr="00DA2033">
        <w:rPr>
          <w:lang w:val="fr-FR"/>
        </w:rPr>
        <w:t xml:space="preserve">avec </w:t>
      </w:r>
      <w:r w:rsidRPr="00DA2033">
        <w:rPr>
          <w:lang w:val="fr-FR"/>
        </w:rPr>
        <w:t>les effets de tension au sein de la catégorie, antérieurs aux opérations binaires (</w:t>
      </w:r>
      <w:proofErr w:type="spellStart"/>
      <w:r w:rsidRPr="00DA2033">
        <w:rPr>
          <w:lang w:val="fr-FR"/>
        </w:rPr>
        <w:t>Zilberberg</w:t>
      </w:r>
      <w:proofErr w:type="spellEnd"/>
      <w:r w:rsidRPr="00DA2033">
        <w:rPr>
          <w:lang w:val="fr-FR"/>
        </w:rPr>
        <w:t xml:space="preserve"> 2006). Plus largement, cette focalisation sur la question de la transition nous conduit à interroger sur de nouveaux frais les principes de la sémiotique narrative. Ceci à la lumière aussi de la distinction, développée par Jean-Claude Coquet (1991), entre la « sémiotique de première génération », qui a retenu le « temps du discontinu », le discontinu étant, selon le </w:t>
      </w:r>
      <w:r w:rsidRPr="00DA2033">
        <w:rPr>
          <w:i/>
          <w:lang w:val="fr-FR"/>
        </w:rPr>
        <w:t>Dictionnaire</w:t>
      </w:r>
      <w:r w:rsidRPr="00DA2033">
        <w:rPr>
          <w:lang w:val="fr-FR"/>
        </w:rPr>
        <w:t xml:space="preserve"> de Greimas et Courtés, le « lieu de la transformation », et la « sémiotique de deuxième gé</w:t>
      </w:r>
      <w:r w:rsidR="004B7322" w:rsidRPr="00DA2033">
        <w:rPr>
          <w:lang w:val="fr-FR"/>
        </w:rPr>
        <w:t>n</w:t>
      </w:r>
      <w:r w:rsidRPr="00DA2033">
        <w:rPr>
          <w:lang w:val="fr-FR"/>
        </w:rPr>
        <w:t>é</w:t>
      </w:r>
      <w:r w:rsidR="0037157C" w:rsidRPr="00DA2033">
        <w:rPr>
          <w:lang w:val="fr-FR"/>
        </w:rPr>
        <w:t>r</w:t>
      </w:r>
      <w:r w:rsidRPr="00DA2033">
        <w:rPr>
          <w:lang w:val="fr-FR"/>
        </w:rPr>
        <w:t xml:space="preserve">ation », où la « catégorie du </w:t>
      </w:r>
      <w:r w:rsidR="000E0959" w:rsidRPr="00DA2033">
        <w:rPr>
          <w:lang w:val="fr-FR"/>
        </w:rPr>
        <w:t xml:space="preserve">discontinu </w:t>
      </w:r>
      <w:r w:rsidRPr="00DA2033">
        <w:rPr>
          <w:lang w:val="fr-FR"/>
        </w:rPr>
        <w:t xml:space="preserve">subsume les états de choses et celle du continu leur </w:t>
      </w:r>
      <w:r w:rsidRPr="00DA2033">
        <w:rPr>
          <w:i/>
          <w:lang w:val="fr-FR"/>
        </w:rPr>
        <w:t>devenir</w:t>
      </w:r>
      <w:r w:rsidRPr="00DA2033">
        <w:rPr>
          <w:lang w:val="fr-FR"/>
        </w:rPr>
        <w:t> » (</w:t>
      </w:r>
      <w:r w:rsidR="008F2DDF" w:rsidRPr="00DA2033">
        <w:rPr>
          <w:i/>
          <w:lang w:val="fr-FR"/>
        </w:rPr>
        <w:t>ibid</w:t>
      </w:r>
      <w:r w:rsidR="008F2DDF" w:rsidRPr="00DA2033">
        <w:rPr>
          <w:lang w:val="fr-FR"/>
        </w:rPr>
        <w:t>.</w:t>
      </w:r>
      <w:r w:rsidRPr="00DA2033">
        <w:rPr>
          <w:lang w:val="fr-FR"/>
        </w:rPr>
        <w:t> : 198-200).</w:t>
      </w:r>
    </w:p>
    <w:p w14:paraId="0FDE6965" w14:textId="3484231C" w:rsidR="00420B66" w:rsidRPr="00DA2033" w:rsidRDefault="00420B66" w:rsidP="00F10F72">
      <w:pPr>
        <w:jc w:val="both"/>
        <w:rPr>
          <w:lang w:val="fr-FR"/>
        </w:rPr>
      </w:pPr>
      <w:r w:rsidRPr="00DA2033">
        <w:rPr>
          <w:lang w:val="fr-FR"/>
        </w:rPr>
        <w:t xml:space="preserve">Après ce premier tour d’horizon, la question à la base de notre réflexion peut être résumée en ces termes : en quoi la notion de transition permet-elle de montrer que le processus </w:t>
      </w:r>
      <w:proofErr w:type="spellStart"/>
      <w:r w:rsidRPr="00DA2033">
        <w:rPr>
          <w:lang w:val="fr-FR"/>
        </w:rPr>
        <w:t>sémiosique</w:t>
      </w:r>
      <w:proofErr w:type="spellEnd"/>
      <w:r w:rsidRPr="00DA2033">
        <w:rPr>
          <w:lang w:val="fr-FR"/>
        </w:rPr>
        <w:t xml:space="preserve"> est </w:t>
      </w:r>
      <w:r w:rsidRPr="00DA2033">
        <w:rPr>
          <w:i/>
          <w:lang w:val="fr-FR"/>
        </w:rPr>
        <w:t>porté</w:t>
      </w:r>
      <w:r w:rsidRPr="00DA2033">
        <w:rPr>
          <w:lang w:val="fr-FR"/>
        </w:rPr>
        <w:t xml:space="preserve"> par le régime sémiotique relatif au </w:t>
      </w:r>
      <w:r w:rsidRPr="00DA2033">
        <w:rPr>
          <w:i/>
          <w:lang w:val="fr-FR"/>
        </w:rPr>
        <w:t>flux du sens</w:t>
      </w:r>
      <w:r w:rsidRPr="00DA2033">
        <w:rPr>
          <w:lang w:val="fr-FR"/>
        </w:rPr>
        <w:t xml:space="preserve"> (</w:t>
      </w:r>
      <w:proofErr w:type="spellStart"/>
      <w:r w:rsidRPr="00DA2033">
        <w:rPr>
          <w:lang w:val="fr-FR"/>
        </w:rPr>
        <w:t>Fontanille</w:t>
      </w:r>
      <w:proofErr w:type="spellEnd"/>
      <w:r w:rsidRPr="00DA2033">
        <w:rPr>
          <w:lang w:val="fr-FR"/>
        </w:rPr>
        <w:t xml:space="preserve"> &amp; </w:t>
      </w:r>
      <w:proofErr w:type="spellStart"/>
      <w:r w:rsidRPr="00DA2033">
        <w:rPr>
          <w:lang w:val="fr-FR"/>
        </w:rPr>
        <w:t>Couégnas</w:t>
      </w:r>
      <w:proofErr w:type="spellEnd"/>
      <w:r w:rsidRPr="00DA2033">
        <w:rPr>
          <w:lang w:val="fr-FR"/>
        </w:rPr>
        <w:t xml:space="preserve"> 2018 : 237), les modes de régulation cursive imprégnant </w:t>
      </w:r>
      <w:r w:rsidRPr="00DA2033">
        <w:rPr>
          <w:i/>
          <w:lang w:val="fr-FR"/>
        </w:rPr>
        <w:t>jusqu’à</w:t>
      </w:r>
      <w:r w:rsidRPr="00DA2033">
        <w:rPr>
          <w:lang w:val="fr-FR"/>
        </w:rPr>
        <w:t xml:space="preserve"> la </w:t>
      </w:r>
      <w:proofErr w:type="spellStart"/>
      <w:r w:rsidRPr="00DA2033">
        <w:rPr>
          <w:lang w:val="fr-FR"/>
        </w:rPr>
        <w:t>textualisation</w:t>
      </w:r>
      <w:proofErr w:type="spellEnd"/>
      <w:r w:rsidRPr="00DA2033">
        <w:rPr>
          <w:lang w:val="fr-FR"/>
        </w:rPr>
        <w:t> ? Aussi notre objectif sera-t-il de théoriser davantage le passage, la traversée, la transversalité (l’action de traverser les lignes, en se tournant d’un côté et de l’autre d’une frontière), le « </w:t>
      </w:r>
      <w:proofErr w:type="spellStart"/>
      <w:r w:rsidRPr="00DA2033">
        <w:rPr>
          <w:lang w:val="fr-FR"/>
        </w:rPr>
        <w:t>transphasage</w:t>
      </w:r>
      <w:proofErr w:type="spellEnd"/>
      <w:r w:rsidRPr="00DA2033">
        <w:rPr>
          <w:lang w:val="fr-FR"/>
        </w:rPr>
        <w:t> » :  postuler, au-delà ou en-deçà de la discrétisation des phases successives, le continuum qui sous-tend les changements, c’est-à-dire le flux sur lequel émergent des concrétions, des objets de sens soumis à un processus de stabilisation, mais aussi de déstabilisation.</w:t>
      </w:r>
    </w:p>
    <w:p w14:paraId="627DF52C" w14:textId="37E96976" w:rsidR="00420B66" w:rsidRPr="00DA2033" w:rsidRDefault="00420B66" w:rsidP="00F10F72">
      <w:pPr>
        <w:jc w:val="both"/>
        <w:rPr>
          <w:lang w:val="fr-FR"/>
        </w:rPr>
      </w:pPr>
      <w:r w:rsidRPr="00DA2033">
        <w:rPr>
          <w:lang w:val="fr-FR"/>
        </w:rPr>
        <w:t xml:space="preserve">Concrètement, nous choisirons d’aborder le phénomène de la transition sous trois angles : (i) celui de la </w:t>
      </w:r>
      <w:r w:rsidRPr="00DA2033">
        <w:rPr>
          <w:i/>
          <w:lang w:val="fr-FR"/>
        </w:rPr>
        <w:t>métamorphose</w:t>
      </w:r>
      <w:r w:rsidRPr="00DA2033">
        <w:rPr>
          <w:lang w:val="fr-FR"/>
        </w:rPr>
        <w:t>, (ii) celui de l’</w:t>
      </w:r>
      <w:r w:rsidRPr="00DA2033">
        <w:rPr>
          <w:i/>
          <w:lang w:val="fr-FR"/>
        </w:rPr>
        <w:t>utopie</w:t>
      </w:r>
      <w:r w:rsidRPr="00DA2033">
        <w:rPr>
          <w:lang w:val="fr-FR"/>
        </w:rPr>
        <w:t xml:space="preserve"> exemplifiant la transition, et (iii) celui de la transition qualifiée elle-même d’</w:t>
      </w:r>
      <w:r w:rsidRPr="00DA2033">
        <w:rPr>
          <w:i/>
          <w:lang w:val="fr-FR"/>
        </w:rPr>
        <w:t>utopique</w:t>
      </w:r>
      <w:r w:rsidRPr="00DA2033">
        <w:rPr>
          <w:lang w:val="fr-FR"/>
        </w:rPr>
        <w:t>. Ainsi, il s’agira de rapprocher transition et métamorphose</w:t>
      </w:r>
      <w:r w:rsidRPr="00DA2033">
        <w:rPr>
          <w:i/>
          <w:lang w:val="fr-FR"/>
        </w:rPr>
        <w:t xml:space="preserve"> </w:t>
      </w:r>
      <w:r w:rsidRPr="00DA2033">
        <w:rPr>
          <w:lang w:val="fr-FR"/>
        </w:rPr>
        <w:t>(première partie), de conjuguer la notion de transition avec celle d’</w:t>
      </w:r>
      <w:r w:rsidRPr="00DA2033">
        <w:rPr>
          <w:i/>
          <w:lang w:val="fr-FR"/>
        </w:rPr>
        <w:t>utopie</w:t>
      </w:r>
      <w:r w:rsidRPr="00DA2033">
        <w:rPr>
          <w:lang w:val="fr-FR"/>
        </w:rPr>
        <w:t xml:space="preserve"> : en quoi les recherches sur la transition-métamorphose, sous-tendue par le flux du sens, aiguillent-elles tout naturellement la pensée vers l’utopie, en particulier vers l’utopie écologique, qui cherche à trouver des réponses à la crise de l’environnement (deuxième partie) ? Enfin, dans quelle mesure la transition se définit-elle par rapport à une certaine conception de l’utopie (troisième partie) ? </w:t>
      </w:r>
    </w:p>
    <w:p w14:paraId="107FAADD" w14:textId="77777777" w:rsidR="00F10F72" w:rsidRPr="00DA2033" w:rsidRDefault="00F10F72" w:rsidP="00F10F72">
      <w:pPr>
        <w:jc w:val="both"/>
        <w:rPr>
          <w:lang w:val="fr-FR"/>
        </w:rPr>
      </w:pPr>
    </w:p>
    <w:p w14:paraId="15337CA4" w14:textId="58E95547" w:rsidR="00420B66" w:rsidRPr="00DA2033" w:rsidRDefault="00420B66" w:rsidP="00F10F72">
      <w:pPr>
        <w:pStyle w:val="Paragraphedeliste"/>
        <w:numPr>
          <w:ilvl w:val="0"/>
          <w:numId w:val="9"/>
        </w:numPr>
        <w:jc w:val="both"/>
        <w:rPr>
          <w:rFonts w:ascii="Times New Roman" w:hAnsi="Times New Roman" w:cs="Times New Roman"/>
          <w:b/>
        </w:rPr>
      </w:pPr>
      <w:r w:rsidRPr="00DA2033">
        <w:rPr>
          <w:rFonts w:ascii="Times New Roman" w:hAnsi="Times New Roman" w:cs="Times New Roman"/>
          <w:b/>
        </w:rPr>
        <w:t>Métamorphose, transition et actant transitionnel</w:t>
      </w:r>
      <w:r w:rsidR="00F10F72" w:rsidRPr="00DA2033">
        <w:rPr>
          <w:rFonts w:ascii="Times New Roman" w:hAnsi="Times New Roman" w:cs="Times New Roman"/>
          <w:b/>
        </w:rPr>
        <w:t> </w:t>
      </w:r>
      <w:r w:rsidRPr="00DA2033">
        <w:rPr>
          <w:rFonts w:ascii="Times New Roman" w:hAnsi="Times New Roman" w:cs="Times New Roman"/>
          <w:b/>
        </w:rPr>
        <w:t>: enjeux et défis théoriques</w:t>
      </w:r>
    </w:p>
    <w:p w14:paraId="51E9D924" w14:textId="77777777" w:rsidR="00F10F72" w:rsidRPr="00DA2033" w:rsidRDefault="00F10F72" w:rsidP="00F10F72">
      <w:pPr>
        <w:jc w:val="both"/>
        <w:rPr>
          <w:i/>
          <w:lang w:val="fr-FR"/>
        </w:rPr>
      </w:pPr>
    </w:p>
    <w:p w14:paraId="73416961" w14:textId="4848F042" w:rsidR="00420B66" w:rsidRPr="00DA2033" w:rsidRDefault="00420B66" w:rsidP="00F10F72">
      <w:pPr>
        <w:jc w:val="both"/>
        <w:rPr>
          <w:i/>
          <w:lang w:val="fr-FR"/>
        </w:rPr>
      </w:pPr>
      <w:r w:rsidRPr="00DA2033">
        <w:rPr>
          <w:i/>
          <w:lang w:val="fr-FR"/>
        </w:rPr>
        <w:t>11. De la méta</w:t>
      </w:r>
      <w:r w:rsidR="004B7322" w:rsidRPr="00DA2033">
        <w:rPr>
          <w:i/>
          <w:lang w:val="fr-FR"/>
        </w:rPr>
        <w:t>m</w:t>
      </w:r>
      <w:r w:rsidRPr="00DA2033">
        <w:rPr>
          <w:i/>
          <w:lang w:val="fr-FR"/>
        </w:rPr>
        <w:t>orphose au soubassement transitionnel</w:t>
      </w:r>
    </w:p>
    <w:p w14:paraId="2F74AB38" w14:textId="62255396" w:rsidR="00420B66" w:rsidRPr="00DA2033" w:rsidRDefault="00420B66" w:rsidP="00F10F72">
      <w:pPr>
        <w:jc w:val="both"/>
        <w:rPr>
          <w:lang w:val="fr-FR"/>
        </w:rPr>
      </w:pPr>
      <w:r w:rsidRPr="00DA2033">
        <w:rPr>
          <w:lang w:val="fr-FR"/>
        </w:rPr>
        <w:t xml:space="preserve">En rapprochant la transition et la métamorphose, en avançant que la transition trouve d’abord à se réaliser dans un processus métamorphique, nous sommes confrontés, d’emblée, à une hésitation définitionnelle : le </w:t>
      </w:r>
      <w:r w:rsidRPr="00DA2033">
        <w:rPr>
          <w:i/>
          <w:lang w:val="fr-FR"/>
        </w:rPr>
        <w:t>Trésor de la langue française</w:t>
      </w:r>
      <w:r w:rsidRPr="00DA2033">
        <w:rPr>
          <w:lang w:val="fr-FR"/>
        </w:rPr>
        <w:t xml:space="preserve"> (</w:t>
      </w:r>
      <w:r w:rsidRPr="00DA2033">
        <w:rPr>
          <w:i/>
          <w:lang w:val="fr-FR"/>
        </w:rPr>
        <w:t>TLF</w:t>
      </w:r>
      <w:r w:rsidRPr="00DA2033">
        <w:rPr>
          <w:lang w:val="fr-FR"/>
        </w:rPr>
        <w:t>) définit la métamorphose à la fois comme un changement (de forme, de nature, de structure ou d’apparence extérieure) si important que l’« être ou la chose qui en est l’objet n’est plus reconnaissable » et comme une modification lente, continue et progressive. D’où des enjeux de tempo, de tonicité et d’</w:t>
      </w:r>
      <w:proofErr w:type="spellStart"/>
      <w:r w:rsidRPr="00DA2033">
        <w:rPr>
          <w:lang w:val="fr-FR"/>
        </w:rPr>
        <w:t>aspectualité</w:t>
      </w:r>
      <w:proofErr w:type="spellEnd"/>
      <w:r w:rsidRPr="00DA2033">
        <w:rPr>
          <w:lang w:val="fr-FR"/>
        </w:rPr>
        <w:t>. La métamorphose peut non seulement affecter tous les él</w:t>
      </w:r>
      <w:r w:rsidR="004B7322" w:rsidRPr="00DA2033">
        <w:rPr>
          <w:lang w:val="fr-FR"/>
        </w:rPr>
        <w:t>é</w:t>
      </w:r>
      <w:r w:rsidRPr="00DA2033">
        <w:rPr>
          <w:lang w:val="fr-FR"/>
        </w:rPr>
        <w:t>ments et porter atteinte à l’identité de départ, mais être brusque et brutale</w:t>
      </w:r>
      <w:r w:rsidRPr="00DA2033">
        <w:rPr>
          <w:rStyle w:val="Appelnotedebasdep"/>
          <w:lang w:val="fr-FR"/>
        </w:rPr>
        <w:footnoteReference w:id="2"/>
      </w:r>
      <w:r w:rsidRPr="00DA2033">
        <w:rPr>
          <w:lang w:val="fr-FR"/>
        </w:rPr>
        <w:t xml:space="preserve">. Ailleurs, l’évolution graduelle, qui confirme la permanence d’un invariant structural, est ralentie. Il n’est pas anodin que dans </w:t>
      </w:r>
      <w:r w:rsidRPr="00DA2033">
        <w:rPr>
          <w:i/>
          <w:lang w:val="fr-FR"/>
        </w:rPr>
        <w:t>Grammaire des métamorphoses</w:t>
      </w:r>
      <w:r w:rsidRPr="00DA2033">
        <w:rPr>
          <w:lang w:val="fr-FR"/>
        </w:rPr>
        <w:t xml:space="preserve"> (2001), Guy Achard-Bayle prenne appui sur un extrait de </w:t>
      </w:r>
      <w:r w:rsidRPr="00DA2033">
        <w:rPr>
          <w:i/>
          <w:lang w:val="fr-FR"/>
        </w:rPr>
        <w:t>La ferme des animaux</w:t>
      </w:r>
      <w:r w:rsidRPr="00DA2033">
        <w:rPr>
          <w:lang w:val="fr-FR"/>
        </w:rPr>
        <w:t xml:space="preserve"> d’Orwell et associe certaines expressions </w:t>
      </w:r>
      <w:proofErr w:type="spellStart"/>
      <w:r w:rsidRPr="00DA2033">
        <w:rPr>
          <w:lang w:val="fr-FR"/>
        </w:rPr>
        <w:t>aspectuo</w:t>
      </w:r>
      <w:proofErr w:type="spellEnd"/>
      <w:r w:rsidRPr="00DA2033">
        <w:rPr>
          <w:lang w:val="fr-FR"/>
        </w:rPr>
        <w:t>-temporelles telles que « était en train de passer, glissaient de… à, allaient de</w:t>
      </w:r>
      <w:r w:rsidR="00992C08" w:rsidRPr="00DA2033">
        <w:rPr>
          <w:lang w:val="fr-FR"/>
        </w:rPr>
        <w:t>..</w:t>
      </w:r>
      <w:r w:rsidRPr="00DA2033">
        <w:rPr>
          <w:lang w:val="fr-FR"/>
        </w:rPr>
        <w:t>. à » à l’impression d’un procès inaccompli, d’un « étalement du temps intermédiaire, entre état initial et état final » (</w:t>
      </w:r>
      <w:r w:rsidRPr="00DA2033">
        <w:rPr>
          <w:i/>
          <w:lang w:val="fr-FR"/>
        </w:rPr>
        <w:t>ibid</w:t>
      </w:r>
      <w:r w:rsidRPr="00DA2033">
        <w:rPr>
          <w:lang w:val="fr-FR"/>
        </w:rPr>
        <w:t>. : 90). La vision est dans ce cas sécante, le procès ne se voit pas attribuer de limites ; la transition est de l’ordre du « encore » (rétention) et du « déjà » (</w:t>
      </w:r>
      <w:proofErr w:type="spellStart"/>
      <w:r w:rsidRPr="00DA2033">
        <w:rPr>
          <w:lang w:val="fr-FR"/>
        </w:rPr>
        <w:t>protention</w:t>
      </w:r>
      <w:proofErr w:type="spellEnd"/>
      <w:r w:rsidRPr="00DA2033">
        <w:rPr>
          <w:lang w:val="fr-FR"/>
        </w:rPr>
        <w:t>).</w:t>
      </w:r>
    </w:p>
    <w:p w14:paraId="29D95C49" w14:textId="52508936" w:rsidR="00420B66" w:rsidRPr="00DA2033" w:rsidRDefault="00420B66" w:rsidP="006B494C">
      <w:pPr>
        <w:jc w:val="both"/>
        <w:rPr>
          <w:lang w:val="fr-FR"/>
        </w:rPr>
      </w:pPr>
      <w:r w:rsidRPr="00DA2033">
        <w:rPr>
          <w:lang w:val="fr-FR"/>
        </w:rPr>
        <w:t xml:space="preserve">Sérions les problèmes. D’autres combinaisons sont sans doute possibles (une métamorphose précipitée mais partielle, une métamorphose lente, mais englobant tous les éléments, </w:t>
      </w:r>
      <w:r w:rsidRPr="000D3B1D">
        <w:rPr>
          <w:i/>
          <w:iCs/>
          <w:lang w:val="fr-FR"/>
        </w:rPr>
        <w:t>etc.</w:t>
      </w:r>
      <w:r w:rsidRPr="00DA2033">
        <w:rPr>
          <w:lang w:val="fr-FR"/>
        </w:rPr>
        <w:t>). Ensuite, la question de l’i</w:t>
      </w:r>
      <w:r w:rsidRPr="00DA2033">
        <w:rPr>
          <w:i/>
          <w:lang w:val="fr-FR"/>
        </w:rPr>
        <w:t>dentité</w:t>
      </w:r>
      <w:r w:rsidRPr="00DA2033">
        <w:rPr>
          <w:lang w:val="fr-FR"/>
        </w:rPr>
        <w:t xml:space="preserve"> affectée par les processus évolutifs est particulièrement </w:t>
      </w:r>
      <w:r w:rsidRPr="00DA2033">
        <w:rPr>
          <w:lang w:val="fr-FR"/>
        </w:rPr>
        <w:lastRenderedPageBreak/>
        <w:t>délicate, comme le montre avec éclat le cas du bateau de Thésée exposé par Hobbes : si toutes les planches sont remplacées successivement, la question la plus difficile concerne le moment de l’éventuelle requalification et redénomination quand l’altération est totale</w:t>
      </w:r>
      <w:r w:rsidR="001343F0" w:rsidRPr="00DA2033">
        <w:rPr>
          <w:lang w:val="fr-FR"/>
        </w:rPr>
        <w:t xml:space="preserve"> </w:t>
      </w:r>
      <w:r w:rsidRPr="00DA2033">
        <w:rPr>
          <w:lang w:val="fr-FR"/>
        </w:rPr>
        <w:t>(</w:t>
      </w:r>
      <w:proofErr w:type="spellStart"/>
      <w:r w:rsidR="001343F0" w:rsidRPr="00DA2033">
        <w:rPr>
          <w:i/>
          <w:lang w:val="fr-FR"/>
        </w:rPr>
        <w:t>ibid</w:t>
      </w:r>
      <w:proofErr w:type="spellEnd"/>
      <w:r w:rsidRPr="00DA2033">
        <w:rPr>
          <w:lang w:val="fr-FR"/>
        </w:rPr>
        <w:t> : 86). Si, du point de vue de l’identité matérielle, le bateau C reconstruit à partir des vieilles planches est identique au bateau A, sous un certain égard (en tant que collection des planches), mettre l’accent sur les transitions, c’est privilégier la continuité spatio-temporelle : dans ce cas, le bateau B provenant du bateau A dont toutes les planches ont été changées est identique à A.</w:t>
      </w:r>
    </w:p>
    <w:p w14:paraId="12B6274D" w14:textId="664C1A50" w:rsidR="00420B66" w:rsidRPr="00DA2033" w:rsidRDefault="00420B66" w:rsidP="006B494C">
      <w:pPr>
        <w:jc w:val="both"/>
        <w:rPr>
          <w:lang w:val="fr-FR"/>
        </w:rPr>
      </w:pPr>
      <w:r w:rsidRPr="00DA2033">
        <w:rPr>
          <w:lang w:val="fr-FR"/>
        </w:rPr>
        <w:t>S’il est ainsi possible de dégager une typologie des métamorphoses dont peuvent rendre compte les variations, en sens converse ou inverse l’une de l’autre, sur les axes de l’intensité et de l’étendue prévus par la modélisation tensive, le point de vue de l’</w:t>
      </w:r>
      <w:proofErr w:type="spellStart"/>
      <w:r w:rsidRPr="00DA2033">
        <w:rPr>
          <w:lang w:val="fr-FR"/>
        </w:rPr>
        <w:t>aspectualité</w:t>
      </w:r>
      <w:proofErr w:type="spellEnd"/>
      <w:r w:rsidRPr="00DA2033">
        <w:rPr>
          <w:lang w:val="fr-FR"/>
        </w:rPr>
        <w:t xml:space="preserve"> permet d’aller plus avant. Quelle que soit la nature de la métamorphose, c’est son </w:t>
      </w:r>
      <w:r w:rsidRPr="00DA2033">
        <w:rPr>
          <w:i/>
          <w:lang w:val="fr-FR"/>
        </w:rPr>
        <w:t xml:space="preserve">statut </w:t>
      </w:r>
      <w:r w:rsidRPr="00DA2033">
        <w:rPr>
          <w:lang w:val="fr-FR"/>
        </w:rPr>
        <w:t>qui pose question : est-elle tendue vers une fin ou constitue-telle un « intermédiaire » (</w:t>
      </w:r>
      <w:r w:rsidRPr="00DA2033">
        <w:rPr>
          <w:i/>
          <w:lang w:val="fr-FR"/>
        </w:rPr>
        <w:t>TLF)</w:t>
      </w:r>
      <w:r w:rsidRPr="00DA2033">
        <w:rPr>
          <w:lang w:val="fr-FR"/>
        </w:rPr>
        <w:t>, dont la mission serait d’</w:t>
      </w:r>
      <w:r w:rsidRPr="00DA2033">
        <w:rPr>
          <w:i/>
          <w:lang w:val="fr-FR"/>
        </w:rPr>
        <w:t>entretenir</w:t>
      </w:r>
      <w:r w:rsidRPr="00DA2033">
        <w:rPr>
          <w:lang w:val="fr-FR"/>
        </w:rPr>
        <w:t xml:space="preserve"> le processus ? D’où une complexité qu’il faudra essayer de dénouer, cela d’autant plus que la métamorphose est associée parfois à un chemin tracé, à un ordonnancement compatible avec l’idée de progrès, mais aussi, comme le souligne Emanuele </w:t>
      </w:r>
      <w:proofErr w:type="spellStart"/>
      <w:r w:rsidRPr="00DA2033">
        <w:rPr>
          <w:lang w:val="fr-FR"/>
        </w:rPr>
        <w:t>Coccia</w:t>
      </w:r>
      <w:proofErr w:type="spellEnd"/>
      <w:r w:rsidRPr="00DA2033">
        <w:rPr>
          <w:lang w:val="fr-FR"/>
        </w:rPr>
        <w:t xml:space="preserve"> (2020), à la migration métamorphique incessante.</w:t>
      </w:r>
    </w:p>
    <w:p w14:paraId="710E7316" w14:textId="08B6D0E1" w:rsidR="00420B66" w:rsidRPr="00DA2033" w:rsidRDefault="00420B66" w:rsidP="006B494C">
      <w:pPr>
        <w:jc w:val="both"/>
        <w:rPr>
          <w:lang w:val="fr-FR"/>
        </w:rPr>
      </w:pPr>
      <w:r w:rsidRPr="00DA2033">
        <w:rPr>
          <w:lang w:val="fr-FR"/>
        </w:rPr>
        <w:t>Ces considérations sur la métamorphose permettent de fa</w:t>
      </w:r>
      <w:r w:rsidR="00BE75AB" w:rsidRPr="00DA2033">
        <w:rPr>
          <w:lang w:val="fr-FR"/>
        </w:rPr>
        <w:t>i</w:t>
      </w:r>
      <w:r w:rsidRPr="00DA2033">
        <w:rPr>
          <w:lang w:val="fr-FR"/>
        </w:rPr>
        <w:t>re avancer la réflexion sur la transition. Elle rend la métamorphose possible, en en gérant les modalités. Plusieurs questions nous sont adressées.</w:t>
      </w:r>
    </w:p>
    <w:p w14:paraId="52620316" w14:textId="00D7A030" w:rsidR="00420B66" w:rsidRPr="00DA2033" w:rsidRDefault="00420B66" w:rsidP="006B494C">
      <w:pPr>
        <w:jc w:val="both"/>
        <w:rPr>
          <w:color w:val="000000"/>
          <w:lang w:val="fr-FR"/>
        </w:rPr>
      </w:pPr>
      <w:r w:rsidRPr="00DA2033">
        <w:rPr>
          <w:lang w:val="fr-FR"/>
        </w:rPr>
        <w:t>D’abord, du point de vue aspectuel, la transition, en charge de la rapidité ou de la lenteur des métamorphoses, de leur tonicité ou de leur ca</w:t>
      </w:r>
      <w:r w:rsidR="004B7322" w:rsidRPr="00DA2033">
        <w:rPr>
          <w:lang w:val="fr-FR"/>
        </w:rPr>
        <w:t>r</w:t>
      </w:r>
      <w:r w:rsidRPr="00DA2033">
        <w:rPr>
          <w:lang w:val="fr-FR"/>
        </w:rPr>
        <w:t xml:space="preserve">actère atone, de leur unicité ou de leur </w:t>
      </w:r>
      <w:proofErr w:type="spellStart"/>
      <w:r w:rsidRPr="00DA2033">
        <w:rPr>
          <w:lang w:val="fr-FR"/>
        </w:rPr>
        <w:t>itérativité</w:t>
      </w:r>
      <w:proofErr w:type="spellEnd"/>
      <w:r w:rsidRPr="00DA2033">
        <w:rPr>
          <w:lang w:val="fr-FR"/>
        </w:rPr>
        <w:t xml:space="preserve">, de différentes opérations </w:t>
      </w:r>
      <w:proofErr w:type="spellStart"/>
      <w:r w:rsidRPr="00DA2033">
        <w:rPr>
          <w:lang w:val="fr-FR"/>
        </w:rPr>
        <w:t>méréologiques</w:t>
      </w:r>
      <w:proofErr w:type="spellEnd"/>
      <w:r w:rsidRPr="00DA2033">
        <w:rPr>
          <w:lang w:val="fr-FR"/>
        </w:rPr>
        <w:t xml:space="preserve"> instituant des rapports entre les parties et entre les parties et le tout, échappe-t-elle, d’office, à l’emprise d’un projet tendu vers sa fin ? Ou, plus exactement, appelle-t-elle un point de vue qui sélectionne la phase </w:t>
      </w:r>
      <w:r w:rsidRPr="00DA2033">
        <w:rPr>
          <w:i/>
          <w:lang w:val="fr-FR"/>
        </w:rPr>
        <w:t>médiane</w:t>
      </w:r>
      <w:r w:rsidRPr="00DA2033">
        <w:rPr>
          <w:lang w:val="fr-FR"/>
        </w:rPr>
        <w:t xml:space="preserve"> ? Qui soit attentif à la manière dont elle donne prise au devenir, au flux du sens, plutôt qu’au résultat qui témoigne d’un achèvement et d’une clôture du processus </w:t>
      </w:r>
      <w:proofErr w:type="spellStart"/>
      <w:r w:rsidRPr="00DA2033">
        <w:rPr>
          <w:lang w:val="fr-FR"/>
        </w:rPr>
        <w:t>sémiosique</w:t>
      </w:r>
      <w:proofErr w:type="spellEnd"/>
      <w:r w:rsidRPr="00DA2033">
        <w:rPr>
          <w:lang w:val="fr-FR"/>
        </w:rPr>
        <w:t> ? Cette spécificité de la transition jette-t-elle les bases de la distinction avec la transformation, même si l’in</w:t>
      </w:r>
      <w:r w:rsidR="004B7322" w:rsidRPr="00DA2033">
        <w:rPr>
          <w:lang w:val="fr-FR"/>
        </w:rPr>
        <w:t>s</w:t>
      </w:r>
      <w:r w:rsidRPr="00DA2033">
        <w:rPr>
          <w:lang w:val="fr-FR"/>
        </w:rPr>
        <w:t>cription dans le temps leur est commune ? (</w:t>
      </w:r>
      <w:r w:rsidRPr="00DA2033">
        <w:rPr>
          <w:i/>
          <w:lang w:val="fr-FR"/>
        </w:rPr>
        <w:t>Se) transformer en quelque chose</w:t>
      </w:r>
      <w:r w:rsidRPr="00DA2033">
        <w:rPr>
          <w:lang w:val="fr-FR"/>
        </w:rPr>
        <w:t xml:space="preserve"> : le processus tend vers son but ; le procès est vectorisé et le point de vue est orienté. Certes, le </w:t>
      </w:r>
      <w:r w:rsidRPr="00DA2033">
        <w:rPr>
          <w:i/>
          <w:lang w:val="fr-FR"/>
        </w:rPr>
        <w:t xml:space="preserve">TLF </w:t>
      </w:r>
      <w:r w:rsidRPr="00DA2033">
        <w:rPr>
          <w:lang w:val="fr-FR"/>
        </w:rPr>
        <w:t>définit la transition elle-même comme le « passage d’un état à un autre ». II n’en demeure pas moins que la transition peut caractériser aussi un « </w:t>
      </w:r>
      <w:r w:rsidRPr="00DA2033">
        <w:rPr>
          <w:color w:val="000000"/>
          <w:lang w:val="fr-FR"/>
        </w:rPr>
        <w:t xml:space="preserve">degré ou état intermédiaire par lequel se fait le passage d'un état à un autre, d'un état de choses à un autre ». Elle est le développement </w:t>
      </w:r>
      <w:r w:rsidRPr="00DA2033">
        <w:rPr>
          <w:i/>
          <w:color w:val="000000"/>
          <w:lang w:val="fr-FR"/>
        </w:rPr>
        <w:t>à partir de</w:t>
      </w:r>
      <w:r w:rsidRPr="00DA2033">
        <w:rPr>
          <w:color w:val="000000"/>
          <w:lang w:val="fr-FR"/>
        </w:rPr>
        <w:t xml:space="preserve"> l’</w:t>
      </w:r>
      <w:r w:rsidRPr="00DA2033">
        <w:rPr>
          <w:i/>
          <w:color w:val="000000"/>
          <w:lang w:val="fr-FR"/>
        </w:rPr>
        <w:t>écart</w:t>
      </w:r>
      <w:r w:rsidRPr="00DA2033">
        <w:rPr>
          <w:color w:val="000000"/>
          <w:lang w:val="fr-FR"/>
        </w:rPr>
        <w:t xml:space="preserve"> dont le passage s’autorise. L’écart plutôt que la différence, inscrite dans la définition de la transformation (</w:t>
      </w:r>
      <w:r w:rsidRPr="00DA2033">
        <w:rPr>
          <w:i/>
          <w:color w:val="000000"/>
          <w:lang w:val="fr-FR"/>
        </w:rPr>
        <w:t>TLF</w:t>
      </w:r>
      <w:r w:rsidRPr="00DA2033">
        <w:rPr>
          <w:color w:val="000000"/>
          <w:lang w:val="fr-FR"/>
        </w:rPr>
        <w:t>)</w:t>
      </w:r>
      <w:r w:rsidR="00BE75AB" w:rsidRPr="00DA2033">
        <w:rPr>
          <w:color w:val="000000"/>
          <w:lang w:val="fr-FR"/>
        </w:rPr>
        <w:t>. L</w:t>
      </w:r>
      <w:r w:rsidRPr="00DA2033">
        <w:rPr>
          <w:color w:val="000000"/>
          <w:lang w:val="fr-FR"/>
        </w:rPr>
        <w:t>’écart, écrit François Jullien (2012</w:t>
      </w:r>
      <w:r w:rsidR="002F5700">
        <w:rPr>
          <w:color w:val="000000"/>
          <w:lang w:val="fr-FR"/>
        </w:rPr>
        <w:t> : 7</w:t>
      </w:r>
      <w:r w:rsidRPr="00DA2033">
        <w:rPr>
          <w:color w:val="000000"/>
          <w:lang w:val="fr-FR"/>
        </w:rPr>
        <w:t xml:space="preserve">), « relève d’une logique d’immanence ». Et aussi : </w:t>
      </w:r>
    </w:p>
    <w:p w14:paraId="62DA8841" w14:textId="77777777" w:rsidR="006B494C" w:rsidRPr="00DA2033" w:rsidRDefault="006B494C" w:rsidP="006B494C">
      <w:pPr>
        <w:jc w:val="both"/>
        <w:rPr>
          <w:lang w:val="fr-FR"/>
        </w:rPr>
      </w:pPr>
    </w:p>
    <w:p w14:paraId="151D32A5" w14:textId="2C5CCDC8" w:rsidR="00420B66" w:rsidRPr="00DA2033" w:rsidRDefault="00420B66" w:rsidP="006B494C">
      <w:pPr>
        <w:pStyle w:val="NormalWeb"/>
        <w:spacing w:before="0" w:beforeAutospacing="0" w:after="0" w:afterAutospacing="0"/>
        <w:jc w:val="both"/>
        <w:rPr>
          <w:rFonts w:ascii="Times New Roman" w:eastAsia="Times New Roman" w:hAnsi="Times New Roman"/>
          <w:sz w:val="24"/>
          <w:szCs w:val="24"/>
        </w:rPr>
      </w:pPr>
      <w:r w:rsidRPr="00DA2033">
        <w:rPr>
          <w:rFonts w:ascii="Times New Roman" w:hAnsi="Times New Roman"/>
        </w:rPr>
        <w:t>[…] par la distance ouverte, il [l</w:t>
      </w:r>
      <w:r w:rsidR="004B7322" w:rsidRPr="00DA2033">
        <w:rPr>
          <w:rFonts w:ascii="Times New Roman" w:hAnsi="Times New Roman"/>
        </w:rPr>
        <w:t>’</w:t>
      </w:r>
      <w:r w:rsidRPr="00DA2033">
        <w:rPr>
          <w:rFonts w:ascii="Times New Roman" w:hAnsi="Times New Roman"/>
        </w:rPr>
        <w:t xml:space="preserve">écart] permet un </w:t>
      </w:r>
      <w:proofErr w:type="spellStart"/>
      <w:r w:rsidRPr="00DA2033">
        <w:rPr>
          <w:rFonts w:ascii="Times New Roman" w:hAnsi="Times New Roman"/>
        </w:rPr>
        <w:t>dévisagement</w:t>
      </w:r>
      <w:proofErr w:type="spellEnd"/>
      <w:r w:rsidRPr="00DA2033">
        <w:rPr>
          <w:rFonts w:ascii="Times New Roman" w:hAnsi="Times New Roman"/>
        </w:rPr>
        <w:t xml:space="preserve"> </w:t>
      </w:r>
      <w:proofErr w:type="spellStart"/>
      <w:r w:rsidRPr="00DA2033">
        <w:rPr>
          <w:rFonts w:ascii="Times New Roman" w:hAnsi="Times New Roman"/>
        </w:rPr>
        <w:t>réciproque</w:t>
      </w:r>
      <w:proofErr w:type="spellEnd"/>
      <w:r w:rsidRPr="00DA2033">
        <w:rPr>
          <w:rFonts w:ascii="Times New Roman" w:hAnsi="Times New Roman"/>
        </w:rPr>
        <w:t xml:space="preserve"> de l’un par l’autre […]</w:t>
      </w:r>
      <w:r w:rsidR="00972D48" w:rsidRPr="00DA2033">
        <w:rPr>
          <w:rFonts w:ascii="Times New Roman" w:hAnsi="Times New Roman"/>
        </w:rPr>
        <w:t>.</w:t>
      </w:r>
      <w:r w:rsidR="00972D48" w:rsidRPr="00DA2033">
        <w:rPr>
          <w:rFonts w:ascii="Times New Roman" w:eastAsia="Times New Roman" w:hAnsi="Times New Roman"/>
        </w:rPr>
        <w:t xml:space="preserve"> </w:t>
      </w:r>
      <w:r w:rsidRPr="00DA2033">
        <w:rPr>
          <w:rFonts w:ascii="Times New Roman" w:eastAsia="Times New Roman" w:hAnsi="Times New Roman"/>
        </w:rPr>
        <w:t>Le propre de l’</w:t>
      </w:r>
      <w:proofErr w:type="spellStart"/>
      <w:r w:rsidRPr="00DA2033">
        <w:rPr>
          <w:rFonts w:ascii="Times New Roman" w:eastAsia="Times New Roman" w:hAnsi="Times New Roman"/>
        </w:rPr>
        <w:t>écart</w:t>
      </w:r>
      <w:proofErr w:type="spellEnd"/>
      <w:r w:rsidRPr="00DA2033">
        <w:rPr>
          <w:rFonts w:ascii="Times New Roman" w:eastAsia="Times New Roman" w:hAnsi="Times New Roman"/>
        </w:rPr>
        <w:t xml:space="preserve"> – et c’est là pour moi l’essentiel – c’est qu’il n’est, par suite, pas proprement aspectuel ou descriptif, comme </w:t>
      </w:r>
      <w:r w:rsidRPr="00DA2033">
        <w:rPr>
          <w:rFonts w:ascii="Times New Roman" w:eastAsia="Times New Roman" w:hAnsi="Times New Roman"/>
        </w:rPr>
        <w:t xml:space="preserve">l’est la </w:t>
      </w:r>
      <w:proofErr w:type="spellStart"/>
      <w:r w:rsidRPr="00DA2033">
        <w:rPr>
          <w:rFonts w:ascii="Times New Roman" w:eastAsia="Times New Roman" w:hAnsi="Times New Roman"/>
        </w:rPr>
        <w:t>différence</w:t>
      </w:r>
      <w:proofErr w:type="spellEnd"/>
      <w:r w:rsidRPr="00DA2033">
        <w:rPr>
          <w:rFonts w:ascii="Times New Roman" w:eastAsia="Times New Roman" w:hAnsi="Times New Roman"/>
        </w:rPr>
        <w:t xml:space="preserve">, mais </w:t>
      </w:r>
      <w:r w:rsidRPr="00DA2033">
        <w:rPr>
          <w:rFonts w:ascii="Times New Roman" w:eastAsia="Times New Roman" w:hAnsi="Times New Roman"/>
          <w:i/>
          <w:iCs/>
        </w:rPr>
        <w:t xml:space="preserve">productif </w:t>
      </w:r>
      <w:r w:rsidRPr="00DA2033">
        <w:rPr>
          <w:rFonts w:ascii="Times New Roman" w:eastAsia="Times New Roman" w:hAnsi="Times New Roman"/>
        </w:rPr>
        <w:t xml:space="preserve">– et ce dans la mesure </w:t>
      </w:r>
      <w:proofErr w:type="spellStart"/>
      <w:r w:rsidRPr="00DA2033">
        <w:rPr>
          <w:rFonts w:ascii="Times New Roman" w:eastAsia="Times New Roman" w:hAnsi="Times New Roman"/>
        </w:rPr>
        <w:t>même</w:t>
      </w:r>
      <w:proofErr w:type="spellEnd"/>
      <w:r w:rsidRPr="00DA2033">
        <w:rPr>
          <w:rFonts w:ascii="Times New Roman" w:eastAsia="Times New Roman" w:hAnsi="Times New Roman"/>
        </w:rPr>
        <w:t xml:space="preserve"> où il met en tension ce qu’il a </w:t>
      </w:r>
      <w:proofErr w:type="spellStart"/>
      <w:r w:rsidRPr="00DA2033">
        <w:rPr>
          <w:rFonts w:ascii="Times New Roman" w:eastAsia="Times New Roman" w:hAnsi="Times New Roman"/>
        </w:rPr>
        <w:t>sépare</w:t>
      </w:r>
      <w:proofErr w:type="spellEnd"/>
      <w:r w:rsidRPr="00DA2033">
        <w:rPr>
          <w:rFonts w:ascii="Times New Roman" w:eastAsia="Times New Roman" w:hAnsi="Times New Roman"/>
        </w:rPr>
        <w:t xml:space="preserve">́. </w:t>
      </w:r>
      <w:r w:rsidRPr="00DA2033">
        <w:rPr>
          <w:rFonts w:ascii="Times New Roman" w:eastAsia="Times New Roman" w:hAnsi="Times New Roman"/>
          <w:i/>
          <w:iCs/>
        </w:rPr>
        <w:t>Mettre en tension</w:t>
      </w:r>
      <w:r w:rsidR="007C0D3A">
        <w:rPr>
          <w:rFonts w:ascii="Times New Roman" w:eastAsia="Times New Roman" w:hAnsi="Times New Roman"/>
          <w:i/>
          <w:iCs/>
        </w:rPr>
        <w:t> </w:t>
      </w:r>
      <w:r w:rsidRPr="00DA2033">
        <w:rPr>
          <w:rFonts w:ascii="Times New Roman" w:eastAsia="Times New Roman" w:hAnsi="Times New Roman"/>
        </w:rPr>
        <w:t xml:space="preserve">: c’est </w:t>
      </w:r>
      <w:proofErr w:type="spellStart"/>
      <w:r w:rsidRPr="00DA2033">
        <w:rPr>
          <w:rFonts w:ascii="Times New Roman" w:eastAsia="Times New Roman" w:hAnsi="Times New Roman"/>
        </w:rPr>
        <w:t>a</w:t>
      </w:r>
      <w:proofErr w:type="spellEnd"/>
      <w:r w:rsidRPr="00DA2033">
        <w:rPr>
          <w:rFonts w:ascii="Times New Roman" w:eastAsia="Times New Roman" w:hAnsi="Times New Roman"/>
        </w:rPr>
        <w:t>̀ quoi l’</w:t>
      </w:r>
      <w:proofErr w:type="spellStart"/>
      <w:r w:rsidRPr="00DA2033">
        <w:rPr>
          <w:rFonts w:ascii="Times New Roman" w:eastAsia="Times New Roman" w:hAnsi="Times New Roman"/>
        </w:rPr>
        <w:t>écart</w:t>
      </w:r>
      <w:proofErr w:type="spellEnd"/>
      <w:r w:rsidRPr="00DA2033">
        <w:rPr>
          <w:rFonts w:ascii="Times New Roman" w:eastAsia="Times New Roman" w:hAnsi="Times New Roman"/>
        </w:rPr>
        <w:t xml:space="preserve"> doit d’</w:t>
      </w:r>
      <w:proofErr w:type="spellStart"/>
      <w:r w:rsidRPr="00DA2033">
        <w:rPr>
          <w:rFonts w:ascii="Times New Roman" w:eastAsia="Times New Roman" w:hAnsi="Times New Roman"/>
        </w:rPr>
        <w:t>opérer</w:t>
      </w:r>
      <w:proofErr w:type="spellEnd"/>
      <w:r w:rsidR="00BE75AB" w:rsidRPr="00DA2033">
        <w:rPr>
          <w:rFonts w:ascii="Times New Roman" w:eastAsia="Times New Roman" w:hAnsi="Times New Roman"/>
        </w:rPr>
        <w:t xml:space="preserve"> </w:t>
      </w:r>
      <w:r w:rsidR="00BE75AB" w:rsidRPr="00DA2033">
        <w:rPr>
          <w:rFonts w:ascii="Times New Roman" w:eastAsia="Times New Roman" w:hAnsi="Times New Roman"/>
          <w:i/>
        </w:rPr>
        <w:t>(ibid.</w:t>
      </w:r>
      <w:r w:rsidR="00BE75AB" w:rsidRPr="00DA2033">
        <w:rPr>
          <w:rFonts w:ascii="Times New Roman" w:eastAsia="Times New Roman" w:hAnsi="Times New Roman"/>
        </w:rPr>
        <w:t>)</w:t>
      </w:r>
      <w:r w:rsidRPr="00DA2033">
        <w:rPr>
          <w:rFonts w:ascii="Times New Roman" w:eastAsia="Times New Roman" w:hAnsi="Times New Roman"/>
          <w:sz w:val="24"/>
          <w:szCs w:val="24"/>
        </w:rPr>
        <w:t>.</w:t>
      </w:r>
    </w:p>
    <w:p w14:paraId="3CF5860F" w14:textId="77777777" w:rsidR="006B494C" w:rsidRPr="00DA2033" w:rsidRDefault="006B494C" w:rsidP="000D3B1D">
      <w:pPr>
        <w:pStyle w:val="NormalWeb"/>
        <w:spacing w:before="0" w:beforeAutospacing="0" w:after="0" w:afterAutospacing="0"/>
        <w:jc w:val="both"/>
        <w:rPr>
          <w:rFonts w:ascii="Times New Roman" w:eastAsia="Times New Roman" w:hAnsi="Times New Roman"/>
          <w:sz w:val="24"/>
          <w:szCs w:val="24"/>
        </w:rPr>
      </w:pPr>
    </w:p>
    <w:p w14:paraId="1C2C9AA4" w14:textId="269DE90F" w:rsidR="00420B66" w:rsidRPr="00DA2033" w:rsidRDefault="00972D48" w:rsidP="00CE46BB">
      <w:pPr>
        <w:pStyle w:val="NormalWeb"/>
        <w:spacing w:before="0" w:beforeAutospacing="0" w:after="0" w:afterAutospacing="0"/>
        <w:jc w:val="both"/>
        <w:rPr>
          <w:rFonts w:ascii="Times New Roman" w:eastAsia="Times New Roman" w:hAnsi="Times New Roman"/>
          <w:sz w:val="24"/>
          <w:szCs w:val="24"/>
        </w:rPr>
      </w:pPr>
      <w:r w:rsidRPr="00DA2033">
        <w:rPr>
          <w:rFonts w:ascii="Times New Roman" w:eastAsia="Times New Roman" w:hAnsi="Times New Roman"/>
          <w:sz w:val="24"/>
          <w:szCs w:val="24"/>
        </w:rPr>
        <w:t>Si la</w:t>
      </w:r>
      <w:r w:rsidR="00420B66" w:rsidRPr="00DA2033">
        <w:rPr>
          <w:rFonts w:ascii="Times New Roman" w:eastAsia="Times New Roman" w:hAnsi="Times New Roman"/>
          <w:sz w:val="24"/>
          <w:szCs w:val="24"/>
        </w:rPr>
        <w:t xml:space="preserve"> transformation est productrice de différences, la transition creus</w:t>
      </w:r>
      <w:r w:rsidRPr="00DA2033">
        <w:rPr>
          <w:rFonts w:ascii="Times New Roman" w:eastAsia="Times New Roman" w:hAnsi="Times New Roman"/>
          <w:sz w:val="24"/>
          <w:szCs w:val="24"/>
        </w:rPr>
        <w:t>e</w:t>
      </w:r>
      <w:r w:rsidR="00420B66" w:rsidRPr="00DA2033">
        <w:rPr>
          <w:rFonts w:ascii="Times New Roman" w:eastAsia="Times New Roman" w:hAnsi="Times New Roman"/>
          <w:sz w:val="24"/>
          <w:szCs w:val="24"/>
        </w:rPr>
        <w:t xml:space="preserve"> l’écart pour mieux créer une dynamique. </w:t>
      </w:r>
      <w:r w:rsidRPr="00DA2033">
        <w:rPr>
          <w:rFonts w:ascii="Times New Roman" w:eastAsia="Times New Roman" w:hAnsi="Times New Roman"/>
          <w:sz w:val="24"/>
          <w:szCs w:val="24"/>
        </w:rPr>
        <w:t>Elle</w:t>
      </w:r>
      <w:r w:rsidR="00420B66" w:rsidRPr="00DA2033">
        <w:rPr>
          <w:rFonts w:ascii="Times New Roman" w:eastAsia="Times New Roman" w:hAnsi="Times New Roman"/>
          <w:sz w:val="24"/>
          <w:szCs w:val="24"/>
        </w:rPr>
        <w:t xml:space="preserve"> n’a, dès lors, pas directement affaire aux identités et à leur évolution, celles-ci étant du ressort de la différence. </w:t>
      </w:r>
      <w:r w:rsidR="00BE5877" w:rsidRPr="00DA2033">
        <w:rPr>
          <w:rFonts w:ascii="Times New Roman" w:hAnsi="Times New Roman"/>
          <w:sz w:val="24"/>
          <w:szCs w:val="24"/>
        </w:rPr>
        <w:t>En</w:t>
      </w:r>
      <w:r w:rsidR="00420B66" w:rsidRPr="00DA2033">
        <w:rPr>
          <w:rFonts w:ascii="Times New Roman" w:hAnsi="Times New Roman"/>
          <w:sz w:val="24"/>
          <w:szCs w:val="24"/>
        </w:rPr>
        <w:t xml:space="preserve"> échappant au carcan de la structure narrative, </w:t>
      </w:r>
      <w:r w:rsidR="00BE5877" w:rsidRPr="00DA2033">
        <w:rPr>
          <w:rFonts w:ascii="Times New Roman" w:hAnsi="Times New Roman"/>
          <w:sz w:val="24"/>
          <w:szCs w:val="24"/>
        </w:rPr>
        <w:t>elle</w:t>
      </w:r>
      <w:r w:rsidR="00420B66" w:rsidRPr="00DA2033">
        <w:rPr>
          <w:rFonts w:ascii="Times New Roman" w:hAnsi="Times New Roman"/>
          <w:sz w:val="24"/>
          <w:szCs w:val="24"/>
        </w:rPr>
        <w:t xml:space="preserve"> favorise un</w:t>
      </w:r>
      <w:r w:rsidR="004B7322" w:rsidRPr="00DA2033">
        <w:rPr>
          <w:rFonts w:ascii="Times New Roman" w:hAnsi="Times New Roman"/>
          <w:sz w:val="24"/>
          <w:szCs w:val="24"/>
        </w:rPr>
        <w:t>e</w:t>
      </w:r>
      <w:r w:rsidR="00420B66" w:rsidRPr="00DA2033">
        <w:rPr>
          <w:rFonts w:ascii="Times New Roman" w:hAnsi="Times New Roman"/>
          <w:sz w:val="24"/>
          <w:szCs w:val="24"/>
        </w:rPr>
        <w:t xml:space="preserve"> plongée dans le devenir. </w:t>
      </w:r>
      <w:r w:rsidR="00BE5877" w:rsidRPr="00DA2033">
        <w:rPr>
          <w:rFonts w:ascii="Times New Roman" w:hAnsi="Times New Roman"/>
          <w:sz w:val="24"/>
          <w:szCs w:val="24"/>
        </w:rPr>
        <w:t>L</w:t>
      </w:r>
      <w:r w:rsidR="00420B66" w:rsidRPr="00DA2033">
        <w:rPr>
          <w:rFonts w:ascii="Times New Roman" w:hAnsi="Times New Roman"/>
          <w:sz w:val="24"/>
          <w:szCs w:val="24"/>
        </w:rPr>
        <w:t xml:space="preserve">’on peut remonter vers cette base continue où </w:t>
      </w:r>
      <w:r w:rsidR="00BE5877" w:rsidRPr="00DA2033">
        <w:rPr>
          <w:rFonts w:ascii="Times New Roman" w:hAnsi="Times New Roman"/>
          <w:sz w:val="24"/>
          <w:szCs w:val="24"/>
        </w:rPr>
        <w:t>elle</w:t>
      </w:r>
      <w:r w:rsidR="00420B66" w:rsidRPr="00DA2033">
        <w:rPr>
          <w:rFonts w:ascii="Times New Roman" w:hAnsi="Times New Roman"/>
          <w:sz w:val="24"/>
          <w:szCs w:val="24"/>
        </w:rPr>
        <w:t xml:space="preserve"> </w:t>
      </w:r>
      <w:r w:rsidR="00420B66" w:rsidRPr="00DA2033">
        <w:rPr>
          <w:rFonts w:ascii="Times New Roman" w:hAnsi="Times New Roman"/>
          <w:i/>
          <w:sz w:val="24"/>
          <w:szCs w:val="24"/>
        </w:rPr>
        <w:t>rend possibles</w:t>
      </w:r>
      <w:r w:rsidR="00420B66" w:rsidRPr="00DA2033">
        <w:rPr>
          <w:rFonts w:ascii="Times New Roman" w:hAnsi="Times New Roman"/>
          <w:sz w:val="24"/>
          <w:szCs w:val="24"/>
        </w:rPr>
        <w:t xml:space="preserve"> la segmentation et la discrétisation. Elle sous-tend la transformation en régulant le flux du sens : en gérant le déploiement de forces convergentes ou divergentes parcourant une </w:t>
      </w:r>
      <w:r w:rsidR="00420B66" w:rsidRPr="00DA2033">
        <w:rPr>
          <w:rFonts w:ascii="Times New Roman" w:hAnsi="Times New Roman"/>
          <w:i/>
          <w:sz w:val="24"/>
          <w:szCs w:val="24"/>
        </w:rPr>
        <w:t>strate</w:t>
      </w:r>
      <w:r w:rsidR="004B7322" w:rsidRPr="00DA2033">
        <w:rPr>
          <w:rFonts w:ascii="Times New Roman" w:hAnsi="Times New Roman"/>
          <w:i/>
          <w:sz w:val="24"/>
          <w:szCs w:val="24"/>
        </w:rPr>
        <w:t xml:space="preserve"> </w:t>
      </w:r>
      <w:r w:rsidR="00420B66" w:rsidRPr="00DA2033">
        <w:rPr>
          <w:rFonts w:ascii="Times New Roman" w:hAnsi="Times New Roman"/>
          <w:i/>
          <w:sz w:val="24"/>
          <w:szCs w:val="24"/>
        </w:rPr>
        <w:t>d’organisation du sens profonde</w:t>
      </w:r>
      <w:r w:rsidR="00420B66" w:rsidRPr="00DA2033">
        <w:rPr>
          <w:rFonts w:ascii="Times New Roman" w:hAnsi="Times New Roman"/>
          <w:sz w:val="24"/>
          <w:szCs w:val="24"/>
        </w:rPr>
        <w:t xml:space="preserve">. Si les transformations sont concomitantes, </w:t>
      </w:r>
      <w:proofErr w:type="spellStart"/>
      <w:r w:rsidR="00420B66" w:rsidRPr="00DA2033">
        <w:rPr>
          <w:rFonts w:ascii="Times New Roman" w:hAnsi="Times New Roman"/>
          <w:sz w:val="24"/>
          <w:szCs w:val="24"/>
        </w:rPr>
        <w:t>plurilinéaires</w:t>
      </w:r>
      <w:proofErr w:type="spellEnd"/>
      <w:r w:rsidR="00420B66" w:rsidRPr="00DA2033">
        <w:rPr>
          <w:rFonts w:ascii="Times New Roman" w:hAnsi="Times New Roman"/>
          <w:sz w:val="24"/>
          <w:szCs w:val="24"/>
        </w:rPr>
        <w:t xml:space="preserve">, c’est grâce à ce </w:t>
      </w:r>
      <w:r w:rsidR="00420B66" w:rsidRPr="00DA2033">
        <w:rPr>
          <w:rFonts w:ascii="Times New Roman" w:hAnsi="Times New Roman"/>
          <w:i/>
          <w:sz w:val="24"/>
          <w:szCs w:val="24"/>
        </w:rPr>
        <w:t xml:space="preserve">soubassement tensionnel, </w:t>
      </w:r>
      <w:r w:rsidR="00420B66" w:rsidRPr="00DA2033">
        <w:rPr>
          <w:rFonts w:ascii="Times New Roman" w:hAnsi="Times New Roman"/>
          <w:sz w:val="24"/>
          <w:szCs w:val="24"/>
        </w:rPr>
        <w:t xml:space="preserve">dont le phénomène de la transition a la charge. Si </w:t>
      </w:r>
      <w:r w:rsidRPr="00DA2033">
        <w:rPr>
          <w:rFonts w:ascii="Times New Roman" w:hAnsi="Times New Roman"/>
          <w:sz w:val="24"/>
          <w:szCs w:val="24"/>
        </w:rPr>
        <w:t>elles</w:t>
      </w:r>
      <w:r w:rsidR="00420B66" w:rsidRPr="00DA2033">
        <w:rPr>
          <w:rFonts w:ascii="Times New Roman" w:hAnsi="Times New Roman"/>
          <w:sz w:val="24"/>
          <w:szCs w:val="24"/>
        </w:rPr>
        <w:t xml:space="preserve"> agiss</w:t>
      </w:r>
      <w:r w:rsidR="004B7322" w:rsidRPr="00DA2033">
        <w:rPr>
          <w:rFonts w:ascii="Times New Roman" w:hAnsi="Times New Roman"/>
          <w:sz w:val="24"/>
          <w:szCs w:val="24"/>
        </w:rPr>
        <w:t>e</w:t>
      </w:r>
      <w:r w:rsidR="00420B66" w:rsidRPr="00DA2033">
        <w:rPr>
          <w:rFonts w:ascii="Times New Roman" w:hAnsi="Times New Roman"/>
          <w:sz w:val="24"/>
          <w:szCs w:val="24"/>
        </w:rPr>
        <w:t>nt au sein d’un parcours de type narratif, elles renvoient aux transitions qui les « anticipent</w:t>
      </w:r>
      <w:r w:rsidR="00D30752" w:rsidRPr="00DA2033">
        <w:rPr>
          <w:rFonts w:ascii="Times New Roman" w:hAnsi="Times New Roman"/>
          <w:sz w:val="24"/>
          <w:szCs w:val="24"/>
        </w:rPr>
        <w:t xml:space="preserve"> » </w:t>
      </w:r>
      <w:r w:rsidR="00420B66" w:rsidRPr="00DA2033">
        <w:rPr>
          <w:rFonts w:ascii="Times New Roman" w:hAnsi="Times New Roman"/>
          <w:sz w:val="24"/>
          <w:szCs w:val="24"/>
        </w:rPr>
        <w:t>(</w:t>
      </w:r>
      <w:proofErr w:type="spellStart"/>
      <w:r w:rsidR="00420B66" w:rsidRPr="00DA2033">
        <w:rPr>
          <w:rFonts w:ascii="Times New Roman" w:hAnsi="Times New Roman"/>
          <w:sz w:val="24"/>
          <w:szCs w:val="24"/>
        </w:rPr>
        <w:t>Basso</w:t>
      </w:r>
      <w:proofErr w:type="spellEnd"/>
      <w:r w:rsidR="00420B66" w:rsidRPr="00DA2033">
        <w:rPr>
          <w:rFonts w:ascii="Times New Roman" w:hAnsi="Times New Roman"/>
          <w:sz w:val="24"/>
          <w:szCs w:val="24"/>
        </w:rPr>
        <w:t xml:space="preserve"> </w:t>
      </w:r>
      <w:proofErr w:type="spellStart"/>
      <w:r w:rsidR="00420B66" w:rsidRPr="00DA2033">
        <w:rPr>
          <w:rFonts w:ascii="Times New Roman" w:hAnsi="Times New Roman"/>
          <w:sz w:val="24"/>
          <w:szCs w:val="24"/>
        </w:rPr>
        <w:t>Fossali</w:t>
      </w:r>
      <w:proofErr w:type="spellEnd"/>
      <w:r w:rsidR="00420B66" w:rsidRPr="00DA2033">
        <w:rPr>
          <w:rFonts w:ascii="Times New Roman" w:hAnsi="Times New Roman"/>
          <w:sz w:val="24"/>
          <w:szCs w:val="24"/>
        </w:rPr>
        <w:t xml:space="preserve"> 2017 : 349</w:t>
      </w:r>
      <w:r w:rsidRPr="00DA2033">
        <w:rPr>
          <w:rFonts w:ascii="Times New Roman" w:hAnsi="Times New Roman"/>
          <w:sz w:val="24"/>
          <w:szCs w:val="24"/>
        </w:rPr>
        <w:t>) et font</w:t>
      </w:r>
      <w:r w:rsidR="00420B66" w:rsidRPr="00DA2033">
        <w:rPr>
          <w:rFonts w:ascii="Times New Roman" w:hAnsi="Times New Roman"/>
          <w:sz w:val="24"/>
          <w:szCs w:val="24"/>
        </w:rPr>
        <w:t xml:space="preserve"> valoir la multiplicité des relations</w:t>
      </w:r>
      <w:r w:rsidR="00D30752" w:rsidRPr="00DA2033">
        <w:rPr>
          <w:rFonts w:ascii="Times New Roman" w:hAnsi="Times New Roman"/>
          <w:sz w:val="24"/>
          <w:szCs w:val="24"/>
        </w:rPr>
        <w:t xml:space="preserve"> </w:t>
      </w:r>
      <w:r w:rsidR="00D30752" w:rsidRPr="00DA2033">
        <w:rPr>
          <w:rFonts w:ascii="Times New Roman" w:hAnsi="Times New Roman"/>
          <w:sz w:val="24"/>
          <w:szCs w:val="24"/>
        </w:rPr>
        <w:lastRenderedPageBreak/>
        <w:t>fondées sur une transitivité</w:t>
      </w:r>
      <w:r w:rsidR="00420B66" w:rsidRPr="00DA2033">
        <w:rPr>
          <w:rFonts w:ascii="Times New Roman" w:hAnsi="Times New Roman"/>
          <w:sz w:val="24"/>
          <w:szCs w:val="24"/>
        </w:rPr>
        <w:t>. La transition permet ainsi d’expérimenter des embranchements, des bifurcations, des retours en arrière, des boucles. En cela, elle ne concerne pas le seul développement sur l’axe syntagmatique, mais aussi la superposition de variantes dans l’épaisseur du discours</w:t>
      </w:r>
      <w:r w:rsidRPr="00DA2033">
        <w:rPr>
          <w:rFonts w:ascii="Times New Roman" w:hAnsi="Times New Roman"/>
          <w:sz w:val="24"/>
          <w:szCs w:val="24"/>
        </w:rPr>
        <w:t>, qui</w:t>
      </w:r>
      <w:r w:rsidR="00420B66" w:rsidRPr="00DA2033">
        <w:rPr>
          <w:rFonts w:ascii="Times New Roman" w:hAnsi="Times New Roman"/>
          <w:sz w:val="24"/>
          <w:szCs w:val="24"/>
        </w:rPr>
        <w:t xml:space="preserve"> entrent en résonance et en dissonance les unes avec les autres. Si les transformations et les conversions mettent elles-mêmes à contribution les axes syntagmatique et paradigmatique, c’est-à-dire une horizontalité et une verticalité</w:t>
      </w:r>
      <w:r w:rsidRPr="00DA2033">
        <w:rPr>
          <w:rFonts w:ascii="Times New Roman" w:hAnsi="Times New Roman"/>
          <w:sz w:val="24"/>
          <w:szCs w:val="24"/>
        </w:rPr>
        <w:t xml:space="preserve"> (</w:t>
      </w:r>
      <w:r w:rsidR="00420B66" w:rsidRPr="00DA2033">
        <w:rPr>
          <w:rFonts w:ascii="Times New Roman" w:hAnsi="Times New Roman"/>
          <w:sz w:val="24"/>
          <w:szCs w:val="24"/>
        </w:rPr>
        <w:t>Greimas et Courtés 1979 : 399-402), la transition confère à ce double mouvement ses fondements tensionnels.</w:t>
      </w:r>
    </w:p>
    <w:p w14:paraId="76354FFB" w14:textId="256E8D8E" w:rsidR="00633537" w:rsidRPr="00DA2033" w:rsidRDefault="00420B66" w:rsidP="00CE46BB">
      <w:pPr>
        <w:jc w:val="both"/>
        <w:rPr>
          <w:lang w:val="fr-FR"/>
        </w:rPr>
      </w:pPr>
      <w:r w:rsidRPr="00DA2033">
        <w:rPr>
          <w:lang w:val="fr-FR"/>
        </w:rPr>
        <w:t xml:space="preserve">Ensuite, les passages transitionnels doivent garantir la </w:t>
      </w:r>
      <w:r w:rsidRPr="00DA2033">
        <w:rPr>
          <w:i/>
          <w:lang w:val="fr-FR"/>
        </w:rPr>
        <w:t>cohésion</w:t>
      </w:r>
      <w:r w:rsidRPr="00DA2033">
        <w:rPr>
          <w:lang w:val="fr-FR"/>
        </w:rPr>
        <w:t xml:space="preserve"> de l’ensemble, </w:t>
      </w:r>
      <w:r w:rsidR="00714CFE" w:rsidRPr="00DA2033">
        <w:rPr>
          <w:lang w:val="fr-FR"/>
        </w:rPr>
        <w:t xml:space="preserve">sans que soit visée explicitement la cohérence globale dont </w:t>
      </w:r>
      <w:r w:rsidRPr="00DA2033">
        <w:rPr>
          <w:lang w:val="fr-FR"/>
        </w:rPr>
        <w:t xml:space="preserve">la </w:t>
      </w:r>
      <w:proofErr w:type="spellStart"/>
      <w:r w:rsidRPr="00DA2033">
        <w:rPr>
          <w:lang w:val="fr-FR"/>
        </w:rPr>
        <w:t>syntagmatisation</w:t>
      </w:r>
      <w:proofErr w:type="spellEnd"/>
      <w:r w:rsidRPr="00DA2033">
        <w:rPr>
          <w:lang w:val="fr-FR"/>
        </w:rPr>
        <w:t xml:space="preserve"> narrative</w:t>
      </w:r>
      <w:r w:rsidR="00714CFE" w:rsidRPr="00DA2033">
        <w:rPr>
          <w:lang w:val="fr-FR"/>
        </w:rPr>
        <w:t xml:space="preserve"> est la garante</w:t>
      </w:r>
      <w:r w:rsidRPr="00DA2033">
        <w:rPr>
          <w:lang w:val="fr-FR"/>
        </w:rPr>
        <w:t>. La transition</w:t>
      </w:r>
      <w:r w:rsidR="00714CFE" w:rsidRPr="00DA2033">
        <w:rPr>
          <w:lang w:val="fr-FR"/>
        </w:rPr>
        <w:t xml:space="preserve"> </w:t>
      </w:r>
      <w:r w:rsidRPr="00DA2033">
        <w:rPr>
          <w:lang w:val="fr-FR"/>
        </w:rPr>
        <w:t xml:space="preserve">doit veiller à la saturation des liens ana-et cataphoriques, au sens large du terme. Ces liens se traduisent par l’établissement de relations de conjonction, de succession, mais aussi d’opposition, de concession, </w:t>
      </w:r>
      <w:r w:rsidRPr="000D3B1D">
        <w:rPr>
          <w:i/>
          <w:iCs/>
          <w:lang w:val="fr-FR"/>
        </w:rPr>
        <w:t>etc.</w:t>
      </w:r>
      <w:r w:rsidRPr="00DA2033">
        <w:rPr>
          <w:lang w:val="fr-FR"/>
        </w:rPr>
        <w:t xml:space="preserve"> : </w:t>
      </w:r>
      <w:r w:rsidRPr="00DA2033">
        <w:rPr>
          <w:i/>
          <w:lang w:val="fr-FR"/>
        </w:rPr>
        <w:t>et, ensuite, donc, après, par contre</w:t>
      </w:r>
      <w:r w:rsidRPr="00DA2033">
        <w:rPr>
          <w:lang w:val="fr-FR"/>
        </w:rPr>
        <w:t xml:space="preserve">…, les conjonctions, prépositions et adverbes attestant au niveau de la manifestation linguistique des mises en </w:t>
      </w:r>
      <w:r w:rsidRPr="00DA2033">
        <w:rPr>
          <w:i/>
          <w:lang w:val="fr-FR"/>
        </w:rPr>
        <w:t>résonance</w:t>
      </w:r>
      <w:r w:rsidRPr="00DA2033">
        <w:rPr>
          <w:lang w:val="fr-FR"/>
        </w:rPr>
        <w:t xml:space="preserve"> et en </w:t>
      </w:r>
      <w:r w:rsidRPr="00DA2033">
        <w:rPr>
          <w:i/>
          <w:lang w:val="fr-FR"/>
        </w:rPr>
        <w:t>dissonance</w:t>
      </w:r>
      <w:r w:rsidRPr="00DA2033">
        <w:rPr>
          <w:lang w:val="fr-FR"/>
        </w:rPr>
        <w:t xml:space="preserve"> fondamentales.</w:t>
      </w:r>
    </w:p>
    <w:p w14:paraId="764A382E" w14:textId="77777777" w:rsidR="00420B66" w:rsidRPr="00DA2033" w:rsidRDefault="00420B66" w:rsidP="00CE46BB">
      <w:pPr>
        <w:jc w:val="both"/>
        <w:rPr>
          <w:i/>
          <w:sz w:val="20"/>
          <w:szCs w:val="20"/>
          <w:lang w:val="fr-FR"/>
        </w:rPr>
      </w:pPr>
      <w:r w:rsidRPr="00DA2033">
        <w:rPr>
          <w:lang w:val="fr-FR"/>
        </w:rPr>
        <w:t>D’où une négociation permanente, le franchissement des limites (de la phrase, d’une surface peinte…) étant caractérisé par un coefficient de célérité et de tonicité, en fonction de la résistance qu’il s’agit de vaincre</w:t>
      </w:r>
      <w:r w:rsidR="00BE5877" w:rsidRPr="00DA2033">
        <w:rPr>
          <w:lang w:val="fr-FR"/>
        </w:rPr>
        <w:t>.</w:t>
      </w:r>
      <w:r w:rsidR="00633537" w:rsidRPr="00DA2033">
        <w:rPr>
          <w:lang w:val="fr-FR"/>
        </w:rPr>
        <w:t xml:space="preserve"> </w:t>
      </w:r>
      <w:r w:rsidRPr="00DA2033">
        <w:rPr>
          <w:lang w:val="fr-FR"/>
        </w:rPr>
        <w:t xml:space="preserve">Considérons </w:t>
      </w:r>
      <w:r w:rsidR="00714CFE" w:rsidRPr="00DA2033">
        <w:rPr>
          <w:i/>
          <w:lang w:val="fr-FR"/>
        </w:rPr>
        <w:t>Composition en rouge, jaune et bleu</w:t>
      </w:r>
      <w:r w:rsidR="00047140" w:rsidRPr="00DA2033">
        <w:rPr>
          <w:lang w:val="fr-FR"/>
        </w:rPr>
        <w:t xml:space="preserve"> de Mondrian</w:t>
      </w:r>
      <w:r w:rsidR="00714CFE" w:rsidRPr="00DA2033">
        <w:rPr>
          <w:rStyle w:val="Appelnotedebasdep"/>
          <w:lang w:val="fr-FR"/>
        </w:rPr>
        <w:footnoteReference w:id="3"/>
      </w:r>
      <w:r w:rsidRPr="00DA2033">
        <w:rPr>
          <w:lang w:val="fr-FR"/>
        </w:rPr>
        <w:t xml:space="preserve">. </w:t>
      </w:r>
      <w:r w:rsidRPr="00DA2033">
        <w:rPr>
          <w:i/>
          <w:lang w:val="fr-FR"/>
        </w:rPr>
        <w:t>A priori</w:t>
      </w:r>
      <w:r w:rsidRPr="00DA2033">
        <w:rPr>
          <w:lang w:val="fr-FR"/>
        </w:rPr>
        <w:t xml:space="preserve">, la ligne noire s’oppose au </w:t>
      </w:r>
      <w:r w:rsidRPr="00DA2033">
        <w:rPr>
          <w:i/>
          <w:lang w:val="fr-FR"/>
        </w:rPr>
        <w:t>flou</w:t>
      </w:r>
      <w:r w:rsidRPr="00DA2033">
        <w:rPr>
          <w:lang w:val="fr-FR"/>
        </w:rPr>
        <w:t xml:space="preserve"> qui, entre rétention et </w:t>
      </w:r>
      <w:proofErr w:type="spellStart"/>
      <w:r w:rsidRPr="00DA2033">
        <w:rPr>
          <w:lang w:val="fr-FR"/>
        </w:rPr>
        <w:t>protention</w:t>
      </w:r>
      <w:proofErr w:type="spellEnd"/>
      <w:r w:rsidRPr="00DA2033">
        <w:rPr>
          <w:lang w:val="fr-FR"/>
        </w:rPr>
        <w:t>, facilite le passage et lui fait perdre en intensité</w:t>
      </w:r>
      <w:r w:rsidR="00BE5877" w:rsidRPr="00DA2033">
        <w:rPr>
          <w:rStyle w:val="Appelnotedebasdep"/>
          <w:lang w:val="fr-FR"/>
        </w:rPr>
        <w:footnoteReference w:id="4"/>
      </w:r>
      <w:r w:rsidRPr="00DA2033">
        <w:rPr>
          <w:lang w:val="fr-FR"/>
        </w:rPr>
        <w:t xml:space="preserve">. </w:t>
      </w:r>
    </w:p>
    <w:p w14:paraId="185A4169" w14:textId="6EABFB52" w:rsidR="00420B66" w:rsidRPr="00DA2033" w:rsidRDefault="00420B66" w:rsidP="00CE46BB">
      <w:pPr>
        <w:jc w:val="both"/>
        <w:rPr>
          <w:lang w:val="fr-FR"/>
        </w:rPr>
      </w:pPr>
      <w:r w:rsidRPr="00DA2033">
        <w:rPr>
          <w:lang w:val="fr-FR"/>
        </w:rPr>
        <w:t xml:space="preserve">Justement, la transition à la fois crée l’interstice et appelle son comblement dynamique et à </w:t>
      </w:r>
      <w:r w:rsidRPr="00DA2033">
        <w:rPr>
          <w:lang w:val="fr-FR"/>
        </w:rPr>
        <w:t xml:space="preserve">jamais provisoire. Elle instille dans les lignes de Mondrian elles-mêmes cette disponibilité qui fait qu’elles peuvent constituer des « segments de plans dynamiques », des « convoyeurs d’énergie sur toute la surface qui se gonflent ou se resserrent, modifient leur couleur, </w:t>
      </w:r>
      <w:r w:rsidRPr="000D3B1D">
        <w:rPr>
          <w:i/>
          <w:iCs/>
          <w:lang w:val="fr-FR"/>
        </w:rPr>
        <w:t>etc</w:t>
      </w:r>
      <w:r w:rsidR="00D823C6" w:rsidRPr="000D3B1D">
        <w:rPr>
          <w:i/>
          <w:iCs/>
          <w:lang w:val="fr-FR"/>
        </w:rPr>
        <w:t>.</w:t>
      </w:r>
      <w:r w:rsidRPr="00DA2033">
        <w:rPr>
          <w:lang w:val="fr-FR"/>
        </w:rPr>
        <w:t> » (Saint-Martin 2010 : 92)</w:t>
      </w:r>
      <w:r w:rsidR="00DD2DD5">
        <w:rPr>
          <w:lang w:val="fr-FR"/>
        </w:rPr>
        <w:t>.</w:t>
      </w:r>
    </w:p>
    <w:p w14:paraId="598C26FE" w14:textId="6E290A95" w:rsidR="00420B66" w:rsidRPr="00DA2033" w:rsidRDefault="00420B66" w:rsidP="00CE46BB">
      <w:pPr>
        <w:jc w:val="both"/>
        <w:rPr>
          <w:lang w:val="fr-FR"/>
        </w:rPr>
      </w:pPr>
      <w:r w:rsidRPr="00DA2033">
        <w:rPr>
          <w:rFonts w:eastAsiaTheme="minorHAnsi"/>
          <w:lang w:val="fr-FR" w:eastAsia="en-US"/>
        </w:rPr>
        <w:t xml:space="preserve">Par ailleurs, </w:t>
      </w:r>
      <w:r w:rsidRPr="00DA2033">
        <w:rPr>
          <w:lang w:val="fr-FR"/>
        </w:rPr>
        <w:t xml:space="preserve">les éléments ainsi reliés contribuent de manière plus ou moins directe au tout de sens (perspective </w:t>
      </w:r>
      <w:proofErr w:type="spellStart"/>
      <w:r w:rsidRPr="00DA2033">
        <w:rPr>
          <w:lang w:val="fr-FR"/>
        </w:rPr>
        <w:t>méréologique</w:t>
      </w:r>
      <w:proofErr w:type="spellEnd"/>
      <w:r w:rsidRPr="00DA2033">
        <w:rPr>
          <w:lang w:val="fr-FR"/>
        </w:rPr>
        <w:t xml:space="preserve">). S’il est possible de distinguer </w:t>
      </w:r>
      <w:r w:rsidRPr="00DA2033">
        <w:rPr>
          <w:rFonts w:eastAsiaTheme="minorHAnsi"/>
          <w:lang w:val="fr-FR" w:eastAsia="en-US"/>
        </w:rPr>
        <w:t xml:space="preserve">des </w:t>
      </w:r>
      <w:r w:rsidRPr="00DA2033">
        <w:rPr>
          <w:i/>
          <w:lang w:val="fr-FR"/>
        </w:rPr>
        <w:t>types de compositio</w:t>
      </w:r>
      <w:r w:rsidRPr="00DA2033">
        <w:rPr>
          <w:lang w:val="fr-FR"/>
        </w:rPr>
        <w:t xml:space="preserve">n, sans doute la transition concerne-t-elle avant tout des éléments associés par </w:t>
      </w:r>
      <w:r w:rsidRPr="00DA2033">
        <w:rPr>
          <w:i/>
          <w:lang w:val="fr-FR"/>
        </w:rPr>
        <w:t>paires</w:t>
      </w:r>
      <w:r w:rsidRPr="00DA2033">
        <w:rPr>
          <w:lang w:val="fr-FR"/>
        </w:rPr>
        <w:t xml:space="preserve">, sans que soit visée explicitement leur subordination au tout de sens : donc, à l’image des chaînons qui, ponctuellement, établissent le passage (par exemple entre deux paragraphes) et évitent tout </w:t>
      </w:r>
      <w:r w:rsidRPr="00DA2033">
        <w:rPr>
          <w:lang w:val="fr-FR"/>
        </w:rPr>
        <w:t>hiatus.</w:t>
      </w:r>
    </w:p>
    <w:p w14:paraId="70C0D3E8" w14:textId="4F129C73" w:rsidR="00420B66" w:rsidRPr="00DA2033" w:rsidRDefault="00420B66" w:rsidP="00CE46BB">
      <w:pPr>
        <w:jc w:val="both"/>
        <w:rPr>
          <w:lang w:val="fr-FR"/>
        </w:rPr>
      </w:pPr>
      <w:r w:rsidRPr="00DA2033">
        <w:rPr>
          <w:lang w:val="fr-FR"/>
        </w:rPr>
        <w:t xml:space="preserve">Pour toutes ces raisons, quand les limites sont transformées en seuils, la transition pourvoit le parcours d’un </w:t>
      </w:r>
      <w:r w:rsidRPr="00DA2033">
        <w:rPr>
          <w:i/>
          <w:lang w:val="fr-FR"/>
        </w:rPr>
        <w:t>liant</w:t>
      </w:r>
      <w:r w:rsidRPr="00DA2033">
        <w:rPr>
          <w:lang w:val="fr-FR"/>
        </w:rPr>
        <w:t xml:space="preserve"> entre les étapes. Elle est en charge d’une </w:t>
      </w:r>
      <w:r w:rsidRPr="00DA2033">
        <w:rPr>
          <w:i/>
          <w:lang w:val="fr-FR"/>
        </w:rPr>
        <w:t>fluidification du sens</w:t>
      </w:r>
      <w:r w:rsidRPr="00DA2033">
        <w:rPr>
          <w:lang w:val="fr-FR"/>
        </w:rPr>
        <w:t>, contre les coagulations et les stabilisations (</w:t>
      </w:r>
      <w:proofErr w:type="spellStart"/>
      <w:r w:rsidRPr="00DA2033">
        <w:rPr>
          <w:lang w:val="fr-FR"/>
        </w:rPr>
        <w:t>Basso</w:t>
      </w:r>
      <w:proofErr w:type="spellEnd"/>
      <w:r w:rsidRPr="00DA2033">
        <w:rPr>
          <w:lang w:val="fr-FR"/>
        </w:rPr>
        <w:t xml:space="preserve"> </w:t>
      </w:r>
      <w:proofErr w:type="spellStart"/>
      <w:r w:rsidRPr="00DA2033">
        <w:rPr>
          <w:lang w:val="fr-FR"/>
        </w:rPr>
        <w:t>Fossali</w:t>
      </w:r>
      <w:proofErr w:type="spellEnd"/>
      <w:r w:rsidRPr="00DA2033">
        <w:rPr>
          <w:lang w:val="fr-FR"/>
        </w:rPr>
        <w:t xml:space="preserve"> 2017 : 349-353). Aucun engoncement dans un modèle narratif, mais un déroulement lié à une </w:t>
      </w:r>
      <w:r w:rsidRPr="00DA2033">
        <w:rPr>
          <w:i/>
          <w:lang w:val="fr-FR"/>
        </w:rPr>
        <w:t>visée</w:t>
      </w:r>
      <w:r w:rsidRPr="00DA2033">
        <w:rPr>
          <w:lang w:val="fr-FR"/>
        </w:rPr>
        <w:t xml:space="preserve"> qui s’oppose à la saisie rétrospective d’un algorithme de transformation</w:t>
      </w:r>
      <w:r w:rsidR="00C85AD6" w:rsidRPr="00DA2033">
        <w:rPr>
          <w:lang w:val="fr-FR"/>
        </w:rPr>
        <w:t>s</w:t>
      </w:r>
      <w:r w:rsidRPr="00DA2033">
        <w:rPr>
          <w:lang w:val="fr-FR"/>
        </w:rPr>
        <w:t>. Si les transitions animent un parcours narratif, c’est en sous-main, en assurant le passage d’une « zone d’organisation des valeurs </w:t>
      </w:r>
      <w:proofErr w:type="gramStart"/>
      <w:r w:rsidRPr="00DA2033">
        <w:rPr>
          <w:lang w:val="fr-FR"/>
        </w:rPr>
        <w:t xml:space="preserve">» </w:t>
      </w:r>
      <w:r w:rsidR="000D3B1D">
        <w:rPr>
          <w:lang w:val="fr-FR"/>
        </w:rPr>
        <w:t xml:space="preserve"> (</w:t>
      </w:r>
      <w:proofErr w:type="gramEnd"/>
      <w:r w:rsidR="000D3B1D" w:rsidRPr="000D3B1D">
        <w:rPr>
          <w:i/>
          <w:lang w:val="fr-FR"/>
        </w:rPr>
        <w:t>ibid</w:t>
      </w:r>
      <w:r w:rsidR="000D3B1D">
        <w:rPr>
          <w:lang w:val="fr-FR"/>
        </w:rPr>
        <w:t xml:space="preserve">.) </w:t>
      </w:r>
      <w:r w:rsidRPr="00DA2033">
        <w:rPr>
          <w:lang w:val="fr-FR"/>
        </w:rPr>
        <w:t>à une autre.</w:t>
      </w:r>
    </w:p>
    <w:p w14:paraId="308E723A" w14:textId="0F82EFCF" w:rsidR="00420B66" w:rsidRPr="00DA2033" w:rsidRDefault="00420B66" w:rsidP="00CE46BB">
      <w:pPr>
        <w:jc w:val="both"/>
        <w:rPr>
          <w:lang w:val="fr-FR"/>
        </w:rPr>
      </w:pPr>
      <w:r w:rsidRPr="00DA2033">
        <w:rPr>
          <w:lang w:val="fr-FR"/>
        </w:rPr>
        <w:t xml:space="preserve">Les conséquences sont doubles. D’une part, la transition permet de renouer avec le cheminement, c’est-à-dire avec le </w:t>
      </w:r>
      <w:r w:rsidRPr="00DA2033">
        <w:rPr>
          <w:i/>
          <w:lang w:val="fr-FR"/>
        </w:rPr>
        <w:t>trajet</w:t>
      </w:r>
      <w:r w:rsidRPr="00DA2033">
        <w:rPr>
          <w:lang w:val="fr-FR"/>
        </w:rPr>
        <w:t xml:space="preserve"> et la </w:t>
      </w:r>
      <w:r w:rsidRPr="00DA2033">
        <w:rPr>
          <w:i/>
          <w:lang w:val="fr-FR"/>
        </w:rPr>
        <w:t>trajectoire</w:t>
      </w:r>
      <w:r w:rsidRPr="00DA2033">
        <w:rPr>
          <w:lang w:val="fr-FR"/>
        </w:rPr>
        <w:t xml:space="preserve"> (Ingold 2011-2013). No</w:t>
      </w:r>
      <w:r w:rsidR="00047140" w:rsidRPr="00DA2033">
        <w:rPr>
          <w:lang w:val="fr-FR"/>
        </w:rPr>
        <w:t>u</w:t>
      </w:r>
      <w:r w:rsidRPr="00DA2033">
        <w:rPr>
          <w:lang w:val="fr-FR"/>
        </w:rPr>
        <w:t xml:space="preserve">s dirons qu’il ne s’agit pas seulement de connecter des éléments déjà donnés avec d’autres éléments eux-mêmes existants, mais de les faire </w:t>
      </w:r>
      <w:r w:rsidRPr="00DA2033">
        <w:rPr>
          <w:i/>
          <w:lang w:val="fr-FR"/>
        </w:rPr>
        <w:t xml:space="preserve">surgir </w:t>
      </w:r>
      <w:r w:rsidRPr="00DA2033">
        <w:rPr>
          <w:lang w:val="fr-FR"/>
        </w:rPr>
        <w:t xml:space="preserve">et de les </w:t>
      </w:r>
      <w:r w:rsidRPr="00DA2033">
        <w:rPr>
          <w:i/>
          <w:lang w:val="fr-FR"/>
        </w:rPr>
        <w:t>faire exister</w:t>
      </w:r>
      <w:r w:rsidRPr="00DA2033">
        <w:rPr>
          <w:lang w:val="fr-FR"/>
        </w:rPr>
        <w:t xml:space="preserve"> </w:t>
      </w:r>
      <w:r w:rsidRPr="00DA2033">
        <w:rPr>
          <w:i/>
          <w:lang w:val="fr-FR"/>
        </w:rPr>
        <w:t>à travers</w:t>
      </w:r>
      <w:r w:rsidRPr="00DA2033">
        <w:rPr>
          <w:lang w:val="fr-FR"/>
        </w:rPr>
        <w:t xml:space="preserve"> les relations qui se nouent. D’autre part, la transition s’accompagne d’une instabilité foncière, contre la </w:t>
      </w:r>
      <w:r w:rsidR="00146230" w:rsidRPr="00DA2033">
        <w:rPr>
          <w:lang w:val="fr-FR"/>
        </w:rPr>
        <w:t>soudure du tout</w:t>
      </w:r>
      <w:r w:rsidR="0006507F" w:rsidRPr="00DA2033">
        <w:rPr>
          <w:lang w:val="fr-FR"/>
        </w:rPr>
        <w:t>. Elle</w:t>
      </w:r>
      <w:r w:rsidRPr="00DA2033">
        <w:rPr>
          <w:lang w:val="fr-FR"/>
        </w:rPr>
        <w:t xml:space="preserve"> signale une ce</w:t>
      </w:r>
      <w:r w:rsidR="004B7322" w:rsidRPr="00DA2033">
        <w:rPr>
          <w:lang w:val="fr-FR"/>
        </w:rPr>
        <w:t>r</w:t>
      </w:r>
      <w:r w:rsidRPr="00DA2033">
        <w:rPr>
          <w:lang w:val="fr-FR"/>
        </w:rPr>
        <w:t>taine précarité, une indétermination qui est propice à la germination de possibles de sens avant toute projection d’un récit qui, en imposant un carcan, sélectionne quelques connexions au détriment de</w:t>
      </w:r>
      <w:r w:rsidR="00BA2354">
        <w:rPr>
          <w:lang w:val="fr-FR"/>
        </w:rPr>
        <w:t xml:space="preserve">s </w:t>
      </w:r>
      <w:r w:rsidRPr="00DA2033">
        <w:rPr>
          <w:lang w:val="fr-FR"/>
        </w:rPr>
        <w:t xml:space="preserve">autres. Le soubassement transitionnel accueille ainsi des tensions, des explorations, des </w:t>
      </w:r>
      <w:r w:rsidRPr="00DA2033">
        <w:rPr>
          <w:i/>
          <w:lang w:val="fr-FR"/>
        </w:rPr>
        <w:t>ébauches</w:t>
      </w:r>
      <w:r w:rsidRPr="00DA2033">
        <w:rPr>
          <w:lang w:val="fr-FR"/>
        </w:rPr>
        <w:t xml:space="preserve"> de sens (</w:t>
      </w:r>
      <w:proofErr w:type="spellStart"/>
      <w:r w:rsidRPr="00DA2033">
        <w:rPr>
          <w:lang w:val="fr-FR"/>
        </w:rPr>
        <w:t>aspectualité</w:t>
      </w:r>
      <w:r w:rsidR="0006507F" w:rsidRPr="00DA2033">
        <w:rPr>
          <w:lang w:val="fr-FR"/>
        </w:rPr>
        <w:t>s</w:t>
      </w:r>
      <w:proofErr w:type="spellEnd"/>
      <w:r w:rsidR="0006507F" w:rsidRPr="00DA2033">
        <w:rPr>
          <w:lang w:val="fr-FR"/>
        </w:rPr>
        <w:t xml:space="preserve"> inchoative et </w:t>
      </w:r>
      <w:r w:rsidRPr="00DA2033">
        <w:rPr>
          <w:lang w:val="fr-FR"/>
        </w:rPr>
        <w:t xml:space="preserve">imperfective) et </w:t>
      </w:r>
      <w:r w:rsidRPr="00DA2033">
        <w:rPr>
          <w:lang w:val="fr-FR"/>
        </w:rPr>
        <w:lastRenderedPageBreak/>
        <w:t xml:space="preserve">des </w:t>
      </w:r>
      <w:r w:rsidRPr="00DA2033">
        <w:rPr>
          <w:i/>
          <w:lang w:val="fr-FR"/>
        </w:rPr>
        <w:t>propositions</w:t>
      </w:r>
      <w:r w:rsidRPr="00DA2033">
        <w:rPr>
          <w:lang w:val="fr-FR"/>
        </w:rPr>
        <w:t xml:space="preserve"> inédites (échappant encore au niveau des assertions et des assomptions), en amont des sélections que le modèle narratif doit opérer</w:t>
      </w:r>
      <w:r w:rsidRPr="00DA2033">
        <w:rPr>
          <w:rStyle w:val="Appelnotedebasdep"/>
          <w:lang w:val="fr-FR"/>
        </w:rPr>
        <w:footnoteReference w:id="5"/>
      </w:r>
      <w:r w:rsidRPr="00DA2033">
        <w:rPr>
          <w:lang w:val="fr-FR"/>
        </w:rPr>
        <w:t>.</w:t>
      </w:r>
    </w:p>
    <w:p w14:paraId="63C0FA27" w14:textId="10C14863" w:rsidR="00420B66" w:rsidRPr="00DA2033" w:rsidRDefault="00420B66" w:rsidP="00CE46BB">
      <w:pPr>
        <w:jc w:val="both"/>
        <w:rPr>
          <w:lang w:val="fr-FR"/>
        </w:rPr>
      </w:pPr>
      <w:r w:rsidRPr="00DA2033">
        <w:rPr>
          <w:lang w:val="fr-FR"/>
        </w:rPr>
        <w:t xml:space="preserve">Mais franchissons un pas supplémentaire. Une des déclinaisons de cette problématique concerne les </w:t>
      </w:r>
      <w:r w:rsidRPr="00DA2033">
        <w:rPr>
          <w:i/>
          <w:lang w:val="fr-FR"/>
        </w:rPr>
        <w:t>instances d’énonciation</w:t>
      </w:r>
      <w:r w:rsidRPr="00DA2033">
        <w:rPr>
          <w:lang w:val="fr-FR"/>
        </w:rPr>
        <w:t xml:space="preserve"> </w:t>
      </w:r>
      <w:r w:rsidR="00047140" w:rsidRPr="00DA2033">
        <w:rPr>
          <w:lang w:val="fr-FR"/>
        </w:rPr>
        <w:t>impliquées dans</w:t>
      </w:r>
      <w:r w:rsidRPr="00DA2033">
        <w:rPr>
          <w:lang w:val="fr-FR"/>
        </w:rPr>
        <w:t xml:space="preserve"> la transition.</w:t>
      </w:r>
    </w:p>
    <w:p w14:paraId="4702BC72" w14:textId="77777777" w:rsidR="00CE46BB" w:rsidRPr="00DA2033" w:rsidRDefault="00CE46BB" w:rsidP="00FE0A0C">
      <w:pPr>
        <w:spacing w:after="120"/>
        <w:jc w:val="both"/>
        <w:rPr>
          <w:i/>
          <w:lang w:val="fr-FR"/>
        </w:rPr>
      </w:pPr>
    </w:p>
    <w:p w14:paraId="7D499743" w14:textId="38699EED" w:rsidR="00420B66" w:rsidRPr="00DA2033" w:rsidRDefault="00420B66" w:rsidP="00CE46BB">
      <w:pPr>
        <w:jc w:val="both"/>
        <w:rPr>
          <w:i/>
          <w:lang w:val="fr-FR"/>
        </w:rPr>
      </w:pPr>
      <w:r w:rsidRPr="00DA2033">
        <w:rPr>
          <w:i/>
          <w:lang w:val="fr-FR"/>
        </w:rPr>
        <w:t xml:space="preserve">1.2. L’actant transitionnel </w:t>
      </w:r>
    </w:p>
    <w:p w14:paraId="0B3CD12A" w14:textId="27C6F50A" w:rsidR="00420B66" w:rsidRPr="00DA2033" w:rsidRDefault="00420B66" w:rsidP="00F8440B">
      <w:pPr>
        <w:jc w:val="both"/>
        <w:rPr>
          <w:lang w:val="fr-FR"/>
        </w:rPr>
      </w:pPr>
      <w:r w:rsidRPr="00DA2033">
        <w:rPr>
          <w:lang w:val="fr-FR"/>
        </w:rPr>
        <w:t xml:space="preserve">Quel est le moteur des transitions ? Sont-elles entièrement le fait d’instances sensibles et perceptivo-cognitives aux commandes des processus ? Faut-il, au contraire, penser </w:t>
      </w:r>
      <w:r w:rsidR="000E0959" w:rsidRPr="00DA2033">
        <w:rPr>
          <w:lang w:val="fr-FR"/>
        </w:rPr>
        <w:t>des forces</w:t>
      </w:r>
      <w:r w:rsidRPr="00DA2033">
        <w:rPr>
          <w:lang w:val="fr-FR"/>
        </w:rPr>
        <w:t xml:space="preserve"> inhérent</w:t>
      </w:r>
      <w:r w:rsidR="00047140" w:rsidRPr="00DA2033">
        <w:rPr>
          <w:lang w:val="fr-FR"/>
        </w:rPr>
        <w:t>e</w:t>
      </w:r>
      <w:r w:rsidR="000E0959" w:rsidRPr="00DA2033">
        <w:rPr>
          <w:lang w:val="fr-FR"/>
        </w:rPr>
        <w:t>s</w:t>
      </w:r>
      <w:r w:rsidRPr="00DA2033">
        <w:rPr>
          <w:lang w:val="fr-FR"/>
        </w:rPr>
        <w:t xml:space="preserve"> aux </w:t>
      </w:r>
      <w:r w:rsidR="00047140" w:rsidRPr="00DA2033">
        <w:rPr>
          <w:lang w:val="fr-FR"/>
        </w:rPr>
        <w:t>instances</w:t>
      </w:r>
      <w:r w:rsidRPr="00DA2033">
        <w:rPr>
          <w:lang w:val="fr-FR"/>
        </w:rPr>
        <w:t xml:space="preserve"> qui les </w:t>
      </w:r>
      <w:r w:rsidR="000E0959" w:rsidRPr="00DA2033">
        <w:rPr>
          <w:i/>
          <w:lang w:val="fr-FR"/>
        </w:rPr>
        <w:t xml:space="preserve">font </w:t>
      </w:r>
      <w:r w:rsidRPr="00DA2033">
        <w:rPr>
          <w:i/>
          <w:lang w:val="fr-FR"/>
        </w:rPr>
        <w:t>agir</w:t>
      </w:r>
      <w:r w:rsidRPr="00DA2033">
        <w:rPr>
          <w:lang w:val="fr-FR"/>
        </w:rPr>
        <w:t xml:space="preserve"> ? </w:t>
      </w:r>
      <w:proofErr w:type="spellStart"/>
      <w:r w:rsidRPr="00DA2033">
        <w:rPr>
          <w:lang w:val="fr-FR"/>
        </w:rPr>
        <w:t>Coccia</w:t>
      </w:r>
      <w:proofErr w:type="spellEnd"/>
      <w:r w:rsidRPr="00DA2033">
        <w:rPr>
          <w:lang w:val="fr-FR"/>
        </w:rPr>
        <w:t xml:space="preserve"> (2020) note une </w:t>
      </w:r>
      <w:r w:rsidRPr="00DA2033">
        <w:rPr>
          <w:color w:val="1B1B1B"/>
          <w:shd w:val="clear" w:color="auto" w:fill="FFFFFF"/>
          <w:lang w:val="fr-FR"/>
        </w:rPr>
        <w:t>«</w:t>
      </w:r>
      <w:r w:rsidRPr="00DA2033">
        <w:rPr>
          <w:rStyle w:val="apple-converted-space"/>
          <w:color w:val="1B1B1B"/>
          <w:shd w:val="clear" w:color="auto" w:fill="FFFFFF"/>
          <w:lang w:val="fr-FR"/>
        </w:rPr>
        <w:t> </w:t>
      </w:r>
      <w:r w:rsidRPr="00DA2033">
        <w:rPr>
          <w:rStyle w:val="Accentuation"/>
          <w:color w:val="1B1B1B"/>
          <w:lang w:val="fr-FR"/>
        </w:rPr>
        <w:t>puissance qui nous traverse et nous transforme</w:t>
      </w:r>
      <w:r w:rsidRPr="00DA2033">
        <w:rPr>
          <w:rStyle w:val="Accentuation"/>
          <w:i w:val="0"/>
          <w:color w:val="1B1B1B"/>
          <w:lang w:val="fr-FR"/>
        </w:rPr>
        <w:t> »</w:t>
      </w:r>
      <w:r w:rsidRPr="00DA2033">
        <w:rPr>
          <w:rStyle w:val="Accentuation"/>
          <w:color w:val="1B1B1B"/>
          <w:lang w:val="fr-FR"/>
        </w:rPr>
        <w:t xml:space="preserve">. </w:t>
      </w:r>
      <w:r w:rsidRPr="00DA2033">
        <w:rPr>
          <w:lang w:val="fr-FR"/>
        </w:rPr>
        <w:t xml:space="preserve">Avons-nous affaire, dans ce cas, à des </w:t>
      </w:r>
      <w:r w:rsidRPr="00DA2033">
        <w:rPr>
          <w:i/>
          <w:lang w:val="fr-FR"/>
        </w:rPr>
        <w:t>forces actantielles</w:t>
      </w:r>
      <w:r w:rsidRPr="00DA2033">
        <w:rPr>
          <w:lang w:val="fr-FR"/>
        </w:rPr>
        <w:t xml:space="preserve"> encore collectives, impersonnelles et anonymes, qui agissent et font agir </w:t>
      </w:r>
      <w:r w:rsidR="00C85AD6" w:rsidRPr="00DA2033">
        <w:rPr>
          <w:lang w:val="fr-FR"/>
        </w:rPr>
        <w:t>souterrainement </w:t>
      </w:r>
      <w:r w:rsidRPr="00DA2033">
        <w:rPr>
          <w:lang w:val="fr-FR"/>
        </w:rPr>
        <w:t>?</w:t>
      </w:r>
    </w:p>
    <w:p w14:paraId="3730FA6C" w14:textId="11AF397E" w:rsidR="00420B66" w:rsidRPr="00DA2033" w:rsidRDefault="00420B66" w:rsidP="00F8440B">
      <w:pPr>
        <w:jc w:val="both"/>
        <w:rPr>
          <w:lang w:val="fr-FR"/>
        </w:rPr>
      </w:pPr>
      <w:r w:rsidRPr="00DA2033">
        <w:rPr>
          <w:lang w:val="fr-FR"/>
        </w:rPr>
        <w:t xml:space="preserve">Nous avançons que la strate d’organisation transitionnelle que nous avons visé à dégager accueille des actants </w:t>
      </w:r>
      <w:r w:rsidRPr="00DA2033">
        <w:rPr>
          <w:i/>
          <w:lang w:val="fr-FR"/>
        </w:rPr>
        <w:t>transitionnels.</w:t>
      </w:r>
    </w:p>
    <w:p w14:paraId="6D03C39E" w14:textId="57E4E5C5" w:rsidR="00420B66" w:rsidRPr="00DA2033" w:rsidRDefault="00420B66" w:rsidP="00F8440B">
      <w:pPr>
        <w:jc w:val="both"/>
        <w:rPr>
          <w:rFonts w:eastAsiaTheme="minorHAnsi"/>
          <w:lang w:val="fr-FR" w:eastAsia="en-US"/>
        </w:rPr>
      </w:pPr>
      <w:r w:rsidRPr="00DA2033">
        <w:rPr>
          <w:lang w:val="fr-FR"/>
        </w:rPr>
        <w:t xml:space="preserve">D’entrée, la notion d’actant appelle des précisions. Sur le fond des définitions de l’actant en sémiotique, notamment par </w:t>
      </w:r>
      <w:proofErr w:type="spellStart"/>
      <w:r w:rsidRPr="00DA2033">
        <w:rPr>
          <w:lang w:val="fr-FR"/>
        </w:rPr>
        <w:t>Fontanille</w:t>
      </w:r>
      <w:proofErr w:type="spellEnd"/>
      <w:r w:rsidRPr="00DA2033">
        <w:rPr>
          <w:lang w:val="fr-FR"/>
        </w:rPr>
        <w:t xml:space="preserve"> (2021), nous avons en vue un actant qui n’est pas encore le siège de relations fonctionnelles (sujet, objet, </w:t>
      </w:r>
      <w:r w:rsidRPr="002F5700">
        <w:rPr>
          <w:i/>
          <w:iCs/>
          <w:lang w:val="fr-FR"/>
        </w:rPr>
        <w:t>etc.</w:t>
      </w:r>
      <w:r w:rsidRPr="00DA2033">
        <w:rPr>
          <w:lang w:val="fr-FR"/>
        </w:rPr>
        <w:t xml:space="preserve">), qui ne signifie pas encore dans une structure narrative. Il n’est pas encore investi d’une charge modale. Logé à un niveau fondamental de la production du sens, où se déploient des </w:t>
      </w:r>
      <w:r w:rsidRPr="00DA2033">
        <w:rPr>
          <w:i/>
          <w:lang w:val="fr-FR"/>
        </w:rPr>
        <w:t>forces</w:t>
      </w:r>
      <w:r w:rsidRPr="00DA2033">
        <w:rPr>
          <w:lang w:val="fr-FR"/>
        </w:rPr>
        <w:t xml:space="preserve"> collectives anonymes, convergentes et divergentes, il est pensé davantage sur le modèle de l’acteur-réseau selon la sociologie de la traduction développée par Madeleine </w:t>
      </w:r>
      <w:proofErr w:type="spellStart"/>
      <w:r w:rsidRPr="00DA2033">
        <w:rPr>
          <w:lang w:val="fr-FR"/>
        </w:rPr>
        <w:t>Akrich</w:t>
      </w:r>
      <w:proofErr w:type="spellEnd"/>
      <w:r w:rsidRPr="00DA2033">
        <w:rPr>
          <w:lang w:val="fr-FR"/>
        </w:rPr>
        <w:t xml:space="preserve">, Michel </w:t>
      </w:r>
      <w:proofErr w:type="spellStart"/>
      <w:r w:rsidRPr="00DA2033">
        <w:rPr>
          <w:lang w:val="fr-FR"/>
        </w:rPr>
        <w:t>Callon</w:t>
      </w:r>
      <w:proofErr w:type="spellEnd"/>
      <w:r w:rsidRPr="00DA2033">
        <w:rPr>
          <w:lang w:val="fr-FR"/>
        </w:rPr>
        <w:t xml:space="preserve"> et Bruno Latour (2006), qui suppose</w:t>
      </w:r>
      <w:r w:rsidR="000E0959" w:rsidRPr="00DA2033">
        <w:rPr>
          <w:lang w:val="fr-FR"/>
        </w:rPr>
        <w:t xml:space="preserve"> </w:t>
      </w:r>
      <w:r w:rsidRPr="00DA2033">
        <w:rPr>
          <w:lang w:val="fr-FR"/>
        </w:rPr>
        <w:t xml:space="preserve">un fonctionnement actantiel. </w:t>
      </w:r>
      <w:r w:rsidRPr="00DA2033">
        <w:rPr>
          <w:rFonts w:eastAsiaTheme="minorHAnsi"/>
          <w:lang w:val="fr-FR" w:eastAsia="en-US"/>
        </w:rPr>
        <w:t xml:space="preserve">L’actant que nous visons peut ainsi être caractérisé par le « réseau d’attachements » conduisant, selon Latour (2000), à privilégier les attachements – </w:t>
      </w:r>
      <w:r w:rsidRPr="00DA2033">
        <w:rPr>
          <w:lang w:val="fr-FR"/>
        </w:rPr>
        <w:t>les « détachements » et « arrachements à la proximité », mais aussi les « rattachements au lointain » </w:t>
      </w:r>
      <w:r w:rsidRPr="00DA2033">
        <w:rPr>
          <w:rFonts w:eastAsiaTheme="minorHAnsi"/>
          <w:lang w:val="fr-FR" w:eastAsia="en-US"/>
        </w:rPr>
        <w:t>– au détriment des notions de « détermination », de « liberté », d</w:t>
      </w:r>
      <w:proofErr w:type="gramStart"/>
      <w:r w:rsidRPr="00DA2033">
        <w:rPr>
          <w:rFonts w:eastAsiaTheme="minorHAnsi"/>
          <w:lang w:val="fr-FR" w:eastAsia="en-US"/>
        </w:rPr>
        <w:t>’«</w:t>
      </w:r>
      <w:proofErr w:type="gramEnd"/>
      <w:r w:rsidRPr="00DA2033">
        <w:rPr>
          <w:rFonts w:eastAsiaTheme="minorHAnsi"/>
          <w:lang w:val="fr-FR" w:eastAsia="en-US"/>
        </w:rPr>
        <w:t> action des structures », d’« action individuelle » :</w:t>
      </w:r>
    </w:p>
    <w:p w14:paraId="42EF38FE" w14:textId="77777777" w:rsidR="00F8440B" w:rsidRPr="00DA2033" w:rsidRDefault="00F8440B" w:rsidP="00F8440B">
      <w:pPr>
        <w:jc w:val="both"/>
        <w:rPr>
          <w:lang w:val="fr-FR"/>
        </w:rPr>
      </w:pPr>
    </w:p>
    <w:p w14:paraId="4474820E" w14:textId="255AD611" w:rsidR="00420B66" w:rsidRPr="00DA2033" w:rsidRDefault="00420B66" w:rsidP="00F8440B">
      <w:pPr>
        <w:autoSpaceDE w:val="0"/>
        <w:autoSpaceDN w:val="0"/>
        <w:adjustRightInd w:val="0"/>
        <w:jc w:val="both"/>
        <w:rPr>
          <w:rFonts w:eastAsiaTheme="minorHAnsi"/>
          <w:sz w:val="20"/>
          <w:szCs w:val="20"/>
          <w:lang w:val="fr-FR" w:eastAsia="en-US"/>
        </w:rPr>
      </w:pPr>
      <w:proofErr w:type="gramStart"/>
      <w:r w:rsidRPr="00DA2033">
        <w:rPr>
          <w:rFonts w:eastAsiaTheme="minorHAnsi"/>
          <w:sz w:val="20"/>
          <w:szCs w:val="20"/>
          <w:lang w:val="fr-FR" w:eastAsia="en-US"/>
        </w:rPr>
        <w:t>passer</w:t>
      </w:r>
      <w:proofErr w:type="gramEnd"/>
      <w:r w:rsidRPr="00DA2033">
        <w:rPr>
          <w:rFonts w:eastAsiaTheme="minorHAnsi"/>
          <w:sz w:val="20"/>
          <w:szCs w:val="20"/>
          <w:lang w:val="fr-FR" w:eastAsia="en-US"/>
        </w:rPr>
        <w:t xml:space="preserve"> aux réseaux d’attachements devrait permettre de conserver du réseau son effet de distribution mais de refondre entièrement la nature et la source de l’action. L’attachement désigne à la fois ce qui émeut, ce qui met en mouvement, et l’impossibilité de définir </w:t>
      </w:r>
      <w:proofErr w:type="gramStart"/>
      <w:r w:rsidRPr="00DA2033">
        <w:rPr>
          <w:rFonts w:eastAsiaTheme="minorHAnsi"/>
          <w:sz w:val="20"/>
          <w:szCs w:val="20"/>
          <w:lang w:val="fr-FR" w:eastAsia="en-US"/>
        </w:rPr>
        <w:t>ce</w:t>
      </w:r>
      <w:proofErr w:type="gramEnd"/>
      <w:r w:rsidRPr="00DA2033">
        <w:rPr>
          <w:rFonts w:eastAsiaTheme="minorHAnsi"/>
          <w:sz w:val="20"/>
          <w:szCs w:val="20"/>
          <w:lang w:val="fr-FR" w:eastAsia="en-US"/>
        </w:rPr>
        <w:t xml:space="preserve"> faire faire par l’ancien couplage de la détermination et de la liberté (</w:t>
      </w:r>
      <w:r w:rsidR="00CF640E">
        <w:rPr>
          <w:rFonts w:eastAsiaTheme="minorHAnsi"/>
          <w:i/>
          <w:sz w:val="20"/>
          <w:szCs w:val="20"/>
          <w:lang w:val="fr-FR" w:eastAsia="en-US"/>
        </w:rPr>
        <w:t>I</w:t>
      </w:r>
      <w:r w:rsidRPr="00DA2033">
        <w:rPr>
          <w:rFonts w:eastAsiaTheme="minorHAnsi"/>
          <w:i/>
          <w:sz w:val="20"/>
          <w:szCs w:val="20"/>
          <w:lang w:val="fr-FR" w:eastAsia="en-US"/>
        </w:rPr>
        <w:t>bid.</w:t>
      </w:r>
      <w:r w:rsidRPr="00DA2033">
        <w:rPr>
          <w:rFonts w:eastAsiaTheme="minorHAnsi"/>
          <w:sz w:val="20"/>
          <w:szCs w:val="20"/>
          <w:lang w:val="fr-FR" w:eastAsia="en-US"/>
        </w:rPr>
        <w:t xml:space="preserve"> :16-17). </w:t>
      </w:r>
    </w:p>
    <w:p w14:paraId="7AFEC0A8" w14:textId="77777777" w:rsidR="00F8440B" w:rsidRPr="00DA2033" w:rsidRDefault="00F8440B" w:rsidP="00F8440B">
      <w:pPr>
        <w:autoSpaceDE w:val="0"/>
        <w:autoSpaceDN w:val="0"/>
        <w:adjustRightInd w:val="0"/>
        <w:ind w:left="567"/>
        <w:jc w:val="both"/>
        <w:rPr>
          <w:rFonts w:eastAsiaTheme="minorHAnsi"/>
          <w:sz w:val="20"/>
          <w:szCs w:val="20"/>
          <w:lang w:val="fr-FR" w:eastAsia="en-US"/>
        </w:rPr>
      </w:pPr>
    </w:p>
    <w:p w14:paraId="44AE1E17" w14:textId="3983F822" w:rsidR="00420B66" w:rsidRPr="00DA2033" w:rsidRDefault="00420B66" w:rsidP="00F8440B">
      <w:pPr>
        <w:jc w:val="both"/>
        <w:rPr>
          <w:lang w:val="fr-FR"/>
        </w:rPr>
      </w:pPr>
      <w:r w:rsidRPr="00DA2033">
        <w:rPr>
          <w:rFonts w:eastAsiaTheme="minorHAnsi"/>
          <w:lang w:val="fr-FR"/>
        </w:rPr>
        <w:t>La transition serait ainsi le fait d’un « agile faire-faire » (</w:t>
      </w:r>
      <w:proofErr w:type="spellStart"/>
      <w:r w:rsidRPr="00DA2033">
        <w:rPr>
          <w:rFonts w:eastAsiaTheme="minorHAnsi"/>
          <w:lang w:val="fr-FR"/>
        </w:rPr>
        <w:t>Latour</w:t>
      </w:r>
      <w:proofErr w:type="spellEnd"/>
      <w:r w:rsidRPr="00DA2033">
        <w:rPr>
          <w:rFonts w:eastAsiaTheme="minorHAnsi"/>
          <w:lang w:val="fr-FR"/>
        </w:rPr>
        <w:t xml:space="preserve"> </w:t>
      </w:r>
      <w:r w:rsidR="002A5009">
        <w:rPr>
          <w:rFonts w:eastAsiaTheme="minorHAnsi"/>
          <w:i/>
          <w:lang w:val="fr-FR"/>
        </w:rPr>
        <w:t>I</w:t>
      </w:r>
      <w:r w:rsidRPr="00DA2033">
        <w:rPr>
          <w:rFonts w:eastAsiaTheme="minorHAnsi"/>
          <w:i/>
          <w:lang w:val="fr-FR"/>
        </w:rPr>
        <w:t>bid</w:t>
      </w:r>
      <w:r w:rsidRPr="00DA2033">
        <w:rPr>
          <w:rFonts w:eastAsiaTheme="minorHAnsi"/>
          <w:lang w:val="fr-FR"/>
        </w:rPr>
        <w:t>. : 10)</w:t>
      </w:r>
      <w:r w:rsidRPr="00DA2033">
        <w:rPr>
          <w:rStyle w:val="Appelnotedebasdep"/>
          <w:lang w:val="fr-FR"/>
        </w:rPr>
        <w:footnoteReference w:id="6"/>
      </w:r>
      <w:r w:rsidRPr="00DA2033">
        <w:rPr>
          <w:rFonts w:eastAsiaTheme="minorHAnsi"/>
          <w:lang w:val="fr-FR"/>
        </w:rPr>
        <w:t>, plutôt que d’un sujet d’énonciation arrivé au terme de l’</w:t>
      </w:r>
      <w:proofErr w:type="spellStart"/>
      <w:r w:rsidRPr="00DA2033">
        <w:rPr>
          <w:rFonts w:eastAsiaTheme="minorHAnsi"/>
          <w:lang w:val="fr-FR"/>
        </w:rPr>
        <w:t>égogenèse</w:t>
      </w:r>
      <w:proofErr w:type="spellEnd"/>
      <w:r w:rsidRPr="00DA2033">
        <w:rPr>
          <w:rFonts w:eastAsiaTheme="minorHAnsi"/>
          <w:lang w:val="fr-FR"/>
        </w:rPr>
        <w:t xml:space="preserve">, qui asserte et assume, qui statue sur un objet de sens, pour l’évaluer et le commenter </w:t>
      </w:r>
      <w:r w:rsidRPr="00DA2033">
        <w:rPr>
          <w:rFonts w:eastAsiaTheme="minorHAnsi"/>
          <w:i/>
          <w:lang w:val="fr-FR"/>
        </w:rPr>
        <w:t>a posteriori</w:t>
      </w:r>
      <w:r w:rsidRPr="00DA2033">
        <w:rPr>
          <w:rFonts w:eastAsiaTheme="minorHAnsi"/>
          <w:lang w:val="fr-FR"/>
        </w:rPr>
        <w:t>. S’il est possible d’établir une typologie actantielle</w:t>
      </w:r>
      <w:r w:rsidRPr="00DA2033">
        <w:rPr>
          <w:rStyle w:val="Appelnotedebasdep"/>
          <w:rFonts w:eastAsiaTheme="minorHAnsi"/>
          <w:lang w:val="fr-FR"/>
        </w:rPr>
        <w:footnoteReference w:id="7"/>
      </w:r>
      <w:r w:rsidRPr="00DA2033">
        <w:rPr>
          <w:rFonts w:eastAsiaTheme="minorHAnsi"/>
          <w:lang w:val="fr-FR"/>
        </w:rPr>
        <w:t xml:space="preserve">, la transition est concernée par les </w:t>
      </w:r>
      <w:r w:rsidRPr="00DA2033">
        <w:rPr>
          <w:rFonts w:eastAsiaTheme="minorHAnsi"/>
          <w:i/>
          <w:lang w:val="fr-FR"/>
        </w:rPr>
        <w:t>actants transitionnels</w:t>
      </w:r>
      <w:r w:rsidRPr="00DA2033">
        <w:rPr>
          <w:rFonts w:eastAsiaTheme="minorHAnsi"/>
          <w:lang w:val="fr-FR"/>
        </w:rPr>
        <w:t xml:space="preserve"> </w:t>
      </w:r>
      <w:r w:rsidRPr="00DA2033">
        <w:rPr>
          <w:lang w:val="fr-FR"/>
        </w:rPr>
        <w:t>expériment</w:t>
      </w:r>
      <w:r w:rsidR="00BE5877" w:rsidRPr="00DA2033">
        <w:rPr>
          <w:lang w:val="fr-FR"/>
        </w:rPr>
        <w:t>a</w:t>
      </w:r>
      <w:r w:rsidRPr="00DA2033">
        <w:rPr>
          <w:lang w:val="fr-FR"/>
        </w:rPr>
        <w:t>nt une jonction improbable et éminemment précaire à la base d’un « on » parfaitement contingent</w:t>
      </w:r>
      <w:r w:rsidRPr="00DA2033">
        <w:rPr>
          <w:rStyle w:val="Appelnotedebasdep"/>
          <w:lang w:val="fr-FR"/>
        </w:rPr>
        <w:footnoteReference w:id="8"/>
      </w:r>
      <w:r w:rsidRPr="00DA2033">
        <w:rPr>
          <w:lang w:val="fr-FR"/>
        </w:rPr>
        <w:t xml:space="preserve">. </w:t>
      </w:r>
      <w:r w:rsidR="00BE5877" w:rsidRPr="00DA2033">
        <w:rPr>
          <w:lang w:val="fr-FR"/>
        </w:rPr>
        <w:t xml:space="preserve">Ce dernier </w:t>
      </w:r>
      <w:r w:rsidRPr="00DA2033">
        <w:rPr>
          <w:lang w:val="fr-FR"/>
        </w:rPr>
        <w:t xml:space="preserve">témoigne de cette phase d’une </w:t>
      </w:r>
      <w:proofErr w:type="spellStart"/>
      <w:r w:rsidRPr="00DA2033">
        <w:rPr>
          <w:lang w:val="fr-FR"/>
        </w:rPr>
        <w:t>égogenèse</w:t>
      </w:r>
      <w:proofErr w:type="spellEnd"/>
      <w:r w:rsidRPr="00DA2033">
        <w:rPr>
          <w:lang w:val="fr-FR"/>
        </w:rPr>
        <w:t xml:space="preserve"> encore en cours, non encore aboutie, où les tensions ne sont pas encore résolues, où</w:t>
      </w:r>
      <w:r w:rsidR="00BE5877" w:rsidRPr="00DA2033">
        <w:rPr>
          <w:lang w:val="fr-FR"/>
        </w:rPr>
        <w:t xml:space="preserve"> </w:t>
      </w:r>
      <w:r w:rsidRPr="00DA2033">
        <w:rPr>
          <w:lang w:val="fr-FR"/>
        </w:rPr>
        <w:t>une quasi-subjectivité se dessine face à une quasi-objectivité, en amont de toute ipséité et de toute confrontation avec l’autre objectivé</w:t>
      </w:r>
      <w:r w:rsidR="00BE5877" w:rsidRPr="00DA2033">
        <w:rPr>
          <w:lang w:val="fr-FR"/>
        </w:rPr>
        <w:t xml:space="preserve"> (</w:t>
      </w:r>
      <w:proofErr w:type="spellStart"/>
      <w:r w:rsidR="00BE5877" w:rsidRPr="00DA2033">
        <w:rPr>
          <w:lang w:val="fr-FR"/>
        </w:rPr>
        <w:t>Détrie</w:t>
      </w:r>
      <w:proofErr w:type="spellEnd"/>
      <w:r w:rsidR="00BE5877" w:rsidRPr="00DA2033">
        <w:rPr>
          <w:lang w:val="fr-FR"/>
        </w:rPr>
        <w:t xml:space="preserve"> 1998)</w:t>
      </w:r>
      <w:r w:rsidRPr="00DA2033">
        <w:rPr>
          <w:rStyle w:val="Appelnotedebasdep"/>
          <w:lang w:val="fr-FR"/>
        </w:rPr>
        <w:footnoteReference w:id="9"/>
      </w:r>
      <w:r w:rsidRPr="00DA2033">
        <w:rPr>
          <w:lang w:val="fr-FR"/>
        </w:rPr>
        <w:t>.</w:t>
      </w:r>
    </w:p>
    <w:p w14:paraId="66C52B60" w14:textId="4E04ED88" w:rsidR="00420B66" w:rsidRPr="00DA2033" w:rsidRDefault="00420B66" w:rsidP="00080895">
      <w:pPr>
        <w:jc w:val="both"/>
        <w:rPr>
          <w:lang w:val="fr-FR"/>
        </w:rPr>
      </w:pPr>
      <w:r w:rsidRPr="00DA2033">
        <w:rPr>
          <w:lang w:val="fr-FR"/>
        </w:rPr>
        <w:lastRenderedPageBreak/>
        <w:t>Résumons. Nous avons cherché à rapprocher la transition de la métamorphose, pour mieux la distinguer de la transformation à laquelle elle fournit un soubassement tensionnel. Cela sous l’effet d’actants transitionnels collectifs et anonymes.</w:t>
      </w:r>
    </w:p>
    <w:p w14:paraId="351DE59B" w14:textId="77777777" w:rsidR="00420B66" w:rsidRPr="00DA2033" w:rsidRDefault="00420B66" w:rsidP="00080895">
      <w:pPr>
        <w:jc w:val="both"/>
        <w:rPr>
          <w:lang w:val="fr-FR"/>
        </w:rPr>
      </w:pPr>
      <w:r w:rsidRPr="00DA2033">
        <w:rPr>
          <w:lang w:val="fr-FR"/>
        </w:rPr>
        <w:t>Mettons cette double hypothèse à l’épreuve d’u</w:t>
      </w:r>
      <w:r w:rsidR="00BF1EED" w:rsidRPr="00DA2033">
        <w:rPr>
          <w:lang w:val="fr-FR"/>
        </w:rPr>
        <w:t>n cas particulier </w:t>
      </w:r>
      <w:r w:rsidRPr="00DA2033">
        <w:rPr>
          <w:lang w:val="fr-FR"/>
        </w:rPr>
        <w:t xml:space="preserve">: le devenir de l’utopie. </w:t>
      </w:r>
    </w:p>
    <w:p w14:paraId="30AF1053" w14:textId="77777777" w:rsidR="00080895" w:rsidRPr="00DA2033" w:rsidRDefault="00080895" w:rsidP="00FE0A0C">
      <w:pPr>
        <w:spacing w:after="120"/>
        <w:jc w:val="both"/>
        <w:rPr>
          <w:b/>
          <w:lang w:val="fr-FR"/>
        </w:rPr>
      </w:pPr>
    </w:p>
    <w:p w14:paraId="56FE3C15" w14:textId="60EFF52D" w:rsidR="00420B66" w:rsidRPr="00DA2033" w:rsidRDefault="00420B66" w:rsidP="00080895">
      <w:pPr>
        <w:jc w:val="both"/>
        <w:rPr>
          <w:b/>
          <w:lang w:val="fr-FR"/>
        </w:rPr>
      </w:pPr>
      <w:r w:rsidRPr="00DA2033">
        <w:rPr>
          <w:b/>
          <w:lang w:val="fr-FR"/>
        </w:rPr>
        <w:t>2. La transition au secours de l’utopie</w:t>
      </w:r>
    </w:p>
    <w:p w14:paraId="1A820DB6" w14:textId="77777777" w:rsidR="00080895" w:rsidRPr="00DA2033" w:rsidRDefault="00080895" w:rsidP="00080895">
      <w:pPr>
        <w:jc w:val="both"/>
        <w:rPr>
          <w:lang w:val="fr-FR"/>
        </w:rPr>
      </w:pPr>
    </w:p>
    <w:p w14:paraId="7253C41F" w14:textId="3695A4BF" w:rsidR="00420B66" w:rsidRPr="00DA2033" w:rsidRDefault="00420B66" w:rsidP="00080895">
      <w:pPr>
        <w:jc w:val="both"/>
        <w:rPr>
          <w:lang w:val="fr-FR"/>
        </w:rPr>
      </w:pPr>
      <w:r w:rsidRPr="00DA2033">
        <w:rPr>
          <w:lang w:val="fr-FR"/>
        </w:rPr>
        <w:t>Reprenons le deuxième versant de notre hypothèse de départ</w:t>
      </w:r>
      <w:r w:rsidR="00080895" w:rsidRPr="00DA2033">
        <w:rPr>
          <w:lang w:val="fr-FR"/>
        </w:rPr>
        <w:t> </w:t>
      </w:r>
      <w:r w:rsidRPr="00DA2033">
        <w:rPr>
          <w:lang w:val="fr-FR"/>
        </w:rPr>
        <w:t xml:space="preserve">: la transition gère également le processus de la </w:t>
      </w:r>
      <w:proofErr w:type="spellStart"/>
      <w:r w:rsidRPr="00DA2033">
        <w:rPr>
          <w:i/>
          <w:lang w:val="fr-FR"/>
        </w:rPr>
        <w:t>textualisation</w:t>
      </w:r>
      <w:proofErr w:type="spellEnd"/>
      <w:r w:rsidRPr="00DA2033">
        <w:rPr>
          <w:lang w:val="fr-FR"/>
        </w:rPr>
        <w:t>, en relation avec un régime sémiotique de totalisation du sens (</w:t>
      </w:r>
      <w:proofErr w:type="spellStart"/>
      <w:r w:rsidRPr="00DA2033">
        <w:rPr>
          <w:lang w:val="fr-FR"/>
        </w:rPr>
        <w:t>Fontanille</w:t>
      </w:r>
      <w:proofErr w:type="spellEnd"/>
      <w:r w:rsidRPr="00DA2033">
        <w:rPr>
          <w:lang w:val="fr-FR"/>
        </w:rPr>
        <w:t xml:space="preserve"> &amp;</w:t>
      </w:r>
      <w:r w:rsidR="00062CE4" w:rsidRPr="00DA2033">
        <w:rPr>
          <w:lang w:val="fr-FR"/>
        </w:rPr>
        <w:t xml:space="preserve"> </w:t>
      </w:r>
      <w:proofErr w:type="spellStart"/>
      <w:r w:rsidRPr="00DA2033">
        <w:rPr>
          <w:lang w:val="fr-FR"/>
        </w:rPr>
        <w:t>Couégnas</w:t>
      </w:r>
      <w:proofErr w:type="spellEnd"/>
      <w:r w:rsidRPr="00DA2033">
        <w:rPr>
          <w:lang w:val="fr-FR"/>
        </w:rPr>
        <w:t xml:space="preserve"> 2018</w:t>
      </w:r>
      <w:r w:rsidR="00080895" w:rsidRPr="00DA2033">
        <w:rPr>
          <w:lang w:val="fr-FR"/>
        </w:rPr>
        <w:t> </w:t>
      </w:r>
      <w:r w:rsidRPr="00DA2033">
        <w:rPr>
          <w:lang w:val="fr-FR"/>
        </w:rPr>
        <w:t xml:space="preserve">: 237). Pour le montrer, attardons-nous sur les spécificités du </w:t>
      </w:r>
      <w:r w:rsidRPr="00DA2033">
        <w:rPr>
          <w:i/>
          <w:lang w:val="fr-FR"/>
        </w:rPr>
        <w:t>projet utopique</w:t>
      </w:r>
      <w:r w:rsidRPr="00DA2033">
        <w:rPr>
          <w:lang w:val="fr-FR"/>
        </w:rPr>
        <w:t>.</w:t>
      </w:r>
    </w:p>
    <w:p w14:paraId="1297D8F1" w14:textId="46657F8D" w:rsidR="00986A53" w:rsidRPr="00DA2033" w:rsidRDefault="00420B66" w:rsidP="00080895">
      <w:pPr>
        <w:jc w:val="both"/>
        <w:rPr>
          <w:lang w:val="fr-FR"/>
        </w:rPr>
      </w:pPr>
      <w:r w:rsidRPr="00DA2033">
        <w:rPr>
          <w:lang w:val="fr-FR"/>
        </w:rPr>
        <w:t>Il s’agit de défendre l’idée que la transition favorise l’éclosion d’utopies, plus particulièrement d’</w:t>
      </w:r>
      <w:proofErr w:type="spellStart"/>
      <w:r w:rsidRPr="00DA2033">
        <w:rPr>
          <w:lang w:val="fr-FR"/>
        </w:rPr>
        <w:t>écotopiques</w:t>
      </w:r>
      <w:proofErr w:type="spellEnd"/>
      <w:r w:rsidRPr="00DA2033">
        <w:rPr>
          <w:lang w:val="fr-FR"/>
        </w:rPr>
        <w:t>, à condition, toutefois, que l’on conçoive la construction de l’utopie comme un processus, c’est-à-dire que l’on détaille les phases antérieures à la sanction modale. L’utopie, dit-on volontiers en référant à toute une tradition, de Karl Marx à Ernst Bloch, est « la représentation fantasmatique d’une société nécessaire et impossible » (</w:t>
      </w:r>
      <w:proofErr w:type="spellStart"/>
      <w:r w:rsidRPr="00DA2033">
        <w:rPr>
          <w:lang w:val="fr-FR"/>
        </w:rPr>
        <w:t>Deléage</w:t>
      </w:r>
      <w:proofErr w:type="spellEnd"/>
      <w:r w:rsidRPr="00DA2033">
        <w:rPr>
          <w:lang w:val="fr-FR"/>
        </w:rPr>
        <w:t xml:space="preserve"> 2008). Ainsi, la société utopique est d’emblée placée sous le signe du </w:t>
      </w:r>
      <w:r w:rsidRPr="00DA2033">
        <w:rPr>
          <w:i/>
          <w:lang w:val="fr-FR"/>
        </w:rPr>
        <w:t>devoir être</w:t>
      </w:r>
      <w:r w:rsidRPr="00DA2033">
        <w:rPr>
          <w:lang w:val="fr-FR"/>
        </w:rPr>
        <w:t xml:space="preserve"> et du </w:t>
      </w:r>
      <w:r w:rsidRPr="00DA2033">
        <w:rPr>
          <w:i/>
          <w:lang w:val="fr-FR"/>
        </w:rPr>
        <w:t>ne pas pouvoir être</w:t>
      </w:r>
      <w:r w:rsidRPr="00DA2033">
        <w:rPr>
          <w:lang w:val="fr-FR"/>
        </w:rPr>
        <w:t>. Dans ce cas, sous quelles conditions l’utopie devient-elle une pensée « en avance sur l’histoire », comme « anticipation »</w:t>
      </w:r>
      <w:r w:rsidR="00BE5877" w:rsidRPr="00DA2033">
        <w:rPr>
          <w:lang w:val="fr-FR"/>
        </w:rPr>
        <w:t xml:space="preserve"> (Touraine 2000)</w:t>
      </w:r>
      <w:r w:rsidR="00080895" w:rsidRPr="00DA2033">
        <w:rPr>
          <w:lang w:val="fr-FR"/>
        </w:rPr>
        <w:t> </w:t>
      </w:r>
      <w:r w:rsidRPr="00DA2033">
        <w:rPr>
          <w:lang w:val="fr-FR"/>
        </w:rPr>
        <w:t xml:space="preserve">? Selon </w:t>
      </w:r>
      <w:proofErr w:type="spellStart"/>
      <w:r w:rsidRPr="00DA2033">
        <w:rPr>
          <w:lang w:val="fr-FR"/>
        </w:rPr>
        <w:t>Fontanille</w:t>
      </w:r>
      <w:proofErr w:type="spellEnd"/>
      <w:r w:rsidRPr="00DA2033">
        <w:rPr>
          <w:lang w:val="fr-FR"/>
        </w:rPr>
        <w:t xml:space="preserve"> (2019), la fable-parabole utopique provoque une </w:t>
      </w:r>
      <w:r w:rsidRPr="00DA2033">
        <w:rPr>
          <w:i/>
          <w:lang w:val="fr-FR"/>
        </w:rPr>
        <w:t>rupture axiologique.</w:t>
      </w:r>
      <w:r w:rsidRPr="00DA2033">
        <w:rPr>
          <w:lang w:val="fr-FR"/>
        </w:rPr>
        <w:t xml:space="preserve"> D’où la possible ressaisie paradigmatique d’une opposition forte, dans </w:t>
      </w:r>
      <w:proofErr w:type="spellStart"/>
      <w:r w:rsidRPr="00DA2033">
        <w:rPr>
          <w:i/>
          <w:lang w:val="fr-FR"/>
        </w:rPr>
        <w:t>Ecotopia</w:t>
      </w:r>
      <w:proofErr w:type="spellEnd"/>
      <w:r w:rsidRPr="00DA2033">
        <w:rPr>
          <w:lang w:val="fr-FR"/>
        </w:rPr>
        <w:t xml:space="preserve"> d’Ernest </w:t>
      </w:r>
      <w:proofErr w:type="spellStart"/>
      <w:r w:rsidRPr="00DA2033">
        <w:rPr>
          <w:lang w:val="fr-FR"/>
        </w:rPr>
        <w:t>Callenbach</w:t>
      </w:r>
      <w:proofErr w:type="spellEnd"/>
      <w:r w:rsidRPr="00DA2033">
        <w:rPr>
          <w:lang w:val="fr-FR"/>
        </w:rPr>
        <w:t xml:space="preserve">, entre un monde industrialisé, qui est sous le joug des technologies, et un monde qui a vaincu toutes les contradictions, en optant pour les technologies douces, les énergies alternatives et la désaliénation des hommes. De la même manière, </w:t>
      </w:r>
      <w:proofErr w:type="spellStart"/>
      <w:r w:rsidRPr="00DA2033">
        <w:rPr>
          <w:i/>
          <w:lang w:val="fr-FR"/>
        </w:rPr>
        <w:t>Eutopia</w:t>
      </w:r>
      <w:proofErr w:type="spellEnd"/>
      <w:r w:rsidRPr="00DA2033">
        <w:rPr>
          <w:i/>
          <w:lang w:val="fr-FR"/>
        </w:rPr>
        <w:t xml:space="preserve"> </w:t>
      </w:r>
      <w:r w:rsidRPr="00DA2033">
        <w:rPr>
          <w:lang w:val="fr-FR"/>
        </w:rPr>
        <w:t xml:space="preserve">de </w:t>
      </w:r>
      <w:proofErr w:type="spellStart"/>
      <w:r w:rsidRPr="00DA2033">
        <w:rPr>
          <w:lang w:val="fr-FR"/>
        </w:rPr>
        <w:t>Yorick</w:t>
      </w:r>
      <w:proofErr w:type="spellEnd"/>
      <w:r w:rsidRPr="00DA2033">
        <w:rPr>
          <w:lang w:val="fr-FR"/>
        </w:rPr>
        <w:t xml:space="preserve"> </w:t>
      </w:r>
      <w:proofErr w:type="spellStart"/>
      <w:r w:rsidRPr="00DA2033">
        <w:rPr>
          <w:lang w:val="fr-FR"/>
        </w:rPr>
        <w:t>Blumenfeld</w:t>
      </w:r>
      <w:proofErr w:type="spellEnd"/>
      <w:r w:rsidRPr="00DA2033">
        <w:rPr>
          <w:lang w:val="fr-FR"/>
        </w:rPr>
        <w:t xml:space="preserve"> donne à voir, conformément à l’utopie socialiste du 19</w:t>
      </w:r>
      <w:r w:rsidRPr="00DA2033">
        <w:rPr>
          <w:vertAlign w:val="superscript"/>
          <w:lang w:val="fr-FR"/>
        </w:rPr>
        <w:t>e</w:t>
      </w:r>
      <w:r w:rsidRPr="00DA2033">
        <w:rPr>
          <w:lang w:val="fr-FR"/>
        </w:rPr>
        <w:t xml:space="preserve"> siècle, un monde qui se définit par sa haute qualité de vie. Dans ce cas, le monde « réel » continue à entrer en dissonance avec le monde </w:t>
      </w:r>
      <w:r w:rsidRPr="00DA2033">
        <w:rPr>
          <w:i/>
          <w:lang w:val="fr-FR"/>
        </w:rPr>
        <w:t>fictionnel</w:t>
      </w:r>
      <w:r w:rsidRPr="00DA2033">
        <w:rPr>
          <w:lang w:val="fr-FR"/>
        </w:rPr>
        <w:t xml:space="preserve"> construit.</w:t>
      </w:r>
    </w:p>
    <w:p w14:paraId="666A5CCE" w14:textId="5EC64F19" w:rsidR="00420B66" w:rsidRPr="00DA2033" w:rsidRDefault="00420B66" w:rsidP="00080895">
      <w:pPr>
        <w:jc w:val="both"/>
        <w:rPr>
          <w:lang w:val="fr-FR"/>
        </w:rPr>
      </w:pPr>
      <w:r w:rsidRPr="00DA2033">
        <w:rPr>
          <w:lang w:val="fr-FR"/>
        </w:rPr>
        <w:t xml:space="preserve">Il est </w:t>
      </w:r>
      <w:r w:rsidR="00BE5877" w:rsidRPr="00DA2033">
        <w:rPr>
          <w:lang w:val="fr-FR"/>
        </w:rPr>
        <w:t xml:space="preserve">alors </w:t>
      </w:r>
      <w:r w:rsidRPr="00DA2033">
        <w:rPr>
          <w:lang w:val="fr-FR"/>
        </w:rPr>
        <w:t xml:space="preserve">possible de saisir la mise en forme progressive qui suppose un </w:t>
      </w:r>
      <w:r w:rsidRPr="00DA2033">
        <w:rPr>
          <w:i/>
          <w:lang w:val="fr-FR"/>
        </w:rPr>
        <w:t>pouvoir être</w:t>
      </w:r>
      <w:r w:rsidRPr="00DA2033">
        <w:rPr>
          <w:lang w:val="fr-FR"/>
        </w:rPr>
        <w:t xml:space="preserve"> (à côté du </w:t>
      </w:r>
      <w:r w:rsidRPr="00DA2033">
        <w:rPr>
          <w:i/>
          <w:lang w:val="fr-FR"/>
        </w:rPr>
        <w:t>vouloir être</w:t>
      </w:r>
      <w:r w:rsidRPr="00DA2033">
        <w:rPr>
          <w:lang w:val="fr-FR"/>
        </w:rPr>
        <w:t>)</w:t>
      </w:r>
      <w:r w:rsidR="00986A53" w:rsidRPr="00DA2033">
        <w:rPr>
          <w:rStyle w:val="Appelnotedebasdep"/>
          <w:lang w:val="fr-FR"/>
        </w:rPr>
        <w:footnoteReference w:id="10"/>
      </w:r>
      <w:r w:rsidRPr="00DA2033">
        <w:rPr>
          <w:lang w:val="fr-FR"/>
        </w:rPr>
        <w:t xml:space="preserve"> et qui se traduit par une effervescence d’engendrements, </w:t>
      </w:r>
      <w:r w:rsidRPr="00DA2033">
        <w:rPr>
          <w:i/>
          <w:lang w:val="fr-FR"/>
        </w:rPr>
        <w:t>avant que</w:t>
      </w:r>
      <w:r w:rsidRPr="00DA2033">
        <w:rPr>
          <w:lang w:val="fr-FR"/>
        </w:rPr>
        <w:t xml:space="preserve"> le résultat ne soit qualifié d’impossible. L’enjeu, plus que jamais, est aspectuel. La prise en considération de la transition permet d’échapper à la confrontation brutale de deux ordres ou de deux états de la société diamétralement opposés</w:t>
      </w:r>
      <w:r w:rsidR="00BE5877" w:rsidRPr="00DA2033">
        <w:rPr>
          <w:lang w:val="fr-FR"/>
        </w:rPr>
        <w:t xml:space="preserve">, </w:t>
      </w:r>
      <w:r w:rsidRPr="00DA2033">
        <w:rPr>
          <w:lang w:val="fr-FR"/>
        </w:rPr>
        <w:t xml:space="preserve">dont on constaterait simplement la non-compatibilité, l’inversion paradigmatique. La notion de transition attire au contraire le regard sur les </w:t>
      </w:r>
      <w:r w:rsidRPr="00DA2033">
        <w:rPr>
          <w:i/>
          <w:lang w:val="fr-FR"/>
        </w:rPr>
        <w:t>processus transitionnels</w:t>
      </w:r>
      <w:r w:rsidRPr="00DA2033">
        <w:rPr>
          <w:lang w:val="fr-FR"/>
        </w:rPr>
        <w:t xml:space="preserve"> mis en œuvre, c’est-à-dire sur les modalités de la « conciliation entre des </w:t>
      </w:r>
      <w:r w:rsidR="001F4031" w:rsidRPr="00DA2033">
        <w:rPr>
          <w:lang w:val="fr-FR"/>
        </w:rPr>
        <w:t>“</w:t>
      </w:r>
      <w:r w:rsidRPr="00DA2033">
        <w:rPr>
          <w:lang w:val="fr-FR"/>
        </w:rPr>
        <w:t>rationalités</w:t>
      </w:r>
      <w:r w:rsidR="001F4031" w:rsidRPr="00DA2033">
        <w:rPr>
          <w:lang w:val="fr-FR"/>
        </w:rPr>
        <w:t>”</w:t>
      </w:r>
      <w:r w:rsidRPr="00DA2033">
        <w:rPr>
          <w:lang w:val="fr-FR"/>
        </w:rPr>
        <w:t xml:space="preserve"> concurrentes ou incompatibles » (</w:t>
      </w:r>
      <w:proofErr w:type="spellStart"/>
      <w:r w:rsidRPr="00DA2033">
        <w:rPr>
          <w:lang w:val="fr-FR"/>
        </w:rPr>
        <w:t>Fonta</w:t>
      </w:r>
      <w:r w:rsidR="004B7322" w:rsidRPr="00DA2033">
        <w:rPr>
          <w:lang w:val="fr-FR"/>
        </w:rPr>
        <w:t>n</w:t>
      </w:r>
      <w:r w:rsidRPr="00DA2033">
        <w:rPr>
          <w:lang w:val="fr-FR"/>
        </w:rPr>
        <w:t>ille</w:t>
      </w:r>
      <w:proofErr w:type="spellEnd"/>
      <w:r w:rsidRPr="00DA2033">
        <w:rPr>
          <w:lang w:val="fr-FR"/>
        </w:rPr>
        <w:t xml:space="preserve"> </w:t>
      </w:r>
      <w:r w:rsidR="00DE4117" w:rsidRPr="00DA2033">
        <w:rPr>
          <w:lang w:val="fr-FR"/>
        </w:rPr>
        <w:t>2019</w:t>
      </w:r>
      <w:r w:rsidR="00080895" w:rsidRPr="00DA2033">
        <w:rPr>
          <w:lang w:val="fr-FR"/>
        </w:rPr>
        <w:t> </w:t>
      </w:r>
      <w:r w:rsidRPr="00DA2033">
        <w:rPr>
          <w:lang w:val="fr-FR"/>
        </w:rPr>
        <w:t xml:space="preserve">: 10). Fictionnelle, </w:t>
      </w:r>
      <w:r w:rsidRPr="00DA2033">
        <w:rPr>
          <w:rFonts w:eastAsiaTheme="minorEastAsia"/>
          <w:color w:val="000000" w:themeColor="text1"/>
          <w:lang w:val="fr-FR"/>
        </w:rPr>
        <w:t xml:space="preserve">la transition est renforcée dans son rôle de </w:t>
      </w:r>
      <w:r w:rsidRPr="00DA2033">
        <w:rPr>
          <w:rFonts w:eastAsiaTheme="minorEastAsia"/>
          <w:i/>
          <w:color w:val="000000" w:themeColor="text1"/>
          <w:lang w:val="fr-FR"/>
        </w:rPr>
        <w:t>préparation</w:t>
      </w:r>
      <w:r w:rsidRPr="00DA2033">
        <w:rPr>
          <w:rFonts w:eastAsiaTheme="minorEastAsia"/>
          <w:color w:val="000000" w:themeColor="text1"/>
          <w:lang w:val="fr-FR"/>
        </w:rPr>
        <w:t xml:space="preserve"> de </w:t>
      </w:r>
      <w:r w:rsidRPr="00DA2033">
        <w:rPr>
          <w:lang w:val="fr-FR"/>
        </w:rPr>
        <w:t>la mise au jour de contradictions, c’est-à-dire de la prise en compte de mondes « contrefactuels » (Martin 1987</w:t>
      </w:r>
      <w:r w:rsidR="00080895" w:rsidRPr="00DA2033">
        <w:rPr>
          <w:lang w:val="fr-FR"/>
        </w:rPr>
        <w:t> </w:t>
      </w:r>
      <w:r w:rsidRPr="00DA2033">
        <w:rPr>
          <w:lang w:val="fr-FR"/>
        </w:rPr>
        <w:t xml:space="preserve">: 16). Elle peut ensuite </w:t>
      </w:r>
      <w:r w:rsidRPr="00DA2033">
        <w:rPr>
          <w:lang w:val="fr-FR"/>
        </w:rPr>
        <w:t xml:space="preserve">prendre en charge leur </w:t>
      </w:r>
      <w:r w:rsidRPr="00DA2033">
        <w:rPr>
          <w:i/>
          <w:lang w:val="fr-FR"/>
        </w:rPr>
        <w:t>dépassement</w:t>
      </w:r>
      <w:r w:rsidRPr="00DA2033">
        <w:rPr>
          <w:lang w:val="fr-FR"/>
        </w:rPr>
        <w:t>.</w:t>
      </w:r>
    </w:p>
    <w:p w14:paraId="19774113" w14:textId="60AAFCD4" w:rsidR="00420B66" w:rsidRPr="00DA2033" w:rsidRDefault="00420B66" w:rsidP="00080895">
      <w:pPr>
        <w:jc w:val="both"/>
        <w:rPr>
          <w:lang w:val="fr-FR"/>
        </w:rPr>
      </w:pPr>
      <w:r w:rsidRPr="00DA2033">
        <w:rPr>
          <w:lang w:val="fr-FR"/>
        </w:rPr>
        <w:t>Quels sont les mécanismes à l’œuvre</w:t>
      </w:r>
      <w:r w:rsidR="00080895" w:rsidRPr="00DA2033">
        <w:rPr>
          <w:lang w:val="fr-FR"/>
        </w:rPr>
        <w:t> </w:t>
      </w:r>
      <w:r w:rsidRPr="00DA2033">
        <w:rPr>
          <w:lang w:val="fr-FR"/>
        </w:rPr>
        <w:t>? Selon Foucault (1984</w:t>
      </w:r>
      <w:r w:rsidR="007F6A57">
        <w:rPr>
          <w:lang w:val="fr-FR"/>
        </w:rPr>
        <w:t> :</w:t>
      </w:r>
      <w:r w:rsidRPr="00DA2033">
        <w:rPr>
          <w:lang w:val="fr-FR"/>
        </w:rPr>
        <w:t xml:space="preserve"> 46-49), l’utopie ne se construit pas seulement par inversion, mais encore par </w:t>
      </w:r>
      <w:r w:rsidRPr="00DA2033">
        <w:rPr>
          <w:i/>
          <w:lang w:val="fr-FR"/>
        </w:rPr>
        <w:t>analogie</w:t>
      </w:r>
      <w:r w:rsidRPr="00DA2033">
        <w:rPr>
          <w:lang w:val="fr-FR"/>
        </w:rPr>
        <w:t>. La transition met à contribution la production de variantes, non seulement au niveau profond, mais</w:t>
      </w:r>
      <w:r w:rsidR="00986A53" w:rsidRPr="00DA2033">
        <w:rPr>
          <w:lang w:val="fr-FR"/>
        </w:rPr>
        <w:t xml:space="preserve"> encore</w:t>
      </w:r>
      <w:r w:rsidRPr="00DA2033">
        <w:rPr>
          <w:lang w:val="fr-FR"/>
        </w:rPr>
        <w:t xml:space="preserve"> à hauteur de la </w:t>
      </w:r>
      <w:proofErr w:type="spellStart"/>
      <w:r w:rsidRPr="00DA2033">
        <w:rPr>
          <w:lang w:val="fr-FR"/>
        </w:rPr>
        <w:t>textualisation</w:t>
      </w:r>
      <w:proofErr w:type="spellEnd"/>
      <w:r w:rsidRPr="00DA2033">
        <w:rPr>
          <w:lang w:val="fr-FR"/>
        </w:rPr>
        <w:t xml:space="preserve">, du projet utopique elle-même. Elle est alors de l’ordre de la </w:t>
      </w:r>
      <w:r w:rsidRPr="00DA2033">
        <w:rPr>
          <w:i/>
          <w:lang w:val="fr-FR"/>
        </w:rPr>
        <w:t>transposition</w:t>
      </w:r>
      <w:r w:rsidRPr="00DA2033">
        <w:rPr>
          <w:lang w:val="fr-FR"/>
        </w:rPr>
        <w:t xml:space="preserve"> qui</w:t>
      </w:r>
      <w:r w:rsidR="00BE5877" w:rsidRPr="00DA2033">
        <w:rPr>
          <w:lang w:val="fr-FR"/>
        </w:rPr>
        <w:t xml:space="preserve"> </w:t>
      </w:r>
      <w:r w:rsidRPr="00DA2033">
        <w:rPr>
          <w:lang w:val="fr-FR"/>
        </w:rPr>
        <w:t>« suppose […| le passage transformateur d’un “même” élément d’un système à un autre »</w:t>
      </w:r>
      <w:r w:rsidR="00B95B35" w:rsidRPr="00DA2033">
        <w:rPr>
          <w:lang w:val="fr-FR"/>
        </w:rPr>
        <w:t xml:space="preserve"> (Hébert 2021</w:t>
      </w:r>
      <w:r w:rsidR="00BE5877" w:rsidRPr="00DA2033">
        <w:rPr>
          <w:lang w:val="fr-FR"/>
        </w:rPr>
        <w:t>)</w:t>
      </w:r>
      <w:r w:rsidR="00BE5877" w:rsidRPr="00DA2033">
        <w:rPr>
          <w:rStyle w:val="Appelnotedebasdep"/>
          <w:lang w:val="fr-FR"/>
        </w:rPr>
        <w:footnoteReference w:id="11"/>
      </w:r>
      <w:r w:rsidR="00BE5877" w:rsidRPr="00DA2033">
        <w:rPr>
          <w:lang w:val="fr-FR"/>
        </w:rPr>
        <w:t>.</w:t>
      </w:r>
      <w:r w:rsidRPr="00DA2033">
        <w:rPr>
          <w:lang w:val="fr-FR"/>
        </w:rPr>
        <w:t xml:space="preserve"> Plus exactement</w:t>
      </w:r>
      <w:r w:rsidR="00080895" w:rsidRPr="00DA2033">
        <w:rPr>
          <w:lang w:val="fr-FR"/>
        </w:rPr>
        <w:t> </w:t>
      </w:r>
      <w:r w:rsidRPr="00DA2033">
        <w:rPr>
          <w:lang w:val="fr-FR"/>
        </w:rPr>
        <w:t xml:space="preserve">: approchée sous l’angle de la transition, la transposition en sa phase médiane opère encore </w:t>
      </w:r>
      <w:r w:rsidRPr="00DA2033">
        <w:rPr>
          <w:i/>
          <w:lang w:val="fr-FR"/>
        </w:rPr>
        <w:t>en deçà</w:t>
      </w:r>
      <w:r w:rsidRPr="00DA2033">
        <w:rPr>
          <w:lang w:val="fr-FR"/>
        </w:rPr>
        <w:t xml:space="preserve">, là où l’hétérogénéité reste vive, où </w:t>
      </w:r>
      <w:r w:rsidR="000E0959" w:rsidRPr="00DA2033">
        <w:rPr>
          <w:lang w:val="fr-FR"/>
        </w:rPr>
        <w:t>différentes formes d’</w:t>
      </w:r>
      <w:r w:rsidRPr="00DA2033">
        <w:rPr>
          <w:lang w:val="fr-FR"/>
        </w:rPr>
        <w:t>hom</w:t>
      </w:r>
      <w:r w:rsidR="004B7322" w:rsidRPr="00DA2033">
        <w:rPr>
          <w:lang w:val="fr-FR"/>
        </w:rPr>
        <w:t>o</w:t>
      </w:r>
      <w:r w:rsidRPr="00DA2033">
        <w:rPr>
          <w:lang w:val="fr-FR"/>
        </w:rPr>
        <w:t xml:space="preserve">généisation </w:t>
      </w:r>
      <w:r w:rsidR="000E0959" w:rsidRPr="00DA2033">
        <w:rPr>
          <w:lang w:val="fr-FR"/>
        </w:rPr>
        <w:t>(le mixte, l’hybride</w:t>
      </w:r>
      <w:r w:rsidR="00080895" w:rsidRPr="00DA2033">
        <w:rPr>
          <w:lang w:val="fr-FR"/>
        </w:rPr>
        <w:t> </w:t>
      </w:r>
      <w:r w:rsidR="000E0959" w:rsidRPr="00DA2033">
        <w:rPr>
          <w:lang w:val="fr-FR"/>
        </w:rPr>
        <w:t xml:space="preserve">: le même </w:t>
      </w:r>
      <w:r w:rsidR="000E0959" w:rsidRPr="00DA2033">
        <w:rPr>
          <w:i/>
          <w:lang w:val="fr-FR"/>
        </w:rPr>
        <w:t>et</w:t>
      </w:r>
      <w:r w:rsidR="000E0959" w:rsidRPr="00DA2033">
        <w:rPr>
          <w:lang w:val="fr-FR"/>
        </w:rPr>
        <w:t xml:space="preserve"> l’autre, le même </w:t>
      </w:r>
      <w:r w:rsidR="000E0959" w:rsidRPr="00DA2033">
        <w:rPr>
          <w:i/>
          <w:lang w:val="fr-FR"/>
        </w:rPr>
        <w:t>contre</w:t>
      </w:r>
      <w:r w:rsidR="000E0959" w:rsidRPr="00DA2033">
        <w:rPr>
          <w:lang w:val="fr-FR"/>
        </w:rPr>
        <w:t xml:space="preserve"> l’autre, </w:t>
      </w:r>
      <w:r w:rsidR="000E0959" w:rsidRPr="002F5700">
        <w:rPr>
          <w:i/>
          <w:iCs/>
          <w:lang w:val="fr-FR"/>
        </w:rPr>
        <w:t>etc.</w:t>
      </w:r>
      <w:r w:rsidR="000E0959" w:rsidRPr="00DA2033">
        <w:rPr>
          <w:lang w:val="fr-FR"/>
        </w:rPr>
        <w:t xml:space="preserve">) </w:t>
      </w:r>
      <w:r w:rsidRPr="00DA2033">
        <w:rPr>
          <w:lang w:val="fr-FR"/>
        </w:rPr>
        <w:lastRenderedPageBreak/>
        <w:t>appelle</w:t>
      </w:r>
      <w:r w:rsidR="000E0959" w:rsidRPr="00DA2033">
        <w:rPr>
          <w:lang w:val="fr-FR"/>
        </w:rPr>
        <w:t>nt</w:t>
      </w:r>
      <w:r w:rsidRPr="00DA2033">
        <w:rPr>
          <w:lang w:val="fr-FR"/>
        </w:rPr>
        <w:t xml:space="preserve"> des négociations, donc en deçà du moment où le « même » est remplacé par l</w:t>
      </w:r>
      <w:proofErr w:type="gramStart"/>
      <w:r w:rsidRPr="00DA2033">
        <w:rPr>
          <w:lang w:val="fr-FR"/>
        </w:rPr>
        <w:t>’«</w:t>
      </w:r>
      <w:proofErr w:type="gramEnd"/>
      <w:r w:rsidRPr="00DA2033">
        <w:rPr>
          <w:lang w:val="fr-FR"/>
        </w:rPr>
        <w:t xml:space="preserve"> autre ». </w:t>
      </w:r>
      <w:r w:rsidR="006B1661" w:rsidRPr="00DA2033">
        <w:rPr>
          <w:lang w:val="fr-FR"/>
        </w:rPr>
        <w:t>Elle a enfin en charge la réalisation « textuelle » des utopies/dystopies, notamment à travers la production d’analogies.</w:t>
      </w:r>
    </w:p>
    <w:p w14:paraId="0F084182" w14:textId="52BFD7BE" w:rsidR="00420B66" w:rsidRPr="00DA2033" w:rsidRDefault="00420B66" w:rsidP="00080895">
      <w:pPr>
        <w:jc w:val="both"/>
        <w:rPr>
          <w:i/>
          <w:lang w:val="fr-FR"/>
        </w:rPr>
      </w:pPr>
      <w:r w:rsidRPr="00DA2033">
        <w:rPr>
          <w:lang w:val="fr-FR"/>
        </w:rPr>
        <w:t>L’utopie</w:t>
      </w:r>
      <w:r w:rsidR="006B1661" w:rsidRPr="00DA2033">
        <w:rPr>
          <w:lang w:val="fr-FR"/>
        </w:rPr>
        <w:t xml:space="preserve"> et </w:t>
      </w:r>
      <w:r w:rsidRPr="00DA2033">
        <w:rPr>
          <w:lang w:val="fr-FR"/>
        </w:rPr>
        <w:t xml:space="preserve">la dystopie donnent ainsi une forme de </w:t>
      </w:r>
      <w:r w:rsidRPr="00DA2033">
        <w:rPr>
          <w:i/>
          <w:lang w:val="fr-FR"/>
        </w:rPr>
        <w:t>visibilité</w:t>
      </w:r>
      <w:r w:rsidRPr="00DA2033">
        <w:rPr>
          <w:lang w:val="fr-FR"/>
        </w:rPr>
        <w:t xml:space="preserve"> accrue au phénomène de la </w:t>
      </w:r>
      <w:r w:rsidRPr="00DA2033">
        <w:rPr>
          <w:i/>
          <w:lang w:val="fr-FR"/>
        </w:rPr>
        <w:t xml:space="preserve">transition </w:t>
      </w:r>
      <w:proofErr w:type="spellStart"/>
      <w:r w:rsidRPr="00DA2033">
        <w:rPr>
          <w:i/>
          <w:lang w:val="fr-FR"/>
        </w:rPr>
        <w:t>fictionnnelle</w:t>
      </w:r>
      <w:proofErr w:type="spellEnd"/>
      <w:r w:rsidRPr="00DA2033">
        <w:rPr>
          <w:lang w:val="fr-FR"/>
        </w:rPr>
        <w:t>, c’est-à-dire</w:t>
      </w:r>
      <w:r w:rsidR="00FA0B5C">
        <w:rPr>
          <w:lang w:val="fr-FR"/>
        </w:rPr>
        <w:t xml:space="preserve"> </w:t>
      </w:r>
      <w:r w:rsidRPr="00DA2033">
        <w:rPr>
          <w:lang w:val="fr-FR"/>
        </w:rPr>
        <w:t>– selon l’étymologie d</w:t>
      </w:r>
      <w:r w:rsidR="002C0568" w:rsidRPr="00DA2033">
        <w:rPr>
          <w:lang w:val="fr-FR"/>
        </w:rPr>
        <w:t>u</w:t>
      </w:r>
      <w:r w:rsidRPr="00DA2033">
        <w:rPr>
          <w:lang w:val="fr-FR"/>
        </w:rPr>
        <w:t xml:space="preserve"> terme « fiction »</w:t>
      </w:r>
      <w:r w:rsidR="00FA0B5C">
        <w:rPr>
          <w:lang w:val="fr-FR"/>
        </w:rPr>
        <w:t xml:space="preserve"> </w:t>
      </w:r>
      <w:r w:rsidRPr="00DA2033">
        <w:rPr>
          <w:lang w:val="fr-FR"/>
        </w:rPr>
        <w:t xml:space="preserve">– du façonnement progressif d’un monde signifiant alternatif </w:t>
      </w:r>
      <w:proofErr w:type="gramStart"/>
      <w:r w:rsidRPr="00DA2033">
        <w:rPr>
          <w:lang w:val="fr-FR"/>
        </w:rPr>
        <w:t>proposé</w:t>
      </w:r>
      <w:proofErr w:type="gramEnd"/>
      <w:r w:rsidRPr="00DA2033">
        <w:rPr>
          <w:lang w:val="fr-FR"/>
        </w:rPr>
        <w:t xml:space="preserve"> sur le fond d’un ensemble de possibles. Il incombe à la transition fictionnelle de gérer les </w:t>
      </w:r>
      <w:r w:rsidRPr="00DA2033">
        <w:rPr>
          <w:i/>
          <w:lang w:val="fr-FR"/>
        </w:rPr>
        <w:t>ajustements</w:t>
      </w:r>
      <w:r w:rsidRPr="00DA2033">
        <w:rPr>
          <w:lang w:val="fr-FR"/>
        </w:rPr>
        <w:t xml:space="preserve"> qui sous-tendent </w:t>
      </w:r>
      <w:r w:rsidR="002C0568" w:rsidRPr="00DA2033">
        <w:rPr>
          <w:lang w:val="fr-FR"/>
        </w:rPr>
        <w:t xml:space="preserve">et préparent </w:t>
      </w:r>
      <w:r w:rsidRPr="00DA2033">
        <w:rPr>
          <w:lang w:val="fr-FR"/>
        </w:rPr>
        <w:t>la projection d’un ordre inversé</w:t>
      </w:r>
      <w:r w:rsidRPr="00DA2033">
        <w:rPr>
          <w:i/>
          <w:lang w:val="fr-FR"/>
        </w:rPr>
        <w:t>.</w:t>
      </w:r>
    </w:p>
    <w:p w14:paraId="4AC5D644" w14:textId="712A49EA" w:rsidR="00420B66" w:rsidRPr="00DA2033" w:rsidRDefault="00420B66" w:rsidP="00080895">
      <w:pPr>
        <w:jc w:val="both"/>
        <w:rPr>
          <w:lang w:val="fr-FR"/>
        </w:rPr>
      </w:pPr>
      <w:r w:rsidRPr="00DA2033">
        <w:rPr>
          <w:lang w:val="fr-FR"/>
        </w:rPr>
        <w:t>Enfin, la transition fictionnelle propose l’</w:t>
      </w:r>
      <w:r w:rsidRPr="00DA2033">
        <w:rPr>
          <w:i/>
          <w:lang w:val="fr-FR"/>
        </w:rPr>
        <w:t>expérience</w:t>
      </w:r>
      <w:r w:rsidRPr="00DA2033">
        <w:rPr>
          <w:lang w:val="fr-FR"/>
        </w:rPr>
        <w:t xml:space="preserve"> des passages par une instance sensible et perceptivo-cognitive</w:t>
      </w:r>
      <w:r w:rsidR="00B95B35" w:rsidRPr="00DA2033">
        <w:rPr>
          <w:lang w:val="fr-FR"/>
        </w:rPr>
        <w:t xml:space="preserve">. Elle est souvent liée à une </w:t>
      </w:r>
      <w:r w:rsidRPr="00DA2033">
        <w:rPr>
          <w:lang w:val="fr-FR"/>
        </w:rPr>
        <w:t xml:space="preserve">intensification et </w:t>
      </w:r>
      <w:r w:rsidR="00B95B35" w:rsidRPr="00DA2033">
        <w:rPr>
          <w:lang w:val="fr-FR"/>
        </w:rPr>
        <w:t xml:space="preserve">à </w:t>
      </w:r>
      <w:r w:rsidRPr="00DA2033">
        <w:rPr>
          <w:lang w:val="fr-FR"/>
        </w:rPr>
        <w:t>un basculement quantitatif et qualitatif</w:t>
      </w:r>
      <w:r w:rsidR="00B95B35" w:rsidRPr="00DA2033">
        <w:rPr>
          <w:lang w:val="fr-FR"/>
        </w:rPr>
        <w:t xml:space="preserve">, à </w:t>
      </w:r>
      <w:r w:rsidRPr="00DA2033">
        <w:rPr>
          <w:lang w:val="fr-FR"/>
        </w:rPr>
        <w:t xml:space="preserve">un </w:t>
      </w:r>
      <w:r w:rsidRPr="00DA2033">
        <w:rPr>
          <w:i/>
          <w:lang w:val="fr-FR"/>
        </w:rPr>
        <w:t>excès</w:t>
      </w:r>
      <w:r w:rsidR="002C0568" w:rsidRPr="00DA2033">
        <w:rPr>
          <w:lang w:val="fr-FR"/>
        </w:rPr>
        <w:t xml:space="preserve">. </w:t>
      </w:r>
      <w:r w:rsidR="00B95B35" w:rsidRPr="00DA2033">
        <w:rPr>
          <w:lang w:val="fr-FR"/>
        </w:rPr>
        <w:t>Comme</w:t>
      </w:r>
      <w:r w:rsidRPr="00DA2033">
        <w:rPr>
          <w:lang w:val="fr-FR"/>
        </w:rPr>
        <w:t xml:space="preserve"> si la montée pas à pas, par franchissement de seuils successifs, débouchait sur une valence extrêmale</w:t>
      </w:r>
      <w:r w:rsidR="00080895" w:rsidRPr="00DA2033">
        <w:rPr>
          <w:lang w:val="fr-FR"/>
        </w:rPr>
        <w:t> </w:t>
      </w:r>
      <w:r w:rsidRPr="00DA2033">
        <w:rPr>
          <w:lang w:val="fr-FR"/>
        </w:rPr>
        <w:t xml:space="preserve">: </w:t>
      </w:r>
      <w:proofErr w:type="spellStart"/>
      <w:r w:rsidRPr="00DA2033">
        <w:rPr>
          <w:i/>
          <w:lang w:val="fr-FR"/>
        </w:rPr>
        <w:t>transire</w:t>
      </w:r>
      <w:proofErr w:type="spellEnd"/>
      <w:r w:rsidRPr="00DA2033">
        <w:rPr>
          <w:lang w:val="fr-FR"/>
        </w:rPr>
        <w:t xml:space="preserve">, c’est « passer à travers », mais aussi, selon </w:t>
      </w:r>
      <w:r w:rsidR="00B95B35" w:rsidRPr="00DA2033">
        <w:rPr>
          <w:lang w:val="fr-FR"/>
        </w:rPr>
        <w:t>L</w:t>
      </w:r>
      <w:r w:rsidRPr="00DA2033">
        <w:rPr>
          <w:lang w:val="fr-FR"/>
        </w:rPr>
        <w:t>e</w:t>
      </w:r>
      <w:r w:rsidRPr="00DA2033">
        <w:rPr>
          <w:i/>
          <w:lang w:val="fr-FR"/>
        </w:rPr>
        <w:t xml:space="preserve"> </w:t>
      </w:r>
      <w:r w:rsidRPr="00DA2033">
        <w:rPr>
          <w:lang w:val="fr-FR"/>
        </w:rPr>
        <w:t xml:space="preserve">Gaffiot, </w:t>
      </w:r>
      <w:r w:rsidRPr="00DA2033">
        <w:rPr>
          <w:color w:val="1B1B1B"/>
          <w:shd w:val="clear" w:color="auto" w:fill="FFFFFF"/>
          <w:lang w:val="fr-FR"/>
        </w:rPr>
        <w:t>[fig.]</w:t>
      </w:r>
      <w:r w:rsidRPr="00DA2033">
        <w:rPr>
          <w:rStyle w:val="apple-converted-space"/>
          <w:color w:val="1B1B1B"/>
          <w:shd w:val="clear" w:color="auto" w:fill="FFFFFF"/>
          <w:lang w:val="fr-FR"/>
        </w:rPr>
        <w:t> </w:t>
      </w:r>
      <w:proofErr w:type="spellStart"/>
      <w:r w:rsidRPr="00DA2033">
        <w:rPr>
          <w:i/>
          <w:iCs/>
          <w:color w:val="1B1B1B"/>
          <w:lang w:val="fr-FR"/>
        </w:rPr>
        <w:t>transire</w:t>
      </w:r>
      <w:proofErr w:type="spellEnd"/>
      <w:r w:rsidRPr="00DA2033">
        <w:rPr>
          <w:i/>
          <w:iCs/>
          <w:color w:val="1B1B1B"/>
          <w:lang w:val="fr-FR"/>
        </w:rPr>
        <w:t xml:space="preserve"> </w:t>
      </w:r>
      <w:proofErr w:type="spellStart"/>
      <w:r w:rsidRPr="00DA2033">
        <w:rPr>
          <w:i/>
          <w:iCs/>
          <w:color w:val="1B1B1B"/>
          <w:lang w:val="fr-FR"/>
        </w:rPr>
        <w:t>lineas</w:t>
      </w:r>
      <w:proofErr w:type="spellEnd"/>
      <w:r w:rsidRPr="00DA2033">
        <w:rPr>
          <w:rStyle w:val="apple-converted-space"/>
          <w:color w:val="1B1B1B"/>
          <w:shd w:val="clear" w:color="auto" w:fill="FFFFFF"/>
          <w:lang w:val="fr-FR"/>
        </w:rPr>
        <w:t> </w:t>
      </w:r>
      <w:proofErr w:type="spellStart"/>
      <w:r w:rsidRPr="00DA2033">
        <w:rPr>
          <w:lang w:val="fr-FR"/>
        </w:rPr>
        <w:t>Cic</w:t>
      </w:r>
      <w:proofErr w:type="spellEnd"/>
      <w:r w:rsidRPr="00DA2033">
        <w:rPr>
          <w:lang w:val="fr-FR"/>
        </w:rPr>
        <w:t>.</w:t>
      </w:r>
      <w:r w:rsidRPr="00DA2033">
        <w:rPr>
          <w:rStyle w:val="apple-converted-space"/>
          <w:color w:val="1B1B1B"/>
          <w:shd w:val="clear" w:color="auto" w:fill="FFFFFF"/>
          <w:lang w:val="fr-FR"/>
        </w:rPr>
        <w:t> </w:t>
      </w:r>
      <w:r w:rsidRPr="00DA2033">
        <w:rPr>
          <w:i/>
          <w:iCs/>
          <w:color w:val="1B1B1B"/>
          <w:lang w:val="fr-FR"/>
        </w:rPr>
        <w:t>Par.</w:t>
      </w:r>
      <w:r w:rsidRPr="00DA2033">
        <w:rPr>
          <w:rStyle w:val="apple-converted-space"/>
          <w:color w:val="1B1B1B"/>
          <w:shd w:val="clear" w:color="auto" w:fill="FFFFFF"/>
          <w:lang w:val="fr-FR"/>
        </w:rPr>
        <w:t> </w:t>
      </w:r>
      <w:r w:rsidRPr="00DA2033">
        <w:rPr>
          <w:i/>
          <w:iCs/>
          <w:color w:val="1B1B1B"/>
          <w:lang w:val="fr-FR"/>
        </w:rPr>
        <w:t>20,</w:t>
      </w:r>
      <w:r w:rsidRPr="00DA2033">
        <w:rPr>
          <w:rStyle w:val="apple-converted-space"/>
          <w:color w:val="1B1B1B"/>
          <w:shd w:val="clear" w:color="auto" w:fill="FFFFFF"/>
          <w:lang w:val="fr-FR"/>
        </w:rPr>
        <w:t xml:space="preserve"> c’est « </w:t>
      </w:r>
      <w:r w:rsidRPr="00DA2033">
        <w:rPr>
          <w:color w:val="1B1B1B"/>
          <w:shd w:val="clear" w:color="auto" w:fill="FFFFFF"/>
          <w:lang w:val="fr-FR"/>
        </w:rPr>
        <w:t>dépasser le but, la limite</w:t>
      </w:r>
      <w:r w:rsidRPr="00DA2033">
        <w:rPr>
          <w:lang w:val="fr-FR"/>
        </w:rPr>
        <w:t xml:space="preserve"> ». C’est, dirons-nous, aller </w:t>
      </w:r>
      <w:r w:rsidRPr="00DA2033">
        <w:rPr>
          <w:i/>
          <w:lang w:val="fr-FR"/>
        </w:rPr>
        <w:t>par-delà</w:t>
      </w:r>
      <w:r w:rsidRPr="00DA2033">
        <w:rPr>
          <w:lang w:val="fr-FR"/>
        </w:rPr>
        <w:t xml:space="preserve"> ou </w:t>
      </w:r>
      <w:r w:rsidRPr="00DA2033">
        <w:rPr>
          <w:i/>
          <w:lang w:val="fr-FR"/>
        </w:rPr>
        <w:t>au-delà</w:t>
      </w:r>
      <w:r w:rsidRPr="00DA2033">
        <w:rPr>
          <w:lang w:val="fr-FR"/>
        </w:rPr>
        <w:t xml:space="preserve">, comme dans </w:t>
      </w:r>
      <w:r w:rsidRPr="00DA2033">
        <w:rPr>
          <w:i/>
          <w:lang w:val="fr-FR"/>
        </w:rPr>
        <w:t>1984</w:t>
      </w:r>
      <w:r w:rsidRPr="00DA2033">
        <w:rPr>
          <w:lang w:val="fr-FR"/>
        </w:rPr>
        <w:t xml:space="preserve">, où Orwell </w:t>
      </w:r>
      <w:r w:rsidR="00DE4117" w:rsidRPr="00DA2033">
        <w:rPr>
          <w:lang w:val="fr-FR"/>
        </w:rPr>
        <w:t xml:space="preserve">(1949) </w:t>
      </w:r>
      <w:r w:rsidRPr="00DA2033">
        <w:rPr>
          <w:lang w:val="fr-FR"/>
        </w:rPr>
        <w:t>imagine une dictature portant à un degré extrême tout ce qui a pu être vécu au XX</w:t>
      </w:r>
      <w:r w:rsidRPr="00DA2033">
        <w:rPr>
          <w:vertAlign w:val="superscript"/>
          <w:lang w:val="fr-FR"/>
        </w:rPr>
        <w:t>e</w:t>
      </w:r>
      <w:r w:rsidRPr="00DA2033">
        <w:rPr>
          <w:lang w:val="fr-FR"/>
        </w:rPr>
        <w:t xml:space="preserve"> siècle.</w:t>
      </w:r>
    </w:p>
    <w:p w14:paraId="22B9D7D4" w14:textId="01C43C64" w:rsidR="00420B66" w:rsidRPr="00DA2033" w:rsidRDefault="00420B66" w:rsidP="00080895">
      <w:pPr>
        <w:jc w:val="both"/>
        <w:rPr>
          <w:lang w:val="fr-FR"/>
        </w:rPr>
      </w:pPr>
      <w:r w:rsidRPr="00DA2033">
        <w:rPr>
          <w:lang w:val="fr-FR"/>
        </w:rPr>
        <w:t xml:space="preserve">Dans la dernière partie, nous nous demanderons en quoi l’utopie et les cadres de son développement figuratif peuvent venir au secours de la transition, plus exactement, ici, de La Fondation des transitions (FACE), créée en </w:t>
      </w:r>
      <w:r w:rsidR="00080895" w:rsidRPr="00DA2033">
        <w:rPr>
          <w:lang w:val="fr-FR"/>
        </w:rPr>
        <w:t>France</w:t>
      </w:r>
      <w:r w:rsidRPr="00DA2033">
        <w:rPr>
          <w:lang w:val="fr-FR"/>
        </w:rPr>
        <w:t xml:space="preserve"> en 1993, qui souhaite militer pour un monde innovant de lutte contre toutes les formes d’exclusion, grâce à un</w:t>
      </w:r>
      <w:r w:rsidR="00FA0B5C">
        <w:rPr>
          <w:lang w:val="fr-FR"/>
        </w:rPr>
        <w:t>e</w:t>
      </w:r>
      <w:r w:rsidRPr="00DA2033">
        <w:rPr>
          <w:lang w:val="fr-FR"/>
        </w:rPr>
        <w:t xml:space="preserve"> approche globale de la Responsabilité Sociale/Sociétale des Entreprises (RSE).</w:t>
      </w:r>
    </w:p>
    <w:p w14:paraId="6DB909DF" w14:textId="77777777" w:rsidR="00080895" w:rsidRPr="00DA2033" w:rsidRDefault="00080895" w:rsidP="00080895">
      <w:pPr>
        <w:jc w:val="both"/>
        <w:rPr>
          <w:b/>
          <w:lang w:val="fr-FR"/>
        </w:rPr>
      </w:pPr>
    </w:p>
    <w:p w14:paraId="4E99B3C9" w14:textId="3F4CB29D" w:rsidR="00420B66" w:rsidRPr="00DA2033" w:rsidRDefault="00420B66" w:rsidP="00080895">
      <w:pPr>
        <w:jc w:val="both"/>
        <w:rPr>
          <w:b/>
          <w:lang w:val="fr-FR"/>
        </w:rPr>
      </w:pPr>
      <w:r w:rsidRPr="00DA2033">
        <w:rPr>
          <w:b/>
          <w:lang w:val="fr-FR"/>
        </w:rPr>
        <w:t xml:space="preserve">3. L’utopie au secours de la transition </w:t>
      </w:r>
    </w:p>
    <w:p w14:paraId="7C6D0F97" w14:textId="77777777" w:rsidR="00080895" w:rsidRPr="00DA2033" w:rsidRDefault="00080895" w:rsidP="00080895">
      <w:pPr>
        <w:jc w:val="both"/>
        <w:rPr>
          <w:b/>
          <w:lang w:val="fr-FR"/>
        </w:rPr>
      </w:pPr>
    </w:p>
    <w:p w14:paraId="799302B4" w14:textId="67213C48" w:rsidR="00420B66" w:rsidRPr="00DA2033" w:rsidRDefault="00420B66" w:rsidP="00080895">
      <w:pPr>
        <w:jc w:val="both"/>
        <w:rPr>
          <w:lang w:val="fr-FR"/>
        </w:rPr>
      </w:pPr>
      <w:r w:rsidRPr="00DA2033">
        <w:rPr>
          <w:lang w:val="fr-FR"/>
        </w:rPr>
        <w:t>Cette fondation a organisé, en décembre 2020, l</w:t>
      </w:r>
      <w:proofErr w:type="gramStart"/>
      <w:r w:rsidRPr="00DA2033">
        <w:rPr>
          <w:lang w:val="fr-FR"/>
        </w:rPr>
        <w:t>’«</w:t>
      </w:r>
      <w:proofErr w:type="gramEnd"/>
      <w:r w:rsidRPr="00DA2033">
        <w:rPr>
          <w:lang w:val="fr-FR"/>
        </w:rPr>
        <w:t xml:space="preserve"> Université des </w:t>
      </w:r>
      <w:proofErr w:type="spellStart"/>
      <w:r w:rsidRPr="00DA2033">
        <w:rPr>
          <w:lang w:val="fr-FR"/>
        </w:rPr>
        <w:t>Transitionneurs</w:t>
      </w:r>
      <w:proofErr w:type="spellEnd"/>
      <w:r w:rsidRPr="00DA2033">
        <w:rPr>
          <w:lang w:val="fr-FR"/>
        </w:rPr>
        <w:t xml:space="preserve"> », sur le thème de « l’expérience d’un tiers lieu </w:t>
      </w:r>
      <w:proofErr w:type="spellStart"/>
      <w:r w:rsidRPr="00DA2033">
        <w:rPr>
          <w:lang w:val="fr-FR"/>
        </w:rPr>
        <w:t>transitionneur</w:t>
      </w:r>
      <w:proofErr w:type="spellEnd"/>
      <w:r w:rsidRPr="00DA2033">
        <w:rPr>
          <w:lang w:val="fr-FR"/>
        </w:rPr>
        <w:t xml:space="preserve"> ». Les </w:t>
      </w:r>
      <w:proofErr w:type="spellStart"/>
      <w:r w:rsidRPr="00DA2033">
        <w:rPr>
          <w:lang w:val="fr-FR"/>
        </w:rPr>
        <w:t>transitionneurs</w:t>
      </w:r>
      <w:proofErr w:type="spellEnd"/>
      <w:r w:rsidRPr="00DA2033">
        <w:rPr>
          <w:lang w:val="fr-FR"/>
        </w:rPr>
        <w:t xml:space="preserve"> sont les acteurs de la transition écologique</w:t>
      </w:r>
      <w:r w:rsidR="0069469F" w:rsidRPr="00DA2033">
        <w:rPr>
          <w:lang w:val="fr-FR"/>
        </w:rPr>
        <w:t xml:space="preserve">, </w:t>
      </w:r>
      <w:r w:rsidRPr="00DA2033">
        <w:rPr>
          <w:lang w:val="fr-FR"/>
        </w:rPr>
        <w:t xml:space="preserve">notamment en mettant en avant la consommation locale, la création de potagers collectifs, l’implantation des citadins dans les campagnes, </w:t>
      </w:r>
      <w:r w:rsidRPr="00D51031">
        <w:rPr>
          <w:i/>
          <w:iCs/>
          <w:lang w:val="fr-FR"/>
        </w:rPr>
        <w:t>etc.</w:t>
      </w:r>
      <w:r w:rsidRPr="00DA2033">
        <w:rPr>
          <w:rStyle w:val="Appelnotedebasdep"/>
          <w:lang w:val="fr-FR"/>
        </w:rPr>
        <w:footnoteReference w:id="12"/>
      </w:r>
      <w:r w:rsidRPr="00DA2033">
        <w:rPr>
          <w:lang w:val="fr-FR"/>
        </w:rPr>
        <w:t xml:space="preserve"> </w:t>
      </w:r>
      <w:r w:rsidR="00C25B4A" w:rsidRPr="00DA2033">
        <w:rPr>
          <w:lang w:val="fr-FR"/>
        </w:rPr>
        <w:t>L</w:t>
      </w:r>
      <w:r w:rsidRPr="00DA2033">
        <w:rPr>
          <w:lang w:val="fr-FR"/>
        </w:rPr>
        <w:t xml:space="preserve">e « tiers lieu », le plus souvent rural, </w:t>
      </w:r>
      <w:r w:rsidR="004B7322" w:rsidRPr="00DA2033">
        <w:rPr>
          <w:lang w:val="fr-FR"/>
        </w:rPr>
        <w:t>c</w:t>
      </w:r>
      <w:r w:rsidR="0037157C" w:rsidRPr="00DA2033">
        <w:rPr>
          <w:lang w:val="fr-FR"/>
        </w:rPr>
        <w:t>o</w:t>
      </w:r>
      <w:r w:rsidR="004B7322" w:rsidRPr="00DA2033">
        <w:rPr>
          <w:lang w:val="fr-FR"/>
        </w:rPr>
        <w:t>nstitue</w:t>
      </w:r>
      <w:r w:rsidRPr="00DA2033">
        <w:rPr>
          <w:lang w:val="fr-FR"/>
        </w:rPr>
        <w:t xml:space="preserve"> un lieu de rencontre et de cogestion de projets écologiques qui visent un surcroît de « socialité », notamment à travers une économie mettant en œuvre la transition énergétique.</w:t>
      </w:r>
    </w:p>
    <w:p w14:paraId="17DBA7AF" w14:textId="28B38E31" w:rsidR="004B7322" w:rsidRPr="00DA2033" w:rsidRDefault="00420B66" w:rsidP="004D0DA0">
      <w:pPr>
        <w:jc w:val="both"/>
        <w:rPr>
          <w:lang w:val="fr-FR"/>
        </w:rPr>
      </w:pPr>
      <w:r w:rsidRPr="00DA2033">
        <w:rPr>
          <w:lang w:val="fr-FR"/>
        </w:rPr>
        <w:t>Or, rapproch</w:t>
      </w:r>
      <w:r w:rsidR="00C25B4A" w:rsidRPr="00DA2033">
        <w:rPr>
          <w:lang w:val="fr-FR"/>
        </w:rPr>
        <w:t>ons</w:t>
      </w:r>
      <w:r w:rsidRPr="00DA2033">
        <w:rPr>
          <w:lang w:val="fr-FR"/>
        </w:rPr>
        <w:t xml:space="preserve"> le « tiers lieu </w:t>
      </w:r>
      <w:proofErr w:type="spellStart"/>
      <w:r w:rsidRPr="00DA2033">
        <w:rPr>
          <w:lang w:val="fr-FR"/>
        </w:rPr>
        <w:t>transitionneur</w:t>
      </w:r>
      <w:proofErr w:type="spellEnd"/>
      <w:r w:rsidRPr="00DA2033">
        <w:rPr>
          <w:lang w:val="fr-FR"/>
        </w:rPr>
        <w:t xml:space="preserve"> » de la « zone utopique » définie par </w:t>
      </w:r>
      <w:proofErr w:type="spellStart"/>
      <w:r w:rsidRPr="00DA2033">
        <w:rPr>
          <w:lang w:val="fr-FR"/>
        </w:rPr>
        <w:t>Fontanille</w:t>
      </w:r>
      <w:proofErr w:type="spellEnd"/>
      <w:r w:rsidRPr="00DA2033">
        <w:rPr>
          <w:lang w:val="fr-FR"/>
        </w:rPr>
        <w:t xml:space="preserve"> dans </w:t>
      </w:r>
      <w:r w:rsidRPr="00DA2033">
        <w:rPr>
          <w:i/>
          <w:lang w:val="fr-FR"/>
        </w:rPr>
        <w:t>Ensemble. Pour une anthropologie sémiotique du politique</w:t>
      </w:r>
      <w:r w:rsidRPr="00DA2033">
        <w:rPr>
          <w:lang w:val="fr-FR"/>
        </w:rPr>
        <w:t xml:space="preserve"> (2021 : 185). En effet, ce tiers lieu paraît adopter </w:t>
      </w:r>
      <w:r w:rsidR="000E0959" w:rsidRPr="00DA2033">
        <w:rPr>
          <w:lang w:val="fr-FR"/>
        </w:rPr>
        <w:t xml:space="preserve">certains des </w:t>
      </w:r>
      <w:r w:rsidRPr="00DA2033">
        <w:rPr>
          <w:lang w:val="fr-FR"/>
        </w:rPr>
        <w:t xml:space="preserve">traits caractéristiques de la zone utopique qui est « dissociée du domaine de référence tout entier ». On peut considérer qu’à l’instar de la zone utopique, </w:t>
      </w:r>
      <w:r w:rsidR="0069469F" w:rsidRPr="00DA2033">
        <w:rPr>
          <w:lang w:val="fr-FR"/>
        </w:rPr>
        <w:t>le tiers lieu</w:t>
      </w:r>
      <w:r w:rsidRPr="00DA2033">
        <w:rPr>
          <w:lang w:val="fr-FR"/>
        </w:rPr>
        <w:t xml:space="preserve"> appelle des « passages et des franchissements, et des substitutions ou mélanges entre plusieurs systèmes de conditions d’existence » (</w:t>
      </w:r>
      <w:r w:rsidR="00FA0B5C">
        <w:rPr>
          <w:i/>
          <w:lang w:val="fr-FR"/>
        </w:rPr>
        <w:t>Ibid.</w:t>
      </w:r>
      <w:r w:rsidRPr="00DA2033">
        <w:rPr>
          <w:lang w:val="fr-FR"/>
        </w:rPr>
        <w:t>)</w:t>
      </w:r>
      <w:r w:rsidR="004B7322" w:rsidRPr="00DA2033">
        <w:rPr>
          <w:lang w:val="fr-FR"/>
        </w:rPr>
        <w:t> : ici, entre le local et le global.</w:t>
      </w:r>
      <w:r w:rsidRPr="00DA2033">
        <w:rPr>
          <w:lang w:val="fr-FR"/>
        </w:rPr>
        <w:t xml:space="preserve"> Ces substitutions peuvent prendre la forme de styles de mélange tels que le bricolage, l’hybridation </w:t>
      </w:r>
      <w:r w:rsidRPr="00DA2033">
        <w:rPr>
          <w:lang w:val="fr-FR"/>
        </w:rPr>
        <w:t xml:space="preserve">ou encore le métissage (Colas-Blaise 2021). </w:t>
      </w:r>
      <w:r w:rsidR="00071149" w:rsidRPr="00DA2033">
        <w:rPr>
          <w:lang w:val="fr-FR"/>
        </w:rPr>
        <w:t xml:space="preserve">En même temps, </w:t>
      </w:r>
      <w:r w:rsidR="001B769C" w:rsidRPr="00DA2033">
        <w:rPr>
          <w:lang w:val="fr-FR"/>
        </w:rPr>
        <w:t xml:space="preserve">nous réinterprétons la notion de zone utopique définie par </w:t>
      </w:r>
      <w:proofErr w:type="spellStart"/>
      <w:r w:rsidR="001B769C" w:rsidRPr="00DA2033">
        <w:rPr>
          <w:lang w:val="fr-FR"/>
        </w:rPr>
        <w:t>Fontanille</w:t>
      </w:r>
      <w:proofErr w:type="spellEnd"/>
      <w:r w:rsidR="001B769C" w:rsidRPr="00DA2033">
        <w:rPr>
          <w:lang w:val="fr-FR"/>
        </w:rPr>
        <w:t xml:space="preserve">, en avançant que </w:t>
      </w:r>
      <w:r w:rsidR="00071149" w:rsidRPr="00DA2033">
        <w:rPr>
          <w:lang w:val="fr-FR"/>
        </w:rPr>
        <w:t xml:space="preserve">l’actant transitionnel </w:t>
      </w:r>
      <w:r w:rsidR="001B769C" w:rsidRPr="00DA2033">
        <w:rPr>
          <w:lang w:val="fr-FR"/>
        </w:rPr>
        <w:t xml:space="preserve">est incarné par le </w:t>
      </w:r>
      <w:r w:rsidR="00071149" w:rsidRPr="00DA2033">
        <w:rPr>
          <w:lang w:val="fr-FR"/>
        </w:rPr>
        <w:t>« on »</w:t>
      </w:r>
      <w:r w:rsidR="001B769C" w:rsidRPr="00DA2033">
        <w:rPr>
          <w:lang w:val="fr-FR"/>
        </w:rPr>
        <w:t xml:space="preserve"> et qu’il repose sur une relation de transitivité</w:t>
      </w:r>
      <w:r w:rsidR="001B769C" w:rsidRPr="00DA2033">
        <w:rPr>
          <w:rStyle w:val="Appelnotedebasdep"/>
          <w:lang w:val="fr-FR"/>
        </w:rPr>
        <w:footnoteReference w:id="13"/>
      </w:r>
      <w:r w:rsidR="001B769C" w:rsidRPr="00DA2033">
        <w:rPr>
          <w:lang w:val="fr-FR"/>
        </w:rPr>
        <w:t>. L’idée à défendre est celle d’un tiers lieu où s’expérimentent</w:t>
      </w:r>
      <w:r w:rsidR="004C747E" w:rsidRPr="00DA2033">
        <w:rPr>
          <w:lang w:val="fr-FR"/>
        </w:rPr>
        <w:t> –</w:t>
      </w:r>
      <w:r w:rsidR="001B769C" w:rsidRPr="00DA2033">
        <w:rPr>
          <w:lang w:val="fr-FR"/>
        </w:rPr>
        <w:t xml:space="preserve"> sous le sceau de l</w:t>
      </w:r>
      <w:proofErr w:type="gramStart"/>
      <w:r w:rsidR="001B769C" w:rsidRPr="00DA2033">
        <w:rPr>
          <w:lang w:val="fr-FR"/>
        </w:rPr>
        <w:t>’«</w:t>
      </w:r>
      <w:proofErr w:type="gramEnd"/>
      <w:r w:rsidR="001B769C" w:rsidRPr="00DA2033">
        <w:rPr>
          <w:lang w:val="fr-FR"/>
        </w:rPr>
        <w:t> imaginaire »</w:t>
      </w:r>
      <w:r w:rsidR="007C2624" w:rsidRPr="00DA2033">
        <w:rPr>
          <w:rStyle w:val="Appelnotedebasdep"/>
          <w:lang w:val="fr-FR"/>
        </w:rPr>
        <w:footnoteReference w:id="14"/>
      </w:r>
      <w:r w:rsidR="004C747E" w:rsidRPr="00DA2033">
        <w:rPr>
          <w:lang w:val="fr-FR"/>
        </w:rPr>
        <w:t> –</w:t>
      </w:r>
      <w:r w:rsidR="001B769C" w:rsidRPr="00DA2033">
        <w:rPr>
          <w:lang w:val="fr-FR"/>
        </w:rPr>
        <w:t xml:space="preserve"> des échanges, en particulier entre le </w:t>
      </w:r>
      <w:r w:rsidR="001B769C" w:rsidRPr="00DA2033">
        <w:rPr>
          <w:lang w:val="fr-FR"/>
        </w:rPr>
        <w:lastRenderedPageBreak/>
        <w:t xml:space="preserve">local et le global. </w:t>
      </w:r>
      <w:r w:rsidR="004C747E" w:rsidRPr="00DA2033">
        <w:rPr>
          <w:lang w:val="fr-FR"/>
        </w:rPr>
        <w:t>Enfin</w:t>
      </w:r>
      <w:r w:rsidR="004B7322" w:rsidRPr="00DA2033">
        <w:rPr>
          <w:lang w:val="fr-FR"/>
        </w:rPr>
        <w:t>, des forces collectives plus ou moins anonymes animent tous ceux qui œuvrent pour une économie plus solidaire</w:t>
      </w:r>
      <w:r w:rsidR="005F578D" w:rsidRPr="00DA2033">
        <w:rPr>
          <w:rStyle w:val="Appelnotedebasdep"/>
          <w:lang w:val="fr-FR"/>
        </w:rPr>
        <w:footnoteReference w:id="15"/>
      </w:r>
      <w:r w:rsidR="004B7322" w:rsidRPr="00DA2033">
        <w:rPr>
          <w:lang w:val="fr-FR"/>
        </w:rPr>
        <w:t>.</w:t>
      </w:r>
    </w:p>
    <w:p w14:paraId="60BC9474" w14:textId="3038E29B" w:rsidR="00D7492C" w:rsidRPr="00DA2033" w:rsidRDefault="00420B66" w:rsidP="004D0DA0">
      <w:pPr>
        <w:jc w:val="both"/>
        <w:rPr>
          <w:lang w:val="fr-FR"/>
        </w:rPr>
      </w:pPr>
      <w:r w:rsidRPr="00DA2033">
        <w:rPr>
          <w:lang w:val="fr-FR"/>
        </w:rPr>
        <w:t>Élargissons notre perspective : si la transition (fictionnelle) revêt les caractéristiques de l’utopie, c’est parce qu’au niv</w:t>
      </w:r>
      <w:r w:rsidR="004B7322" w:rsidRPr="00DA2033">
        <w:rPr>
          <w:lang w:val="fr-FR"/>
        </w:rPr>
        <w:t>e</w:t>
      </w:r>
      <w:r w:rsidRPr="00DA2033">
        <w:rPr>
          <w:lang w:val="fr-FR"/>
        </w:rPr>
        <w:t>au des instanciations, elle peut s’ouvrir à une démarche collective favorisant le « </w:t>
      </w:r>
      <w:proofErr w:type="spellStart"/>
      <w:r w:rsidRPr="00DA2033">
        <w:rPr>
          <w:lang w:val="fr-FR"/>
        </w:rPr>
        <w:t>réenchantement</w:t>
      </w:r>
      <w:proofErr w:type="spellEnd"/>
      <w:r w:rsidRPr="00DA2033">
        <w:rPr>
          <w:lang w:val="fr-FR"/>
        </w:rPr>
        <w:t xml:space="preserve"> de la vie » et le « care » (« prendre soin »). Parce que, dans ce cas, elle contribue à rendre aux objets l</w:t>
      </w:r>
      <w:proofErr w:type="gramStart"/>
      <w:r w:rsidRPr="00DA2033">
        <w:rPr>
          <w:lang w:val="fr-FR"/>
        </w:rPr>
        <w:t>’«</w:t>
      </w:r>
      <w:proofErr w:type="gramEnd"/>
      <w:r w:rsidRPr="00DA2033">
        <w:rPr>
          <w:lang w:val="fr-FR"/>
        </w:rPr>
        <w:t xml:space="preserve"> aura magique », le « sens merveilleux » dont le monde moderne les aurait dépouillés (Schlegel 1994). Parce qu’elle </w:t>
      </w:r>
      <w:r w:rsidR="0037157C" w:rsidRPr="00DA2033">
        <w:rPr>
          <w:lang w:val="fr-FR"/>
        </w:rPr>
        <w:t>aide</w:t>
      </w:r>
      <w:r w:rsidRPr="00DA2033">
        <w:rPr>
          <w:lang w:val="fr-FR"/>
        </w:rPr>
        <w:t xml:space="preserve"> à « réenchanter » </w:t>
      </w:r>
      <w:r w:rsidRPr="00DA2033">
        <w:rPr>
          <w:lang w:val="fr-FR"/>
        </w:rPr>
        <w:t>le cosmos qui, du fait de l’</w:t>
      </w:r>
      <w:proofErr w:type="spellStart"/>
      <w:r w:rsidRPr="00DA2033">
        <w:rPr>
          <w:i/>
          <w:lang w:val="fr-FR"/>
        </w:rPr>
        <w:t>Entzauberung</w:t>
      </w:r>
      <w:proofErr w:type="spellEnd"/>
      <w:r w:rsidRPr="00DA2033">
        <w:rPr>
          <w:lang w:val="fr-FR"/>
        </w:rPr>
        <w:t>, « a cessé d’être un monde symbolique, un monde vivant, avec une âme ou des milliers d’âmes, un monde d’énergies aussi » (</w:t>
      </w:r>
      <w:r w:rsidR="00695447">
        <w:rPr>
          <w:i/>
          <w:lang w:val="fr-FR"/>
        </w:rPr>
        <w:t>I</w:t>
      </w:r>
      <w:r w:rsidRPr="00DA2033">
        <w:rPr>
          <w:i/>
          <w:lang w:val="fr-FR"/>
        </w:rPr>
        <w:t>bid.</w:t>
      </w:r>
      <w:r w:rsidR="009900FD" w:rsidRPr="00DA2033">
        <w:rPr>
          <w:lang w:val="fr-FR"/>
        </w:rPr>
        <w:t xml:space="preserve"> : </w:t>
      </w:r>
      <w:r w:rsidRPr="00DA2033">
        <w:rPr>
          <w:lang w:val="fr-FR"/>
        </w:rPr>
        <w:t>86-87)</w:t>
      </w:r>
      <w:r w:rsidRPr="00DA2033">
        <w:rPr>
          <w:rStyle w:val="Appelnotedebasdep"/>
          <w:lang w:val="fr-FR"/>
        </w:rPr>
        <w:footnoteReference w:id="16"/>
      </w:r>
      <w:r w:rsidR="00097EA0" w:rsidRPr="00DA2033">
        <w:rPr>
          <w:lang w:val="fr-FR"/>
        </w:rPr>
        <w:t>.</w:t>
      </w:r>
      <w:r w:rsidRPr="00DA2033">
        <w:rPr>
          <w:lang w:val="fr-FR"/>
        </w:rPr>
        <w:t xml:space="preserve"> Enfin, on peut avancer que l’éco-transition dans un sens large fait appel à une éthique </w:t>
      </w:r>
      <w:r w:rsidR="00931CC4" w:rsidRPr="00DA2033">
        <w:rPr>
          <w:lang w:val="fr-FR"/>
        </w:rPr>
        <w:t xml:space="preserve">de la </w:t>
      </w:r>
      <w:r w:rsidR="00AC5B87" w:rsidRPr="00DA2033">
        <w:rPr>
          <w:lang w:val="fr-FR"/>
        </w:rPr>
        <w:t>« </w:t>
      </w:r>
      <w:r w:rsidR="00931CC4" w:rsidRPr="00DA2033">
        <w:rPr>
          <w:lang w:val="fr-FR"/>
        </w:rPr>
        <w:t>conciliation</w:t>
      </w:r>
      <w:r w:rsidR="00AC5B87" w:rsidRPr="00DA2033">
        <w:rPr>
          <w:lang w:val="fr-FR"/>
        </w:rPr>
        <w:t xml:space="preserve"> » </w:t>
      </w:r>
      <w:r w:rsidR="001F4031" w:rsidRPr="00DA2033">
        <w:rPr>
          <w:lang w:val="fr-FR"/>
        </w:rPr>
        <w:t xml:space="preserve">entre des incompatibilités </w:t>
      </w:r>
      <w:r w:rsidR="00931CC4" w:rsidRPr="00DA2033">
        <w:rPr>
          <w:lang w:val="fr-FR"/>
        </w:rPr>
        <w:t xml:space="preserve">et </w:t>
      </w:r>
      <w:r w:rsidRPr="00DA2033">
        <w:rPr>
          <w:lang w:val="fr-FR"/>
        </w:rPr>
        <w:t xml:space="preserve">du </w:t>
      </w:r>
      <w:r w:rsidRPr="00DA2033">
        <w:rPr>
          <w:i/>
          <w:lang w:val="fr-FR"/>
        </w:rPr>
        <w:t>care</w:t>
      </w:r>
      <w:r w:rsidR="0060625A" w:rsidRPr="00DA2033">
        <w:rPr>
          <w:i/>
          <w:lang w:val="fr-FR"/>
        </w:rPr>
        <w:t xml:space="preserve"> </w:t>
      </w:r>
      <w:r w:rsidR="0060625A" w:rsidRPr="00DA2033">
        <w:rPr>
          <w:lang w:val="fr-FR"/>
        </w:rPr>
        <w:t>(</w:t>
      </w:r>
      <w:proofErr w:type="spellStart"/>
      <w:r w:rsidR="0060625A" w:rsidRPr="00DA2033">
        <w:rPr>
          <w:lang w:val="fr-FR"/>
        </w:rPr>
        <w:t>Paperman</w:t>
      </w:r>
      <w:proofErr w:type="spellEnd"/>
      <w:r w:rsidR="0060625A" w:rsidRPr="00DA2033">
        <w:rPr>
          <w:lang w:val="fr-FR"/>
        </w:rPr>
        <w:t xml:space="preserve"> &amp; Laugier</w:t>
      </w:r>
      <w:r w:rsidR="009900FD" w:rsidRPr="00DA2033">
        <w:rPr>
          <w:lang w:val="fr-FR"/>
        </w:rPr>
        <w:t xml:space="preserve"> (</w:t>
      </w:r>
      <w:proofErr w:type="spellStart"/>
      <w:r w:rsidR="009900FD" w:rsidRPr="00DA2033">
        <w:rPr>
          <w:lang w:val="fr-FR"/>
        </w:rPr>
        <w:t>dirs</w:t>
      </w:r>
      <w:proofErr w:type="spellEnd"/>
      <w:r w:rsidR="009900FD" w:rsidRPr="00DA2033">
        <w:rPr>
          <w:lang w:val="fr-FR"/>
        </w:rPr>
        <w:t>) 2005)</w:t>
      </w:r>
      <w:r w:rsidRPr="00DA2033">
        <w:rPr>
          <w:lang w:val="fr-FR"/>
        </w:rPr>
        <w:t xml:space="preserve">, du </w:t>
      </w:r>
      <w:r w:rsidRPr="00DA2033">
        <w:rPr>
          <w:i/>
          <w:lang w:val="fr-FR"/>
        </w:rPr>
        <w:t>prendre soin</w:t>
      </w:r>
      <w:r w:rsidRPr="00DA2033">
        <w:rPr>
          <w:lang w:val="fr-FR"/>
        </w:rPr>
        <w:t xml:space="preserve">. </w:t>
      </w:r>
      <w:proofErr w:type="gramStart"/>
      <w:r w:rsidRPr="00DA2033">
        <w:rPr>
          <w:lang w:val="fr-FR"/>
        </w:rPr>
        <w:t xml:space="preserve">Le </w:t>
      </w:r>
      <w:r w:rsidRPr="00D51031">
        <w:rPr>
          <w:i/>
          <w:iCs/>
          <w:lang w:val="fr-FR"/>
        </w:rPr>
        <w:t>care</w:t>
      </w:r>
      <w:proofErr w:type="gramEnd"/>
      <w:r w:rsidRPr="00DA2033">
        <w:rPr>
          <w:lang w:val="fr-FR"/>
        </w:rPr>
        <w:t xml:space="preserve"> tient du processus de responsabilisation continu qui favorise l’émergence d’une communauté démocratique à partir de relations interpersonnelles </w:t>
      </w:r>
      <w:r w:rsidR="00931CC4" w:rsidRPr="00DA2033">
        <w:rPr>
          <w:lang w:val="fr-FR"/>
        </w:rPr>
        <w:t>modifiant</w:t>
      </w:r>
      <w:r w:rsidRPr="00DA2033">
        <w:rPr>
          <w:lang w:val="fr-FR"/>
        </w:rPr>
        <w:t xml:space="preserve"> « nos façons de voir et de ressentir »</w:t>
      </w:r>
      <w:r w:rsidR="0037157C" w:rsidRPr="00DA2033">
        <w:rPr>
          <w:lang w:val="fr-FR"/>
        </w:rPr>
        <w:t xml:space="preserve"> (Laugier 2020 : 197)</w:t>
      </w:r>
      <w:r w:rsidR="00C25B4A" w:rsidRPr="00DA2033">
        <w:rPr>
          <w:lang w:val="fr-FR"/>
        </w:rPr>
        <w:t>.</w:t>
      </w:r>
      <w:r w:rsidR="0037157C" w:rsidRPr="00DA2033">
        <w:rPr>
          <w:lang w:val="fr-FR"/>
        </w:rPr>
        <w:t xml:space="preserve"> Plus sémiotiquement : nos formes de vie</w:t>
      </w:r>
      <w:r w:rsidR="00C25B4A" w:rsidRPr="00DA2033">
        <w:rPr>
          <w:lang w:val="fr-FR"/>
        </w:rPr>
        <w:t xml:space="preserve"> </w:t>
      </w:r>
      <w:r w:rsidR="0037157C" w:rsidRPr="00DA2033">
        <w:rPr>
          <w:lang w:val="fr-FR"/>
        </w:rPr>
        <w:t>(</w:t>
      </w:r>
      <w:proofErr w:type="spellStart"/>
      <w:r w:rsidR="0037157C" w:rsidRPr="00DA2033">
        <w:rPr>
          <w:lang w:val="fr-FR"/>
        </w:rPr>
        <w:t>Fontanille</w:t>
      </w:r>
      <w:proofErr w:type="spellEnd"/>
      <w:r w:rsidR="0037157C" w:rsidRPr="00DA2033">
        <w:rPr>
          <w:lang w:val="fr-FR"/>
        </w:rPr>
        <w:t xml:space="preserve"> 2015)</w:t>
      </w:r>
      <w:r w:rsidR="00D7492C" w:rsidRPr="00DA2033">
        <w:rPr>
          <w:lang w:val="fr-FR"/>
        </w:rPr>
        <w:t>.</w:t>
      </w:r>
    </w:p>
    <w:p w14:paraId="3D98029A" w14:textId="34BB289B" w:rsidR="00420B66" w:rsidRPr="00DA2033" w:rsidRDefault="00420B66" w:rsidP="004D0DA0">
      <w:pPr>
        <w:jc w:val="both"/>
        <w:rPr>
          <w:lang w:val="fr-FR"/>
        </w:rPr>
      </w:pPr>
      <w:r w:rsidRPr="00DA2033">
        <w:rPr>
          <w:lang w:val="fr-FR"/>
        </w:rPr>
        <w:t>Après ces investigations, réévaluons</w:t>
      </w:r>
      <w:r w:rsidR="00C25B4A" w:rsidRPr="00DA2033">
        <w:rPr>
          <w:lang w:val="fr-FR"/>
        </w:rPr>
        <w:t xml:space="preserve"> </w:t>
      </w:r>
      <w:r w:rsidRPr="00DA2033">
        <w:rPr>
          <w:lang w:val="fr-FR"/>
        </w:rPr>
        <w:t>la</w:t>
      </w:r>
      <w:r w:rsidR="00C25B4A" w:rsidRPr="00DA2033">
        <w:rPr>
          <w:lang w:val="fr-FR"/>
        </w:rPr>
        <w:t xml:space="preserve"> notion de transition </w:t>
      </w:r>
      <w:r w:rsidRPr="00DA2033">
        <w:rPr>
          <w:lang w:val="fr-FR"/>
        </w:rPr>
        <w:t>sur de nouveaux frais</w:t>
      </w:r>
      <w:r w:rsidR="00C25B4A" w:rsidRPr="00DA2033">
        <w:rPr>
          <w:lang w:val="fr-FR"/>
        </w:rPr>
        <w:t xml:space="preserve"> : </w:t>
      </w:r>
      <w:r w:rsidRPr="00DA2033">
        <w:rPr>
          <w:lang w:val="fr-FR"/>
        </w:rPr>
        <w:t xml:space="preserve">(i) les transitions </w:t>
      </w:r>
      <w:r w:rsidR="00097EA0" w:rsidRPr="00DA2033">
        <w:rPr>
          <w:lang w:val="fr-FR"/>
        </w:rPr>
        <w:t xml:space="preserve">responsables de la cohésion d’un projet sociétal, en particulier écologique, </w:t>
      </w:r>
      <w:r w:rsidRPr="00DA2033">
        <w:rPr>
          <w:lang w:val="fr-FR"/>
        </w:rPr>
        <w:t>sont favorisées par des lieux d’élection : les zones dites « utopiques »</w:t>
      </w:r>
      <w:r w:rsidR="004C747E" w:rsidRPr="00DA2033">
        <w:rPr>
          <w:lang w:val="fr-FR"/>
        </w:rPr>
        <w:t xml:space="preserve"> qui constituent des « tiers </w:t>
      </w:r>
      <w:r w:rsidR="004C747E" w:rsidRPr="00DA2033">
        <w:rPr>
          <w:lang w:val="fr-FR"/>
        </w:rPr>
        <w:t>lieux » où l’imaginaire trouve à s’ancrer</w:t>
      </w:r>
      <w:r w:rsidRPr="00DA2033">
        <w:rPr>
          <w:lang w:val="fr-FR"/>
        </w:rPr>
        <w:t xml:space="preserve"> ; (ii) les forces qui portent </w:t>
      </w:r>
      <w:r w:rsidR="00097EA0" w:rsidRPr="00DA2033">
        <w:rPr>
          <w:lang w:val="fr-FR"/>
        </w:rPr>
        <w:t xml:space="preserve">ce projet mettent à profit </w:t>
      </w:r>
      <w:r w:rsidRPr="00DA2033">
        <w:rPr>
          <w:lang w:val="fr-FR"/>
        </w:rPr>
        <w:t>des liens faibles</w:t>
      </w:r>
      <w:r w:rsidR="00D7492C" w:rsidRPr="00DA2033">
        <w:rPr>
          <w:lang w:val="fr-FR"/>
        </w:rPr>
        <w:t xml:space="preserve"> (Laugier 2020)</w:t>
      </w:r>
      <w:r w:rsidR="004B7322" w:rsidRPr="00DA2033">
        <w:rPr>
          <w:lang w:val="fr-FR"/>
        </w:rPr>
        <w:t xml:space="preserve">, </w:t>
      </w:r>
      <w:r w:rsidRPr="00DA2033">
        <w:rPr>
          <w:lang w:val="fr-FR"/>
        </w:rPr>
        <w:t>c’est-à</w:t>
      </w:r>
      <w:r w:rsidR="004B7322" w:rsidRPr="00DA2033">
        <w:rPr>
          <w:lang w:val="fr-FR"/>
        </w:rPr>
        <w:t>-</w:t>
      </w:r>
      <w:r w:rsidRPr="00DA2033">
        <w:rPr>
          <w:lang w:val="fr-FR"/>
        </w:rPr>
        <w:t>dire de</w:t>
      </w:r>
      <w:r w:rsidR="00097EA0" w:rsidRPr="00DA2033">
        <w:rPr>
          <w:lang w:val="fr-FR"/>
        </w:rPr>
        <w:t>s</w:t>
      </w:r>
      <w:r w:rsidRPr="00DA2033">
        <w:rPr>
          <w:lang w:val="fr-FR"/>
        </w:rPr>
        <w:t xml:space="preserve"> connexi</w:t>
      </w:r>
      <w:r w:rsidR="004B7322" w:rsidRPr="00DA2033">
        <w:rPr>
          <w:lang w:val="fr-FR"/>
        </w:rPr>
        <w:t>o</w:t>
      </w:r>
      <w:r w:rsidRPr="00DA2033">
        <w:rPr>
          <w:lang w:val="fr-FR"/>
        </w:rPr>
        <w:t xml:space="preserve">ns dotées d’une certaine plasticité, qui </w:t>
      </w:r>
      <w:r w:rsidR="00097EA0" w:rsidRPr="00DA2033">
        <w:rPr>
          <w:lang w:val="fr-FR"/>
        </w:rPr>
        <w:t>assurent un li</w:t>
      </w:r>
      <w:r w:rsidR="004C747E" w:rsidRPr="00DA2033">
        <w:rPr>
          <w:lang w:val="fr-FR"/>
        </w:rPr>
        <w:t>en</w:t>
      </w:r>
      <w:r w:rsidR="00097EA0" w:rsidRPr="00DA2033">
        <w:rPr>
          <w:lang w:val="fr-FR"/>
        </w:rPr>
        <w:t xml:space="preserve"> (solidarité de tous les éléments) tout en préservant le </w:t>
      </w:r>
      <w:r w:rsidRPr="00DA2033">
        <w:rPr>
          <w:lang w:val="fr-FR"/>
        </w:rPr>
        <w:t>battement</w:t>
      </w:r>
      <w:r w:rsidR="00097EA0" w:rsidRPr="00DA2033">
        <w:rPr>
          <w:lang w:val="fr-FR"/>
        </w:rPr>
        <w:t xml:space="preserve"> nécessaire à la circulation du sens (</w:t>
      </w:r>
      <w:r w:rsidR="00E14C00" w:rsidRPr="00DA2033">
        <w:rPr>
          <w:lang w:val="fr-FR"/>
        </w:rPr>
        <w:t>ici</w:t>
      </w:r>
      <w:r w:rsidR="00097EA0" w:rsidRPr="00DA2033">
        <w:rPr>
          <w:lang w:val="fr-FR"/>
        </w:rPr>
        <w:t xml:space="preserve"> les échanges entre le local et le global)</w:t>
      </w:r>
      <w:r w:rsidRPr="00DA2033">
        <w:rPr>
          <w:lang w:val="fr-FR"/>
        </w:rPr>
        <w:t>. Il peut être intéressant de réexaminer</w:t>
      </w:r>
      <w:r w:rsidR="00097EA0" w:rsidRPr="00DA2033">
        <w:rPr>
          <w:lang w:val="fr-FR"/>
        </w:rPr>
        <w:t xml:space="preserve"> ces liens</w:t>
      </w:r>
      <w:r w:rsidRPr="00DA2033">
        <w:rPr>
          <w:lang w:val="fr-FR"/>
        </w:rPr>
        <w:t xml:space="preserve"> à la lumière des attachements pensés par Latour (2000). </w:t>
      </w:r>
      <w:r w:rsidR="00097EA0" w:rsidRPr="00DA2033">
        <w:rPr>
          <w:lang w:val="fr-FR"/>
        </w:rPr>
        <w:t xml:space="preserve">La transition doit ainsi garantir </w:t>
      </w:r>
      <w:r w:rsidRPr="00DA2033">
        <w:rPr>
          <w:lang w:val="fr-FR"/>
        </w:rPr>
        <w:t>une fluidité</w:t>
      </w:r>
      <w:r w:rsidR="00097EA0" w:rsidRPr="00DA2033">
        <w:rPr>
          <w:lang w:val="fr-FR"/>
        </w:rPr>
        <w:t xml:space="preserve"> et une indétermination combattant toute sclérose du sens.</w:t>
      </w:r>
    </w:p>
    <w:p w14:paraId="0BA8AD55" w14:textId="0B11976E" w:rsidR="00E14C00" w:rsidRPr="00DA2033" w:rsidRDefault="00E14C00" w:rsidP="004D0DA0">
      <w:pPr>
        <w:jc w:val="both"/>
        <w:rPr>
          <w:color w:val="000000" w:themeColor="text1"/>
          <w:shd w:val="clear" w:color="auto" w:fill="FFFFFF"/>
          <w:lang w:val="fr-FR"/>
        </w:rPr>
      </w:pPr>
      <w:r w:rsidRPr="00DA2033">
        <w:rPr>
          <w:lang w:val="fr-FR"/>
        </w:rPr>
        <w:t xml:space="preserve">Prenons le projet écologique </w:t>
      </w:r>
      <w:r w:rsidR="00B95B35" w:rsidRPr="00DA2033">
        <w:rPr>
          <w:lang w:val="fr-FR"/>
        </w:rPr>
        <w:t xml:space="preserve">« Le village dans la ville » (Luxembourg, </w:t>
      </w:r>
      <w:r w:rsidRPr="00DA2033">
        <w:rPr>
          <w:lang w:val="fr-FR"/>
        </w:rPr>
        <w:t>été 2021)</w:t>
      </w:r>
      <w:r w:rsidR="00B95B35" w:rsidRPr="00DA2033">
        <w:rPr>
          <w:lang w:val="fr-FR"/>
        </w:rPr>
        <w:t xml:space="preserve">. </w:t>
      </w:r>
      <w:r w:rsidRPr="00DA2033">
        <w:rPr>
          <w:lang w:val="fr-FR"/>
        </w:rPr>
        <w:t>Faisant appel à une éthique et à une esthétique des localités et des niches (</w:t>
      </w:r>
      <w:proofErr w:type="spellStart"/>
      <w:r w:rsidRPr="00DA2033">
        <w:rPr>
          <w:lang w:val="fr-FR"/>
        </w:rPr>
        <w:t>Basso</w:t>
      </w:r>
      <w:proofErr w:type="spellEnd"/>
      <w:r w:rsidRPr="00DA2033">
        <w:rPr>
          <w:lang w:val="fr-FR"/>
        </w:rPr>
        <w:t xml:space="preserve"> </w:t>
      </w:r>
      <w:proofErr w:type="spellStart"/>
      <w:r w:rsidRPr="00DA2033">
        <w:rPr>
          <w:lang w:val="fr-FR"/>
        </w:rPr>
        <w:t>Fossali</w:t>
      </w:r>
      <w:proofErr w:type="spellEnd"/>
      <w:r w:rsidRPr="00DA2033">
        <w:rPr>
          <w:lang w:val="fr-FR"/>
        </w:rPr>
        <w:t xml:space="preserve"> 2017), ce projet argumente figurativement la mutation de la ville comme lieu d’un nouvel « habiter ensemble ». </w:t>
      </w:r>
      <w:r w:rsidRPr="00DA2033">
        <w:rPr>
          <w:color w:val="000000" w:themeColor="text1"/>
          <w:shd w:val="clear" w:color="auto" w:fill="FFFFFF"/>
          <w:lang w:val="fr-FR"/>
        </w:rPr>
        <w:t xml:space="preserve">Concrètement, l’installation d’une </w:t>
      </w:r>
      <w:proofErr w:type="spellStart"/>
      <w:r w:rsidRPr="00DA2033">
        <w:rPr>
          <w:color w:val="000000" w:themeColor="text1"/>
          <w:shd w:val="clear" w:color="auto" w:fill="FFFFFF"/>
          <w:lang w:val="fr-FR"/>
        </w:rPr>
        <w:t>minikermesse</w:t>
      </w:r>
      <w:proofErr w:type="spellEnd"/>
      <w:r w:rsidRPr="00DA2033">
        <w:rPr>
          <w:color w:val="000000" w:themeColor="text1"/>
          <w:shd w:val="clear" w:color="auto" w:fill="FFFFFF"/>
          <w:lang w:val="fr-FR"/>
        </w:rPr>
        <w:t xml:space="preserve"> à l’ancienne </w:t>
      </w:r>
      <w:r w:rsidR="006D57DB" w:rsidRPr="00DA2033">
        <w:rPr>
          <w:color w:val="000000" w:themeColor="text1"/>
          <w:shd w:val="clear" w:color="auto" w:fill="FFFFFF"/>
          <w:lang w:val="fr-FR"/>
        </w:rPr>
        <w:t xml:space="preserve">(espace de divertissement et parenthèse (ré)enchantée) </w:t>
      </w:r>
      <w:r w:rsidRPr="00DA2033">
        <w:rPr>
          <w:color w:val="000000" w:themeColor="text1"/>
          <w:shd w:val="clear" w:color="auto" w:fill="FFFFFF"/>
          <w:lang w:val="fr-FR"/>
        </w:rPr>
        <w:t>au sein d’un parc municipal</w:t>
      </w:r>
      <w:r w:rsidR="00441A7F" w:rsidRPr="00DA2033">
        <w:rPr>
          <w:color w:val="000000" w:themeColor="text1"/>
          <w:shd w:val="clear" w:color="auto" w:fill="FFFFFF"/>
          <w:lang w:val="fr-FR"/>
        </w:rPr>
        <w:t xml:space="preserve"> souhaite contribuer à la transformation de la frontière spatiale, historique, culturelle… entre la ville et la campagne en lisière à franchir.</w:t>
      </w:r>
    </w:p>
    <w:p w14:paraId="610E521F" w14:textId="3CEB17A0" w:rsidR="00E14C00" w:rsidRPr="00DA2033" w:rsidRDefault="00B95B35" w:rsidP="004D0DA0">
      <w:pPr>
        <w:jc w:val="both"/>
        <w:rPr>
          <w:lang w:val="fr-FR"/>
        </w:rPr>
      </w:pPr>
      <w:r w:rsidRPr="00DA2033">
        <w:rPr>
          <w:lang w:val="fr-FR"/>
        </w:rPr>
        <w:t>Dans ce cas, s</w:t>
      </w:r>
      <w:r w:rsidR="00E14C00" w:rsidRPr="00DA2033">
        <w:rPr>
          <w:lang w:val="fr-FR"/>
        </w:rPr>
        <w:t xml:space="preserve">i </w:t>
      </w:r>
      <w:r w:rsidR="00C25B4A" w:rsidRPr="00DA2033">
        <w:rPr>
          <w:lang w:val="fr-FR"/>
        </w:rPr>
        <w:t xml:space="preserve">l’on admet que </w:t>
      </w:r>
      <w:r w:rsidR="00E14C00" w:rsidRPr="00DA2033">
        <w:rPr>
          <w:lang w:val="fr-FR"/>
        </w:rPr>
        <w:t>l</w:t>
      </w:r>
      <w:r w:rsidR="00420B66" w:rsidRPr="00DA2033">
        <w:rPr>
          <w:lang w:val="fr-FR"/>
        </w:rPr>
        <w:t xml:space="preserve">es mouvements </w:t>
      </w:r>
      <w:proofErr w:type="spellStart"/>
      <w:r w:rsidR="00420B66" w:rsidRPr="00DA2033">
        <w:rPr>
          <w:lang w:val="fr-FR"/>
        </w:rPr>
        <w:t>transitionnaires</w:t>
      </w:r>
      <w:proofErr w:type="spellEnd"/>
      <w:r w:rsidR="00420B66" w:rsidRPr="00DA2033">
        <w:rPr>
          <w:lang w:val="fr-FR"/>
        </w:rPr>
        <w:t xml:space="preserve"> (au sens large) </w:t>
      </w:r>
      <w:r w:rsidR="00E14C00" w:rsidRPr="00DA2033">
        <w:rPr>
          <w:lang w:val="fr-FR"/>
        </w:rPr>
        <w:t>servent</w:t>
      </w:r>
      <w:r w:rsidR="00420B66" w:rsidRPr="00DA2033">
        <w:rPr>
          <w:lang w:val="fr-FR"/>
        </w:rPr>
        <w:t xml:space="preserve"> une « auto-organisation sur le plan local »</w:t>
      </w:r>
      <w:r w:rsidR="00E14C00" w:rsidRPr="00DA2033">
        <w:rPr>
          <w:lang w:val="fr-FR"/>
        </w:rPr>
        <w:t xml:space="preserve"> (</w:t>
      </w:r>
      <w:r w:rsidR="00420B66" w:rsidRPr="00DA2033">
        <w:rPr>
          <w:lang w:val="fr-FR"/>
        </w:rPr>
        <w:t>Boltanski 2013</w:t>
      </w:r>
      <w:r w:rsidR="00C25B4A" w:rsidRPr="00DA2033">
        <w:rPr>
          <w:lang w:val="fr-FR"/>
        </w:rPr>
        <w:t> : 59</w:t>
      </w:r>
      <w:r w:rsidR="00420B66" w:rsidRPr="00DA2033">
        <w:rPr>
          <w:lang w:val="fr-FR"/>
        </w:rPr>
        <w:t>)</w:t>
      </w:r>
      <w:r w:rsidR="00E14C00" w:rsidRPr="00DA2033">
        <w:rPr>
          <w:lang w:val="fr-FR"/>
        </w:rPr>
        <w:t xml:space="preserve">, </w:t>
      </w:r>
      <w:r w:rsidR="00E14C00" w:rsidRPr="00DA2033">
        <w:rPr>
          <w:color w:val="000000" w:themeColor="text1"/>
          <w:shd w:val="clear" w:color="auto" w:fill="FFFFFF"/>
          <w:lang w:val="fr-FR"/>
        </w:rPr>
        <w:t xml:space="preserve">il faut contrer le repli identitaire auquel pourrait inviter l’isolement de l’unité « village ». </w:t>
      </w:r>
      <w:r w:rsidR="006D57DB" w:rsidRPr="00DA2033">
        <w:rPr>
          <w:color w:val="000000" w:themeColor="text1"/>
          <w:shd w:val="clear" w:color="auto" w:fill="FFFFFF"/>
          <w:lang w:val="fr-FR"/>
        </w:rPr>
        <w:t>L’</w:t>
      </w:r>
      <w:r w:rsidR="00E14C00" w:rsidRPr="00DA2033">
        <w:rPr>
          <w:color w:val="000000" w:themeColor="text1"/>
          <w:shd w:val="clear" w:color="auto" w:fill="FFFFFF"/>
          <w:lang w:val="fr-FR"/>
        </w:rPr>
        <w:t xml:space="preserve">englobement du village par la ville pourrait priver les usagers de tout pouvoir d’action direct et nuire aux échanges entre le local et le global. Le projet pourrait bloquer </w:t>
      </w:r>
      <w:r w:rsidR="00551823" w:rsidRPr="00DA2033">
        <w:rPr>
          <w:color w:val="000000" w:themeColor="text1"/>
          <w:shd w:val="clear" w:color="auto" w:fill="FFFFFF"/>
          <w:lang w:val="fr-FR"/>
        </w:rPr>
        <w:t>la multiplication des variantes qui, seule, agit contre un attachement exclusif soit à la mondialisation, soit au local (</w:t>
      </w:r>
      <w:proofErr w:type="spellStart"/>
      <w:r w:rsidR="00551823" w:rsidRPr="00DA2033">
        <w:rPr>
          <w:color w:val="000000" w:themeColor="text1"/>
          <w:shd w:val="clear" w:color="auto" w:fill="FFFFFF"/>
          <w:lang w:val="fr-FR"/>
        </w:rPr>
        <w:t>Latour</w:t>
      </w:r>
      <w:proofErr w:type="spellEnd"/>
      <w:r w:rsidR="00551823" w:rsidRPr="00DA2033">
        <w:rPr>
          <w:color w:val="000000" w:themeColor="text1"/>
          <w:shd w:val="clear" w:color="auto" w:fill="FFFFFF"/>
          <w:lang w:val="fr-FR"/>
        </w:rPr>
        <w:t xml:space="preserve"> 2017).</w:t>
      </w:r>
    </w:p>
    <w:p w14:paraId="7D714A99" w14:textId="7F3C8432" w:rsidR="00420B66" w:rsidRPr="00DA2033" w:rsidRDefault="00441A7F" w:rsidP="004D0DA0">
      <w:pPr>
        <w:jc w:val="both"/>
        <w:rPr>
          <w:color w:val="000000" w:themeColor="text1"/>
          <w:lang w:val="fr-FR"/>
        </w:rPr>
      </w:pPr>
      <w:r w:rsidRPr="00DA2033">
        <w:rPr>
          <w:color w:val="000000" w:themeColor="text1"/>
          <w:lang w:val="fr-FR"/>
        </w:rPr>
        <w:t xml:space="preserve">Pour finir, </w:t>
      </w:r>
      <w:r w:rsidR="006D57DB" w:rsidRPr="00DA2033">
        <w:rPr>
          <w:color w:val="000000" w:themeColor="text1"/>
          <w:lang w:val="fr-FR"/>
        </w:rPr>
        <w:t>cons</w:t>
      </w:r>
      <w:r w:rsidR="00C7114B" w:rsidRPr="00DA2033">
        <w:rPr>
          <w:color w:val="000000" w:themeColor="text1"/>
          <w:lang w:val="fr-FR"/>
        </w:rPr>
        <w:t>i</w:t>
      </w:r>
      <w:r w:rsidR="006D57DB" w:rsidRPr="00DA2033">
        <w:rPr>
          <w:color w:val="000000" w:themeColor="text1"/>
          <w:lang w:val="fr-FR"/>
        </w:rPr>
        <w:t>dérons</w:t>
      </w:r>
      <w:r w:rsidR="00420B66" w:rsidRPr="00DA2033">
        <w:rPr>
          <w:color w:val="000000" w:themeColor="text1"/>
          <w:lang w:val="fr-FR"/>
        </w:rPr>
        <w:t xml:space="preserve"> l’une des utopies récentes les plus puissantes</w:t>
      </w:r>
      <w:r w:rsidRPr="00DA2033">
        <w:rPr>
          <w:color w:val="000000" w:themeColor="text1"/>
          <w:lang w:val="fr-FR"/>
        </w:rPr>
        <w:t>,</w:t>
      </w:r>
      <w:r w:rsidR="00420B66" w:rsidRPr="00DA2033">
        <w:rPr>
          <w:color w:val="000000" w:themeColor="text1"/>
          <w:lang w:val="fr-FR"/>
        </w:rPr>
        <w:t xml:space="preserve"> le « projet local » d’Alberto </w:t>
      </w:r>
      <w:proofErr w:type="spellStart"/>
      <w:r w:rsidR="00420B66" w:rsidRPr="00DA2033">
        <w:rPr>
          <w:color w:val="000000" w:themeColor="text1"/>
          <w:lang w:val="fr-FR"/>
        </w:rPr>
        <w:t>Magnaghi</w:t>
      </w:r>
      <w:proofErr w:type="spellEnd"/>
      <w:r w:rsidR="00420B66" w:rsidRPr="00DA2033">
        <w:rPr>
          <w:color w:val="000000" w:themeColor="text1"/>
          <w:lang w:val="fr-FR"/>
        </w:rPr>
        <w:t xml:space="preserve"> (</w:t>
      </w:r>
      <w:r w:rsidR="00C6796C" w:rsidRPr="00DA2033">
        <w:rPr>
          <w:color w:val="000000" w:themeColor="text1"/>
          <w:lang w:val="fr-FR"/>
        </w:rPr>
        <w:t>2003 [2000])</w:t>
      </w:r>
      <w:r w:rsidR="00420B66" w:rsidRPr="00DA2033">
        <w:rPr>
          <w:color w:val="000000" w:themeColor="text1"/>
          <w:lang w:val="fr-FR"/>
        </w:rPr>
        <w:t xml:space="preserve">, qui renvoie à un projet plus ancien appelé </w:t>
      </w:r>
      <w:proofErr w:type="spellStart"/>
      <w:r w:rsidR="00420B66" w:rsidRPr="00DA2033">
        <w:rPr>
          <w:i/>
          <w:color w:val="000000" w:themeColor="text1"/>
          <w:lang w:val="fr-FR"/>
        </w:rPr>
        <w:t>Ecopolis</w:t>
      </w:r>
      <w:proofErr w:type="spellEnd"/>
      <w:r w:rsidRPr="00DA2033">
        <w:rPr>
          <w:color w:val="000000" w:themeColor="text1"/>
          <w:lang w:val="fr-FR"/>
        </w:rPr>
        <w:t>. I</w:t>
      </w:r>
      <w:r w:rsidR="00420B66" w:rsidRPr="00DA2033">
        <w:rPr>
          <w:color w:val="000000" w:themeColor="text1"/>
          <w:lang w:val="fr-FR"/>
        </w:rPr>
        <w:t xml:space="preserve">l s’agit, dans ce dernier cas, d’une ville formée de villages, </w:t>
      </w:r>
      <w:r w:rsidR="002A2906" w:rsidRPr="00DA2033">
        <w:rPr>
          <w:color w:val="000000" w:themeColor="text1"/>
          <w:lang w:val="fr-FR"/>
        </w:rPr>
        <w:t>suite à</w:t>
      </w:r>
      <w:r w:rsidR="00420B66" w:rsidRPr="00DA2033">
        <w:rPr>
          <w:color w:val="000000" w:themeColor="text1"/>
          <w:lang w:val="fr-FR"/>
        </w:rPr>
        <w:t xml:space="preserve"> la destruction des </w:t>
      </w:r>
      <w:r w:rsidR="00420B66" w:rsidRPr="00DA2033">
        <w:rPr>
          <w:color w:val="000000" w:themeColor="text1"/>
          <w:lang w:val="fr-FR"/>
        </w:rPr>
        <w:t>agglomérations dans la périphérie des grandes métropoles</w:t>
      </w:r>
      <w:r w:rsidR="00C6796C" w:rsidRPr="00DA2033">
        <w:rPr>
          <w:color w:val="000000" w:themeColor="text1"/>
          <w:lang w:val="fr-FR"/>
        </w:rPr>
        <w:t xml:space="preserve">. </w:t>
      </w:r>
      <w:proofErr w:type="spellStart"/>
      <w:r w:rsidR="00420B66" w:rsidRPr="00DA2033">
        <w:rPr>
          <w:color w:val="000000" w:themeColor="text1"/>
          <w:lang w:val="fr-FR"/>
        </w:rPr>
        <w:t>Magnaghi</w:t>
      </w:r>
      <w:proofErr w:type="spellEnd"/>
      <w:r w:rsidR="00420B66" w:rsidRPr="00DA2033">
        <w:rPr>
          <w:color w:val="000000" w:themeColor="text1"/>
          <w:lang w:val="fr-FR"/>
        </w:rPr>
        <w:t xml:space="preserve"> met en avant le concept de région urbaine, voire de « village urbain » (</w:t>
      </w:r>
      <w:r w:rsidR="00FD4CF3">
        <w:rPr>
          <w:i/>
          <w:color w:val="000000" w:themeColor="text1"/>
          <w:lang w:val="fr-FR"/>
        </w:rPr>
        <w:t>I</w:t>
      </w:r>
      <w:r w:rsidRPr="00DA2033">
        <w:rPr>
          <w:i/>
          <w:color w:val="000000" w:themeColor="text1"/>
          <w:lang w:val="fr-FR"/>
        </w:rPr>
        <w:t>bid</w:t>
      </w:r>
      <w:r w:rsidRPr="00DA2033">
        <w:rPr>
          <w:color w:val="000000" w:themeColor="text1"/>
          <w:lang w:val="fr-FR"/>
        </w:rPr>
        <w:t>. :</w:t>
      </w:r>
      <w:r w:rsidR="00420B66" w:rsidRPr="00DA2033">
        <w:rPr>
          <w:color w:val="000000" w:themeColor="text1"/>
          <w:lang w:val="fr-FR"/>
        </w:rPr>
        <w:t xml:space="preserve"> 91), en relation avec les « espaces ouverts » et l’exploitation des « vides de la carte urbanistique » (</w:t>
      </w:r>
      <w:r w:rsidR="00FD4CF3">
        <w:rPr>
          <w:i/>
          <w:color w:val="000000" w:themeColor="text1"/>
          <w:lang w:val="fr-FR"/>
        </w:rPr>
        <w:t>I</w:t>
      </w:r>
      <w:r w:rsidRPr="00DA2033">
        <w:rPr>
          <w:i/>
          <w:color w:val="000000" w:themeColor="text1"/>
          <w:lang w:val="fr-FR"/>
        </w:rPr>
        <w:t>bid.</w:t>
      </w:r>
      <w:r w:rsidRPr="00DA2033">
        <w:rPr>
          <w:color w:val="000000" w:themeColor="text1"/>
          <w:lang w:val="fr-FR"/>
        </w:rPr>
        <w:t> :</w:t>
      </w:r>
      <w:r w:rsidR="00420B66" w:rsidRPr="00DA2033">
        <w:rPr>
          <w:color w:val="000000" w:themeColor="text1"/>
          <w:lang w:val="fr-FR"/>
        </w:rPr>
        <w:t xml:space="preserve"> 84). </w:t>
      </w:r>
      <w:r w:rsidRPr="00DA2033">
        <w:rPr>
          <w:color w:val="000000" w:themeColor="text1"/>
          <w:lang w:val="fr-FR"/>
        </w:rPr>
        <w:t>D’où</w:t>
      </w:r>
      <w:r w:rsidR="00420B66" w:rsidRPr="00DA2033">
        <w:rPr>
          <w:color w:val="000000" w:themeColor="text1"/>
          <w:lang w:val="fr-FR"/>
        </w:rPr>
        <w:t xml:space="preserve"> une </w:t>
      </w:r>
      <w:r w:rsidR="00420B66" w:rsidRPr="00DA2033">
        <w:rPr>
          <w:color w:val="000000" w:themeColor="text1"/>
          <w:lang w:val="fr-FR"/>
        </w:rPr>
        <w:lastRenderedPageBreak/>
        <w:t xml:space="preserve">reterritorialisation rendant possible un « néo-écosystème en permanence créé par l’homme » </w:t>
      </w:r>
      <w:bookmarkStart w:id="0" w:name="_GoBack"/>
      <w:r w:rsidR="00420B66" w:rsidRPr="00DA2033">
        <w:rPr>
          <w:color w:val="000000" w:themeColor="text1"/>
          <w:lang w:val="fr-FR"/>
        </w:rPr>
        <w:t>(</w:t>
      </w:r>
      <w:r w:rsidR="00FD4CF3">
        <w:rPr>
          <w:i/>
          <w:color w:val="000000" w:themeColor="text1"/>
          <w:lang w:val="fr-FR"/>
        </w:rPr>
        <w:t>I</w:t>
      </w:r>
      <w:r w:rsidRPr="00DA2033">
        <w:rPr>
          <w:i/>
          <w:color w:val="000000" w:themeColor="text1"/>
          <w:lang w:val="fr-FR"/>
        </w:rPr>
        <w:t>bid</w:t>
      </w:r>
      <w:r w:rsidRPr="00DA2033">
        <w:rPr>
          <w:color w:val="000000" w:themeColor="text1"/>
          <w:lang w:val="fr-FR"/>
        </w:rPr>
        <w:t xml:space="preserve">. : </w:t>
      </w:r>
      <w:r w:rsidR="00420B66" w:rsidRPr="00DA2033">
        <w:rPr>
          <w:color w:val="000000" w:themeColor="text1"/>
          <w:lang w:val="fr-FR"/>
        </w:rPr>
        <w:t>35), qui est caractérisé, en particulier, par la soutenabilité.</w:t>
      </w:r>
    </w:p>
    <w:p w14:paraId="7E47B987" w14:textId="7A42619A" w:rsidR="00420B66" w:rsidRPr="00DA2033" w:rsidRDefault="002A2906" w:rsidP="004D0DA0">
      <w:pPr>
        <w:jc w:val="both"/>
        <w:rPr>
          <w:color w:val="000000" w:themeColor="text1"/>
          <w:lang w:val="fr-FR"/>
        </w:rPr>
      </w:pPr>
      <w:r w:rsidRPr="00DA2033">
        <w:rPr>
          <w:color w:val="000000" w:themeColor="text1"/>
          <w:lang w:val="fr-FR"/>
        </w:rPr>
        <w:t>L</w:t>
      </w:r>
      <w:r w:rsidR="00420B66" w:rsidRPr="00DA2033">
        <w:rPr>
          <w:color w:val="000000" w:themeColor="text1"/>
          <w:lang w:val="fr-FR"/>
        </w:rPr>
        <w:t>a transition trouve une forme de manifestation remarquable dans la « symbiose entre éléments humains et naturels, au sein d’un univers complexe constitué de potentialités et de résultats aléatoires » (</w:t>
      </w:r>
      <w:r w:rsidR="00FD4CF3">
        <w:rPr>
          <w:i/>
          <w:color w:val="000000" w:themeColor="text1"/>
          <w:lang w:val="fr-FR"/>
        </w:rPr>
        <w:t>I</w:t>
      </w:r>
      <w:r w:rsidR="00F63BEE" w:rsidRPr="00DA2033">
        <w:rPr>
          <w:i/>
          <w:color w:val="000000" w:themeColor="text1"/>
          <w:lang w:val="fr-FR"/>
        </w:rPr>
        <w:t>bid</w:t>
      </w:r>
      <w:r w:rsidR="00F63BEE" w:rsidRPr="00DA2033">
        <w:rPr>
          <w:color w:val="000000" w:themeColor="text1"/>
          <w:lang w:val="fr-FR"/>
        </w:rPr>
        <w:t>. :</w:t>
      </w:r>
      <w:r w:rsidR="00420B66" w:rsidRPr="00DA2033">
        <w:rPr>
          <w:color w:val="000000" w:themeColor="text1"/>
          <w:lang w:val="fr-FR"/>
        </w:rPr>
        <w:t xml:space="preserve"> 38). À la limite</w:t>
      </w:r>
      <w:r w:rsidR="00F63BEE" w:rsidRPr="00DA2033">
        <w:rPr>
          <w:color w:val="000000" w:themeColor="text1"/>
          <w:lang w:val="fr-FR"/>
        </w:rPr>
        <w:t>, que la transition mue en seuil,</w:t>
      </w:r>
      <w:r w:rsidR="00420B66" w:rsidRPr="00DA2033">
        <w:rPr>
          <w:color w:val="000000" w:themeColor="text1"/>
          <w:lang w:val="fr-FR"/>
        </w:rPr>
        <w:t xml:space="preserve"> de définir des échelles, des « seuils dimensionnels et qualitatifs »</w:t>
      </w:r>
      <w:r w:rsidR="00F63BEE" w:rsidRPr="00DA2033">
        <w:rPr>
          <w:color w:val="000000" w:themeColor="text1"/>
          <w:lang w:val="fr-FR"/>
        </w:rPr>
        <w:t>,</w:t>
      </w:r>
      <w:r w:rsidR="00420B66" w:rsidRPr="00DA2033">
        <w:rPr>
          <w:color w:val="000000" w:themeColor="text1"/>
          <w:lang w:val="fr-FR"/>
        </w:rPr>
        <w:t xml:space="preserve"> en rétablissant la « mesure urbaine »</w:t>
      </w:r>
      <w:r w:rsidR="00872281" w:rsidRPr="00DA2033">
        <w:rPr>
          <w:color w:val="000000" w:themeColor="text1"/>
          <w:lang w:val="fr-FR"/>
        </w:rPr>
        <w:t xml:space="preserve"> et</w:t>
      </w:r>
      <w:r w:rsidR="00F63BEE" w:rsidRPr="00DA2033">
        <w:rPr>
          <w:color w:val="000000" w:themeColor="text1"/>
          <w:lang w:val="fr-FR"/>
        </w:rPr>
        <w:t xml:space="preserve"> en veillant à l’établissement d’une « relation réciproque entre l’établissement humain et son milieu » (</w:t>
      </w:r>
      <w:r w:rsidR="009D329B">
        <w:rPr>
          <w:i/>
          <w:color w:val="000000" w:themeColor="text1"/>
          <w:lang w:val="fr-FR"/>
        </w:rPr>
        <w:t>I</w:t>
      </w:r>
      <w:r w:rsidR="00F63BEE" w:rsidRPr="00DA2033">
        <w:rPr>
          <w:i/>
          <w:color w:val="000000" w:themeColor="text1"/>
          <w:lang w:val="fr-FR"/>
        </w:rPr>
        <w:t>bid</w:t>
      </w:r>
      <w:r w:rsidR="00F63BEE" w:rsidRPr="00DA2033">
        <w:rPr>
          <w:color w:val="000000" w:themeColor="text1"/>
          <w:lang w:val="fr-FR"/>
        </w:rPr>
        <w:t>. : 89).</w:t>
      </w:r>
    </w:p>
    <w:p w14:paraId="20A56A41" w14:textId="77777777" w:rsidR="00420B66" w:rsidRPr="00DA2033" w:rsidRDefault="00F63BEE" w:rsidP="004D0DA0">
      <w:pPr>
        <w:jc w:val="both"/>
        <w:rPr>
          <w:color w:val="000000" w:themeColor="text1"/>
          <w:lang w:val="fr-FR"/>
        </w:rPr>
      </w:pPr>
      <w:r w:rsidRPr="00DA2033">
        <w:rPr>
          <w:color w:val="000000" w:themeColor="text1"/>
          <w:lang w:val="fr-FR"/>
        </w:rPr>
        <w:t>Concluons en quelques mots. Qu’elle procure un soubassement tensionnel aux transformations, qu’elle rende possibles les métamorphoses ou qu’elle soit directement impliquée dans la « </w:t>
      </w:r>
      <w:proofErr w:type="spellStart"/>
      <w:r w:rsidRPr="00DA2033">
        <w:rPr>
          <w:color w:val="000000" w:themeColor="text1"/>
          <w:lang w:val="fr-FR"/>
        </w:rPr>
        <w:t>textualisation</w:t>
      </w:r>
      <w:proofErr w:type="spellEnd"/>
      <w:r w:rsidRPr="00DA2033">
        <w:rPr>
          <w:color w:val="000000" w:themeColor="text1"/>
          <w:lang w:val="fr-FR"/>
        </w:rPr>
        <w:t xml:space="preserve"> » </w:t>
      </w:r>
      <w:r w:rsidR="003C2A63" w:rsidRPr="00DA2033">
        <w:rPr>
          <w:color w:val="000000" w:themeColor="text1"/>
          <w:lang w:val="fr-FR"/>
        </w:rPr>
        <w:t xml:space="preserve">par exemple </w:t>
      </w:r>
      <w:r w:rsidRPr="00DA2033">
        <w:rPr>
          <w:color w:val="000000" w:themeColor="text1"/>
          <w:lang w:val="fr-FR"/>
        </w:rPr>
        <w:t xml:space="preserve">de projets (écologiques), la transition est garante de la fluidification du sens contre </w:t>
      </w:r>
      <w:r w:rsidR="00A21388" w:rsidRPr="00DA2033">
        <w:rPr>
          <w:color w:val="000000" w:themeColor="text1"/>
          <w:lang w:val="fr-FR"/>
        </w:rPr>
        <w:t>son</w:t>
      </w:r>
      <w:r w:rsidRPr="00DA2033">
        <w:rPr>
          <w:color w:val="000000" w:themeColor="text1"/>
          <w:lang w:val="fr-FR"/>
        </w:rPr>
        <w:t xml:space="preserve"> figement</w:t>
      </w:r>
      <w:r w:rsidR="00A21388" w:rsidRPr="00DA2033">
        <w:rPr>
          <w:color w:val="000000" w:themeColor="text1"/>
          <w:lang w:val="fr-FR"/>
        </w:rPr>
        <w:t xml:space="preserve">. Desserrant l’étau de la structure narrative, </w:t>
      </w:r>
      <w:r w:rsidR="003C2A63" w:rsidRPr="00DA2033">
        <w:rPr>
          <w:color w:val="000000" w:themeColor="text1"/>
          <w:lang w:val="fr-FR"/>
        </w:rPr>
        <w:t>assurant la disponibilité d’</w:t>
      </w:r>
      <w:r w:rsidR="00A21388" w:rsidRPr="00DA2033">
        <w:rPr>
          <w:color w:val="000000" w:themeColor="text1"/>
          <w:lang w:val="fr-FR"/>
        </w:rPr>
        <w:t>un éventail de possibles</w:t>
      </w:r>
      <w:r w:rsidR="003C2A63" w:rsidRPr="00DA2033">
        <w:rPr>
          <w:color w:val="000000" w:themeColor="text1"/>
          <w:lang w:val="fr-FR"/>
        </w:rPr>
        <w:t>,</w:t>
      </w:r>
      <w:r w:rsidR="00A21388" w:rsidRPr="00DA2033">
        <w:rPr>
          <w:color w:val="000000" w:themeColor="text1"/>
          <w:lang w:val="fr-FR"/>
        </w:rPr>
        <w:t xml:space="preserve"> mais aussi liant entre eux les possibles menés au stade de la réalisation, </w:t>
      </w:r>
      <w:r w:rsidR="00872281" w:rsidRPr="00DA2033">
        <w:rPr>
          <w:color w:val="000000" w:themeColor="text1"/>
          <w:lang w:val="fr-FR"/>
        </w:rPr>
        <w:t>elle met</w:t>
      </w:r>
      <w:r w:rsidR="00A21388" w:rsidRPr="00DA2033">
        <w:rPr>
          <w:color w:val="000000" w:themeColor="text1"/>
          <w:lang w:val="fr-FR"/>
        </w:rPr>
        <w:t xml:space="preserve"> en œuvre une </w:t>
      </w:r>
      <w:proofErr w:type="spellStart"/>
      <w:r w:rsidR="00A21388" w:rsidRPr="00DA2033">
        <w:rPr>
          <w:color w:val="000000" w:themeColor="text1"/>
          <w:lang w:val="fr-FR"/>
        </w:rPr>
        <w:t>aspectualité</w:t>
      </w:r>
      <w:proofErr w:type="spellEnd"/>
      <w:r w:rsidR="00A21388" w:rsidRPr="00DA2033">
        <w:rPr>
          <w:color w:val="000000" w:themeColor="text1"/>
          <w:lang w:val="fr-FR"/>
        </w:rPr>
        <w:t xml:space="preserve"> ouverte</w:t>
      </w:r>
      <w:r w:rsidR="00872281" w:rsidRPr="00DA2033">
        <w:rPr>
          <w:color w:val="000000" w:themeColor="text1"/>
          <w:lang w:val="fr-FR"/>
        </w:rPr>
        <w:t xml:space="preserve"> et</w:t>
      </w:r>
      <w:r w:rsidR="00A21388" w:rsidRPr="00DA2033">
        <w:rPr>
          <w:color w:val="000000" w:themeColor="text1"/>
          <w:lang w:val="fr-FR"/>
        </w:rPr>
        <w:t xml:space="preserve"> elle pousse à l’exploration de nouveaux </w:t>
      </w:r>
      <w:r w:rsidR="00B138AF" w:rsidRPr="00DA2033">
        <w:rPr>
          <w:color w:val="000000" w:themeColor="text1"/>
          <w:lang w:val="fr-FR"/>
        </w:rPr>
        <w:t>territoires</w:t>
      </w:r>
      <w:r w:rsidR="00A21388" w:rsidRPr="00DA2033">
        <w:rPr>
          <w:color w:val="000000" w:themeColor="text1"/>
          <w:lang w:val="fr-FR"/>
        </w:rPr>
        <w:t>.</w:t>
      </w:r>
      <w:r w:rsidR="00B138AF" w:rsidRPr="00DA2033">
        <w:rPr>
          <w:color w:val="000000" w:themeColor="text1"/>
          <w:lang w:val="fr-FR"/>
        </w:rPr>
        <w:t xml:space="preserve"> </w:t>
      </w:r>
      <w:r w:rsidR="003C2A63" w:rsidRPr="00DA2033">
        <w:rPr>
          <w:color w:val="000000" w:themeColor="text1"/>
          <w:lang w:val="fr-FR"/>
        </w:rPr>
        <w:t>D</w:t>
      </w:r>
      <w:r w:rsidR="00872281" w:rsidRPr="00DA2033">
        <w:rPr>
          <w:color w:val="000000" w:themeColor="text1"/>
          <w:lang w:val="fr-FR"/>
        </w:rPr>
        <w:t>ésormais, l’échelle « à ma taille »</w:t>
      </w:r>
      <w:r w:rsidR="009900FD" w:rsidRPr="00DA2033">
        <w:rPr>
          <w:color w:val="000000" w:themeColor="text1"/>
          <w:lang w:val="fr-FR"/>
        </w:rPr>
        <w:t xml:space="preserve"> n’exclut pas que</w:t>
      </w:r>
      <w:r w:rsidR="003C2A63" w:rsidRPr="00DA2033">
        <w:rPr>
          <w:color w:val="000000" w:themeColor="text1"/>
          <w:lang w:val="fr-FR"/>
        </w:rPr>
        <w:t xml:space="preserve"> </w:t>
      </w:r>
      <w:r w:rsidR="0034066E" w:rsidRPr="00DA2033">
        <w:rPr>
          <w:color w:val="000000" w:themeColor="text1"/>
          <w:lang w:val="fr-FR"/>
        </w:rPr>
        <w:t>le</w:t>
      </w:r>
      <w:r w:rsidR="00872281" w:rsidRPr="00DA2033">
        <w:rPr>
          <w:color w:val="000000" w:themeColor="text1"/>
          <w:lang w:val="fr-FR"/>
        </w:rPr>
        <w:t xml:space="preserve"> « tiers lieu » </w:t>
      </w:r>
      <w:r w:rsidR="0034066E" w:rsidRPr="00DA2033">
        <w:rPr>
          <w:color w:val="000000" w:themeColor="text1"/>
          <w:lang w:val="fr-FR"/>
        </w:rPr>
        <w:t>transitionnel</w:t>
      </w:r>
      <w:r w:rsidR="004053D2" w:rsidRPr="00DA2033">
        <w:rPr>
          <w:color w:val="000000" w:themeColor="text1"/>
          <w:lang w:val="fr-FR"/>
        </w:rPr>
        <w:t>, lieu « utopique »,</w:t>
      </w:r>
      <w:r w:rsidR="0034066E" w:rsidRPr="00DA2033">
        <w:rPr>
          <w:color w:val="000000" w:themeColor="text1"/>
          <w:lang w:val="fr-FR"/>
        </w:rPr>
        <w:t xml:space="preserve"> accueille</w:t>
      </w:r>
      <w:r w:rsidR="00872281" w:rsidRPr="00DA2033">
        <w:rPr>
          <w:color w:val="000000" w:themeColor="text1"/>
          <w:lang w:val="fr-FR"/>
        </w:rPr>
        <w:t xml:space="preserve"> l</w:t>
      </w:r>
      <w:r w:rsidR="003C2A63" w:rsidRPr="00DA2033">
        <w:rPr>
          <w:color w:val="000000" w:themeColor="text1"/>
          <w:lang w:val="fr-FR"/>
        </w:rPr>
        <w:t>’imaginaire, la création et l’invention.</w:t>
      </w:r>
    </w:p>
    <w:p w14:paraId="44547E4D" w14:textId="77777777" w:rsidR="004D0DA0" w:rsidRPr="00DA2033" w:rsidRDefault="004D0DA0" w:rsidP="004D0DA0">
      <w:pPr>
        <w:jc w:val="both"/>
        <w:rPr>
          <w:b/>
          <w:lang w:val="fr-FR"/>
        </w:rPr>
      </w:pPr>
    </w:p>
    <w:p w14:paraId="04E9FCFC" w14:textId="787E2889" w:rsidR="00420B66" w:rsidRPr="00DA2033" w:rsidRDefault="00420B66" w:rsidP="004D0DA0">
      <w:pPr>
        <w:jc w:val="both"/>
        <w:rPr>
          <w:b/>
          <w:lang w:val="fr-FR"/>
        </w:rPr>
      </w:pPr>
      <w:r w:rsidRPr="00DA2033">
        <w:rPr>
          <w:b/>
          <w:lang w:val="fr-FR"/>
        </w:rPr>
        <w:t>Bibliographie</w:t>
      </w:r>
    </w:p>
    <w:p w14:paraId="1AE6046F" w14:textId="77777777" w:rsidR="004D0DA0" w:rsidRPr="00DA2033" w:rsidRDefault="004D0DA0" w:rsidP="004D0DA0">
      <w:pPr>
        <w:jc w:val="both"/>
        <w:rPr>
          <w:b/>
          <w:lang w:val="fr-FR"/>
        </w:rPr>
      </w:pPr>
    </w:p>
    <w:p w14:paraId="1E1929A8" w14:textId="77777777" w:rsidR="00D470C7" w:rsidRPr="00DA2033" w:rsidRDefault="00872281" w:rsidP="004D0DA0">
      <w:pPr>
        <w:jc w:val="both"/>
        <w:rPr>
          <w:lang w:val="fr-FR"/>
        </w:rPr>
      </w:pPr>
      <w:r w:rsidRPr="00DA2033">
        <w:rPr>
          <w:caps/>
          <w:lang w:val="fr-FR"/>
        </w:rPr>
        <w:t>Achard-Bayle</w:t>
      </w:r>
      <w:r w:rsidRPr="00DA2033">
        <w:rPr>
          <w:smallCaps/>
          <w:lang w:val="fr-FR"/>
        </w:rPr>
        <w:t>,</w:t>
      </w:r>
      <w:r w:rsidRPr="00DA2033">
        <w:rPr>
          <w:lang w:val="fr-FR"/>
        </w:rPr>
        <w:t xml:space="preserve"> </w:t>
      </w:r>
      <w:r w:rsidR="00420B66" w:rsidRPr="00DA2033">
        <w:rPr>
          <w:lang w:val="fr-FR"/>
        </w:rPr>
        <w:t>G</w:t>
      </w:r>
      <w:r w:rsidRPr="00DA2033">
        <w:rPr>
          <w:lang w:val="fr-FR"/>
        </w:rPr>
        <w:t>.</w:t>
      </w:r>
      <w:r w:rsidR="00420B66" w:rsidRPr="00DA2033">
        <w:rPr>
          <w:lang w:val="fr-FR"/>
        </w:rPr>
        <w:t xml:space="preserve">, </w:t>
      </w:r>
    </w:p>
    <w:p w14:paraId="1F9AF9F5" w14:textId="5DEF9786" w:rsidR="00420B66" w:rsidRPr="00DA2033" w:rsidRDefault="00872281" w:rsidP="004D0DA0">
      <w:pPr>
        <w:jc w:val="both"/>
        <w:rPr>
          <w:lang w:val="fr-FR"/>
        </w:rPr>
      </w:pPr>
      <w:r w:rsidRPr="00DA2033">
        <w:rPr>
          <w:lang w:val="fr-FR"/>
        </w:rPr>
        <w:t>2001</w:t>
      </w:r>
      <w:r w:rsidR="00D470C7" w:rsidRPr="00DA2033">
        <w:rPr>
          <w:lang w:val="fr-FR"/>
        </w:rPr>
        <w:tab/>
      </w:r>
      <w:r w:rsidR="00420B66" w:rsidRPr="00DA2033">
        <w:rPr>
          <w:i/>
          <w:lang w:val="fr-FR"/>
        </w:rPr>
        <w:t>Grammaire des métamorphoses. Référence, identité, changement, fiction</w:t>
      </w:r>
      <w:r w:rsidR="00420B66" w:rsidRPr="00DA2033">
        <w:rPr>
          <w:lang w:val="fr-FR"/>
        </w:rPr>
        <w:t xml:space="preserve">, Bruxelles, </w:t>
      </w:r>
      <w:r w:rsidR="001343F0" w:rsidRPr="00DA2033">
        <w:rPr>
          <w:lang w:val="fr-FR"/>
        </w:rPr>
        <w:t>D</w:t>
      </w:r>
      <w:r w:rsidR="00420B66" w:rsidRPr="00DA2033">
        <w:rPr>
          <w:lang w:val="fr-FR"/>
        </w:rPr>
        <w:t xml:space="preserve">e Boeck et </w:t>
      </w:r>
      <w:proofErr w:type="spellStart"/>
      <w:r w:rsidR="00420B66" w:rsidRPr="00DA2033">
        <w:rPr>
          <w:lang w:val="fr-FR"/>
        </w:rPr>
        <w:t>Larcier</w:t>
      </w:r>
      <w:proofErr w:type="spellEnd"/>
      <w:r w:rsidR="00420B66" w:rsidRPr="00DA2033">
        <w:rPr>
          <w:lang w:val="fr-FR"/>
        </w:rPr>
        <w:t>.</w:t>
      </w:r>
    </w:p>
    <w:p w14:paraId="3FB01916" w14:textId="77777777" w:rsidR="004D0DA0" w:rsidRPr="00DA2033" w:rsidRDefault="004D0DA0" w:rsidP="004D0DA0">
      <w:pPr>
        <w:jc w:val="both"/>
        <w:rPr>
          <w:lang w:val="fr-FR"/>
        </w:rPr>
      </w:pPr>
    </w:p>
    <w:p w14:paraId="32D6B8E4" w14:textId="77777777" w:rsidR="00D470C7" w:rsidRPr="00A5758F" w:rsidRDefault="00872281" w:rsidP="004D0DA0">
      <w:pPr>
        <w:jc w:val="both"/>
        <w:rPr>
          <w:caps/>
          <w:lang w:val="en-US"/>
        </w:rPr>
      </w:pPr>
      <w:r w:rsidRPr="00A5758F">
        <w:rPr>
          <w:caps/>
          <w:lang w:val="en-US"/>
        </w:rPr>
        <w:t xml:space="preserve">Akrich, </w:t>
      </w:r>
      <w:r w:rsidR="00420B66" w:rsidRPr="00A5758F">
        <w:rPr>
          <w:caps/>
          <w:lang w:val="en-US"/>
        </w:rPr>
        <w:t>M</w:t>
      </w:r>
      <w:r w:rsidRPr="00A5758F">
        <w:rPr>
          <w:caps/>
          <w:lang w:val="en-US"/>
        </w:rPr>
        <w:t>.</w:t>
      </w:r>
      <w:r w:rsidR="00420B66" w:rsidRPr="00A5758F">
        <w:rPr>
          <w:caps/>
          <w:lang w:val="en-US"/>
        </w:rPr>
        <w:t xml:space="preserve">, </w:t>
      </w:r>
      <w:r w:rsidRPr="00A5758F">
        <w:rPr>
          <w:caps/>
          <w:lang w:val="en-US"/>
        </w:rPr>
        <w:t xml:space="preserve">Callon, </w:t>
      </w:r>
      <w:r w:rsidR="00420B66" w:rsidRPr="00A5758F">
        <w:rPr>
          <w:caps/>
          <w:lang w:val="en-US"/>
        </w:rPr>
        <w:t>M</w:t>
      </w:r>
      <w:r w:rsidRPr="00A5758F">
        <w:rPr>
          <w:caps/>
          <w:lang w:val="en-US"/>
        </w:rPr>
        <w:t>.</w:t>
      </w:r>
      <w:r w:rsidR="00420B66" w:rsidRPr="00A5758F">
        <w:rPr>
          <w:caps/>
          <w:lang w:val="en-US"/>
        </w:rPr>
        <w:t xml:space="preserve"> </w:t>
      </w:r>
      <w:r w:rsidRPr="00A5758F">
        <w:rPr>
          <w:caps/>
          <w:lang w:val="en-US"/>
        </w:rPr>
        <w:t>&amp;</w:t>
      </w:r>
      <w:r w:rsidR="00420B66" w:rsidRPr="00A5758F">
        <w:rPr>
          <w:caps/>
          <w:lang w:val="en-US"/>
        </w:rPr>
        <w:t xml:space="preserve"> </w:t>
      </w:r>
      <w:r w:rsidRPr="00A5758F">
        <w:rPr>
          <w:caps/>
          <w:lang w:val="en-US"/>
        </w:rPr>
        <w:t>Latour,</w:t>
      </w:r>
      <w:r w:rsidR="00420B66" w:rsidRPr="00A5758F">
        <w:rPr>
          <w:caps/>
          <w:lang w:val="en-US"/>
        </w:rPr>
        <w:t xml:space="preserve"> B</w:t>
      </w:r>
      <w:r w:rsidRPr="00A5758F">
        <w:rPr>
          <w:caps/>
          <w:lang w:val="en-US"/>
        </w:rPr>
        <w:t>.</w:t>
      </w:r>
    </w:p>
    <w:p w14:paraId="1773FE81" w14:textId="4B94E072" w:rsidR="00420B66" w:rsidRPr="00DA2033" w:rsidRDefault="00872281" w:rsidP="004D0DA0">
      <w:pPr>
        <w:jc w:val="both"/>
        <w:rPr>
          <w:lang w:val="fr-FR"/>
        </w:rPr>
      </w:pPr>
      <w:r w:rsidRPr="00DA2033">
        <w:rPr>
          <w:lang w:val="fr-FR"/>
        </w:rPr>
        <w:t>2006</w:t>
      </w:r>
      <w:r w:rsidR="00D470C7" w:rsidRPr="00DA2033">
        <w:rPr>
          <w:lang w:val="fr-FR"/>
        </w:rPr>
        <w:tab/>
      </w:r>
      <w:r w:rsidR="00420B66" w:rsidRPr="00DA2033">
        <w:rPr>
          <w:i/>
          <w:lang w:val="fr-FR"/>
        </w:rPr>
        <w:t>Sociologie de la traduction, textes fondateurs</w:t>
      </w:r>
      <w:r w:rsidR="00420B66" w:rsidRPr="00DA2033">
        <w:rPr>
          <w:lang w:val="fr-FR"/>
        </w:rPr>
        <w:t>, Paris, Presses des Mines.</w:t>
      </w:r>
    </w:p>
    <w:p w14:paraId="00BF495D" w14:textId="77777777" w:rsidR="004D0DA0" w:rsidRPr="00DA2033" w:rsidRDefault="004D0DA0" w:rsidP="004D0DA0">
      <w:pPr>
        <w:jc w:val="both"/>
        <w:rPr>
          <w:lang w:val="fr-FR"/>
        </w:rPr>
      </w:pPr>
    </w:p>
    <w:p w14:paraId="558EFA89" w14:textId="77777777" w:rsidR="00D470C7" w:rsidRPr="00DA2033" w:rsidRDefault="007363E4" w:rsidP="004D0DA0">
      <w:pPr>
        <w:jc w:val="both"/>
        <w:rPr>
          <w:lang w:val="fr-FR"/>
        </w:rPr>
      </w:pPr>
      <w:r w:rsidRPr="00DA2033">
        <w:rPr>
          <w:caps/>
          <w:lang w:val="fr-FR"/>
        </w:rPr>
        <w:t>Alonso, J., Bertrand, D., Costantini, M. &amp; Dambrine, S.</w:t>
      </w:r>
      <w:r w:rsidRPr="00DA2033">
        <w:rPr>
          <w:lang w:val="fr-FR"/>
        </w:rPr>
        <w:t xml:space="preserve"> (</w:t>
      </w:r>
      <w:proofErr w:type="spellStart"/>
      <w:r w:rsidRPr="00DA2033">
        <w:rPr>
          <w:lang w:val="fr-FR"/>
        </w:rPr>
        <w:t>dirs</w:t>
      </w:r>
      <w:proofErr w:type="spellEnd"/>
      <w:r w:rsidRPr="00DA2033">
        <w:rPr>
          <w:lang w:val="fr-FR"/>
        </w:rPr>
        <w:t>)</w:t>
      </w:r>
    </w:p>
    <w:p w14:paraId="57F74DD0" w14:textId="7CE0FC6F" w:rsidR="007363E4" w:rsidRPr="00DA2033" w:rsidRDefault="007363E4" w:rsidP="004D0DA0">
      <w:pPr>
        <w:jc w:val="both"/>
        <w:rPr>
          <w:rFonts w:eastAsiaTheme="minorHAnsi"/>
          <w:lang w:val="fr-FR" w:eastAsia="en-US"/>
        </w:rPr>
      </w:pPr>
      <w:r w:rsidRPr="00DA2033">
        <w:rPr>
          <w:lang w:val="fr-FR"/>
        </w:rPr>
        <w:t>2006</w:t>
      </w:r>
      <w:r w:rsidR="00D470C7" w:rsidRPr="00DA2033">
        <w:rPr>
          <w:lang w:val="fr-FR"/>
        </w:rPr>
        <w:tab/>
      </w:r>
      <w:r w:rsidRPr="00DA2033">
        <w:rPr>
          <w:rFonts w:eastAsiaTheme="minorHAnsi"/>
          <w:i/>
          <w:lang w:val="fr-FR" w:eastAsia="en-US"/>
        </w:rPr>
        <w:t>La transversalité du sens. Parcours sémiotiques</w:t>
      </w:r>
      <w:r w:rsidRPr="00DA2033">
        <w:rPr>
          <w:rFonts w:eastAsiaTheme="minorHAnsi"/>
          <w:lang w:val="fr-FR" w:eastAsia="en-US"/>
        </w:rPr>
        <w:t> », Saint-Denis, PUV.</w:t>
      </w:r>
    </w:p>
    <w:p w14:paraId="2F8C92AF" w14:textId="77777777" w:rsidR="004D0DA0" w:rsidRPr="00DA2033" w:rsidRDefault="004D0DA0" w:rsidP="004D0DA0">
      <w:pPr>
        <w:jc w:val="both"/>
        <w:rPr>
          <w:lang w:val="fr-FR"/>
        </w:rPr>
      </w:pPr>
    </w:p>
    <w:p w14:paraId="2B6A00C8" w14:textId="77777777" w:rsidR="00D470C7" w:rsidRPr="00DA2033" w:rsidRDefault="00872281" w:rsidP="004D0DA0">
      <w:pPr>
        <w:pStyle w:val="NormalWeb"/>
        <w:spacing w:before="0" w:beforeAutospacing="0" w:after="0" w:afterAutospacing="0"/>
        <w:jc w:val="both"/>
        <w:rPr>
          <w:rFonts w:ascii="Times New Roman" w:eastAsia="Times New Roman" w:hAnsi="Times New Roman"/>
          <w:sz w:val="24"/>
          <w:szCs w:val="24"/>
        </w:rPr>
      </w:pPr>
      <w:r w:rsidRPr="00DA2033">
        <w:rPr>
          <w:rFonts w:ascii="Times New Roman" w:hAnsi="Times New Roman"/>
          <w:caps/>
          <w:sz w:val="24"/>
          <w:szCs w:val="24"/>
        </w:rPr>
        <w:t>Badir</w:t>
      </w:r>
      <w:r w:rsidRPr="00DA2033">
        <w:rPr>
          <w:rFonts w:ascii="Times New Roman" w:hAnsi="Times New Roman"/>
          <w:smallCaps/>
          <w:sz w:val="24"/>
          <w:szCs w:val="24"/>
        </w:rPr>
        <w:t>, S</w:t>
      </w:r>
      <w:r w:rsidRPr="00DA2033">
        <w:rPr>
          <w:rFonts w:ascii="Times New Roman" w:hAnsi="Times New Roman"/>
          <w:sz w:val="24"/>
          <w:szCs w:val="24"/>
        </w:rPr>
        <w:t>.</w:t>
      </w:r>
    </w:p>
    <w:p w14:paraId="4571122F" w14:textId="29735D6B" w:rsidR="00420B66" w:rsidRPr="00DA2033" w:rsidRDefault="00872281" w:rsidP="004D0DA0">
      <w:pPr>
        <w:pStyle w:val="NormalWeb"/>
        <w:spacing w:before="0" w:beforeAutospacing="0" w:after="0" w:afterAutospacing="0"/>
        <w:jc w:val="both"/>
        <w:rPr>
          <w:rFonts w:ascii="Times New Roman" w:hAnsi="Times New Roman"/>
          <w:color w:val="000000" w:themeColor="text1"/>
          <w:sz w:val="24"/>
          <w:szCs w:val="24"/>
        </w:rPr>
      </w:pPr>
      <w:r w:rsidRPr="00DA2033">
        <w:rPr>
          <w:rFonts w:ascii="Times New Roman" w:eastAsia="Times New Roman" w:hAnsi="Times New Roman"/>
          <w:sz w:val="24"/>
          <w:szCs w:val="24"/>
        </w:rPr>
        <w:t>2018</w:t>
      </w:r>
      <w:r w:rsidR="00D470C7" w:rsidRPr="00DA2033">
        <w:rPr>
          <w:rFonts w:ascii="Times New Roman" w:eastAsia="Times New Roman" w:hAnsi="Times New Roman"/>
          <w:sz w:val="24"/>
          <w:szCs w:val="24"/>
        </w:rPr>
        <w:tab/>
      </w:r>
      <w:r w:rsidR="00420B66" w:rsidRPr="00DA2033">
        <w:rPr>
          <w:rFonts w:ascii="Times New Roman" w:eastAsia="Times New Roman" w:hAnsi="Times New Roman"/>
          <w:sz w:val="24"/>
          <w:szCs w:val="24"/>
        </w:rPr>
        <w:t xml:space="preserve">« La </w:t>
      </w:r>
      <w:proofErr w:type="spellStart"/>
      <w:r w:rsidR="00420B66" w:rsidRPr="00DA2033">
        <w:rPr>
          <w:rFonts w:ascii="Times New Roman" w:eastAsia="Times New Roman" w:hAnsi="Times New Roman"/>
          <w:sz w:val="24"/>
          <w:szCs w:val="24"/>
        </w:rPr>
        <w:t>sémiologie</w:t>
      </w:r>
      <w:proofErr w:type="spellEnd"/>
      <w:r w:rsidR="00420B66" w:rsidRPr="00DA2033">
        <w:rPr>
          <w:rFonts w:ascii="Times New Roman" w:eastAsia="Times New Roman" w:hAnsi="Times New Roman"/>
          <w:sz w:val="24"/>
          <w:szCs w:val="24"/>
        </w:rPr>
        <w:t xml:space="preserve"> en apophase », dans D</w:t>
      </w:r>
      <w:r w:rsidR="00062CE4" w:rsidRPr="00DA2033">
        <w:rPr>
          <w:rFonts w:ascii="Times New Roman" w:eastAsia="Times New Roman" w:hAnsi="Times New Roman"/>
          <w:sz w:val="24"/>
          <w:szCs w:val="24"/>
        </w:rPr>
        <w:t>.</w:t>
      </w:r>
      <w:r w:rsidR="00420B66" w:rsidRPr="00DA2033">
        <w:rPr>
          <w:rFonts w:ascii="Times New Roman" w:eastAsia="Times New Roman" w:hAnsi="Times New Roman"/>
          <w:sz w:val="24"/>
          <w:szCs w:val="24"/>
        </w:rPr>
        <w:t xml:space="preserve"> Denis et A</w:t>
      </w:r>
      <w:r w:rsidR="00062CE4" w:rsidRPr="00DA2033">
        <w:rPr>
          <w:rFonts w:ascii="Times New Roman" w:eastAsia="Times New Roman" w:hAnsi="Times New Roman"/>
          <w:sz w:val="24"/>
          <w:szCs w:val="24"/>
        </w:rPr>
        <w:t>.</w:t>
      </w:r>
      <w:r w:rsidR="00420B66" w:rsidRPr="00DA2033">
        <w:rPr>
          <w:rFonts w:ascii="Times New Roman" w:eastAsia="Times New Roman" w:hAnsi="Times New Roman"/>
          <w:sz w:val="24"/>
          <w:szCs w:val="24"/>
        </w:rPr>
        <w:t xml:space="preserve"> Jaubert (</w:t>
      </w:r>
      <w:proofErr w:type="spellStart"/>
      <w:r w:rsidR="00420B66" w:rsidRPr="00DA2033">
        <w:rPr>
          <w:rFonts w:ascii="Times New Roman" w:eastAsia="Times New Roman" w:hAnsi="Times New Roman"/>
          <w:sz w:val="24"/>
          <w:szCs w:val="24"/>
        </w:rPr>
        <w:t>dirs</w:t>
      </w:r>
      <w:proofErr w:type="spellEnd"/>
      <w:r w:rsidR="00420B66" w:rsidRPr="00DA2033">
        <w:rPr>
          <w:rFonts w:ascii="Times New Roman" w:eastAsia="Times New Roman" w:hAnsi="Times New Roman"/>
          <w:sz w:val="24"/>
          <w:szCs w:val="24"/>
        </w:rPr>
        <w:t xml:space="preserve">), </w:t>
      </w:r>
      <w:r w:rsidR="00420B66" w:rsidRPr="00DA2033">
        <w:rPr>
          <w:rFonts w:ascii="Times New Roman" w:eastAsia="Times New Roman" w:hAnsi="Times New Roman"/>
          <w:i/>
          <w:iCs/>
          <w:sz w:val="24"/>
          <w:szCs w:val="24"/>
        </w:rPr>
        <w:t xml:space="preserve">Le </w:t>
      </w:r>
      <w:r w:rsidR="001343F0" w:rsidRPr="00DA2033">
        <w:rPr>
          <w:rFonts w:ascii="Times New Roman" w:eastAsia="Times New Roman" w:hAnsi="Times New Roman"/>
          <w:i/>
          <w:iCs/>
          <w:sz w:val="24"/>
          <w:szCs w:val="24"/>
        </w:rPr>
        <w:t>f</w:t>
      </w:r>
      <w:r w:rsidR="00420B66" w:rsidRPr="00DA2033">
        <w:rPr>
          <w:rFonts w:ascii="Times New Roman" w:eastAsia="Times New Roman" w:hAnsi="Times New Roman"/>
          <w:i/>
          <w:iCs/>
          <w:sz w:val="24"/>
          <w:szCs w:val="24"/>
        </w:rPr>
        <w:t xml:space="preserve">ragile et le flou. De la </w:t>
      </w:r>
      <w:proofErr w:type="spellStart"/>
      <w:r w:rsidR="00420B66" w:rsidRPr="00DA2033">
        <w:rPr>
          <w:rFonts w:ascii="Times New Roman" w:eastAsia="Times New Roman" w:hAnsi="Times New Roman"/>
          <w:i/>
          <w:iCs/>
          <w:sz w:val="24"/>
          <w:szCs w:val="24"/>
        </w:rPr>
        <w:t>précarite</w:t>
      </w:r>
      <w:proofErr w:type="spellEnd"/>
      <w:r w:rsidR="00420B66" w:rsidRPr="00DA2033">
        <w:rPr>
          <w:rFonts w:ascii="Times New Roman" w:eastAsia="Times New Roman" w:hAnsi="Times New Roman"/>
          <w:i/>
          <w:iCs/>
          <w:sz w:val="24"/>
          <w:szCs w:val="24"/>
        </w:rPr>
        <w:t xml:space="preserve">́ en </w:t>
      </w:r>
      <w:proofErr w:type="spellStart"/>
      <w:r w:rsidR="00420B66" w:rsidRPr="00DA2033">
        <w:rPr>
          <w:rFonts w:ascii="Times New Roman" w:eastAsia="Times New Roman" w:hAnsi="Times New Roman"/>
          <w:i/>
          <w:iCs/>
          <w:sz w:val="24"/>
          <w:szCs w:val="24"/>
        </w:rPr>
        <w:t>rhétorique</w:t>
      </w:r>
      <w:proofErr w:type="spellEnd"/>
      <w:r w:rsidR="00420B66" w:rsidRPr="00DA2033">
        <w:rPr>
          <w:rFonts w:ascii="Times New Roman" w:eastAsia="Times New Roman" w:hAnsi="Times New Roman"/>
          <w:sz w:val="24"/>
          <w:szCs w:val="24"/>
        </w:rPr>
        <w:t>, Paris, Classiques Garnier, p</w:t>
      </w:r>
      <w:r w:rsidRPr="00DA2033">
        <w:rPr>
          <w:rFonts w:ascii="Times New Roman" w:eastAsia="Times New Roman" w:hAnsi="Times New Roman"/>
          <w:sz w:val="24"/>
          <w:szCs w:val="24"/>
        </w:rPr>
        <w:t>p</w:t>
      </w:r>
      <w:r w:rsidR="00420B66" w:rsidRPr="00DA2033">
        <w:rPr>
          <w:rFonts w:ascii="Times New Roman" w:eastAsia="Times New Roman" w:hAnsi="Times New Roman"/>
          <w:sz w:val="24"/>
          <w:szCs w:val="24"/>
        </w:rPr>
        <w:t>.</w:t>
      </w:r>
      <w:r w:rsidR="00062CE4" w:rsidRPr="00DA2033">
        <w:rPr>
          <w:rFonts w:ascii="Times New Roman" w:eastAsia="Times New Roman" w:hAnsi="Times New Roman"/>
          <w:sz w:val="24"/>
          <w:szCs w:val="24"/>
        </w:rPr>
        <w:t> </w:t>
      </w:r>
      <w:r w:rsidR="00420B66" w:rsidRPr="00DA2033">
        <w:rPr>
          <w:rFonts w:ascii="Times New Roman" w:eastAsia="Times New Roman" w:hAnsi="Times New Roman"/>
          <w:sz w:val="24"/>
          <w:szCs w:val="24"/>
        </w:rPr>
        <w:t>151-</w:t>
      </w:r>
      <w:r w:rsidR="00420B66" w:rsidRPr="00DA2033">
        <w:rPr>
          <w:rFonts w:ascii="Times New Roman" w:eastAsia="Times New Roman" w:hAnsi="Times New Roman"/>
          <w:color w:val="000000" w:themeColor="text1"/>
          <w:sz w:val="24"/>
          <w:szCs w:val="24"/>
        </w:rPr>
        <w:t>164.</w:t>
      </w:r>
      <w:r w:rsidRPr="00DA2033">
        <w:rPr>
          <w:rFonts w:ascii="Times New Roman" w:eastAsia="Times New Roman" w:hAnsi="Times New Roman"/>
          <w:color w:val="000000" w:themeColor="text1"/>
          <w:sz w:val="24"/>
          <w:szCs w:val="24"/>
        </w:rPr>
        <w:t xml:space="preserve"> </w:t>
      </w:r>
      <w:r w:rsidR="00420B66" w:rsidRPr="00DA2033">
        <w:rPr>
          <w:rFonts w:ascii="Times New Roman" w:hAnsi="Times New Roman"/>
          <w:color w:val="000000" w:themeColor="text1"/>
          <w:sz w:val="24"/>
          <w:szCs w:val="24"/>
        </w:rPr>
        <w:t>DOI : 10.15122/isbn.978-2-406-07090-</w:t>
      </w:r>
      <w:proofErr w:type="gramStart"/>
      <w:r w:rsidR="00420B66" w:rsidRPr="00DA2033">
        <w:rPr>
          <w:rFonts w:ascii="Times New Roman" w:hAnsi="Times New Roman"/>
          <w:color w:val="000000" w:themeColor="text1"/>
          <w:sz w:val="24"/>
          <w:szCs w:val="24"/>
        </w:rPr>
        <w:t>0.p.</w:t>
      </w:r>
      <w:proofErr w:type="gramEnd"/>
      <w:r w:rsidR="00420B66" w:rsidRPr="00DA2033">
        <w:rPr>
          <w:rFonts w:ascii="Times New Roman" w:hAnsi="Times New Roman"/>
          <w:color w:val="000000" w:themeColor="text1"/>
          <w:sz w:val="24"/>
          <w:szCs w:val="24"/>
        </w:rPr>
        <w:t>0151</w:t>
      </w:r>
      <w:r w:rsidR="0073532D" w:rsidRPr="00DA2033">
        <w:rPr>
          <w:rFonts w:ascii="Times New Roman" w:hAnsi="Times New Roman"/>
          <w:color w:val="000000" w:themeColor="text1"/>
          <w:sz w:val="24"/>
          <w:szCs w:val="24"/>
        </w:rPr>
        <w:t xml:space="preserve"> (consulté le </w:t>
      </w:r>
      <w:r w:rsidR="006D0E92" w:rsidRPr="00DA2033">
        <w:rPr>
          <w:rFonts w:ascii="Times New Roman" w:hAnsi="Times New Roman"/>
          <w:color w:val="000000" w:themeColor="text1"/>
          <w:sz w:val="24"/>
          <w:szCs w:val="24"/>
        </w:rPr>
        <w:t>28/09/2022).</w:t>
      </w:r>
    </w:p>
    <w:p w14:paraId="4FAB244B" w14:textId="77777777" w:rsidR="004D0DA0" w:rsidRPr="00DA2033" w:rsidRDefault="004D0DA0" w:rsidP="004D0DA0">
      <w:pPr>
        <w:pStyle w:val="NormalWeb"/>
        <w:spacing w:before="0" w:beforeAutospacing="0" w:after="0" w:afterAutospacing="0"/>
        <w:jc w:val="both"/>
        <w:rPr>
          <w:rFonts w:ascii="Times New Roman" w:eastAsia="Times New Roman" w:hAnsi="Times New Roman"/>
          <w:color w:val="000000" w:themeColor="text1"/>
          <w:sz w:val="24"/>
          <w:szCs w:val="24"/>
        </w:rPr>
      </w:pPr>
    </w:p>
    <w:p w14:paraId="78A1067E" w14:textId="77777777" w:rsidR="00D470C7" w:rsidRPr="00DA2033" w:rsidRDefault="00872281" w:rsidP="004D0DA0">
      <w:pPr>
        <w:jc w:val="both"/>
        <w:rPr>
          <w:lang w:val="fr-FR"/>
        </w:rPr>
      </w:pPr>
      <w:r w:rsidRPr="00DA2033">
        <w:rPr>
          <w:caps/>
          <w:lang w:val="fr-FR"/>
        </w:rPr>
        <w:t>Basso Fossali</w:t>
      </w:r>
      <w:r w:rsidRPr="00DA2033">
        <w:rPr>
          <w:smallCaps/>
          <w:lang w:val="fr-FR"/>
        </w:rPr>
        <w:t>,</w:t>
      </w:r>
      <w:r w:rsidRPr="00DA2033">
        <w:rPr>
          <w:lang w:val="fr-FR"/>
        </w:rPr>
        <w:t xml:space="preserve"> </w:t>
      </w:r>
      <w:r w:rsidR="00420B66" w:rsidRPr="00DA2033">
        <w:rPr>
          <w:lang w:val="fr-FR"/>
        </w:rPr>
        <w:t>P</w:t>
      </w:r>
      <w:r w:rsidRPr="00DA2033">
        <w:rPr>
          <w:lang w:val="fr-FR"/>
        </w:rPr>
        <w:t>.</w:t>
      </w:r>
    </w:p>
    <w:p w14:paraId="1DD364F3" w14:textId="49D389D8" w:rsidR="00420B66" w:rsidRPr="00DA2033" w:rsidRDefault="00872281" w:rsidP="004D0DA0">
      <w:pPr>
        <w:jc w:val="both"/>
        <w:rPr>
          <w:lang w:val="fr-FR"/>
        </w:rPr>
      </w:pPr>
      <w:r w:rsidRPr="00DA2033">
        <w:rPr>
          <w:lang w:val="fr-FR"/>
        </w:rPr>
        <w:t>2017</w:t>
      </w:r>
      <w:r w:rsidR="00D470C7" w:rsidRPr="00DA2033">
        <w:rPr>
          <w:lang w:val="fr-FR"/>
        </w:rPr>
        <w:tab/>
      </w:r>
      <w:r w:rsidR="00420B66" w:rsidRPr="00DA2033">
        <w:rPr>
          <w:i/>
          <w:lang w:val="fr-FR"/>
        </w:rPr>
        <w:t>Vers une écologie sémiotique de la culture</w:t>
      </w:r>
      <w:r w:rsidR="00420B66" w:rsidRPr="00DA2033">
        <w:rPr>
          <w:lang w:val="fr-FR"/>
        </w:rPr>
        <w:t>, Limoges, Lambert-Lucas.</w:t>
      </w:r>
    </w:p>
    <w:p w14:paraId="48956385" w14:textId="77777777" w:rsidR="004D0DA0" w:rsidRPr="00DA2033" w:rsidRDefault="004D0DA0" w:rsidP="004D0DA0">
      <w:pPr>
        <w:jc w:val="both"/>
        <w:rPr>
          <w:lang w:val="fr-FR"/>
        </w:rPr>
      </w:pPr>
    </w:p>
    <w:p w14:paraId="1999D6F4" w14:textId="77777777" w:rsidR="00D470C7" w:rsidRPr="00DA2033" w:rsidRDefault="00420B66" w:rsidP="004D0DA0">
      <w:pPr>
        <w:jc w:val="both"/>
        <w:rPr>
          <w:caps/>
          <w:lang w:val="fr-FR"/>
        </w:rPr>
      </w:pPr>
      <w:r w:rsidRPr="00DA2033">
        <w:rPr>
          <w:caps/>
          <w:lang w:val="fr-FR"/>
        </w:rPr>
        <w:t>Basso Fossali</w:t>
      </w:r>
      <w:r w:rsidR="00872281" w:rsidRPr="00DA2033">
        <w:rPr>
          <w:caps/>
          <w:lang w:val="fr-FR"/>
        </w:rPr>
        <w:t>,</w:t>
      </w:r>
      <w:r w:rsidRPr="00DA2033">
        <w:rPr>
          <w:caps/>
          <w:lang w:val="fr-FR"/>
        </w:rPr>
        <w:t xml:space="preserve"> P</w:t>
      </w:r>
      <w:r w:rsidR="00872281" w:rsidRPr="00DA2033">
        <w:rPr>
          <w:caps/>
          <w:lang w:val="fr-FR"/>
        </w:rPr>
        <w:t>.</w:t>
      </w:r>
      <w:r w:rsidR="0006763D" w:rsidRPr="00DA2033">
        <w:rPr>
          <w:caps/>
          <w:lang w:val="fr-FR"/>
        </w:rPr>
        <w:t>,</w:t>
      </w:r>
      <w:r w:rsidRPr="00DA2033">
        <w:rPr>
          <w:caps/>
          <w:lang w:val="fr-FR"/>
        </w:rPr>
        <w:t xml:space="preserve"> Bertrand</w:t>
      </w:r>
      <w:r w:rsidR="00872281" w:rsidRPr="00DA2033">
        <w:rPr>
          <w:caps/>
          <w:lang w:val="fr-FR"/>
        </w:rPr>
        <w:t>, D. &amp;</w:t>
      </w:r>
      <w:r w:rsidRPr="00DA2033">
        <w:rPr>
          <w:caps/>
          <w:lang w:val="fr-FR"/>
        </w:rPr>
        <w:t xml:space="preserve"> Zinna</w:t>
      </w:r>
      <w:r w:rsidR="00872281" w:rsidRPr="00DA2033">
        <w:rPr>
          <w:caps/>
          <w:lang w:val="fr-FR"/>
        </w:rPr>
        <w:t>,</w:t>
      </w:r>
      <w:r w:rsidRPr="00DA2033">
        <w:rPr>
          <w:caps/>
          <w:lang w:val="fr-FR"/>
        </w:rPr>
        <w:t xml:space="preserve"> A</w:t>
      </w:r>
      <w:r w:rsidR="00872281" w:rsidRPr="00DA2033">
        <w:rPr>
          <w:caps/>
          <w:lang w:val="fr-FR"/>
        </w:rPr>
        <w:t>.</w:t>
      </w:r>
    </w:p>
    <w:p w14:paraId="51D489E1" w14:textId="535BF13E" w:rsidR="00872281" w:rsidRPr="00DA2033" w:rsidRDefault="00872281" w:rsidP="004D0DA0">
      <w:pPr>
        <w:jc w:val="both"/>
        <w:rPr>
          <w:lang w:val="fr-FR"/>
        </w:rPr>
      </w:pPr>
      <w:r w:rsidRPr="00DA2033">
        <w:rPr>
          <w:lang w:val="fr-FR"/>
        </w:rPr>
        <w:t>2019</w:t>
      </w:r>
      <w:r w:rsidR="00D470C7" w:rsidRPr="00DA2033">
        <w:rPr>
          <w:lang w:val="fr-FR"/>
        </w:rPr>
        <w:tab/>
      </w:r>
      <w:r w:rsidR="00420B66" w:rsidRPr="00DA2033">
        <w:rPr>
          <w:i/>
          <w:lang w:val="fr-FR"/>
        </w:rPr>
        <w:t>Utopies et Formes de vie. Mythes, valeurs et matières. Hommage à Paolo Fabbri</w:t>
      </w:r>
      <w:r w:rsidR="00420B66" w:rsidRPr="00DA2033">
        <w:rPr>
          <w:lang w:val="fr-FR"/>
        </w:rPr>
        <w:t xml:space="preserve"> », </w:t>
      </w:r>
      <w:r w:rsidR="006D0E92" w:rsidRPr="00DA2033">
        <w:rPr>
          <w:lang w:val="fr-FR"/>
        </w:rPr>
        <w:t>É</w:t>
      </w:r>
      <w:r w:rsidR="00420B66" w:rsidRPr="00DA2033">
        <w:rPr>
          <w:lang w:val="fr-FR"/>
        </w:rPr>
        <w:t>ditions CAMS/O</w:t>
      </w:r>
      <w:r w:rsidRPr="00DA2033">
        <w:rPr>
          <w:lang w:val="fr-FR"/>
        </w:rPr>
        <w:t>.</w:t>
      </w:r>
    </w:p>
    <w:p w14:paraId="763B8827" w14:textId="77777777" w:rsidR="004D0DA0" w:rsidRPr="00DA2033" w:rsidRDefault="004D0DA0" w:rsidP="004D0DA0">
      <w:pPr>
        <w:jc w:val="both"/>
        <w:rPr>
          <w:lang w:val="fr-FR"/>
        </w:rPr>
      </w:pPr>
    </w:p>
    <w:p w14:paraId="53844E96" w14:textId="77777777" w:rsidR="00D470C7" w:rsidRPr="00DA2033" w:rsidRDefault="00C25B4A" w:rsidP="004D0DA0">
      <w:pPr>
        <w:jc w:val="both"/>
        <w:rPr>
          <w:caps/>
          <w:lang w:val="fr-FR"/>
        </w:rPr>
      </w:pPr>
      <w:r w:rsidRPr="00DA2033">
        <w:rPr>
          <w:caps/>
          <w:lang w:val="fr-FR"/>
        </w:rPr>
        <w:t>Boltanski, L.</w:t>
      </w:r>
    </w:p>
    <w:p w14:paraId="61BA6124" w14:textId="02E6563B" w:rsidR="00C25B4A" w:rsidRPr="00DA2033" w:rsidRDefault="00FC38DC" w:rsidP="004D0DA0">
      <w:pPr>
        <w:jc w:val="both"/>
        <w:rPr>
          <w:lang w:val="fr-FR"/>
        </w:rPr>
      </w:pPr>
      <w:r w:rsidRPr="00DA2033">
        <w:rPr>
          <w:lang w:val="fr-FR"/>
        </w:rPr>
        <w:t>2013</w:t>
      </w:r>
      <w:r w:rsidR="00D470C7" w:rsidRPr="00DA2033">
        <w:rPr>
          <w:lang w:val="fr-FR"/>
        </w:rPr>
        <w:tab/>
      </w:r>
      <w:r w:rsidR="00C25B4A" w:rsidRPr="00DA2033">
        <w:rPr>
          <w:lang w:val="fr-FR"/>
        </w:rPr>
        <w:t>« De la sociologie de la critique aux impasses actuelles de la critique sociale, entretien avec Luc Boltanski</w:t>
      </w:r>
      <w:r w:rsidR="007363E4" w:rsidRPr="00DA2033">
        <w:rPr>
          <w:lang w:val="fr-FR"/>
        </w:rPr>
        <w:t xml:space="preserve"> (juillet 2012)</w:t>
      </w:r>
      <w:r w:rsidR="00904031" w:rsidRPr="00DA2033">
        <w:rPr>
          <w:lang w:val="fr-FR"/>
        </w:rPr>
        <w:t> »</w:t>
      </w:r>
      <w:r w:rsidR="00C25B4A" w:rsidRPr="00DA2033">
        <w:rPr>
          <w:lang w:val="fr-FR"/>
        </w:rPr>
        <w:t xml:space="preserve">, dans A. </w:t>
      </w:r>
      <w:proofErr w:type="spellStart"/>
      <w:r w:rsidR="00C25B4A" w:rsidRPr="00DA2033">
        <w:rPr>
          <w:lang w:val="fr-FR"/>
        </w:rPr>
        <w:t>Cukier</w:t>
      </w:r>
      <w:proofErr w:type="spellEnd"/>
      <w:r w:rsidR="00C25B4A" w:rsidRPr="00DA2033">
        <w:rPr>
          <w:lang w:val="fr-FR"/>
        </w:rPr>
        <w:t xml:space="preserve">, F. Delmotte &amp; C. </w:t>
      </w:r>
      <w:proofErr w:type="spellStart"/>
      <w:r w:rsidR="00C25B4A" w:rsidRPr="00DA2033">
        <w:rPr>
          <w:lang w:val="fr-FR"/>
        </w:rPr>
        <w:t>Lavergne</w:t>
      </w:r>
      <w:proofErr w:type="spellEnd"/>
      <w:r w:rsidR="00C25B4A" w:rsidRPr="00DA2033">
        <w:rPr>
          <w:lang w:val="fr-FR"/>
        </w:rPr>
        <w:t xml:space="preserve"> (</w:t>
      </w:r>
      <w:proofErr w:type="spellStart"/>
      <w:r w:rsidR="00C25B4A" w:rsidRPr="00DA2033">
        <w:rPr>
          <w:lang w:val="fr-FR"/>
        </w:rPr>
        <w:t>dirs</w:t>
      </w:r>
      <w:proofErr w:type="spellEnd"/>
      <w:r w:rsidR="00C25B4A" w:rsidRPr="00DA2033">
        <w:rPr>
          <w:lang w:val="fr-FR"/>
        </w:rPr>
        <w:t xml:space="preserve">), </w:t>
      </w:r>
      <w:r w:rsidRPr="00DA2033">
        <w:rPr>
          <w:i/>
          <w:smallCaps/>
          <w:color w:val="000000"/>
          <w:lang w:val="fr-FR"/>
        </w:rPr>
        <w:t>É</w:t>
      </w:r>
      <w:r w:rsidR="00C25B4A" w:rsidRPr="00DA2033">
        <w:rPr>
          <w:i/>
          <w:lang w:val="fr-FR"/>
        </w:rPr>
        <w:t>manc</w:t>
      </w:r>
      <w:r w:rsidRPr="00DA2033">
        <w:rPr>
          <w:i/>
          <w:lang w:val="fr-FR"/>
        </w:rPr>
        <w:t>i</w:t>
      </w:r>
      <w:r w:rsidR="00C25B4A" w:rsidRPr="00DA2033">
        <w:rPr>
          <w:i/>
          <w:lang w:val="fr-FR"/>
        </w:rPr>
        <w:t>pation, les métamo</w:t>
      </w:r>
      <w:r w:rsidRPr="00DA2033">
        <w:rPr>
          <w:i/>
          <w:lang w:val="fr-FR"/>
        </w:rPr>
        <w:t>r</w:t>
      </w:r>
      <w:r w:rsidR="00C25B4A" w:rsidRPr="00DA2033">
        <w:rPr>
          <w:i/>
          <w:lang w:val="fr-FR"/>
        </w:rPr>
        <w:t>phoses de la critique</w:t>
      </w:r>
      <w:r w:rsidRPr="00DA2033">
        <w:rPr>
          <w:i/>
          <w:lang w:val="fr-FR"/>
        </w:rPr>
        <w:t xml:space="preserve"> </w:t>
      </w:r>
      <w:r w:rsidR="00C25B4A" w:rsidRPr="00DA2033">
        <w:rPr>
          <w:i/>
          <w:lang w:val="fr-FR"/>
        </w:rPr>
        <w:t>sociale</w:t>
      </w:r>
      <w:r w:rsidR="00C25B4A" w:rsidRPr="00DA2033">
        <w:rPr>
          <w:lang w:val="fr-FR"/>
        </w:rPr>
        <w:t xml:space="preserve">, Bellecombe-en-Bauges, </w:t>
      </w:r>
      <w:r w:rsidRPr="00DA2033">
        <w:rPr>
          <w:smallCaps/>
          <w:color w:val="000000"/>
          <w:lang w:val="fr-FR"/>
        </w:rPr>
        <w:t>É</w:t>
      </w:r>
      <w:r w:rsidR="00C25B4A" w:rsidRPr="00DA2033">
        <w:rPr>
          <w:lang w:val="fr-FR"/>
        </w:rPr>
        <w:t>ditions du Croquant</w:t>
      </w:r>
      <w:r w:rsidRPr="00DA2033">
        <w:rPr>
          <w:lang w:val="fr-FR"/>
        </w:rPr>
        <w:t>.</w:t>
      </w:r>
    </w:p>
    <w:p w14:paraId="79A8769B" w14:textId="77777777" w:rsidR="004D0DA0" w:rsidRPr="00DA2033" w:rsidRDefault="004D0DA0" w:rsidP="004D0DA0">
      <w:pPr>
        <w:jc w:val="both"/>
        <w:rPr>
          <w:lang w:val="fr-FR"/>
        </w:rPr>
      </w:pPr>
    </w:p>
    <w:p w14:paraId="71068184" w14:textId="77777777" w:rsidR="00D470C7" w:rsidRPr="00DA2033" w:rsidRDefault="00061FBE" w:rsidP="004D0DA0">
      <w:pPr>
        <w:autoSpaceDE w:val="0"/>
        <w:autoSpaceDN w:val="0"/>
        <w:adjustRightInd w:val="0"/>
        <w:jc w:val="both"/>
        <w:rPr>
          <w:rFonts w:eastAsiaTheme="minorHAnsi"/>
          <w:smallCaps/>
          <w:color w:val="000000"/>
          <w:lang w:val="fr-FR" w:eastAsia="en-US"/>
        </w:rPr>
      </w:pPr>
      <w:r w:rsidRPr="00DA2033">
        <w:rPr>
          <w:rFonts w:eastAsiaTheme="minorHAnsi"/>
          <w:caps/>
          <w:color w:val="000000"/>
          <w:lang w:val="fr-FR" w:eastAsia="en-US"/>
        </w:rPr>
        <w:t>Coccia</w:t>
      </w:r>
      <w:r w:rsidR="00062CE4" w:rsidRPr="00DA2033">
        <w:rPr>
          <w:rFonts w:eastAsiaTheme="minorHAnsi"/>
          <w:smallCaps/>
          <w:color w:val="000000"/>
          <w:lang w:val="fr-FR" w:eastAsia="en-US"/>
        </w:rPr>
        <w:t>, E.</w:t>
      </w:r>
    </w:p>
    <w:p w14:paraId="462D8B34" w14:textId="0942C632" w:rsidR="00061FBE" w:rsidRPr="00DA2033" w:rsidRDefault="00062CE4" w:rsidP="004D0DA0">
      <w:pPr>
        <w:autoSpaceDE w:val="0"/>
        <w:autoSpaceDN w:val="0"/>
        <w:adjustRightInd w:val="0"/>
        <w:jc w:val="both"/>
        <w:rPr>
          <w:color w:val="000000" w:themeColor="text1"/>
          <w:lang w:val="fr-FR"/>
        </w:rPr>
      </w:pPr>
      <w:r w:rsidRPr="00DA2033">
        <w:rPr>
          <w:rFonts w:eastAsiaTheme="minorHAnsi"/>
          <w:smallCaps/>
          <w:color w:val="000000"/>
          <w:lang w:val="fr-FR" w:eastAsia="en-US"/>
        </w:rPr>
        <w:t>2020</w:t>
      </w:r>
      <w:r w:rsidR="00D470C7" w:rsidRPr="00DA2033">
        <w:rPr>
          <w:rFonts w:eastAsiaTheme="minorHAnsi"/>
          <w:smallCaps/>
          <w:color w:val="000000"/>
          <w:lang w:val="fr-FR" w:eastAsia="en-US"/>
        </w:rPr>
        <w:tab/>
      </w:r>
      <w:r w:rsidRPr="00DA2033">
        <w:rPr>
          <w:i/>
          <w:color w:val="000000" w:themeColor="text1"/>
          <w:lang w:val="fr-FR"/>
        </w:rPr>
        <w:t>Métamorphoses</w:t>
      </w:r>
      <w:r w:rsidRPr="00DA2033">
        <w:rPr>
          <w:color w:val="000000" w:themeColor="text1"/>
          <w:lang w:val="fr-FR"/>
        </w:rPr>
        <w:t>, Paris, Payot-Rivages.</w:t>
      </w:r>
    </w:p>
    <w:p w14:paraId="4479603C" w14:textId="77777777" w:rsidR="004D0DA0" w:rsidRPr="00DA2033" w:rsidRDefault="004D0DA0" w:rsidP="004D0DA0">
      <w:pPr>
        <w:autoSpaceDE w:val="0"/>
        <w:autoSpaceDN w:val="0"/>
        <w:adjustRightInd w:val="0"/>
        <w:jc w:val="both"/>
        <w:rPr>
          <w:rFonts w:eastAsiaTheme="minorHAnsi"/>
          <w:smallCaps/>
          <w:color w:val="000000"/>
          <w:lang w:val="fr-FR" w:eastAsia="en-US"/>
        </w:rPr>
      </w:pPr>
    </w:p>
    <w:p w14:paraId="40AA35F8" w14:textId="77777777" w:rsidR="00D470C7" w:rsidRPr="00DA2033" w:rsidRDefault="00420B66" w:rsidP="004D0DA0">
      <w:pPr>
        <w:autoSpaceDE w:val="0"/>
        <w:autoSpaceDN w:val="0"/>
        <w:adjustRightInd w:val="0"/>
        <w:jc w:val="both"/>
        <w:rPr>
          <w:rFonts w:eastAsiaTheme="minorHAnsi"/>
          <w:color w:val="000000"/>
          <w:lang w:val="fr-FR" w:eastAsia="en-US"/>
        </w:rPr>
      </w:pPr>
      <w:r w:rsidRPr="00DA2033">
        <w:rPr>
          <w:rFonts w:eastAsiaTheme="minorHAnsi"/>
          <w:caps/>
          <w:color w:val="000000"/>
          <w:lang w:val="fr-FR" w:eastAsia="en-US"/>
        </w:rPr>
        <w:lastRenderedPageBreak/>
        <w:t>Colas-Blaise</w:t>
      </w:r>
      <w:r w:rsidR="00062CE4" w:rsidRPr="00DA2033">
        <w:rPr>
          <w:rFonts w:eastAsiaTheme="minorHAnsi"/>
          <w:smallCaps/>
          <w:color w:val="000000"/>
          <w:lang w:val="fr-FR" w:eastAsia="en-US"/>
        </w:rPr>
        <w:t>,</w:t>
      </w:r>
      <w:r w:rsidRPr="00DA2033">
        <w:rPr>
          <w:rFonts w:eastAsiaTheme="minorHAnsi"/>
          <w:smallCaps/>
          <w:color w:val="000000"/>
          <w:lang w:val="fr-FR" w:eastAsia="en-US"/>
        </w:rPr>
        <w:t xml:space="preserve"> </w:t>
      </w:r>
      <w:r w:rsidRPr="00DA2033">
        <w:rPr>
          <w:rFonts w:eastAsiaTheme="minorHAnsi"/>
          <w:color w:val="000000"/>
          <w:lang w:val="fr-FR" w:eastAsia="en-US"/>
        </w:rPr>
        <w:t>M</w:t>
      </w:r>
      <w:r w:rsidR="00062CE4" w:rsidRPr="00DA2033">
        <w:rPr>
          <w:rFonts w:eastAsiaTheme="minorHAnsi"/>
          <w:color w:val="000000"/>
          <w:lang w:val="fr-FR" w:eastAsia="en-US"/>
        </w:rPr>
        <w:t>.</w:t>
      </w:r>
    </w:p>
    <w:p w14:paraId="5C421DA9" w14:textId="61BA2A81" w:rsidR="00062CE4" w:rsidRPr="00DA2033" w:rsidRDefault="00062CE4" w:rsidP="004D0DA0">
      <w:pPr>
        <w:autoSpaceDE w:val="0"/>
        <w:autoSpaceDN w:val="0"/>
        <w:adjustRightInd w:val="0"/>
        <w:jc w:val="both"/>
        <w:rPr>
          <w:color w:val="000000" w:themeColor="text1"/>
          <w:lang w:val="fr-FR"/>
        </w:rPr>
      </w:pPr>
      <w:r w:rsidRPr="00DA2033">
        <w:rPr>
          <w:rFonts w:eastAsiaTheme="minorHAnsi"/>
          <w:color w:val="000000"/>
          <w:lang w:val="fr-FR" w:eastAsia="en-US"/>
        </w:rPr>
        <w:t>2021</w:t>
      </w:r>
      <w:r w:rsidR="00D470C7" w:rsidRPr="00DA2033">
        <w:rPr>
          <w:rFonts w:eastAsiaTheme="minorHAnsi"/>
          <w:color w:val="000000"/>
          <w:lang w:val="fr-FR" w:eastAsia="en-US"/>
        </w:rPr>
        <w:tab/>
      </w:r>
      <w:r w:rsidR="00420B66" w:rsidRPr="00DA2033">
        <w:rPr>
          <w:lang w:val="fr-FR"/>
        </w:rPr>
        <w:t>« Le discours innovant. Création, invention, révolution », dans P.</w:t>
      </w:r>
      <w:r w:rsidR="00F21344" w:rsidRPr="00DA2033">
        <w:rPr>
          <w:lang w:val="fr-FR"/>
        </w:rPr>
        <w:t> </w:t>
      </w:r>
      <w:r w:rsidR="00420B66" w:rsidRPr="00DA2033">
        <w:rPr>
          <w:lang w:val="fr-FR"/>
        </w:rPr>
        <w:t xml:space="preserve"> </w:t>
      </w:r>
      <w:proofErr w:type="spellStart"/>
      <w:r w:rsidR="00420B66" w:rsidRPr="00DA2033">
        <w:rPr>
          <w:lang w:val="fr-FR"/>
        </w:rPr>
        <w:t>Basso</w:t>
      </w:r>
      <w:proofErr w:type="spellEnd"/>
      <w:r w:rsidR="00420B66" w:rsidRPr="00DA2033">
        <w:rPr>
          <w:lang w:val="fr-FR"/>
        </w:rPr>
        <w:t xml:space="preserve"> </w:t>
      </w:r>
      <w:proofErr w:type="spellStart"/>
      <w:r w:rsidR="00420B66" w:rsidRPr="00DA2033">
        <w:rPr>
          <w:lang w:val="fr-FR"/>
        </w:rPr>
        <w:t>Fossali</w:t>
      </w:r>
      <w:proofErr w:type="spellEnd"/>
      <w:r w:rsidR="00420B66" w:rsidRPr="00DA2033">
        <w:rPr>
          <w:lang w:val="fr-FR"/>
        </w:rPr>
        <w:t xml:space="preserve"> (</w:t>
      </w:r>
      <w:proofErr w:type="spellStart"/>
      <w:r w:rsidR="00420B66" w:rsidRPr="00DA2033">
        <w:rPr>
          <w:lang w:val="fr-FR"/>
        </w:rPr>
        <w:t>dir</w:t>
      </w:r>
      <w:proofErr w:type="spellEnd"/>
      <w:r w:rsidRPr="00DA2033">
        <w:rPr>
          <w:lang w:val="fr-FR"/>
        </w:rPr>
        <w:t>.</w:t>
      </w:r>
      <w:r w:rsidR="00420B66" w:rsidRPr="00DA2033">
        <w:rPr>
          <w:lang w:val="fr-FR"/>
        </w:rPr>
        <w:t xml:space="preserve">), </w:t>
      </w:r>
      <w:r w:rsidR="00420B66" w:rsidRPr="00DA2033">
        <w:rPr>
          <w:i/>
          <w:lang w:val="fr-FR"/>
        </w:rPr>
        <w:t>Créativité sémiotique et institutions du sens : dans la dialectique entre l’individuel et le collectif</w:t>
      </w:r>
      <w:r w:rsidR="00420B66" w:rsidRPr="00DA2033">
        <w:rPr>
          <w:lang w:val="fr-FR"/>
        </w:rPr>
        <w:t xml:space="preserve">, </w:t>
      </w:r>
      <w:r w:rsidR="00420B66" w:rsidRPr="00DA2033">
        <w:rPr>
          <w:color w:val="000000" w:themeColor="text1"/>
          <w:lang w:val="fr-FR"/>
        </w:rPr>
        <w:t xml:space="preserve">Limoges, </w:t>
      </w:r>
      <w:proofErr w:type="spellStart"/>
      <w:r w:rsidR="00420B66" w:rsidRPr="00DA2033">
        <w:rPr>
          <w:color w:val="000000" w:themeColor="text1"/>
          <w:lang w:val="fr-FR"/>
        </w:rPr>
        <w:t>Pulim</w:t>
      </w:r>
      <w:proofErr w:type="spellEnd"/>
      <w:r w:rsidRPr="00DA2033">
        <w:rPr>
          <w:color w:val="000000" w:themeColor="text1"/>
          <w:lang w:val="fr-FR"/>
        </w:rPr>
        <w:t xml:space="preserve">, </w:t>
      </w:r>
      <w:r w:rsidR="00420B66" w:rsidRPr="00DA2033">
        <w:rPr>
          <w:color w:val="000000" w:themeColor="text1"/>
          <w:lang w:val="fr-FR"/>
        </w:rPr>
        <w:t>p</w:t>
      </w:r>
      <w:r w:rsidRPr="00DA2033">
        <w:rPr>
          <w:color w:val="000000" w:themeColor="text1"/>
          <w:lang w:val="fr-FR"/>
        </w:rPr>
        <w:t>p</w:t>
      </w:r>
      <w:r w:rsidR="00420B66" w:rsidRPr="00DA2033">
        <w:rPr>
          <w:color w:val="000000" w:themeColor="text1"/>
          <w:lang w:val="fr-FR"/>
        </w:rPr>
        <w:t>. 71-88.</w:t>
      </w:r>
    </w:p>
    <w:p w14:paraId="2D22714C" w14:textId="77777777" w:rsidR="004D0DA0" w:rsidRPr="00DA2033" w:rsidRDefault="004D0DA0" w:rsidP="004D0DA0">
      <w:pPr>
        <w:autoSpaceDE w:val="0"/>
        <w:autoSpaceDN w:val="0"/>
        <w:adjustRightInd w:val="0"/>
        <w:jc w:val="both"/>
        <w:rPr>
          <w:color w:val="000000" w:themeColor="text1"/>
          <w:lang w:val="fr-FR"/>
        </w:rPr>
      </w:pPr>
    </w:p>
    <w:p w14:paraId="19DB6D2C" w14:textId="77777777" w:rsidR="00D470C7" w:rsidRPr="00DA2033" w:rsidRDefault="00420B66" w:rsidP="004D0DA0">
      <w:pPr>
        <w:autoSpaceDE w:val="0"/>
        <w:autoSpaceDN w:val="0"/>
        <w:adjustRightInd w:val="0"/>
        <w:jc w:val="both"/>
        <w:rPr>
          <w:rFonts w:eastAsiaTheme="minorHAnsi"/>
          <w:caps/>
          <w:lang w:val="fr-FR" w:eastAsia="en-US"/>
        </w:rPr>
      </w:pPr>
      <w:r w:rsidRPr="00DA2033">
        <w:rPr>
          <w:rFonts w:eastAsiaTheme="minorHAnsi"/>
          <w:caps/>
          <w:lang w:val="fr-FR" w:eastAsia="en-US"/>
        </w:rPr>
        <w:t>Coquet</w:t>
      </w:r>
      <w:r w:rsidR="00061FBE" w:rsidRPr="00DA2033">
        <w:rPr>
          <w:rFonts w:eastAsiaTheme="minorHAnsi"/>
          <w:caps/>
          <w:lang w:val="fr-FR" w:eastAsia="en-US"/>
        </w:rPr>
        <w:t>,</w:t>
      </w:r>
      <w:r w:rsidRPr="00DA2033">
        <w:rPr>
          <w:rFonts w:eastAsiaTheme="minorHAnsi"/>
          <w:caps/>
          <w:lang w:val="fr-FR" w:eastAsia="en-US"/>
        </w:rPr>
        <w:t xml:space="preserve"> J</w:t>
      </w:r>
      <w:r w:rsidR="00061FBE" w:rsidRPr="00DA2033">
        <w:rPr>
          <w:rFonts w:eastAsiaTheme="minorHAnsi"/>
          <w:caps/>
          <w:lang w:val="fr-FR" w:eastAsia="en-US"/>
        </w:rPr>
        <w:t>.-</w:t>
      </w:r>
      <w:r w:rsidRPr="00DA2033">
        <w:rPr>
          <w:rFonts w:eastAsiaTheme="minorHAnsi"/>
          <w:caps/>
          <w:lang w:val="fr-FR" w:eastAsia="en-US"/>
        </w:rPr>
        <w:t>C</w:t>
      </w:r>
      <w:r w:rsidR="00061FBE" w:rsidRPr="00DA2033">
        <w:rPr>
          <w:rFonts w:eastAsiaTheme="minorHAnsi"/>
          <w:caps/>
          <w:lang w:val="fr-FR" w:eastAsia="en-US"/>
        </w:rPr>
        <w:t>.</w:t>
      </w:r>
    </w:p>
    <w:p w14:paraId="6F78B914" w14:textId="6DC9896B" w:rsidR="00420B66" w:rsidRPr="00DA2033" w:rsidRDefault="00061FBE" w:rsidP="004D0DA0">
      <w:pPr>
        <w:autoSpaceDE w:val="0"/>
        <w:autoSpaceDN w:val="0"/>
        <w:adjustRightInd w:val="0"/>
        <w:jc w:val="both"/>
        <w:rPr>
          <w:rFonts w:eastAsiaTheme="minorHAnsi"/>
          <w:lang w:val="fr-FR" w:eastAsia="en-US"/>
        </w:rPr>
      </w:pPr>
      <w:r w:rsidRPr="00DA2033">
        <w:rPr>
          <w:rFonts w:eastAsiaTheme="minorHAnsi"/>
          <w:lang w:val="fr-FR" w:eastAsia="en-US"/>
        </w:rPr>
        <w:t>1991</w:t>
      </w:r>
      <w:r w:rsidR="00D470C7" w:rsidRPr="00DA2033">
        <w:rPr>
          <w:rFonts w:eastAsiaTheme="minorHAnsi"/>
          <w:lang w:val="fr-FR" w:eastAsia="en-US"/>
        </w:rPr>
        <w:tab/>
      </w:r>
      <w:r w:rsidR="00420B66" w:rsidRPr="00DA2033">
        <w:rPr>
          <w:rFonts w:eastAsiaTheme="minorHAnsi"/>
          <w:lang w:val="fr-FR" w:eastAsia="en-US"/>
        </w:rPr>
        <w:t xml:space="preserve">« Temps ou aspect ? Le problème du devenir », </w:t>
      </w:r>
      <w:r w:rsidR="00420B66" w:rsidRPr="00DA2033">
        <w:rPr>
          <w:lang w:val="fr-FR"/>
        </w:rPr>
        <w:t xml:space="preserve">dans J. </w:t>
      </w:r>
      <w:proofErr w:type="spellStart"/>
      <w:r w:rsidR="00420B66" w:rsidRPr="00DA2033">
        <w:rPr>
          <w:lang w:val="fr-FR"/>
        </w:rPr>
        <w:t>Fontanille</w:t>
      </w:r>
      <w:proofErr w:type="spellEnd"/>
      <w:r w:rsidR="00420B66" w:rsidRPr="00DA2033">
        <w:rPr>
          <w:lang w:val="fr-FR"/>
        </w:rPr>
        <w:t xml:space="preserve"> (</w:t>
      </w:r>
      <w:proofErr w:type="spellStart"/>
      <w:r w:rsidR="00420B66" w:rsidRPr="00DA2033">
        <w:rPr>
          <w:lang w:val="fr-FR"/>
        </w:rPr>
        <w:t>dir</w:t>
      </w:r>
      <w:proofErr w:type="spellEnd"/>
      <w:r w:rsidR="00420B66" w:rsidRPr="00DA2033">
        <w:rPr>
          <w:lang w:val="fr-FR"/>
        </w:rPr>
        <w:t xml:space="preserve">.), </w:t>
      </w:r>
      <w:r w:rsidR="00420B66" w:rsidRPr="00DA2033">
        <w:rPr>
          <w:i/>
          <w:lang w:val="fr-FR"/>
        </w:rPr>
        <w:t xml:space="preserve">Le discours </w:t>
      </w:r>
      <w:proofErr w:type="spellStart"/>
      <w:r w:rsidR="00420B66" w:rsidRPr="00DA2033">
        <w:rPr>
          <w:i/>
          <w:lang w:val="fr-FR"/>
        </w:rPr>
        <w:t>aspectualisé</w:t>
      </w:r>
      <w:proofErr w:type="spellEnd"/>
      <w:r w:rsidR="00420B66" w:rsidRPr="00DA2033">
        <w:rPr>
          <w:lang w:val="fr-FR"/>
        </w:rPr>
        <w:t xml:space="preserve">, Limoges, </w:t>
      </w:r>
      <w:proofErr w:type="spellStart"/>
      <w:r w:rsidR="00420B66" w:rsidRPr="00DA2033">
        <w:rPr>
          <w:lang w:val="fr-FR"/>
        </w:rPr>
        <w:t>Pulim</w:t>
      </w:r>
      <w:proofErr w:type="spellEnd"/>
      <w:r w:rsidR="00420B66" w:rsidRPr="00DA2033">
        <w:rPr>
          <w:lang w:val="fr-FR"/>
        </w:rPr>
        <w:t>, p</w:t>
      </w:r>
      <w:r w:rsidRPr="00DA2033">
        <w:rPr>
          <w:lang w:val="fr-FR"/>
        </w:rPr>
        <w:t>p</w:t>
      </w:r>
      <w:r w:rsidR="00420B66" w:rsidRPr="00DA2033">
        <w:rPr>
          <w:lang w:val="fr-FR"/>
        </w:rPr>
        <w:t>. 195-212.</w:t>
      </w:r>
    </w:p>
    <w:p w14:paraId="0561288F" w14:textId="66938561" w:rsidR="00061FBE" w:rsidRPr="00DA2033" w:rsidRDefault="00061FBE" w:rsidP="004D0DA0">
      <w:pPr>
        <w:autoSpaceDE w:val="0"/>
        <w:autoSpaceDN w:val="0"/>
        <w:adjustRightInd w:val="0"/>
        <w:jc w:val="both"/>
        <w:rPr>
          <w:rFonts w:eastAsiaTheme="minorHAnsi"/>
          <w:lang w:val="fr-FR" w:eastAsia="en-US"/>
        </w:rPr>
      </w:pPr>
      <w:r w:rsidRPr="00DA2033">
        <w:rPr>
          <w:rFonts w:eastAsiaTheme="minorHAnsi"/>
          <w:lang w:val="fr-FR" w:eastAsia="en-US"/>
        </w:rPr>
        <w:t>2006</w:t>
      </w:r>
      <w:r w:rsidR="00D470C7" w:rsidRPr="00DA2033">
        <w:rPr>
          <w:rFonts w:eastAsiaTheme="minorHAnsi"/>
          <w:lang w:val="fr-FR" w:eastAsia="en-US"/>
        </w:rPr>
        <w:tab/>
      </w:r>
      <w:r w:rsidRPr="00DA2033">
        <w:rPr>
          <w:rFonts w:eastAsiaTheme="minorHAnsi"/>
          <w:lang w:val="fr-FR" w:eastAsia="en-US"/>
        </w:rPr>
        <w:t xml:space="preserve">« Instances du discours et phénoménologie », dans J. Alonso, D. </w:t>
      </w:r>
      <w:proofErr w:type="spellStart"/>
      <w:r w:rsidRPr="00DA2033">
        <w:rPr>
          <w:rFonts w:eastAsiaTheme="minorHAnsi"/>
          <w:lang w:val="fr-FR" w:eastAsia="en-US"/>
        </w:rPr>
        <w:t>Betrand</w:t>
      </w:r>
      <w:proofErr w:type="spellEnd"/>
      <w:r w:rsidRPr="00DA2033">
        <w:rPr>
          <w:rFonts w:eastAsiaTheme="minorHAnsi"/>
          <w:lang w:val="fr-FR" w:eastAsia="en-US"/>
        </w:rPr>
        <w:t xml:space="preserve">, M. </w:t>
      </w:r>
      <w:proofErr w:type="spellStart"/>
      <w:r w:rsidRPr="00DA2033">
        <w:rPr>
          <w:rFonts w:eastAsiaTheme="minorHAnsi"/>
          <w:lang w:val="fr-FR" w:eastAsia="en-US"/>
        </w:rPr>
        <w:t>Costantini</w:t>
      </w:r>
      <w:proofErr w:type="spellEnd"/>
      <w:r w:rsidRPr="00DA2033">
        <w:rPr>
          <w:rFonts w:eastAsiaTheme="minorHAnsi"/>
          <w:lang w:val="fr-FR" w:eastAsia="en-US"/>
        </w:rPr>
        <w:t xml:space="preserve"> &amp; S. </w:t>
      </w:r>
      <w:proofErr w:type="spellStart"/>
      <w:r w:rsidRPr="00DA2033">
        <w:rPr>
          <w:rFonts w:eastAsiaTheme="minorHAnsi"/>
          <w:lang w:val="fr-FR" w:eastAsia="en-US"/>
        </w:rPr>
        <w:t>Dambrine</w:t>
      </w:r>
      <w:proofErr w:type="spellEnd"/>
      <w:r w:rsidRPr="00DA2033">
        <w:rPr>
          <w:rFonts w:eastAsiaTheme="minorHAnsi"/>
          <w:lang w:val="fr-FR" w:eastAsia="en-US"/>
        </w:rPr>
        <w:t xml:space="preserve"> (</w:t>
      </w:r>
      <w:proofErr w:type="spellStart"/>
      <w:r w:rsidRPr="00DA2033">
        <w:rPr>
          <w:rFonts w:eastAsiaTheme="minorHAnsi"/>
          <w:lang w:val="fr-FR" w:eastAsia="en-US"/>
        </w:rPr>
        <w:t>dirs</w:t>
      </w:r>
      <w:proofErr w:type="spellEnd"/>
      <w:r w:rsidRPr="00DA2033">
        <w:rPr>
          <w:rFonts w:eastAsiaTheme="minorHAnsi"/>
          <w:lang w:val="fr-FR" w:eastAsia="en-US"/>
        </w:rPr>
        <w:t xml:space="preserve">), </w:t>
      </w:r>
      <w:r w:rsidRPr="00DA2033">
        <w:rPr>
          <w:rFonts w:eastAsiaTheme="minorHAnsi"/>
          <w:i/>
          <w:lang w:val="fr-FR" w:eastAsia="en-US"/>
        </w:rPr>
        <w:t>La transversalité du sens. Parcours sémiotiques</w:t>
      </w:r>
      <w:r w:rsidRPr="00DA2033">
        <w:rPr>
          <w:rFonts w:eastAsiaTheme="minorHAnsi"/>
          <w:lang w:val="fr-FR" w:eastAsia="en-US"/>
        </w:rPr>
        <w:t> », Saint-Denis, PUV, pp. 15-21.</w:t>
      </w:r>
    </w:p>
    <w:p w14:paraId="353054F4" w14:textId="77777777" w:rsidR="004D0DA0" w:rsidRPr="00DA2033" w:rsidRDefault="004D0DA0" w:rsidP="004D0DA0">
      <w:pPr>
        <w:autoSpaceDE w:val="0"/>
        <w:autoSpaceDN w:val="0"/>
        <w:adjustRightInd w:val="0"/>
        <w:jc w:val="both"/>
        <w:rPr>
          <w:rFonts w:eastAsiaTheme="minorHAnsi"/>
          <w:lang w:val="fr-FR" w:eastAsia="en-US"/>
        </w:rPr>
      </w:pPr>
    </w:p>
    <w:p w14:paraId="3180B9E3" w14:textId="77777777" w:rsidR="00061C2C" w:rsidRPr="00DA2033" w:rsidRDefault="00420B66" w:rsidP="004D0DA0">
      <w:pPr>
        <w:autoSpaceDE w:val="0"/>
        <w:autoSpaceDN w:val="0"/>
        <w:adjustRightInd w:val="0"/>
        <w:jc w:val="both"/>
        <w:rPr>
          <w:rFonts w:eastAsiaTheme="minorHAnsi"/>
          <w:caps/>
          <w:lang w:val="fr-FR" w:eastAsia="en-US"/>
        </w:rPr>
      </w:pPr>
      <w:r w:rsidRPr="00DA2033">
        <w:rPr>
          <w:rFonts w:eastAsiaTheme="minorHAnsi"/>
          <w:caps/>
          <w:lang w:val="fr-FR" w:eastAsia="en-US"/>
        </w:rPr>
        <w:t>Del</w:t>
      </w:r>
      <w:r w:rsidR="00062CE4" w:rsidRPr="002F5700">
        <w:rPr>
          <w:caps/>
          <w:color w:val="000000"/>
          <w:sz w:val="22"/>
          <w:lang w:val="fr-FR"/>
        </w:rPr>
        <w:t>É</w:t>
      </w:r>
      <w:r w:rsidRPr="00DA2033">
        <w:rPr>
          <w:rFonts w:eastAsiaTheme="minorHAnsi"/>
          <w:caps/>
          <w:lang w:val="fr-FR" w:eastAsia="en-US"/>
        </w:rPr>
        <w:t>age</w:t>
      </w:r>
      <w:r w:rsidR="009D4831" w:rsidRPr="00DA2033">
        <w:rPr>
          <w:rFonts w:eastAsiaTheme="minorHAnsi"/>
          <w:caps/>
          <w:lang w:val="fr-FR" w:eastAsia="en-US"/>
        </w:rPr>
        <w:t>,</w:t>
      </w:r>
      <w:r w:rsidRPr="00DA2033">
        <w:rPr>
          <w:rFonts w:eastAsiaTheme="minorHAnsi"/>
          <w:caps/>
          <w:lang w:val="fr-FR" w:eastAsia="en-US"/>
        </w:rPr>
        <w:t xml:space="preserve"> J</w:t>
      </w:r>
      <w:r w:rsidR="009D4831" w:rsidRPr="00DA2033">
        <w:rPr>
          <w:rFonts w:eastAsiaTheme="minorHAnsi"/>
          <w:caps/>
          <w:lang w:val="fr-FR" w:eastAsia="en-US"/>
        </w:rPr>
        <w:t>.</w:t>
      </w:r>
      <w:r w:rsidRPr="00DA2033">
        <w:rPr>
          <w:rFonts w:eastAsiaTheme="minorHAnsi"/>
          <w:caps/>
          <w:lang w:val="fr-FR" w:eastAsia="en-US"/>
        </w:rPr>
        <w:t>-P</w:t>
      </w:r>
      <w:r w:rsidR="009D4831" w:rsidRPr="00DA2033">
        <w:rPr>
          <w:rFonts w:eastAsiaTheme="minorHAnsi"/>
          <w:caps/>
          <w:lang w:val="fr-FR" w:eastAsia="en-US"/>
        </w:rPr>
        <w:t>.</w:t>
      </w:r>
    </w:p>
    <w:p w14:paraId="7B5DA5D3" w14:textId="37B19A87" w:rsidR="00420B66" w:rsidRPr="00DA2033" w:rsidRDefault="00062CE4" w:rsidP="004D0DA0">
      <w:pPr>
        <w:autoSpaceDE w:val="0"/>
        <w:autoSpaceDN w:val="0"/>
        <w:adjustRightInd w:val="0"/>
        <w:jc w:val="both"/>
        <w:rPr>
          <w:rFonts w:eastAsiaTheme="minorHAnsi"/>
          <w:lang w:val="fr-FR" w:eastAsia="en-US"/>
        </w:rPr>
      </w:pPr>
      <w:r w:rsidRPr="00DA2033">
        <w:rPr>
          <w:rFonts w:eastAsiaTheme="minorHAnsi"/>
          <w:lang w:val="fr-FR" w:eastAsia="en-US"/>
        </w:rPr>
        <w:t>2008</w:t>
      </w:r>
      <w:r w:rsidR="00061C2C" w:rsidRPr="00DA2033">
        <w:rPr>
          <w:rFonts w:eastAsiaTheme="minorHAnsi"/>
          <w:lang w:val="fr-FR" w:eastAsia="en-US"/>
        </w:rPr>
        <w:tab/>
      </w:r>
      <w:r w:rsidR="00420B66" w:rsidRPr="00DA2033">
        <w:rPr>
          <w:rFonts w:eastAsiaTheme="minorHAnsi"/>
          <w:lang w:val="fr-FR" w:eastAsia="en-US"/>
        </w:rPr>
        <w:t xml:space="preserve">« Utopies et dystopies écologiques », </w:t>
      </w:r>
      <w:r w:rsidR="009D4831" w:rsidRPr="00DA2033">
        <w:rPr>
          <w:i/>
          <w:smallCaps/>
          <w:color w:val="000000"/>
          <w:lang w:val="fr-FR"/>
        </w:rPr>
        <w:t>É</w:t>
      </w:r>
      <w:r w:rsidR="00420B66" w:rsidRPr="00DA2033">
        <w:rPr>
          <w:rFonts w:eastAsiaTheme="minorHAnsi"/>
          <w:i/>
          <w:lang w:val="fr-FR" w:eastAsia="en-US"/>
        </w:rPr>
        <w:t>cologie &amp; politique,</w:t>
      </w:r>
      <w:r w:rsidR="00420B66" w:rsidRPr="00DA2033">
        <w:rPr>
          <w:rFonts w:eastAsiaTheme="minorHAnsi"/>
          <w:lang w:val="fr-FR" w:eastAsia="en-US"/>
        </w:rPr>
        <w:t xml:space="preserve"> n</w:t>
      </w:r>
      <w:r w:rsidR="009D4831" w:rsidRPr="00DA2033">
        <w:rPr>
          <w:rFonts w:eastAsiaTheme="minorHAnsi"/>
          <w:lang w:val="fr-FR" w:eastAsia="en-US"/>
        </w:rPr>
        <w:t>.</w:t>
      </w:r>
      <w:r w:rsidR="00420B66" w:rsidRPr="00DA2033">
        <w:rPr>
          <w:rFonts w:eastAsiaTheme="minorHAnsi"/>
          <w:lang w:val="fr-FR" w:eastAsia="en-US"/>
        </w:rPr>
        <w:t xml:space="preserve"> 37</w:t>
      </w:r>
      <w:r w:rsidR="009D4831" w:rsidRPr="00DA2033">
        <w:rPr>
          <w:rFonts w:eastAsiaTheme="minorHAnsi"/>
          <w:lang w:val="fr-FR" w:eastAsia="en-US"/>
        </w:rPr>
        <w:t>, pp. 33-43.</w:t>
      </w:r>
    </w:p>
    <w:p w14:paraId="6F93AD0B" w14:textId="77777777" w:rsidR="004D0DA0" w:rsidRPr="00DA2033" w:rsidRDefault="004D0DA0" w:rsidP="004D0DA0">
      <w:pPr>
        <w:autoSpaceDE w:val="0"/>
        <w:autoSpaceDN w:val="0"/>
        <w:adjustRightInd w:val="0"/>
        <w:jc w:val="both"/>
        <w:rPr>
          <w:rFonts w:eastAsiaTheme="minorHAnsi"/>
          <w:lang w:val="fr-FR" w:eastAsia="en-US"/>
        </w:rPr>
      </w:pPr>
    </w:p>
    <w:p w14:paraId="7791599A" w14:textId="77777777" w:rsidR="001D5463" w:rsidRPr="00DA2033" w:rsidRDefault="00420B66" w:rsidP="004D0DA0">
      <w:pPr>
        <w:jc w:val="both"/>
        <w:rPr>
          <w:caps/>
          <w:lang w:val="fr-FR"/>
        </w:rPr>
      </w:pPr>
      <w:r w:rsidRPr="00DA2033">
        <w:rPr>
          <w:caps/>
          <w:lang w:val="fr-FR"/>
        </w:rPr>
        <w:t>Détrie</w:t>
      </w:r>
      <w:r w:rsidR="00091FFA" w:rsidRPr="00DA2033">
        <w:rPr>
          <w:caps/>
          <w:lang w:val="fr-FR"/>
        </w:rPr>
        <w:t>,</w:t>
      </w:r>
      <w:r w:rsidRPr="00DA2033">
        <w:rPr>
          <w:caps/>
          <w:lang w:val="fr-FR"/>
        </w:rPr>
        <w:t xml:space="preserve"> C</w:t>
      </w:r>
      <w:r w:rsidR="00091FFA" w:rsidRPr="00DA2033">
        <w:rPr>
          <w:caps/>
          <w:lang w:val="fr-FR"/>
        </w:rPr>
        <w:t>.</w:t>
      </w:r>
    </w:p>
    <w:p w14:paraId="52AF927A" w14:textId="3DFD7580" w:rsidR="00420B66" w:rsidRPr="00DA2033" w:rsidRDefault="00EE2948" w:rsidP="004D0DA0">
      <w:pPr>
        <w:jc w:val="both"/>
        <w:rPr>
          <w:lang w:val="fr-FR"/>
        </w:rPr>
      </w:pPr>
      <w:r w:rsidRPr="00DA2033">
        <w:rPr>
          <w:lang w:val="fr-FR"/>
        </w:rPr>
        <w:t>1998</w:t>
      </w:r>
      <w:r w:rsidR="001D5463" w:rsidRPr="00DA2033">
        <w:rPr>
          <w:lang w:val="fr-FR"/>
        </w:rPr>
        <w:tab/>
      </w:r>
      <w:r w:rsidR="00420B66" w:rsidRPr="00DA2033">
        <w:rPr>
          <w:lang w:val="fr-FR"/>
        </w:rPr>
        <w:t>« </w:t>
      </w:r>
      <w:r w:rsidR="006D0E92" w:rsidRPr="00DA2033">
        <w:rPr>
          <w:lang w:val="fr-FR"/>
        </w:rPr>
        <w:t>E</w:t>
      </w:r>
      <w:r w:rsidR="00420B66" w:rsidRPr="00DA2033">
        <w:rPr>
          <w:lang w:val="fr-FR"/>
        </w:rPr>
        <w:t xml:space="preserve">ntre ipséité et altérité : statut énonciatif de </w:t>
      </w:r>
      <w:r w:rsidR="006D0E92" w:rsidRPr="00DA2033">
        <w:rPr>
          <w:lang w:val="fr-FR"/>
        </w:rPr>
        <w:t>“</w:t>
      </w:r>
      <w:r w:rsidR="00420B66" w:rsidRPr="00DA2033">
        <w:rPr>
          <w:lang w:val="fr-FR"/>
        </w:rPr>
        <w:t>on</w:t>
      </w:r>
      <w:r w:rsidR="006D0E92" w:rsidRPr="00DA2033">
        <w:rPr>
          <w:lang w:val="fr-FR"/>
        </w:rPr>
        <w:t>”</w:t>
      </w:r>
      <w:r w:rsidR="00420B66" w:rsidRPr="00DA2033">
        <w:rPr>
          <w:lang w:val="fr-FR"/>
        </w:rPr>
        <w:t xml:space="preserve"> dans </w:t>
      </w:r>
      <w:r w:rsidR="00420B66" w:rsidRPr="00DA2033">
        <w:rPr>
          <w:i/>
          <w:lang w:val="fr-FR"/>
        </w:rPr>
        <w:t>Sylvie</w:t>
      </w:r>
      <w:r w:rsidR="00420B66" w:rsidRPr="00DA2033">
        <w:rPr>
          <w:lang w:val="fr-FR"/>
        </w:rPr>
        <w:t xml:space="preserve"> », </w:t>
      </w:r>
      <w:r w:rsidR="00420B66" w:rsidRPr="00DA2033">
        <w:rPr>
          <w:i/>
          <w:lang w:val="fr-FR"/>
        </w:rPr>
        <w:t>L’information grammaticale</w:t>
      </w:r>
      <w:r w:rsidR="00420B66" w:rsidRPr="00DA2033">
        <w:rPr>
          <w:lang w:val="fr-FR"/>
        </w:rPr>
        <w:t>, n</w:t>
      </w:r>
      <w:r w:rsidR="00091FFA" w:rsidRPr="00DA2033">
        <w:rPr>
          <w:lang w:val="fr-FR"/>
        </w:rPr>
        <w:t>. </w:t>
      </w:r>
      <w:r w:rsidR="00420B66" w:rsidRPr="00DA2033">
        <w:rPr>
          <w:lang w:val="fr-FR"/>
        </w:rPr>
        <w:t>76, p</w:t>
      </w:r>
      <w:r w:rsidR="006D0E92" w:rsidRPr="00DA2033">
        <w:rPr>
          <w:lang w:val="fr-FR"/>
        </w:rPr>
        <w:t>p</w:t>
      </w:r>
      <w:r w:rsidR="00420B66" w:rsidRPr="00DA2033">
        <w:rPr>
          <w:lang w:val="fr-FR"/>
        </w:rPr>
        <w:t>. 29-33.</w:t>
      </w:r>
    </w:p>
    <w:p w14:paraId="4C6C8AAD" w14:textId="77777777" w:rsidR="004D0DA0" w:rsidRPr="00DA2033" w:rsidRDefault="004D0DA0" w:rsidP="004D0DA0">
      <w:pPr>
        <w:jc w:val="both"/>
        <w:rPr>
          <w:lang w:val="fr-FR"/>
        </w:rPr>
      </w:pPr>
    </w:p>
    <w:p w14:paraId="2352AE92" w14:textId="77777777" w:rsidR="00484F5E" w:rsidRPr="00DA2033" w:rsidRDefault="007363E4" w:rsidP="004D0DA0">
      <w:pPr>
        <w:jc w:val="both"/>
        <w:rPr>
          <w:caps/>
          <w:lang w:val="fr-FR"/>
        </w:rPr>
      </w:pPr>
      <w:r w:rsidRPr="00DA2033">
        <w:rPr>
          <w:caps/>
          <w:lang w:val="fr-FR"/>
        </w:rPr>
        <w:t xml:space="preserve">Fontanille, J., </w:t>
      </w:r>
    </w:p>
    <w:p w14:paraId="349331DB" w14:textId="3BA971CB" w:rsidR="007363E4" w:rsidRPr="00DA2033" w:rsidRDefault="007363E4" w:rsidP="004D0DA0">
      <w:pPr>
        <w:jc w:val="both"/>
        <w:rPr>
          <w:lang w:val="fr-FR"/>
        </w:rPr>
      </w:pPr>
      <w:r w:rsidRPr="00DA2033">
        <w:rPr>
          <w:lang w:val="fr-FR"/>
        </w:rPr>
        <w:t>2015</w:t>
      </w:r>
      <w:r w:rsidR="00484F5E" w:rsidRPr="00DA2033">
        <w:rPr>
          <w:lang w:val="fr-FR"/>
        </w:rPr>
        <w:tab/>
      </w:r>
      <w:r w:rsidRPr="00DA2033">
        <w:rPr>
          <w:i/>
          <w:lang w:val="fr-FR"/>
        </w:rPr>
        <w:t>Formes de vie</w:t>
      </w:r>
      <w:r w:rsidRPr="00DA2033">
        <w:rPr>
          <w:lang w:val="fr-FR"/>
        </w:rPr>
        <w:t xml:space="preserve">, Liège, Presses universitaires de Liège. </w:t>
      </w:r>
    </w:p>
    <w:p w14:paraId="0DEC68BE" w14:textId="3F9172C9" w:rsidR="00420B66" w:rsidRPr="00DA2033" w:rsidRDefault="00061FBE" w:rsidP="004D0DA0">
      <w:pPr>
        <w:shd w:val="clear" w:color="auto" w:fill="FFFFFF"/>
        <w:jc w:val="both"/>
        <w:rPr>
          <w:lang w:val="fr-FR"/>
        </w:rPr>
      </w:pPr>
      <w:r w:rsidRPr="00DA2033">
        <w:rPr>
          <w:smallCaps/>
          <w:lang w:val="fr-FR"/>
        </w:rPr>
        <w:t>2019</w:t>
      </w:r>
      <w:r w:rsidR="00484F5E" w:rsidRPr="00DA2033">
        <w:rPr>
          <w:smallCaps/>
          <w:lang w:val="fr-FR"/>
        </w:rPr>
        <w:tab/>
      </w:r>
      <w:r w:rsidR="00420B66" w:rsidRPr="00DA2033">
        <w:rPr>
          <w:lang w:val="fr-FR"/>
        </w:rPr>
        <w:t xml:space="preserve">« La parabole comme utopie douce », dans </w:t>
      </w:r>
      <w:r w:rsidRPr="00DA2033">
        <w:rPr>
          <w:lang w:val="fr-FR"/>
        </w:rPr>
        <w:t xml:space="preserve">P. </w:t>
      </w:r>
      <w:proofErr w:type="spellStart"/>
      <w:r w:rsidRPr="00DA2033">
        <w:rPr>
          <w:lang w:val="fr-FR"/>
        </w:rPr>
        <w:t>Basso</w:t>
      </w:r>
      <w:proofErr w:type="spellEnd"/>
      <w:r w:rsidRPr="00DA2033">
        <w:rPr>
          <w:lang w:val="fr-FR"/>
        </w:rPr>
        <w:t xml:space="preserve">, D. Bertrand &amp; A. </w:t>
      </w:r>
      <w:proofErr w:type="spellStart"/>
      <w:r w:rsidRPr="00DA2033">
        <w:rPr>
          <w:lang w:val="fr-FR"/>
        </w:rPr>
        <w:t>Zinna</w:t>
      </w:r>
      <w:proofErr w:type="spellEnd"/>
      <w:r w:rsidRPr="00DA2033">
        <w:rPr>
          <w:lang w:val="fr-FR"/>
        </w:rPr>
        <w:t xml:space="preserve"> (</w:t>
      </w:r>
      <w:proofErr w:type="spellStart"/>
      <w:r w:rsidRPr="00DA2033">
        <w:rPr>
          <w:lang w:val="fr-FR"/>
        </w:rPr>
        <w:t>dirs</w:t>
      </w:r>
      <w:proofErr w:type="spellEnd"/>
      <w:r w:rsidRPr="00DA2033">
        <w:rPr>
          <w:lang w:val="fr-FR"/>
        </w:rPr>
        <w:t xml:space="preserve">.), </w:t>
      </w:r>
      <w:r w:rsidR="00420B66" w:rsidRPr="00DA2033">
        <w:rPr>
          <w:i/>
          <w:lang w:val="fr-FR"/>
        </w:rPr>
        <w:t xml:space="preserve">Utopies et formes de vie. Mythes, valeurs et </w:t>
      </w:r>
      <w:proofErr w:type="spellStart"/>
      <w:r w:rsidR="00420B66" w:rsidRPr="00DA2033">
        <w:rPr>
          <w:i/>
          <w:lang w:val="fr-FR"/>
        </w:rPr>
        <w:t>matières</w:t>
      </w:r>
      <w:proofErr w:type="spellEnd"/>
      <w:r w:rsidR="00420B66" w:rsidRPr="00DA2033">
        <w:rPr>
          <w:i/>
          <w:lang w:val="fr-FR"/>
        </w:rPr>
        <w:t xml:space="preserve">. Hommage </w:t>
      </w:r>
      <w:proofErr w:type="spellStart"/>
      <w:r w:rsidR="00420B66" w:rsidRPr="00DA2033">
        <w:rPr>
          <w:i/>
          <w:lang w:val="fr-FR"/>
        </w:rPr>
        <w:t>a</w:t>
      </w:r>
      <w:proofErr w:type="spellEnd"/>
      <w:r w:rsidR="00420B66" w:rsidRPr="00DA2033">
        <w:rPr>
          <w:i/>
          <w:lang w:val="fr-FR"/>
        </w:rPr>
        <w:t>̀ Paolo Fabbri</w:t>
      </w:r>
      <w:r w:rsidR="00420B66" w:rsidRPr="00DA2033">
        <w:rPr>
          <w:lang w:val="fr-FR"/>
        </w:rPr>
        <w:t xml:space="preserve">, </w:t>
      </w:r>
      <w:r w:rsidR="00091FFA" w:rsidRPr="00DA2033">
        <w:rPr>
          <w:lang w:val="fr-FR"/>
        </w:rPr>
        <w:t xml:space="preserve">Éditions </w:t>
      </w:r>
      <w:r w:rsidR="00420B66" w:rsidRPr="00DA2033">
        <w:rPr>
          <w:lang w:val="fr-FR"/>
        </w:rPr>
        <w:t>CAMS/O.</w:t>
      </w:r>
    </w:p>
    <w:p w14:paraId="417AEDC2" w14:textId="49ED6734" w:rsidR="00420B66" w:rsidRPr="00DA2033" w:rsidRDefault="00061FBE" w:rsidP="004D0DA0">
      <w:pPr>
        <w:shd w:val="clear" w:color="auto" w:fill="FFFFFF"/>
        <w:jc w:val="both"/>
        <w:rPr>
          <w:lang w:val="fr-FR"/>
        </w:rPr>
      </w:pPr>
      <w:r w:rsidRPr="00DA2033">
        <w:rPr>
          <w:lang w:val="fr-FR"/>
        </w:rPr>
        <w:t>2021</w:t>
      </w:r>
      <w:r w:rsidR="00484F5E" w:rsidRPr="00DA2033">
        <w:rPr>
          <w:lang w:val="fr-FR"/>
        </w:rPr>
        <w:tab/>
      </w:r>
      <w:r w:rsidR="00420B66" w:rsidRPr="00DA2033">
        <w:rPr>
          <w:i/>
          <w:lang w:val="fr-FR"/>
        </w:rPr>
        <w:t>Ensemble. Pour une anthropologie sémiotique du politique</w:t>
      </w:r>
      <w:r w:rsidR="00420B66" w:rsidRPr="00DA2033">
        <w:rPr>
          <w:lang w:val="fr-FR"/>
        </w:rPr>
        <w:t>, Liège, Presse</w:t>
      </w:r>
      <w:r w:rsidR="001343F0" w:rsidRPr="00DA2033">
        <w:rPr>
          <w:lang w:val="fr-FR"/>
        </w:rPr>
        <w:t>s</w:t>
      </w:r>
      <w:r w:rsidR="00420B66" w:rsidRPr="00DA2033">
        <w:rPr>
          <w:lang w:val="fr-FR"/>
        </w:rPr>
        <w:t xml:space="preserve"> universit</w:t>
      </w:r>
      <w:r w:rsidRPr="00DA2033">
        <w:rPr>
          <w:lang w:val="fr-FR"/>
        </w:rPr>
        <w:t>a</w:t>
      </w:r>
      <w:r w:rsidR="00420B66" w:rsidRPr="00DA2033">
        <w:rPr>
          <w:lang w:val="fr-FR"/>
        </w:rPr>
        <w:t>ires de Liège.</w:t>
      </w:r>
    </w:p>
    <w:p w14:paraId="53E94C07" w14:textId="77777777" w:rsidR="004D0DA0" w:rsidRPr="00DA2033" w:rsidRDefault="004D0DA0" w:rsidP="004D0DA0">
      <w:pPr>
        <w:shd w:val="clear" w:color="auto" w:fill="FFFFFF"/>
        <w:jc w:val="both"/>
        <w:rPr>
          <w:lang w:val="fr-FR"/>
        </w:rPr>
      </w:pPr>
    </w:p>
    <w:p w14:paraId="013489E3" w14:textId="46FF18CD" w:rsidR="00484F5E" w:rsidRPr="00DA2033" w:rsidRDefault="00061FBE" w:rsidP="004D0DA0">
      <w:pPr>
        <w:jc w:val="both"/>
        <w:rPr>
          <w:caps/>
          <w:lang w:val="fr-FR"/>
        </w:rPr>
      </w:pPr>
      <w:r w:rsidRPr="00DA2033">
        <w:rPr>
          <w:caps/>
          <w:lang w:val="fr-FR"/>
        </w:rPr>
        <w:t>Fontanille, J. &amp; Co</w:t>
      </w:r>
      <w:r w:rsidR="00017466" w:rsidRPr="00DA2033">
        <w:rPr>
          <w:caps/>
          <w:lang w:val="fr-FR"/>
        </w:rPr>
        <w:t>UÉ</w:t>
      </w:r>
      <w:r w:rsidRPr="00DA2033">
        <w:rPr>
          <w:caps/>
          <w:lang w:val="fr-FR"/>
        </w:rPr>
        <w:t>gnas, N.</w:t>
      </w:r>
    </w:p>
    <w:p w14:paraId="23FFEFD0" w14:textId="15219C39" w:rsidR="00061FBE" w:rsidRPr="00DA2033" w:rsidRDefault="00061FBE" w:rsidP="004D0DA0">
      <w:pPr>
        <w:jc w:val="both"/>
        <w:rPr>
          <w:lang w:val="fr-FR"/>
        </w:rPr>
      </w:pPr>
      <w:r w:rsidRPr="00DA2033">
        <w:rPr>
          <w:lang w:val="fr-FR"/>
        </w:rPr>
        <w:t>2018</w:t>
      </w:r>
      <w:r w:rsidR="00484F5E" w:rsidRPr="00DA2033">
        <w:rPr>
          <w:lang w:val="fr-FR"/>
        </w:rPr>
        <w:tab/>
      </w:r>
      <w:r w:rsidRPr="00DA2033">
        <w:rPr>
          <w:i/>
          <w:lang w:val="fr-FR"/>
        </w:rPr>
        <w:t>Terres de sens</w:t>
      </w:r>
      <w:r w:rsidRPr="00DA2033">
        <w:rPr>
          <w:lang w:val="fr-FR"/>
        </w:rPr>
        <w:t xml:space="preserve">. </w:t>
      </w:r>
      <w:r w:rsidRPr="00DA2033">
        <w:rPr>
          <w:i/>
          <w:lang w:val="fr-FR"/>
        </w:rPr>
        <w:t>Essai d’</w:t>
      </w:r>
      <w:proofErr w:type="spellStart"/>
      <w:r w:rsidRPr="00DA2033">
        <w:rPr>
          <w:i/>
          <w:lang w:val="fr-FR"/>
        </w:rPr>
        <w:t>anth</w:t>
      </w:r>
      <w:r w:rsidR="008F2DDF" w:rsidRPr="00DA2033">
        <w:rPr>
          <w:i/>
          <w:lang w:val="fr-FR"/>
        </w:rPr>
        <w:t>r</w:t>
      </w:r>
      <w:r w:rsidRPr="00DA2033">
        <w:rPr>
          <w:i/>
          <w:lang w:val="fr-FR"/>
        </w:rPr>
        <w:t>oposémiotique</w:t>
      </w:r>
      <w:proofErr w:type="spellEnd"/>
      <w:r w:rsidRPr="00DA2033">
        <w:rPr>
          <w:lang w:val="fr-FR"/>
        </w:rPr>
        <w:t xml:space="preserve">, Limoges, </w:t>
      </w:r>
      <w:proofErr w:type="spellStart"/>
      <w:r w:rsidRPr="00DA2033">
        <w:rPr>
          <w:lang w:val="fr-FR"/>
        </w:rPr>
        <w:t>Pulim</w:t>
      </w:r>
      <w:proofErr w:type="spellEnd"/>
      <w:r w:rsidRPr="00DA2033">
        <w:rPr>
          <w:lang w:val="fr-FR"/>
        </w:rPr>
        <w:t>.</w:t>
      </w:r>
    </w:p>
    <w:p w14:paraId="56AB0C33" w14:textId="77777777" w:rsidR="004D0DA0" w:rsidRPr="00DA2033" w:rsidRDefault="004D0DA0" w:rsidP="004D0DA0">
      <w:pPr>
        <w:jc w:val="both"/>
        <w:rPr>
          <w:lang w:val="fr-FR"/>
        </w:rPr>
      </w:pPr>
    </w:p>
    <w:p w14:paraId="5542AE51" w14:textId="77777777" w:rsidR="009F704C" w:rsidRPr="00DA2033" w:rsidRDefault="00420B66" w:rsidP="004D0DA0">
      <w:pPr>
        <w:jc w:val="both"/>
        <w:rPr>
          <w:caps/>
          <w:lang w:val="fr-FR"/>
        </w:rPr>
      </w:pPr>
      <w:r w:rsidRPr="00DA2033">
        <w:rPr>
          <w:caps/>
          <w:lang w:val="fr-FR"/>
        </w:rPr>
        <w:t>Foucault</w:t>
      </w:r>
      <w:r w:rsidR="007C2624" w:rsidRPr="00DA2033">
        <w:rPr>
          <w:caps/>
          <w:lang w:val="fr-FR"/>
        </w:rPr>
        <w:t>,</w:t>
      </w:r>
      <w:r w:rsidRPr="00DA2033">
        <w:rPr>
          <w:caps/>
          <w:lang w:val="fr-FR"/>
        </w:rPr>
        <w:t xml:space="preserve"> M</w:t>
      </w:r>
      <w:r w:rsidR="007C2624" w:rsidRPr="00DA2033">
        <w:rPr>
          <w:caps/>
          <w:lang w:val="fr-FR"/>
        </w:rPr>
        <w:t>.</w:t>
      </w:r>
    </w:p>
    <w:p w14:paraId="2C9FCB37" w14:textId="339D1C18" w:rsidR="00551823" w:rsidRPr="00DA2033" w:rsidRDefault="007C2624" w:rsidP="004D0DA0">
      <w:pPr>
        <w:jc w:val="both"/>
        <w:rPr>
          <w:lang w:val="fr-FR"/>
        </w:rPr>
      </w:pPr>
      <w:r w:rsidRPr="00DA2033">
        <w:rPr>
          <w:lang w:val="fr-FR"/>
        </w:rPr>
        <w:t>1984</w:t>
      </w:r>
      <w:r w:rsidR="009F704C" w:rsidRPr="00DA2033">
        <w:rPr>
          <w:lang w:val="fr-FR"/>
        </w:rPr>
        <w:tab/>
      </w:r>
      <w:r w:rsidR="00420B66" w:rsidRPr="00DA2033">
        <w:rPr>
          <w:lang w:val="fr-FR"/>
        </w:rPr>
        <w:t xml:space="preserve">« Des espaces autres », </w:t>
      </w:r>
      <w:r w:rsidR="00420B66" w:rsidRPr="00DA2033">
        <w:rPr>
          <w:i/>
          <w:lang w:val="fr-FR"/>
        </w:rPr>
        <w:t>Architecture, Mouvement, Continuité</w:t>
      </w:r>
      <w:r w:rsidR="00420B66" w:rsidRPr="00DA2033">
        <w:rPr>
          <w:lang w:val="fr-FR"/>
        </w:rPr>
        <w:t>, n</w:t>
      </w:r>
      <w:r w:rsidRPr="00DA2033">
        <w:rPr>
          <w:lang w:val="fr-FR"/>
        </w:rPr>
        <w:t>.</w:t>
      </w:r>
      <w:r w:rsidR="00091FFA" w:rsidRPr="00DA2033">
        <w:rPr>
          <w:lang w:val="fr-FR"/>
        </w:rPr>
        <w:t> </w:t>
      </w:r>
      <w:r w:rsidR="00420B66" w:rsidRPr="00DA2033">
        <w:rPr>
          <w:lang w:val="fr-FR"/>
        </w:rPr>
        <w:t xml:space="preserve">5, </w:t>
      </w:r>
      <w:r w:rsidRPr="00DA2033">
        <w:rPr>
          <w:lang w:val="fr-FR"/>
        </w:rPr>
        <w:t>p</w:t>
      </w:r>
      <w:r w:rsidR="00420B66" w:rsidRPr="00DA2033">
        <w:rPr>
          <w:lang w:val="fr-FR"/>
        </w:rPr>
        <w:t>p.</w:t>
      </w:r>
      <w:r w:rsidRPr="00DA2033">
        <w:rPr>
          <w:lang w:val="fr-FR"/>
        </w:rPr>
        <w:t> </w:t>
      </w:r>
      <w:r w:rsidR="00420B66" w:rsidRPr="00DA2033">
        <w:rPr>
          <w:lang w:val="fr-FR"/>
        </w:rPr>
        <w:t xml:space="preserve">46-49 ; </w:t>
      </w:r>
      <w:r w:rsidR="00420B66" w:rsidRPr="00DA2033">
        <w:rPr>
          <w:i/>
          <w:lang w:val="fr-FR"/>
        </w:rPr>
        <w:t>Dits et écrits</w:t>
      </w:r>
      <w:r w:rsidR="00420B66" w:rsidRPr="00DA2033">
        <w:rPr>
          <w:lang w:val="fr-FR"/>
        </w:rPr>
        <w:t>, 1984.</w:t>
      </w:r>
    </w:p>
    <w:p w14:paraId="43C26152" w14:textId="77777777" w:rsidR="004D0DA0" w:rsidRPr="00DA2033" w:rsidRDefault="004D0DA0" w:rsidP="004D0DA0">
      <w:pPr>
        <w:jc w:val="both"/>
        <w:rPr>
          <w:lang w:val="fr-FR"/>
        </w:rPr>
      </w:pPr>
    </w:p>
    <w:p w14:paraId="50FAEAAD" w14:textId="5ABEAD75" w:rsidR="009F704C" w:rsidRPr="00DA2033" w:rsidRDefault="009F704C" w:rsidP="004D0DA0">
      <w:pPr>
        <w:pStyle w:val="NormalWeb"/>
        <w:spacing w:before="0" w:beforeAutospacing="0" w:after="0" w:afterAutospacing="0"/>
        <w:jc w:val="both"/>
        <w:rPr>
          <w:rFonts w:ascii="Times New Roman" w:hAnsi="Times New Roman"/>
          <w:caps/>
          <w:sz w:val="24"/>
          <w:szCs w:val="24"/>
        </w:rPr>
      </w:pPr>
      <w:r w:rsidRPr="00DA2033">
        <w:rPr>
          <w:rFonts w:ascii="Times New Roman" w:hAnsi="Times New Roman"/>
          <w:caps/>
          <w:sz w:val="24"/>
          <w:szCs w:val="24"/>
        </w:rPr>
        <w:t>GÉ</w:t>
      </w:r>
      <w:r w:rsidR="005F578D" w:rsidRPr="00DA2033">
        <w:rPr>
          <w:rFonts w:ascii="Times New Roman" w:hAnsi="Times New Roman"/>
          <w:caps/>
          <w:sz w:val="24"/>
          <w:szCs w:val="24"/>
        </w:rPr>
        <w:t>ly, R.</w:t>
      </w:r>
    </w:p>
    <w:p w14:paraId="0943CFDB" w14:textId="2D4B9545" w:rsidR="005F578D" w:rsidRPr="00DA2033" w:rsidRDefault="005F578D" w:rsidP="004D0DA0">
      <w:pPr>
        <w:pStyle w:val="NormalWeb"/>
        <w:spacing w:before="0" w:beforeAutospacing="0" w:after="0" w:afterAutospacing="0"/>
        <w:jc w:val="both"/>
        <w:rPr>
          <w:rFonts w:ascii="Times New Roman" w:hAnsi="Times New Roman"/>
          <w:sz w:val="24"/>
          <w:szCs w:val="24"/>
        </w:rPr>
      </w:pPr>
      <w:r w:rsidRPr="00DA2033">
        <w:rPr>
          <w:rFonts w:ascii="Times New Roman" w:hAnsi="Times New Roman"/>
          <w:sz w:val="24"/>
          <w:szCs w:val="24"/>
        </w:rPr>
        <w:t xml:space="preserve">2008, « Imaginaire, affectivité et rationalité. Pour une relecture du débat entre Habermas et Castoriadis », dans P. </w:t>
      </w:r>
      <w:proofErr w:type="spellStart"/>
      <w:r w:rsidRPr="00DA2033">
        <w:rPr>
          <w:rFonts w:ascii="Times New Roman" w:hAnsi="Times New Roman"/>
          <w:sz w:val="24"/>
          <w:szCs w:val="24"/>
        </w:rPr>
        <w:t>Caumière</w:t>
      </w:r>
      <w:r w:rsidR="002C0568" w:rsidRPr="00DA2033">
        <w:rPr>
          <w:rFonts w:ascii="Times New Roman" w:hAnsi="Times New Roman"/>
          <w:sz w:val="24"/>
          <w:szCs w:val="24"/>
        </w:rPr>
        <w:t>s</w:t>
      </w:r>
      <w:proofErr w:type="spellEnd"/>
      <w:r w:rsidRPr="00DA2033">
        <w:rPr>
          <w:rFonts w:ascii="Times New Roman" w:hAnsi="Times New Roman"/>
          <w:sz w:val="24"/>
          <w:szCs w:val="24"/>
        </w:rPr>
        <w:t xml:space="preserve">, S. </w:t>
      </w:r>
      <w:proofErr w:type="spellStart"/>
      <w:r w:rsidRPr="00DA2033">
        <w:rPr>
          <w:rFonts w:ascii="Times New Roman" w:hAnsi="Times New Roman"/>
          <w:sz w:val="24"/>
          <w:szCs w:val="24"/>
        </w:rPr>
        <w:t>Klimis</w:t>
      </w:r>
      <w:proofErr w:type="spellEnd"/>
      <w:r w:rsidRPr="00DA2033">
        <w:rPr>
          <w:rFonts w:ascii="Times New Roman" w:hAnsi="Times New Roman"/>
          <w:sz w:val="24"/>
          <w:szCs w:val="24"/>
        </w:rPr>
        <w:t xml:space="preserve"> &amp; L. Van Eynde (</w:t>
      </w:r>
      <w:proofErr w:type="spellStart"/>
      <w:r w:rsidRPr="00DA2033">
        <w:rPr>
          <w:rFonts w:ascii="Times New Roman" w:hAnsi="Times New Roman"/>
          <w:sz w:val="24"/>
          <w:szCs w:val="24"/>
        </w:rPr>
        <w:t>dirs</w:t>
      </w:r>
      <w:proofErr w:type="spellEnd"/>
      <w:r w:rsidRPr="00DA2033">
        <w:rPr>
          <w:rFonts w:ascii="Times New Roman" w:hAnsi="Times New Roman"/>
          <w:sz w:val="24"/>
          <w:szCs w:val="24"/>
        </w:rPr>
        <w:t xml:space="preserve">), </w:t>
      </w:r>
      <w:r w:rsidRPr="00DA2033">
        <w:rPr>
          <w:rFonts w:ascii="Times New Roman" w:hAnsi="Times New Roman"/>
          <w:i/>
          <w:sz w:val="24"/>
          <w:szCs w:val="24"/>
        </w:rPr>
        <w:t>Praxis et institution</w:t>
      </w:r>
      <w:r w:rsidRPr="00DA2033">
        <w:rPr>
          <w:rFonts w:ascii="Times New Roman" w:hAnsi="Times New Roman"/>
          <w:sz w:val="24"/>
          <w:szCs w:val="24"/>
        </w:rPr>
        <w:t>, Bruxelles, Presses de l’Université Saint-Louis.</w:t>
      </w:r>
    </w:p>
    <w:p w14:paraId="43F5C3AD" w14:textId="77777777" w:rsidR="004D0DA0" w:rsidRPr="00DA2033" w:rsidRDefault="004D0DA0" w:rsidP="004D0DA0">
      <w:pPr>
        <w:pStyle w:val="NormalWeb"/>
        <w:spacing w:before="0" w:beforeAutospacing="0" w:after="0" w:afterAutospacing="0"/>
        <w:jc w:val="both"/>
        <w:rPr>
          <w:rFonts w:ascii="Times New Roman" w:hAnsi="Times New Roman"/>
          <w:sz w:val="24"/>
          <w:szCs w:val="24"/>
        </w:rPr>
      </w:pPr>
    </w:p>
    <w:p w14:paraId="570F8D15" w14:textId="18B795C3" w:rsidR="009F704C" w:rsidRPr="00DA2033" w:rsidRDefault="00061FBE" w:rsidP="004D0DA0">
      <w:pPr>
        <w:jc w:val="both"/>
        <w:rPr>
          <w:caps/>
          <w:lang w:val="fr-FR"/>
        </w:rPr>
      </w:pPr>
      <w:r w:rsidRPr="00DA2033">
        <w:rPr>
          <w:caps/>
          <w:lang w:val="fr-FR"/>
        </w:rPr>
        <w:t>Greimas, A. J. &amp; Cour</w:t>
      </w:r>
      <w:r w:rsidR="009F704C" w:rsidRPr="00DA2033">
        <w:rPr>
          <w:caps/>
          <w:lang w:val="fr-FR"/>
        </w:rPr>
        <w:t>TÉ</w:t>
      </w:r>
      <w:r w:rsidRPr="00DA2033">
        <w:rPr>
          <w:caps/>
          <w:lang w:val="fr-FR"/>
        </w:rPr>
        <w:t>s, J.</w:t>
      </w:r>
    </w:p>
    <w:p w14:paraId="0989B3FE" w14:textId="4BC81D0E" w:rsidR="00061FBE" w:rsidRPr="00DA2033" w:rsidRDefault="00061FBE" w:rsidP="004D0DA0">
      <w:pPr>
        <w:jc w:val="both"/>
        <w:rPr>
          <w:lang w:val="fr-FR"/>
        </w:rPr>
      </w:pPr>
      <w:r w:rsidRPr="00DA2033">
        <w:rPr>
          <w:lang w:val="fr-FR"/>
        </w:rPr>
        <w:t xml:space="preserve">1979, </w:t>
      </w:r>
      <w:r w:rsidRPr="00DA2033">
        <w:rPr>
          <w:i/>
          <w:lang w:val="fr-FR"/>
        </w:rPr>
        <w:t>Sémiotique. Dictionnaire raisonné de la théorie du langage</w:t>
      </w:r>
      <w:r w:rsidRPr="00DA2033">
        <w:rPr>
          <w:lang w:val="fr-FR"/>
        </w:rPr>
        <w:t>, t. 1, Paris, Hachette.</w:t>
      </w:r>
    </w:p>
    <w:p w14:paraId="034EFD75" w14:textId="77777777" w:rsidR="004D0DA0" w:rsidRPr="00DA2033" w:rsidRDefault="004D0DA0" w:rsidP="004D0DA0">
      <w:pPr>
        <w:jc w:val="both"/>
        <w:rPr>
          <w:lang w:val="fr-FR"/>
        </w:rPr>
      </w:pPr>
    </w:p>
    <w:p w14:paraId="3A339778" w14:textId="086B78A3" w:rsidR="009F704C" w:rsidRPr="00DA2033" w:rsidRDefault="009F704C" w:rsidP="004D0DA0">
      <w:pPr>
        <w:pStyle w:val="Notedebasdepage"/>
        <w:jc w:val="both"/>
        <w:rPr>
          <w:smallCaps/>
          <w:sz w:val="24"/>
          <w:szCs w:val="24"/>
        </w:rPr>
      </w:pPr>
      <w:r w:rsidRPr="00DA2033">
        <w:rPr>
          <w:caps/>
          <w:sz w:val="24"/>
          <w:szCs w:val="24"/>
        </w:rPr>
        <w:t>HÉ</w:t>
      </w:r>
      <w:r w:rsidR="009D4831" w:rsidRPr="00DA2033">
        <w:rPr>
          <w:caps/>
          <w:sz w:val="24"/>
          <w:szCs w:val="24"/>
        </w:rPr>
        <w:t>bert,</w:t>
      </w:r>
      <w:r w:rsidR="009D4831" w:rsidRPr="00DA2033">
        <w:rPr>
          <w:smallCaps/>
          <w:sz w:val="24"/>
          <w:szCs w:val="24"/>
        </w:rPr>
        <w:t xml:space="preserve"> L</w:t>
      </w:r>
      <w:r w:rsidRPr="00DA2033">
        <w:rPr>
          <w:smallCaps/>
          <w:sz w:val="24"/>
          <w:szCs w:val="24"/>
        </w:rPr>
        <w:t>.</w:t>
      </w:r>
    </w:p>
    <w:p w14:paraId="02CAC9EE" w14:textId="415B5CB7" w:rsidR="009D4831" w:rsidRPr="00DA2033" w:rsidRDefault="009D4831" w:rsidP="004D0DA0">
      <w:pPr>
        <w:pStyle w:val="Notedebasdepage"/>
        <w:jc w:val="both"/>
        <w:rPr>
          <w:sz w:val="24"/>
          <w:szCs w:val="24"/>
        </w:rPr>
      </w:pPr>
      <w:r w:rsidRPr="00DA2033">
        <w:rPr>
          <w:smallCaps/>
          <w:sz w:val="24"/>
          <w:szCs w:val="24"/>
        </w:rPr>
        <w:t>2021</w:t>
      </w:r>
      <w:r w:rsidR="009F704C" w:rsidRPr="00DA2033">
        <w:rPr>
          <w:smallCaps/>
          <w:sz w:val="24"/>
          <w:szCs w:val="24"/>
        </w:rPr>
        <w:tab/>
      </w:r>
      <w:r w:rsidRPr="00DA2033">
        <w:rPr>
          <w:i/>
          <w:sz w:val="24"/>
          <w:szCs w:val="24"/>
        </w:rPr>
        <w:t>Dictionnaire de sémiotique</w:t>
      </w:r>
      <w:r w:rsidRPr="00DA2033">
        <w:rPr>
          <w:sz w:val="24"/>
          <w:szCs w:val="24"/>
        </w:rPr>
        <w:t xml:space="preserve">. Disponible sur : « signosemio.com » </w:t>
      </w:r>
      <w:hyperlink r:id="rId7" w:history="1">
        <w:r w:rsidRPr="00DA2033">
          <w:rPr>
            <w:rStyle w:val="Lienhypertexte"/>
            <w:color w:val="000000" w:themeColor="text1"/>
            <w:sz w:val="24"/>
            <w:szCs w:val="24"/>
            <w:u w:val="none"/>
          </w:rPr>
          <w:t>www.semiotique.org</w:t>
        </w:r>
      </w:hyperlink>
    </w:p>
    <w:p w14:paraId="20C2EB95" w14:textId="77777777" w:rsidR="004D0DA0" w:rsidRPr="00DA2033" w:rsidRDefault="004D0DA0" w:rsidP="004D0DA0">
      <w:pPr>
        <w:pStyle w:val="Notedebasdepage"/>
        <w:jc w:val="both"/>
        <w:rPr>
          <w:sz w:val="24"/>
          <w:szCs w:val="24"/>
        </w:rPr>
      </w:pPr>
    </w:p>
    <w:p w14:paraId="404FEC7F" w14:textId="77777777" w:rsidR="009F704C" w:rsidRPr="00DA2033" w:rsidRDefault="00420B66" w:rsidP="004D0DA0">
      <w:pPr>
        <w:pStyle w:val="Notedebasdepage"/>
        <w:jc w:val="both"/>
        <w:rPr>
          <w:sz w:val="24"/>
          <w:szCs w:val="24"/>
        </w:rPr>
      </w:pPr>
      <w:r w:rsidRPr="00DA2033">
        <w:rPr>
          <w:caps/>
          <w:sz w:val="24"/>
          <w:szCs w:val="24"/>
        </w:rPr>
        <w:t>Ingold</w:t>
      </w:r>
      <w:r w:rsidR="00062CE4" w:rsidRPr="00DA2033">
        <w:rPr>
          <w:caps/>
          <w:sz w:val="24"/>
          <w:szCs w:val="24"/>
        </w:rPr>
        <w:t>,</w:t>
      </w:r>
      <w:r w:rsidRPr="00DA2033">
        <w:rPr>
          <w:smallCaps/>
          <w:sz w:val="24"/>
          <w:szCs w:val="24"/>
        </w:rPr>
        <w:t xml:space="preserve"> </w:t>
      </w:r>
      <w:r w:rsidRPr="00DA2033">
        <w:rPr>
          <w:sz w:val="24"/>
          <w:szCs w:val="24"/>
        </w:rPr>
        <w:t>T</w:t>
      </w:r>
      <w:r w:rsidR="00062CE4" w:rsidRPr="00DA2033">
        <w:rPr>
          <w:sz w:val="24"/>
          <w:szCs w:val="24"/>
        </w:rPr>
        <w:t>.</w:t>
      </w:r>
    </w:p>
    <w:p w14:paraId="38B15AD8" w14:textId="47AA35A8" w:rsidR="00420B66" w:rsidRPr="00DA2033" w:rsidRDefault="00062CE4" w:rsidP="004D0DA0">
      <w:pPr>
        <w:pStyle w:val="Notedebasdepage"/>
        <w:jc w:val="both"/>
        <w:rPr>
          <w:sz w:val="24"/>
          <w:szCs w:val="24"/>
        </w:rPr>
      </w:pPr>
      <w:r w:rsidRPr="00DA2033">
        <w:rPr>
          <w:sz w:val="24"/>
          <w:szCs w:val="24"/>
        </w:rPr>
        <w:t>2011-2013 [2007]</w:t>
      </w:r>
      <w:r w:rsidR="009F704C" w:rsidRPr="00DA2033">
        <w:rPr>
          <w:sz w:val="24"/>
          <w:szCs w:val="24"/>
        </w:rPr>
        <w:tab/>
      </w:r>
      <w:r w:rsidR="00420B66" w:rsidRPr="00DA2033">
        <w:rPr>
          <w:i/>
          <w:sz w:val="24"/>
          <w:szCs w:val="24"/>
        </w:rPr>
        <w:t>Une brève histoire des lignes</w:t>
      </w:r>
      <w:r w:rsidR="00420B66" w:rsidRPr="00DA2033">
        <w:rPr>
          <w:sz w:val="24"/>
          <w:szCs w:val="24"/>
        </w:rPr>
        <w:t xml:space="preserve">, </w:t>
      </w:r>
      <w:r w:rsidR="006D0E92" w:rsidRPr="00DA2033">
        <w:rPr>
          <w:sz w:val="24"/>
          <w:szCs w:val="24"/>
        </w:rPr>
        <w:t xml:space="preserve">trad. S. </w:t>
      </w:r>
      <w:proofErr w:type="spellStart"/>
      <w:r w:rsidR="006D0E92" w:rsidRPr="00DA2033">
        <w:rPr>
          <w:sz w:val="24"/>
          <w:szCs w:val="24"/>
        </w:rPr>
        <w:t>Renaut</w:t>
      </w:r>
      <w:proofErr w:type="spellEnd"/>
      <w:r w:rsidR="006D0E92" w:rsidRPr="00DA2033">
        <w:rPr>
          <w:sz w:val="24"/>
          <w:szCs w:val="24"/>
        </w:rPr>
        <w:t xml:space="preserve">, </w:t>
      </w:r>
      <w:r w:rsidR="00420B66" w:rsidRPr="00DA2033">
        <w:rPr>
          <w:sz w:val="24"/>
          <w:szCs w:val="24"/>
        </w:rPr>
        <w:t>Bruxelles, Zones sensibles</w:t>
      </w:r>
      <w:r w:rsidRPr="00DA2033">
        <w:rPr>
          <w:sz w:val="24"/>
          <w:szCs w:val="24"/>
        </w:rPr>
        <w:t>.</w:t>
      </w:r>
    </w:p>
    <w:p w14:paraId="20E38D53" w14:textId="77777777" w:rsidR="004D0DA0" w:rsidRPr="00DA2033" w:rsidRDefault="004D0DA0" w:rsidP="004D0DA0">
      <w:pPr>
        <w:pStyle w:val="Notedebasdepage"/>
        <w:jc w:val="both"/>
        <w:rPr>
          <w:color w:val="FFFFFF"/>
          <w:sz w:val="24"/>
          <w:szCs w:val="24"/>
        </w:rPr>
      </w:pPr>
    </w:p>
    <w:p w14:paraId="6258789F" w14:textId="77777777" w:rsidR="00DA2033" w:rsidRPr="00A5758F" w:rsidRDefault="00420B66" w:rsidP="004D0DA0">
      <w:pPr>
        <w:jc w:val="both"/>
        <w:rPr>
          <w:caps/>
          <w:lang w:val="en-US"/>
        </w:rPr>
      </w:pPr>
      <w:r w:rsidRPr="00A5758F">
        <w:rPr>
          <w:caps/>
          <w:lang w:val="en-US"/>
        </w:rPr>
        <w:t>Jameson</w:t>
      </w:r>
      <w:r w:rsidR="006D0E92" w:rsidRPr="00A5758F">
        <w:rPr>
          <w:caps/>
          <w:lang w:val="en-US"/>
        </w:rPr>
        <w:t>,</w:t>
      </w:r>
      <w:r w:rsidRPr="00A5758F">
        <w:rPr>
          <w:caps/>
          <w:lang w:val="en-US"/>
        </w:rPr>
        <w:t xml:space="preserve"> F</w:t>
      </w:r>
      <w:r w:rsidR="007C2624" w:rsidRPr="00A5758F">
        <w:rPr>
          <w:caps/>
          <w:lang w:val="en-US"/>
        </w:rPr>
        <w:t>.</w:t>
      </w:r>
    </w:p>
    <w:p w14:paraId="06F6F0D5" w14:textId="642ECF8C" w:rsidR="006D0E92" w:rsidRPr="00DA2033" w:rsidRDefault="00C6796C" w:rsidP="004D0DA0">
      <w:pPr>
        <w:jc w:val="both"/>
        <w:rPr>
          <w:lang w:val="fr-FR"/>
        </w:rPr>
      </w:pPr>
      <w:r w:rsidRPr="00A5758F">
        <w:rPr>
          <w:lang w:val="en-US"/>
        </w:rPr>
        <w:lastRenderedPageBreak/>
        <w:t>2005</w:t>
      </w:r>
      <w:r w:rsidR="00DA2033" w:rsidRPr="00A5758F">
        <w:rPr>
          <w:lang w:val="en-US"/>
        </w:rPr>
        <w:tab/>
      </w:r>
      <w:r w:rsidRPr="00A5758F">
        <w:rPr>
          <w:i/>
          <w:lang w:val="en-US"/>
        </w:rPr>
        <w:t>Archaeologi</w:t>
      </w:r>
      <w:r w:rsidR="0006278E" w:rsidRPr="00A5758F">
        <w:rPr>
          <w:i/>
          <w:lang w:val="en-US"/>
        </w:rPr>
        <w:t>es</w:t>
      </w:r>
      <w:r w:rsidRPr="00A5758F">
        <w:rPr>
          <w:i/>
          <w:lang w:val="en-US"/>
        </w:rPr>
        <w:t xml:space="preserve"> of the Future. The Desire Called Utopia and Oth</w:t>
      </w:r>
      <w:r w:rsidR="0006278E" w:rsidRPr="00A5758F">
        <w:rPr>
          <w:i/>
          <w:lang w:val="en-US"/>
        </w:rPr>
        <w:t>e</w:t>
      </w:r>
      <w:r w:rsidRPr="00A5758F">
        <w:rPr>
          <w:i/>
          <w:lang w:val="en-US"/>
        </w:rPr>
        <w:t>r Science</w:t>
      </w:r>
      <w:r w:rsidR="0006278E" w:rsidRPr="00A5758F">
        <w:rPr>
          <w:i/>
          <w:lang w:val="en-US"/>
        </w:rPr>
        <w:t xml:space="preserve"> Fictions</w:t>
      </w:r>
      <w:r w:rsidR="0006278E" w:rsidRPr="00A5758F">
        <w:rPr>
          <w:lang w:val="en-US"/>
        </w:rPr>
        <w:t xml:space="preserve">, </w:t>
      </w:r>
      <w:proofErr w:type="spellStart"/>
      <w:r w:rsidR="0006278E" w:rsidRPr="00A5758F">
        <w:rPr>
          <w:lang w:val="en-US"/>
        </w:rPr>
        <w:t>Londres</w:t>
      </w:r>
      <w:proofErr w:type="spellEnd"/>
      <w:r w:rsidR="0006278E" w:rsidRPr="00A5758F">
        <w:rPr>
          <w:lang w:val="en-US"/>
        </w:rPr>
        <w:t xml:space="preserve">, New York, </w:t>
      </w:r>
      <w:proofErr w:type="gramStart"/>
      <w:r w:rsidR="0006278E" w:rsidRPr="00A5758F">
        <w:rPr>
          <w:lang w:val="en-US"/>
        </w:rPr>
        <w:t>Verso ;</w:t>
      </w:r>
      <w:proofErr w:type="gramEnd"/>
      <w:r w:rsidR="0006278E" w:rsidRPr="00A5758F">
        <w:rPr>
          <w:lang w:val="en-US"/>
        </w:rPr>
        <w:t xml:space="preserve"> </w:t>
      </w:r>
      <w:proofErr w:type="spellStart"/>
      <w:r w:rsidR="00420B66" w:rsidRPr="00A5758F">
        <w:rPr>
          <w:i/>
          <w:lang w:val="en-US"/>
        </w:rPr>
        <w:t>Archéologies</w:t>
      </w:r>
      <w:proofErr w:type="spellEnd"/>
      <w:r w:rsidR="00420B66" w:rsidRPr="00A5758F">
        <w:rPr>
          <w:i/>
          <w:lang w:val="en-US"/>
        </w:rPr>
        <w:t xml:space="preserve"> du </w:t>
      </w:r>
      <w:proofErr w:type="spellStart"/>
      <w:r w:rsidR="00420B66" w:rsidRPr="00A5758F">
        <w:rPr>
          <w:i/>
          <w:lang w:val="en-US"/>
        </w:rPr>
        <w:t>futur</w:t>
      </w:r>
      <w:proofErr w:type="spellEnd"/>
      <w:r w:rsidR="00420B66" w:rsidRPr="00A5758F">
        <w:rPr>
          <w:i/>
          <w:lang w:val="en-US"/>
        </w:rPr>
        <w:t xml:space="preserve">. </w:t>
      </w:r>
      <w:r w:rsidR="00420B66" w:rsidRPr="00DA2033">
        <w:rPr>
          <w:i/>
          <w:lang w:val="fr-FR"/>
        </w:rPr>
        <w:t>Le désir nommé utopie</w:t>
      </w:r>
      <w:r w:rsidR="00420B66" w:rsidRPr="00DA2033">
        <w:rPr>
          <w:lang w:val="fr-FR"/>
        </w:rPr>
        <w:t>, t.</w:t>
      </w:r>
      <w:r w:rsidR="00B95B35" w:rsidRPr="00DA2033">
        <w:rPr>
          <w:lang w:val="fr-FR"/>
        </w:rPr>
        <w:t> </w:t>
      </w:r>
      <w:r w:rsidR="00420B66" w:rsidRPr="00DA2033">
        <w:rPr>
          <w:lang w:val="fr-FR"/>
        </w:rPr>
        <w:t xml:space="preserve">1, trad. N. </w:t>
      </w:r>
      <w:proofErr w:type="spellStart"/>
      <w:r w:rsidR="00420B66" w:rsidRPr="00DA2033">
        <w:rPr>
          <w:lang w:val="fr-FR"/>
        </w:rPr>
        <w:t>Vieillescazes</w:t>
      </w:r>
      <w:proofErr w:type="spellEnd"/>
      <w:r w:rsidR="00420B66" w:rsidRPr="00DA2033">
        <w:rPr>
          <w:lang w:val="fr-FR"/>
        </w:rPr>
        <w:t xml:space="preserve"> et F. Ollier, Paris, Max Milo </w:t>
      </w:r>
      <w:r w:rsidR="00420B66" w:rsidRPr="00DA2033">
        <w:rPr>
          <w:color w:val="000000"/>
          <w:lang w:val="fr-FR"/>
        </w:rPr>
        <w:t>É</w:t>
      </w:r>
      <w:r w:rsidR="00420B66" w:rsidRPr="00DA2033">
        <w:rPr>
          <w:lang w:val="fr-FR"/>
        </w:rPr>
        <w:t>ditions</w:t>
      </w:r>
      <w:r w:rsidR="0006278E" w:rsidRPr="00DA2033">
        <w:rPr>
          <w:lang w:val="fr-FR"/>
        </w:rPr>
        <w:t>, 2007</w:t>
      </w:r>
      <w:r w:rsidR="006D0E92" w:rsidRPr="00DA2033">
        <w:rPr>
          <w:lang w:val="fr-FR"/>
        </w:rPr>
        <w:t>.</w:t>
      </w:r>
    </w:p>
    <w:p w14:paraId="371271EE" w14:textId="77777777" w:rsidR="004D0DA0" w:rsidRPr="00DA2033" w:rsidRDefault="004D0DA0" w:rsidP="004D0DA0">
      <w:pPr>
        <w:jc w:val="both"/>
        <w:rPr>
          <w:lang w:val="fr-FR"/>
        </w:rPr>
      </w:pPr>
    </w:p>
    <w:p w14:paraId="08DDBC00" w14:textId="77777777" w:rsidR="00DA2033" w:rsidRPr="007545C8" w:rsidRDefault="00420B66" w:rsidP="004D0DA0">
      <w:pPr>
        <w:jc w:val="both"/>
        <w:rPr>
          <w:caps/>
          <w:lang w:val="fr-FR"/>
        </w:rPr>
      </w:pPr>
      <w:r w:rsidRPr="007545C8">
        <w:rPr>
          <w:caps/>
          <w:lang w:val="fr-FR"/>
        </w:rPr>
        <w:t>Jullien</w:t>
      </w:r>
      <w:r w:rsidR="00E054F6" w:rsidRPr="007545C8">
        <w:rPr>
          <w:caps/>
          <w:lang w:val="fr-FR"/>
        </w:rPr>
        <w:t>, F.</w:t>
      </w:r>
    </w:p>
    <w:p w14:paraId="4A81D61F" w14:textId="67D953B5" w:rsidR="00E054F6" w:rsidRPr="00DA2033" w:rsidRDefault="00E054F6" w:rsidP="004D0DA0">
      <w:pPr>
        <w:jc w:val="both"/>
        <w:rPr>
          <w:color w:val="333333"/>
          <w:shd w:val="clear" w:color="auto" w:fill="FFFFFF"/>
          <w:lang w:val="fr-FR"/>
        </w:rPr>
      </w:pPr>
      <w:r w:rsidRPr="00DA2033">
        <w:rPr>
          <w:lang w:val="fr-FR"/>
        </w:rPr>
        <w:t>2012</w:t>
      </w:r>
      <w:r w:rsidR="00B87BF4">
        <w:rPr>
          <w:lang w:val="fr-FR"/>
        </w:rPr>
        <w:tab/>
      </w:r>
      <w:r w:rsidRPr="00DA2033">
        <w:rPr>
          <w:lang w:val="fr-FR"/>
        </w:rPr>
        <w:t>« </w:t>
      </w:r>
      <w:r w:rsidR="00420B66" w:rsidRPr="00DA2033">
        <w:rPr>
          <w:lang w:val="fr-FR"/>
        </w:rPr>
        <w:t>L’</w:t>
      </w:r>
      <w:r w:rsidR="004F4656" w:rsidRPr="00DA2033">
        <w:rPr>
          <w:lang w:val="fr-FR"/>
        </w:rPr>
        <w:t>écart</w:t>
      </w:r>
      <w:r w:rsidR="00420B66" w:rsidRPr="00DA2033">
        <w:rPr>
          <w:lang w:val="fr-FR"/>
        </w:rPr>
        <w:t xml:space="preserve"> et l’</w:t>
      </w:r>
      <w:proofErr w:type="spellStart"/>
      <w:r w:rsidR="00420B66" w:rsidRPr="00DA2033">
        <w:rPr>
          <w:lang w:val="fr-FR"/>
        </w:rPr>
        <w:t>entre</w:t>
      </w:r>
      <w:proofErr w:type="spellEnd"/>
      <w:r w:rsidR="00420B66" w:rsidRPr="00DA2033">
        <w:rPr>
          <w:lang w:val="fr-FR"/>
        </w:rPr>
        <w:t>. Ou comment penser l’</w:t>
      </w:r>
      <w:r w:rsidR="00DA2033" w:rsidRPr="00DA2033">
        <w:rPr>
          <w:lang w:val="fr-FR"/>
        </w:rPr>
        <w:t>altérité</w:t>
      </w:r>
      <w:r w:rsidR="00420B66" w:rsidRPr="00DA2033">
        <w:rPr>
          <w:lang w:val="fr-FR"/>
        </w:rPr>
        <w:t>́</w:t>
      </w:r>
      <w:r w:rsidRPr="00DA2033">
        <w:rPr>
          <w:lang w:val="fr-FR"/>
        </w:rPr>
        <w:t> »</w:t>
      </w:r>
      <w:r w:rsidR="00062CE4" w:rsidRPr="00DA2033">
        <w:rPr>
          <w:lang w:val="fr-FR"/>
        </w:rPr>
        <w:t>. Disponible sur :</w:t>
      </w:r>
      <w:r w:rsidRPr="00DA2033">
        <w:rPr>
          <w:lang w:val="fr-FR"/>
        </w:rPr>
        <w:t xml:space="preserve"> </w:t>
      </w:r>
      <w:r w:rsidRPr="00DA2033">
        <w:rPr>
          <w:color w:val="333333"/>
          <w:shd w:val="clear" w:color="auto" w:fill="FFFFFF"/>
          <w:lang w:val="fr-FR"/>
        </w:rPr>
        <w:t>FMSH-WP-2012-03. 2012.&lt;halshs-00677232&gt;</w:t>
      </w:r>
      <w:r w:rsidR="00062CE4" w:rsidRPr="00DA2033">
        <w:rPr>
          <w:color w:val="333333"/>
          <w:shd w:val="clear" w:color="auto" w:fill="FFFFFF"/>
          <w:lang w:val="fr-FR"/>
        </w:rPr>
        <w:t xml:space="preserve"> (consulté le 28/09/2022).</w:t>
      </w:r>
    </w:p>
    <w:p w14:paraId="5AA7F817" w14:textId="77777777" w:rsidR="004D0DA0" w:rsidRPr="00DA2033" w:rsidRDefault="004D0DA0" w:rsidP="004D0DA0">
      <w:pPr>
        <w:jc w:val="both"/>
        <w:rPr>
          <w:color w:val="333333"/>
          <w:shd w:val="clear" w:color="auto" w:fill="FFFFFF"/>
          <w:lang w:val="fr-FR"/>
        </w:rPr>
      </w:pPr>
    </w:p>
    <w:p w14:paraId="27792A1B" w14:textId="77777777" w:rsidR="007545C8" w:rsidRPr="007545C8" w:rsidRDefault="00062CE4" w:rsidP="004D0DA0">
      <w:pPr>
        <w:pStyle w:val="Notedebasdepage"/>
        <w:jc w:val="both"/>
        <w:rPr>
          <w:caps/>
          <w:sz w:val="24"/>
          <w:szCs w:val="24"/>
        </w:rPr>
      </w:pPr>
      <w:r w:rsidRPr="007545C8">
        <w:rPr>
          <w:caps/>
          <w:sz w:val="24"/>
          <w:szCs w:val="24"/>
        </w:rPr>
        <w:t>Latour, B.</w:t>
      </w:r>
    </w:p>
    <w:p w14:paraId="72004CAF" w14:textId="176D3341" w:rsidR="00062CE4" w:rsidRPr="00DA2033" w:rsidRDefault="00062CE4" w:rsidP="004D0DA0">
      <w:pPr>
        <w:pStyle w:val="Notedebasdepage"/>
        <w:jc w:val="both"/>
        <w:rPr>
          <w:sz w:val="24"/>
          <w:szCs w:val="24"/>
        </w:rPr>
      </w:pPr>
      <w:r w:rsidRPr="00DA2033">
        <w:rPr>
          <w:sz w:val="24"/>
          <w:szCs w:val="24"/>
        </w:rPr>
        <w:t>2000</w:t>
      </w:r>
      <w:r w:rsidR="007545C8">
        <w:rPr>
          <w:sz w:val="24"/>
          <w:szCs w:val="24"/>
        </w:rPr>
        <w:tab/>
      </w:r>
      <w:r w:rsidRPr="00DA2033">
        <w:rPr>
          <w:sz w:val="24"/>
          <w:szCs w:val="24"/>
        </w:rPr>
        <w:t>« Factures / Fractures : de la notion de réseau à celle d’attachement », dans</w:t>
      </w:r>
      <w:r w:rsidRPr="00DA2033">
        <w:rPr>
          <w:i/>
          <w:sz w:val="24"/>
          <w:szCs w:val="24"/>
        </w:rPr>
        <w:t xml:space="preserve"> </w:t>
      </w:r>
      <w:r w:rsidRPr="00DA2033">
        <w:rPr>
          <w:sz w:val="24"/>
          <w:szCs w:val="24"/>
        </w:rPr>
        <w:t>A</w:t>
      </w:r>
      <w:r w:rsidRPr="00DA2033">
        <w:rPr>
          <w:i/>
          <w:sz w:val="24"/>
          <w:szCs w:val="24"/>
        </w:rPr>
        <w:t>. </w:t>
      </w:r>
      <w:proofErr w:type="spellStart"/>
      <w:r w:rsidRPr="00DA2033">
        <w:rPr>
          <w:sz w:val="24"/>
          <w:szCs w:val="24"/>
        </w:rPr>
        <w:t>Micoud</w:t>
      </w:r>
      <w:proofErr w:type="spellEnd"/>
      <w:r w:rsidRPr="00DA2033">
        <w:rPr>
          <w:sz w:val="24"/>
          <w:szCs w:val="24"/>
        </w:rPr>
        <w:t xml:space="preserve"> &amp; M. </w:t>
      </w:r>
      <w:proofErr w:type="spellStart"/>
      <w:r w:rsidRPr="00DA2033">
        <w:rPr>
          <w:sz w:val="24"/>
          <w:szCs w:val="24"/>
        </w:rPr>
        <w:t>Peroni</w:t>
      </w:r>
      <w:proofErr w:type="spellEnd"/>
      <w:r w:rsidRPr="00DA2033">
        <w:rPr>
          <w:sz w:val="24"/>
          <w:szCs w:val="24"/>
        </w:rPr>
        <w:t>. (</w:t>
      </w:r>
      <w:proofErr w:type="spellStart"/>
      <w:proofErr w:type="gramStart"/>
      <w:r w:rsidRPr="00DA2033">
        <w:rPr>
          <w:sz w:val="24"/>
          <w:szCs w:val="24"/>
        </w:rPr>
        <w:t>dirs</w:t>
      </w:r>
      <w:proofErr w:type="spellEnd"/>
      <w:proofErr w:type="gramEnd"/>
      <w:r w:rsidRPr="00DA2033">
        <w:rPr>
          <w:sz w:val="24"/>
          <w:szCs w:val="24"/>
        </w:rPr>
        <w:t>)</w:t>
      </w:r>
      <w:r w:rsidRPr="00DA2033">
        <w:rPr>
          <w:i/>
          <w:sz w:val="24"/>
          <w:szCs w:val="24"/>
        </w:rPr>
        <w:t>, Ce qui nous relie</w:t>
      </w:r>
      <w:r w:rsidRPr="00DA2033">
        <w:rPr>
          <w:sz w:val="24"/>
          <w:szCs w:val="24"/>
        </w:rPr>
        <w:t>, La Tour d’Aigues, L’Aube, pp. 189-208.</w:t>
      </w:r>
    </w:p>
    <w:p w14:paraId="108AC538" w14:textId="3CD165DC" w:rsidR="00062CE4" w:rsidRPr="00DA2033" w:rsidRDefault="00062CE4" w:rsidP="004D0DA0">
      <w:pPr>
        <w:widowControl w:val="0"/>
        <w:autoSpaceDE w:val="0"/>
        <w:autoSpaceDN w:val="0"/>
        <w:adjustRightInd w:val="0"/>
        <w:jc w:val="both"/>
        <w:rPr>
          <w:lang w:val="fr-FR"/>
        </w:rPr>
      </w:pPr>
      <w:r w:rsidRPr="00DA2033">
        <w:rPr>
          <w:lang w:val="fr-FR"/>
        </w:rPr>
        <w:t>2014</w:t>
      </w:r>
      <w:r w:rsidR="007545C8">
        <w:rPr>
          <w:lang w:val="fr-FR"/>
        </w:rPr>
        <w:tab/>
      </w:r>
      <w:r w:rsidR="00420B66" w:rsidRPr="00DA2033">
        <w:rPr>
          <w:lang w:val="fr-FR"/>
        </w:rPr>
        <w:t>« L’anti-zoom »</w:t>
      </w:r>
      <w:r w:rsidRPr="00DA2033">
        <w:rPr>
          <w:lang w:val="fr-FR"/>
        </w:rPr>
        <w:t>. Disponible sur :</w:t>
      </w:r>
      <w:r w:rsidRPr="00DA2033">
        <w:rPr>
          <w:color w:val="000000" w:themeColor="text1"/>
          <w:lang w:val="fr-FR"/>
        </w:rPr>
        <w:t xml:space="preserve"> </w:t>
      </w:r>
      <w:hyperlink r:id="rId8" w:history="1">
        <w:r w:rsidR="007545C8" w:rsidRPr="0081426A">
          <w:rPr>
            <w:rStyle w:val="Lienhypertexte"/>
            <w:rFonts w:eastAsiaTheme="majorEastAsia"/>
            <w:lang w:val="fr-FR"/>
          </w:rPr>
          <w:t>http://www.bruno-latour.fr/sites/default/files/P-170-ELIASSON-GBpdf.pdf</w:t>
        </w:r>
      </w:hyperlink>
      <w:r w:rsidRPr="00DA2033">
        <w:rPr>
          <w:rFonts w:eastAsiaTheme="majorEastAsia"/>
          <w:lang w:val="fr-FR"/>
        </w:rPr>
        <w:t xml:space="preserve"> </w:t>
      </w:r>
    </w:p>
    <w:p w14:paraId="36BCC1B2" w14:textId="16C38C64" w:rsidR="00E054F6" w:rsidRPr="00DA2033" w:rsidRDefault="00E054F6" w:rsidP="004D0DA0">
      <w:pPr>
        <w:jc w:val="both"/>
        <w:rPr>
          <w:lang w:val="fr-FR"/>
        </w:rPr>
      </w:pPr>
      <w:r w:rsidRPr="00DA2033">
        <w:rPr>
          <w:lang w:val="fr-FR"/>
        </w:rPr>
        <w:t>2017</w:t>
      </w:r>
      <w:r w:rsidR="0099717E">
        <w:rPr>
          <w:lang w:val="fr-FR"/>
        </w:rPr>
        <w:tab/>
      </w:r>
      <w:r w:rsidRPr="00DA2033">
        <w:rPr>
          <w:i/>
          <w:lang w:val="fr-FR"/>
        </w:rPr>
        <w:t>Où atterrir ? Comment s’orienter en politique</w:t>
      </w:r>
      <w:r w:rsidRPr="00DA2033">
        <w:rPr>
          <w:lang w:val="fr-FR"/>
        </w:rPr>
        <w:t xml:space="preserve">, Paris, </w:t>
      </w:r>
      <w:r w:rsidRPr="00DA2033">
        <w:rPr>
          <w:color w:val="000000" w:themeColor="text1"/>
          <w:lang w:val="fr-FR"/>
        </w:rPr>
        <w:t>É</w:t>
      </w:r>
      <w:r w:rsidRPr="00DA2033">
        <w:rPr>
          <w:lang w:val="fr-FR"/>
        </w:rPr>
        <w:t>ditions La Découverte</w:t>
      </w:r>
      <w:r w:rsidR="007215A9" w:rsidRPr="00DA2033">
        <w:rPr>
          <w:lang w:val="fr-FR"/>
        </w:rPr>
        <w:t>.</w:t>
      </w:r>
    </w:p>
    <w:p w14:paraId="68837950" w14:textId="77777777" w:rsidR="004D0DA0" w:rsidRPr="00DA2033" w:rsidRDefault="004D0DA0" w:rsidP="004D0DA0">
      <w:pPr>
        <w:jc w:val="both"/>
        <w:rPr>
          <w:lang w:val="fr-FR"/>
        </w:rPr>
      </w:pPr>
    </w:p>
    <w:p w14:paraId="101E1263" w14:textId="77777777" w:rsidR="0099717E" w:rsidRPr="0099717E" w:rsidRDefault="007215A9" w:rsidP="004D0DA0">
      <w:pPr>
        <w:jc w:val="both"/>
        <w:rPr>
          <w:caps/>
          <w:lang w:val="fr-FR"/>
        </w:rPr>
      </w:pPr>
      <w:r w:rsidRPr="0099717E">
        <w:rPr>
          <w:caps/>
          <w:lang w:val="fr-FR"/>
        </w:rPr>
        <w:t>Laugier, S.</w:t>
      </w:r>
    </w:p>
    <w:p w14:paraId="025FA707" w14:textId="67569852" w:rsidR="007215A9" w:rsidRPr="00DA2033" w:rsidRDefault="007215A9" w:rsidP="004D0DA0">
      <w:pPr>
        <w:jc w:val="both"/>
        <w:rPr>
          <w:lang w:val="fr-FR"/>
        </w:rPr>
      </w:pPr>
      <w:r w:rsidRPr="00DA2033">
        <w:rPr>
          <w:lang w:val="fr-FR"/>
        </w:rPr>
        <w:t>2020</w:t>
      </w:r>
      <w:r w:rsidR="0099717E">
        <w:rPr>
          <w:lang w:val="fr-FR"/>
        </w:rPr>
        <w:tab/>
      </w:r>
      <w:r w:rsidR="00972D48" w:rsidRPr="00DA2033">
        <w:rPr>
          <w:lang w:val="fr-FR"/>
        </w:rPr>
        <w:t>« </w:t>
      </w:r>
      <w:r w:rsidR="007363E4" w:rsidRPr="00DA2033">
        <w:rPr>
          <w:lang w:val="fr-FR"/>
        </w:rPr>
        <w:t xml:space="preserve">Une démocratie des liens faibles », </w:t>
      </w:r>
      <w:r w:rsidRPr="00DA2033">
        <w:rPr>
          <w:lang w:val="fr-FR"/>
        </w:rPr>
        <w:t xml:space="preserve">dans A. </w:t>
      </w:r>
      <w:proofErr w:type="spellStart"/>
      <w:r w:rsidRPr="00DA2033">
        <w:rPr>
          <w:lang w:val="fr-FR"/>
        </w:rPr>
        <w:t>Gefen</w:t>
      </w:r>
      <w:proofErr w:type="spellEnd"/>
      <w:r w:rsidRPr="00DA2033">
        <w:rPr>
          <w:lang w:val="fr-FR"/>
        </w:rPr>
        <w:t xml:space="preserve"> &amp; S. Laugier</w:t>
      </w:r>
      <w:r w:rsidR="007363E4" w:rsidRPr="00DA2033">
        <w:rPr>
          <w:lang w:val="fr-FR"/>
        </w:rPr>
        <w:t xml:space="preserve"> (</w:t>
      </w:r>
      <w:proofErr w:type="spellStart"/>
      <w:r w:rsidR="007363E4" w:rsidRPr="00DA2033">
        <w:rPr>
          <w:lang w:val="fr-FR"/>
        </w:rPr>
        <w:t>dirs</w:t>
      </w:r>
      <w:proofErr w:type="spellEnd"/>
      <w:r w:rsidR="007363E4" w:rsidRPr="00DA2033">
        <w:rPr>
          <w:lang w:val="fr-FR"/>
        </w:rPr>
        <w:t>)</w:t>
      </w:r>
      <w:r w:rsidRPr="00DA2033">
        <w:rPr>
          <w:lang w:val="fr-FR"/>
        </w:rPr>
        <w:t xml:space="preserve">, </w:t>
      </w:r>
      <w:r w:rsidRPr="00DA2033">
        <w:rPr>
          <w:i/>
          <w:lang w:val="fr-FR"/>
        </w:rPr>
        <w:t>Le pouvoir des liens faibles</w:t>
      </w:r>
      <w:r w:rsidRPr="00DA2033">
        <w:rPr>
          <w:lang w:val="fr-FR"/>
        </w:rPr>
        <w:t>, Paris, CNRS Éditions, pp.</w:t>
      </w:r>
      <w:r w:rsidR="0086765D" w:rsidRPr="00DA2033">
        <w:rPr>
          <w:lang w:val="fr-FR"/>
        </w:rPr>
        <w:t> </w:t>
      </w:r>
      <w:r w:rsidR="007363E4" w:rsidRPr="00DA2033">
        <w:rPr>
          <w:lang w:val="fr-FR"/>
        </w:rPr>
        <w:t>177-206.</w:t>
      </w:r>
    </w:p>
    <w:p w14:paraId="1B0023F8" w14:textId="77777777" w:rsidR="004D0DA0" w:rsidRPr="00DA2033" w:rsidRDefault="004D0DA0" w:rsidP="004D0DA0">
      <w:pPr>
        <w:jc w:val="both"/>
        <w:rPr>
          <w:lang w:val="fr-FR"/>
        </w:rPr>
      </w:pPr>
    </w:p>
    <w:p w14:paraId="552B636E" w14:textId="77777777" w:rsidR="00285723" w:rsidRPr="00285723" w:rsidRDefault="00420B66" w:rsidP="004D0DA0">
      <w:pPr>
        <w:jc w:val="both"/>
        <w:rPr>
          <w:caps/>
          <w:lang w:val="fr-FR"/>
        </w:rPr>
      </w:pPr>
      <w:r w:rsidRPr="00285723">
        <w:rPr>
          <w:caps/>
          <w:lang w:val="fr-FR"/>
        </w:rPr>
        <w:t>Léger, D</w:t>
      </w:r>
      <w:r w:rsidR="00F21344" w:rsidRPr="00285723">
        <w:rPr>
          <w:caps/>
          <w:lang w:val="fr-FR"/>
        </w:rPr>
        <w:t xml:space="preserve">. &amp; </w:t>
      </w:r>
      <w:r w:rsidRPr="00285723">
        <w:rPr>
          <w:caps/>
          <w:lang w:val="fr-FR"/>
        </w:rPr>
        <w:t>Hervieu</w:t>
      </w:r>
      <w:r w:rsidR="00F21344" w:rsidRPr="00285723">
        <w:rPr>
          <w:caps/>
          <w:lang w:val="fr-FR"/>
        </w:rPr>
        <w:t>,</w:t>
      </w:r>
      <w:r w:rsidRPr="00285723">
        <w:rPr>
          <w:caps/>
          <w:lang w:val="fr-FR"/>
        </w:rPr>
        <w:t xml:space="preserve"> B</w:t>
      </w:r>
      <w:r w:rsidR="00F21344" w:rsidRPr="00285723">
        <w:rPr>
          <w:caps/>
          <w:lang w:val="fr-FR"/>
        </w:rPr>
        <w:t>.</w:t>
      </w:r>
    </w:p>
    <w:p w14:paraId="2A977775" w14:textId="7EDBA74C" w:rsidR="00F21344" w:rsidRPr="00DA2033" w:rsidRDefault="00F21344" w:rsidP="004D0DA0">
      <w:pPr>
        <w:jc w:val="both"/>
        <w:rPr>
          <w:lang w:val="fr-FR"/>
        </w:rPr>
      </w:pPr>
      <w:r w:rsidRPr="00DA2033">
        <w:rPr>
          <w:lang w:val="fr-FR"/>
        </w:rPr>
        <w:t>1979</w:t>
      </w:r>
      <w:r w:rsidR="00285723">
        <w:rPr>
          <w:lang w:val="fr-FR"/>
        </w:rPr>
        <w:tab/>
      </w:r>
      <w:r w:rsidR="00420B66" w:rsidRPr="00DA2033">
        <w:rPr>
          <w:i/>
          <w:lang w:val="fr-FR"/>
        </w:rPr>
        <w:t xml:space="preserve">Le retour à la nature. </w:t>
      </w:r>
      <w:r w:rsidR="001935FF" w:rsidRPr="00DA2033">
        <w:rPr>
          <w:i/>
          <w:lang w:val="fr-FR"/>
        </w:rPr>
        <w:t>« </w:t>
      </w:r>
      <w:r w:rsidR="00420B66" w:rsidRPr="00DA2033">
        <w:rPr>
          <w:i/>
          <w:lang w:val="fr-FR"/>
        </w:rPr>
        <w:t>Au fond de la forêt… l’</w:t>
      </w:r>
      <w:r w:rsidRPr="00DA2033">
        <w:rPr>
          <w:i/>
          <w:lang w:val="fr-FR"/>
        </w:rPr>
        <w:t>É</w:t>
      </w:r>
      <w:r w:rsidR="00420B66" w:rsidRPr="00DA2033">
        <w:rPr>
          <w:i/>
          <w:lang w:val="fr-FR"/>
        </w:rPr>
        <w:t>tat</w:t>
      </w:r>
      <w:r w:rsidR="001935FF" w:rsidRPr="00DA2033">
        <w:rPr>
          <w:i/>
          <w:lang w:val="fr-FR"/>
        </w:rPr>
        <w:t> »</w:t>
      </w:r>
      <w:r w:rsidR="00420B66" w:rsidRPr="00DA2033">
        <w:rPr>
          <w:lang w:val="fr-FR"/>
        </w:rPr>
        <w:t>, Paris, Seuil</w:t>
      </w:r>
      <w:r w:rsidRPr="00DA2033">
        <w:rPr>
          <w:lang w:val="fr-FR"/>
        </w:rPr>
        <w:t>.</w:t>
      </w:r>
    </w:p>
    <w:p w14:paraId="4FA3F852" w14:textId="77777777" w:rsidR="004D0DA0" w:rsidRPr="00DA2033" w:rsidRDefault="004D0DA0" w:rsidP="004D0DA0">
      <w:pPr>
        <w:jc w:val="both"/>
        <w:rPr>
          <w:lang w:val="fr-FR"/>
        </w:rPr>
      </w:pPr>
    </w:p>
    <w:p w14:paraId="6B69B6BC" w14:textId="77777777" w:rsidR="00285723" w:rsidRDefault="009D4831" w:rsidP="004D0DA0">
      <w:pPr>
        <w:rPr>
          <w:lang w:val="fr-FR"/>
        </w:rPr>
      </w:pPr>
      <w:r w:rsidRPr="00C27AA5">
        <w:rPr>
          <w:caps/>
          <w:lang w:val="fr-FR"/>
        </w:rPr>
        <w:t>Magnaghi, A</w:t>
      </w:r>
      <w:r w:rsidRPr="00DA2033">
        <w:rPr>
          <w:lang w:val="fr-FR"/>
        </w:rPr>
        <w:t>.</w:t>
      </w:r>
    </w:p>
    <w:p w14:paraId="0FCE9B07" w14:textId="5353F8B0" w:rsidR="009D4831" w:rsidRPr="00DA2033" w:rsidRDefault="0086765D" w:rsidP="00285723">
      <w:pPr>
        <w:jc w:val="both"/>
        <w:rPr>
          <w:lang w:val="fr-FR"/>
        </w:rPr>
      </w:pPr>
      <w:r w:rsidRPr="00DA2033">
        <w:rPr>
          <w:lang w:val="fr-FR"/>
        </w:rPr>
        <w:t>2000</w:t>
      </w:r>
      <w:r w:rsidR="00285723">
        <w:rPr>
          <w:lang w:val="fr-FR"/>
        </w:rPr>
        <w:tab/>
      </w:r>
      <w:r w:rsidRPr="00DA2033">
        <w:rPr>
          <w:rStyle w:val="Accentuation"/>
          <w:color w:val="1B1B1B"/>
          <w:lang w:val="fr-FR"/>
        </w:rPr>
        <w:t xml:space="preserve">Il </w:t>
      </w:r>
      <w:proofErr w:type="spellStart"/>
      <w:r w:rsidRPr="00DA2033">
        <w:rPr>
          <w:rStyle w:val="Accentuation"/>
          <w:color w:val="1B1B1B"/>
          <w:lang w:val="fr-FR"/>
        </w:rPr>
        <w:t>progetto</w:t>
      </w:r>
      <w:proofErr w:type="spellEnd"/>
      <w:r w:rsidRPr="00DA2033">
        <w:rPr>
          <w:rStyle w:val="Accentuation"/>
          <w:color w:val="1B1B1B"/>
          <w:lang w:val="fr-FR"/>
        </w:rPr>
        <w:t xml:space="preserve"> locale</w:t>
      </w:r>
      <w:r w:rsidRPr="00DA2033">
        <w:rPr>
          <w:lang w:val="fr-FR"/>
        </w:rPr>
        <w:t xml:space="preserve">, Turin, </w:t>
      </w:r>
      <w:proofErr w:type="spellStart"/>
      <w:r w:rsidRPr="00DA2033">
        <w:rPr>
          <w:lang w:val="fr-FR"/>
        </w:rPr>
        <w:t>Bollati</w:t>
      </w:r>
      <w:proofErr w:type="spellEnd"/>
      <w:r w:rsidRPr="00DA2033">
        <w:rPr>
          <w:lang w:val="fr-FR"/>
        </w:rPr>
        <w:t xml:space="preserve"> </w:t>
      </w:r>
      <w:proofErr w:type="spellStart"/>
      <w:r w:rsidRPr="00DA2033">
        <w:rPr>
          <w:lang w:val="fr-FR"/>
        </w:rPr>
        <w:t>Bolinghieri</w:t>
      </w:r>
      <w:proofErr w:type="spellEnd"/>
      <w:r w:rsidRPr="00DA2033">
        <w:rPr>
          <w:lang w:val="fr-FR"/>
        </w:rPr>
        <w:t xml:space="preserve"> ; </w:t>
      </w:r>
      <w:r w:rsidR="009D4831" w:rsidRPr="00DA2033">
        <w:rPr>
          <w:i/>
          <w:lang w:val="fr-FR"/>
        </w:rPr>
        <w:t>Le projet local</w:t>
      </w:r>
      <w:r w:rsidR="009D4831" w:rsidRPr="00DA2033">
        <w:rPr>
          <w:lang w:val="fr-FR"/>
        </w:rPr>
        <w:t xml:space="preserve">, </w:t>
      </w:r>
      <w:proofErr w:type="spellStart"/>
      <w:r w:rsidR="009D4831" w:rsidRPr="00DA2033">
        <w:rPr>
          <w:lang w:val="fr-FR"/>
        </w:rPr>
        <w:t>Hayen</w:t>
      </w:r>
      <w:proofErr w:type="spellEnd"/>
      <w:r w:rsidR="009D4831" w:rsidRPr="00DA2033">
        <w:rPr>
          <w:lang w:val="fr-FR"/>
        </w:rPr>
        <w:t xml:space="preserve">, </w:t>
      </w:r>
      <w:r w:rsidR="007C2624" w:rsidRPr="00DA2033">
        <w:rPr>
          <w:color w:val="000000" w:themeColor="text1"/>
          <w:lang w:val="fr-FR"/>
        </w:rPr>
        <w:t>É</w:t>
      </w:r>
      <w:r w:rsidR="009D4831" w:rsidRPr="00DA2033">
        <w:rPr>
          <w:lang w:val="fr-FR"/>
        </w:rPr>
        <w:t xml:space="preserve">ditions </w:t>
      </w:r>
      <w:proofErr w:type="spellStart"/>
      <w:r w:rsidR="009D4831" w:rsidRPr="00DA2033">
        <w:rPr>
          <w:lang w:val="fr-FR"/>
        </w:rPr>
        <w:t>Mardaga</w:t>
      </w:r>
      <w:proofErr w:type="spellEnd"/>
      <w:r w:rsidRPr="00DA2033">
        <w:rPr>
          <w:lang w:val="fr-FR"/>
        </w:rPr>
        <w:t>, 2003</w:t>
      </w:r>
      <w:r w:rsidR="009D4831" w:rsidRPr="00DA2033">
        <w:rPr>
          <w:lang w:val="fr-FR"/>
        </w:rPr>
        <w:t>.</w:t>
      </w:r>
    </w:p>
    <w:p w14:paraId="4AD8B1F9" w14:textId="77777777" w:rsidR="004D0DA0" w:rsidRPr="00DA2033" w:rsidRDefault="004D0DA0" w:rsidP="004D0DA0">
      <w:pPr>
        <w:rPr>
          <w:lang w:val="fr-FR"/>
        </w:rPr>
      </w:pPr>
    </w:p>
    <w:p w14:paraId="7032F58D" w14:textId="77777777" w:rsidR="00285723" w:rsidRPr="007D65D9" w:rsidRDefault="00420B66" w:rsidP="004D0DA0">
      <w:pPr>
        <w:jc w:val="both"/>
        <w:rPr>
          <w:caps/>
          <w:lang w:val="fr-FR"/>
        </w:rPr>
      </w:pPr>
      <w:r w:rsidRPr="007D65D9">
        <w:rPr>
          <w:caps/>
          <w:lang w:val="fr-FR"/>
        </w:rPr>
        <w:t>Martin</w:t>
      </w:r>
      <w:r w:rsidR="001935FF" w:rsidRPr="007D65D9">
        <w:rPr>
          <w:caps/>
          <w:lang w:val="fr-FR"/>
        </w:rPr>
        <w:t>,</w:t>
      </w:r>
      <w:r w:rsidRPr="007D65D9">
        <w:rPr>
          <w:caps/>
          <w:lang w:val="fr-FR"/>
        </w:rPr>
        <w:t xml:space="preserve"> R</w:t>
      </w:r>
      <w:r w:rsidR="00285723" w:rsidRPr="007D65D9">
        <w:rPr>
          <w:caps/>
          <w:lang w:val="fr-FR"/>
        </w:rPr>
        <w:t>.</w:t>
      </w:r>
    </w:p>
    <w:p w14:paraId="041E05A8" w14:textId="57785AFE" w:rsidR="00420B66" w:rsidRPr="00DA2033" w:rsidRDefault="009900FD" w:rsidP="004D0DA0">
      <w:pPr>
        <w:jc w:val="both"/>
        <w:rPr>
          <w:lang w:val="fr-FR"/>
        </w:rPr>
      </w:pPr>
      <w:r w:rsidRPr="00DA2033">
        <w:rPr>
          <w:lang w:val="fr-FR"/>
        </w:rPr>
        <w:t>1987</w:t>
      </w:r>
      <w:r w:rsidR="0094290B">
        <w:rPr>
          <w:lang w:val="fr-FR"/>
        </w:rPr>
        <w:tab/>
      </w:r>
      <w:r w:rsidR="00420B66" w:rsidRPr="00DA2033">
        <w:rPr>
          <w:i/>
          <w:lang w:val="fr-FR"/>
        </w:rPr>
        <w:t>Langage et croyance. Les univers de croyance dans la théorie sémantique</w:t>
      </w:r>
      <w:r w:rsidR="00420B66" w:rsidRPr="00DA2033">
        <w:rPr>
          <w:lang w:val="fr-FR"/>
        </w:rPr>
        <w:t xml:space="preserve">, Liège, </w:t>
      </w:r>
      <w:proofErr w:type="spellStart"/>
      <w:r w:rsidR="00420B66" w:rsidRPr="00DA2033">
        <w:rPr>
          <w:lang w:val="fr-FR"/>
        </w:rPr>
        <w:t>Mardaga</w:t>
      </w:r>
      <w:proofErr w:type="spellEnd"/>
      <w:r w:rsidR="00420B66" w:rsidRPr="00DA2033">
        <w:rPr>
          <w:lang w:val="fr-FR"/>
        </w:rPr>
        <w:t>.</w:t>
      </w:r>
    </w:p>
    <w:p w14:paraId="3C187363" w14:textId="77777777" w:rsidR="004D0DA0" w:rsidRPr="00DA2033" w:rsidRDefault="004D0DA0" w:rsidP="004D0DA0">
      <w:pPr>
        <w:jc w:val="both"/>
        <w:rPr>
          <w:lang w:val="fr-FR"/>
        </w:rPr>
      </w:pPr>
    </w:p>
    <w:p w14:paraId="4160D57B" w14:textId="77777777" w:rsidR="007D65D9" w:rsidRPr="007D65D9" w:rsidRDefault="00420B66" w:rsidP="004D0DA0">
      <w:pPr>
        <w:jc w:val="both"/>
        <w:rPr>
          <w:caps/>
          <w:lang w:val="fr-FR"/>
        </w:rPr>
      </w:pPr>
      <w:r w:rsidRPr="007D65D9">
        <w:rPr>
          <w:caps/>
          <w:lang w:val="fr-FR"/>
        </w:rPr>
        <w:t>Paperman</w:t>
      </w:r>
      <w:r w:rsidR="009900FD" w:rsidRPr="007D65D9">
        <w:rPr>
          <w:caps/>
          <w:lang w:val="fr-FR"/>
        </w:rPr>
        <w:t>,</w:t>
      </w:r>
      <w:r w:rsidRPr="007D65D9">
        <w:rPr>
          <w:caps/>
          <w:lang w:val="fr-FR"/>
        </w:rPr>
        <w:t xml:space="preserve"> P</w:t>
      </w:r>
      <w:r w:rsidR="009900FD" w:rsidRPr="007D65D9">
        <w:rPr>
          <w:caps/>
          <w:lang w:val="fr-FR"/>
        </w:rPr>
        <w:t>.</w:t>
      </w:r>
      <w:r w:rsidRPr="007D65D9">
        <w:rPr>
          <w:caps/>
          <w:lang w:val="fr-FR"/>
        </w:rPr>
        <w:t xml:space="preserve"> </w:t>
      </w:r>
      <w:r w:rsidR="009900FD" w:rsidRPr="007D65D9">
        <w:rPr>
          <w:caps/>
          <w:lang w:val="fr-FR"/>
        </w:rPr>
        <w:t>&amp;</w:t>
      </w:r>
      <w:r w:rsidRPr="007D65D9">
        <w:rPr>
          <w:caps/>
          <w:lang w:val="fr-FR"/>
        </w:rPr>
        <w:t xml:space="preserve"> Laugier</w:t>
      </w:r>
      <w:r w:rsidR="009900FD" w:rsidRPr="007D65D9">
        <w:rPr>
          <w:caps/>
          <w:lang w:val="fr-FR"/>
        </w:rPr>
        <w:t xml:space="preserve">, S. </w:t>
      </w:r>
      <w:r w:rsidRPr="007D65D9">
        <w:rPr>
          <w:caps/>
          <w:lang w:val="fr-FR"/>
        </w:rPr>
        <w:t>(dir</w:t>
      </w:r>
      <w:r w:rsidR="009900FD" w:rsidRPr="007D65D9">
        <w:rPr>
          <w:caps/>
          <w:lang w:val="fr-FR"/>
        </w:rPr>
        <w:t>s</w:t>
      </w:r>
      <w:r w:rsidRPr="007D65D9">
        <w:rPr>
          <w:caps/>
          <w:lang w:val="fr-FR"/>
        </w:rPr>
        <w:t>)</w:t>
      </w:r>
    </w:p>
    <w:p w14:paraId="0ECBB4A8" w14:textId="33180125" w:rsidR="009900FD" w:rsidRPr="00DA2033" w:rsidRDefault="009900FD" w:rsidP="004D0DA0">
      <w:pPr>
        <w:jc w:val="both"/>
        <w:rPr>
          <w:lang w:val="fr-FR"/>
        </w:rPr>
      </w:pPr>
      <w:r w:rsidRPr="00DA2033">
        <w:rPr>
          <w:lang w:val="fr-FR"/>
        </w:rPr>
        <w:t>2005</w:t>
      </w:r>
      <w:r w:rsidR="0094290B">
        <w:rPr>
          <w:lang w:val="fr-FR"/>
        </w:rPr>
        <w:tab/>
      </w:r>
      <w:r w:rsidR="00420B66" w:rsidRPr="00DA2033">
        <w:rPr>
          <w:i/>
          <w:lang w:val="fr-FR"/>
        </w:rPr>
        <w:t xml:space="preserve">Le </w:t>
      </w:r>
      <w:r w:rsidR="00C6796C" w:rsidRPr="00DA2033">
        <w:rPr>
          <w:i/>
          <w:lang w:val="fr-FR"/>
        </w:rPr>
        <w:t>s</w:t>
      </w:r>
      <w:r w:rsidR="00420B66" w:rsidRPr="00DA2033">
        <w:rPr>
          <w:i/>
          <w:lang w:val="fr-FR"/>
        </w:rPr>
        <w:t>ouci des autres</w:t>
      </w:r>
      <w:r w:rsidR="007215A9" w:rsidRPr="00DA2033">
        <w:rPr>
          <w:i/>
          <w:lang w:val="fr-FR"/>
        </w:rPr>
        <w:t>. É</w:t>
      </w:r>
      <w:r w:rsidR="00420B66" w:rsidRPr="00DA2033">
        <w:rPr>
          <w:i/>
          <w:lang w:val="fr-FR"/>
        </w:rPr>
        <w:t>thique et politique du care</w:t>
      </w:r>
      <w:r w:rsidR="00420B66" w:rsidRPr="00DA2033">
        <w:rPr>
          <w:lang w:val="fr-FR"/>
        </w:rPr>
        <w:t xml:space="preserve">, Paris, Éditions de l’École des </w:t>
      </w:r>
      <w:r w:rsidR="007215A9" w:rsidRPr="00DA2033">
        <w:rPr>
          <w:lang w:val="fr-FR"/>
        </w:rPr>
        <w:t>H</w:t>
      </w:r>
      <w:r w:rsidR="00420B66" w:rsidRPr="00DA2033">
        <w:rPr>
          <w:lang w:val="fr-FR"/>
        </w:rPr>
        <w:t xml:space="preserve">autes </w:t>
      </w:r>
      <w:r w:rsidR="007215A9" w:rsidRPr="00DA2033">
        <w:rPr>
          <w:lang w:val="fr-FR"/>
        </w:rPr>
        <w:t>É</w:t>
      </w:r>
      <w:r w:rsidR="00420B66" w:rsidRPr="00DA2033">
        <w:rPr>
          <w:lang w:val="fr-FR"/>
        </w:rPr>
        <w:t>tudes</w:t>
      </w:r>
      <w:r w:rsidRPr="00DA2033">
        <w:rPr>
          <w:lang w:val="fr-FR"/>
        </w:rPr>
        <w:t>.</w:t>
      </w:r>
    </w:p>
    <w:p w14:paraId="16D52AF6" w14:textId="77777777" w:rsidR="004D0DA0" w:rsidRPr="00DA2033" w:rsidRDefault="004D0DA0" w:rsidP="004D0DA0">
      <w:pPr>
        <w:jc w:val="both"/>
        <w:rPr>
          <w:lang w:val="fr-FR"/>
        </w:rPr>
      </w:pPr>
    </w:p>
    <w:p w14:paraId="600738B9" w14:textId="101804C0" w:rsidR="002E5C79" w:rsidRPr="002E5C79" w:rsidRDefault="00420B66" w:rsidP="004D0DA0">
      <w:pPr>
        <w:jc w:val="both"/>
        <w:rPr>
          <w:caps/>
          <w:lang w:val="fr-FR"/>
        </w:rPr>
      </w:pPr>
      <w:r w:rsidRPr="002E5C79">
        <w:rPr>
          <w:caps/>
          <w:lang w:val="fr-FR"/>
        </w:rPr>
        <w:t>Saint-Martin</w:t>
      </w:r>
      <w:r w:rsidR="002E5C79" w:rsidRPr="002E5C79">
        <w:rPr>
          <w:caps/>
          <w:lang w:val="fr-FR"/>
        </w:rPr>
        <w:t>,</w:t>
      </w:r>
      <w:r w:rsidRPr="002E5C79">
        <w:rPr>
          <w:caps/>
          <w:lang w:val="fr-FR"/>
        </w:rPr>
        <w:t xml:space="preserve"> F</w:t>
      </w:r>
      <w:r w:rsidR="00062CE4" w:rsidRPr="002E5C79">
        <w:rPr>
          <w:caps/>
          <w:lang w:val="fr-FR"/>
        </w:rPr>
        <w:t>.</w:t>
      </w:r>
    </w:p>
    <w:p w14:paraId="37DE5478" w14:textId="141273F4" w:rsidR="00420B66" w:rsidRPr="00DA2033" w:rsidRDefault="00062CE4" w:rsidP="004D0DA0">
      <w:pPr>
        <w:jc w:val="both"/>
        <w:rPr>
          <w:lang w:val="fr-FR"/>
        </w:rPr>
      </w:pPr>
      <w:r w:rsidRPr="00DA2033">
        <w:rPr>
          <w:lang w:val="fr-FR"/>
        </w:rPr>
        <w:t>2010</w:t>
      </w:r>
      <w:r w:rsidR="0094290B">
        <w:rPr>
          <w:lang w:val="fr-FR"/>
        </w:rPr>
        <w:tab/>
      </w:r>
      <w:r w:rsidR="00420B66" w:rsidRPr="00DA2033">
        <w:rPr>
          <w:i/>
          <w:lang w:val="fr-FR"/>
        </w:rPr>
        <w:t>L’immersion dans l’art</w:t>
      </w:r>
      <w:r w:rsidR="00420B66" w:rsidRPr="00DA2033">
        <w:rPr>
          <w:lang w:val="fr-FR"/>
        </w:rPr>
        <w:t xml:space="preserve">, Québec, Presses de </w:t>
      </w:r>
      <w:r w:rsidRPr="00DA2033">
        <w:rPr>
          <w:lang w:val="fr-FR"/>
        </w:rPr>
        <w:t>l</w:t>
      </w:r>
      <w:r w:rsidR="00420B66" w:rsidRPr="00DA2033">
        <w:rPr>
          <w:lang w:val="fr-FR"/>
        </w:rPr>
        <w:t>‘Université du Québec</w:t>
      </w:r>
      <w:r w:rsidRPr="00DA2033">
        <w:rPr>
          <w:lang w:val="fr-FR"/>
        </w:rPr>
        <w:t>.</w:t>
      </w:r>
    </w:p>
    <w:p w14:paraId="7E809103" w14:textId="77777777" w:rsidR="004D0DA0" w:rsidRPr="00DA2033" w:rsidRDefault="004D0DA0" w:rsidP="004D0DA0">
      <w:pPr>
        <w:jc w:val="both"/>
        <w:rPr>
          <w:lang w:val="fr-FR"/>
        </w:rPr>
      </w:pPr>
    </w:p>
    <w:p w14:paraId="373D4004" w14:textId="77777777" w:rsidR="00A50E06" w:rsidRPr="00C96390" w:rsidRDefault="00420B66" w:rsidP="004D0DA0">
      <w:pPr>
        <w:jc w:val="both"/>
        <w:rPr>
          <w:caps/>
          <w:lang w:val="fr-FR"/>
        </w:rPr>
      </w:pPr>
      <w:r w:rsidRPr="00C96390">
        <w:rPr>
          <w:caps/>
          <w:lang w:val="fr-FR"/>
        </w:rPr>
        <w:t>Schlegel J</w:t>
      </w:r>
      <w:r w:rsidR="009900FD" w:rsidRPr="00C96390">
        <w:rPr>
          <w:caps/>
          <w:lang w:val="fr-FR"/>
        </w:rPr>
        <w:t>.-L.</w:t>
      </w:r>
    </w:p>
    <w:p w14:paraId="675B455A" w14:textId="457B4C8E" w:rsidR="00420B66" w:rsidRPr="00DA2033" w:rsidRDefault="009900FD" w:rsidP="004D0DA0">
      <w:pPr>
        <w:jc w:val="both"/>
        <w:rPr>
          <w:color w:val="000000"/>
          <w:shd w:val="clear" w:color="auto" w:fill="FFFFFF"/>
          <w:lang w:val="fr-FR"/>
        </w:rPr>
      </w:pPr>
      <w:r w:rsidRPr="00DA2033">
        <w:rPr>
          <w:lang w:val="fr-FR"/>
        </w:rPr>
        <w:t>1994</w:t>
      </w:r>
      <w:r w:rsidR="00A50E06">
        <w:rPr>
          <w:lang w:val="fr-FR"/>
        </w:rPr>
        <w:tab/>
      </w:r>
      <w:r w:rsidRPr="00DA2033">
        <w:rPr>
          <w:lang w:val="fr-FR"/>
        </w:rPr>
        <w:t>« </w:t>
      </w:r>
      <w:r w:rsidR="00420B66" w:rsidRPr="00DA2033">
        <w:rPr>
          <w:color w:val="000000"/>
          <w:shd w:val="clear" w:color="auto" w:fill="FFFFFF"/>
          <w:lang w:val="fr-FR"/>
        </w:rPr>
        <w:t xml:space="preserve">Le </w:t>
      </w:r>
      <w:r w:rsidRPr="00DA2033">
        <w:rPr>
          <w:color w:val="000000"/>
          <w:shd w:val="clear" w:color="auto" w:fill="FFFFFF"/>
          <w:lang w:val="fr-FR"/>
        </w:rPr>
        <w:t>“</w:t>
      </w:r>
      <w:proofErr w:type="spellStart"/>
      <w:r w:rsidR="00420B66" w:rsidRPr="00DA2033">
        <w:rPr>
          <w:color w:val="000000"/>
          <w:shd w:val="clear" w:color="auto" w:fill="FFFFFF"/>
          <w:lang w:val="fr-FR"/>
        </w:rPr>
        <w:t>réenchantement</w:t>
      </w:r>
      <w:proofErr w:type="spellEnd"/>
      <w:r w:rsidRPr="00DA2033">
        <w:rPr>
          <w:color w:val="000000"/>
          <w:shd w:val="clear" w:color="auto" w:fill="FFFFFF"/>
          <w:lang w:val="fr-FR"/>
        </w:rPr>
        <w:t>”</w:t>
      </w:r>
      <w:r w:rsidR="00420B66" w:rsidRPr="00DA2033">
        <w:rPr>
          <w:color w:val="000000"/>
          <w:shd w:val="clear" w:color="auto" w:fill="FFFFFF"/>
          <w:lang w:val="fr-FR"/>
        </w:rPr>
        <w:t xml:space="preserve"> du monde et la quête du sens de la vie dans les nouveaux mouvements religieux</w:t>
      </w:r>
      <w:r w:rsidRPr="00DA2033">
        <w:rPr>
          <w:color w:val="000000"/>
          <w:shd w:val="clear" w:color="auto" w:fill="FFFFFF"/>
          <w:lang w:val="fr-FR"/>
        </w:rPr>
        <w:t> »</w:t>
      </w:r>
      <w:r w:rsidR="00420B66" w:rsidRPr="00DA2033">
        <w:rPr>
          <w:color w:val="000000"/>
          <w:shd w:val="clear" w:color="auto" w:fill="FFFFFF"/>
          <w:lang w:val="fr-FR"/>
        </w:rPr>
        <w:t xml:space="preserve">, </w:t>
      </w:r>
      <w:r w:rsidR="00420B66" w:rsidRPr="00DA2033">
        <w:rPr>
          <w:iCs/>
          <w:color w:val="000000"/>
          <w:lang w:val="fr-FR"/>
        </w:rPr>
        <w:t>dans</w:t>
      </w:r>
      <w:r w:rsidR="00420B66" w:rsidRPr="00DA2033">
        <w:rPr>
          <w:i/>
          <w:iCs/>
          <w:color w:val="000000"/>
          <w:lang w:val="fr-FR"/>
        </w:rPr>
        <w:t> </w:t>
      </w:r>
      <w:r w:rsidRPr="00DA2033">
        <w:rPr>
          <w:iCs/>
          <w:color w:val="000000"/>
          <w:lang w:val="fr-FR"/>
        </w:rPr>
        <w:t xml:space="preserve">Y. </w:t>
      </w:r>
      <w:proofErr w:type="spellStart"/>
      <w:r w:rsidR="00420B66" w:rsidRPr="00DA2033">
        <w:rPr>
          <w:color w:val="000000"/>
          <w:shd w:val="clear" w:color="auto" w:fill="FFFFFF"/>
          <w:lang w:val="fr-FR"/>
        </w:rPr>
        <w:t>Tardan-Masquelier</w:t>
      </w:r>
      <w:proofErr w:type="spellEnd"/>
      <w:r w:rsidRPr="00DA2033">
        <w:rPr>
          <w:color w:val="000000"/>
          <w:shd w:val="clear" w:color="auto" w:fill="FFFFFF"/>
          <w:lang w:val="fr-FR"/>
        </w:rPr>
        <w:t xml:space="preserve"> </w:t>
      </w:r>
      <w:r w:rsidR="00420B66" w:rsidRPr="00DA2033">
        <w:rPr>
          <w:color w:val="000000"/>
          <w:shd w:val="clear" w:color="auto" w:fill="FFFFFF"/>
          <w:lang w:val="fr-FR"/>
        </w:rPr>
        <w:t>(</w:t>
      </w:r>
      <w:proofErr w:type="spellStart"/>
      <w:r w:rsidR="00420B66" w:rsidRPr="00DA2033">
        <w:rPr>
          <w:color w:val="000000"/>
          <w:shd w:val="clear" w:color="auto" w:fill="FFFFFF"/>
          <w:lang w:val="fr-FR"/>
        </w:rPr>
        <w:t>dir</w:t>
      </w:r>
      <w:proofErr w:type="spellEnd"/>
      <w:r w:rsidR="00420B66" w:rsidRPr="00DA2033">
        <w:rPr>
          <w:color w:val="000000"/>
          <w:shd w:val="clear" w:color="auto" w:fill="FFFFFF"/>
          <w:lang w:val="fr-FR"/>
        </w:rPr>
        <w:t>.), </w:t>
      </w:r>
      <w:r w:rsidR="00420B66" w:rsidRPr="00DA2033">
        <w:rPr>
          <w:i/>
          <w:iCs/>
          <w:color w:val="000000"/>
          <w:lang w:val="fr-FR"/>
        </w:rPr>
        <w:t xml:space="preserve">Les spiritualités au carrefour du monde moderne, </w:t>
      </w:r>
      <w:r w:rsidR="00420B66" w:rsidRPr="00DA2033">
        <w:rPr>
          <w:color w:val="000000"/>
          <w:shd w:val="clear" w:color="auto" w:fill="FFFFFF"/>
          <w:lang w:val="fr-FR"/>
        </w:rPr>
        <w:t xml:space="preserve">Paris, Centurion, </w:t>
      </w:r>
      <w:r w:rsidRPr="00DA2033">
        <w:rPr>
          <w:color w:val="000000"/>
          <w:shd w:val="clear" w:color="auto" w:fill="FFFFFF"/>
          <w:lang w:val="fr-FR"/>
        </w:rPr>
        <w:t>pp</w:t>
      </w:r>
      <w:r w:rsidR="00420B66" w:rsidRPr="00DA2033">
        <w:rPr>
          <w:color w:val="000000"/>
          <w:shd w:val="clear" w:color="auto" w:fill="FFFFFF"/>
          <w:lang w:val="fr-FR"/>
        </w:rPr>
        <w:t>. 85-101.</w:t>
      </w:r>
    </w:p>
    <w:p w14:paraId="5A0EBA5F" w14:textId="77777777" w:rsidR="004D0DA0" w:rsidRPr="00DA2033" w:rsidRDefault="004D0DA0" w:rsidP="004D0DA0">
      <w:pPr>
        <w:jc w:val="both"/>
        <w:rPr>
          <w:color w:val="000000"/>
          <w:shd w:val="clear" w:color="auto" w:fill="FFFFFF"/>
          <w:lang w:val="fr-FR"/>
        </w:rPr>
      </w:pPr>
    </w:p>
    <w:p w14:paraId="62B46A02" w14:textId="77777777" w:rsidR="0025687E" w:rsidRPr="003930DA" w:rsidRDefault="009D4831" w:rsidP="004D0DA0">
      <w:pPr>
        <w:jc w:val="both"/>
        <w:rPr>
          <w:caps/>
          <w:lang w:val="fr-FR"/>
        </w:rPr>
      </w:pPr>
      <w:r w:rsidRPr="003930DA">
        <w:rPr>
          <w:caps/>
          <w:lang w:val="fr-FR"/>
        </w:rPr>
        <w:t>Touraine, A.</w:t>
      </w:r>
    </w:p>
    <w:p w14:paraId="33806BA8" w14:textId="3B1DC2C4" w:rsidR="009D4831" w:rsidRPr="00DA2033" w:rsidRDefault="009D4831" w:rsidP="004D0DA0">
      <w:pPr>
        <w:jc w:val="both"/>
        <w:rPr>
          <w:color w:val="323232"/>
          <w:shd w:val="clear" w:color="auto" w:fill="FAFAFA"/>
          <w:lang w:val="fr-FR"/>
        </w:rPr>
      </w:pPr>
      <w:r w:rsidRPr="00DA2033">
        <w:rPr>
          <w:lang w:val="fr-FR"/>
        </w:rPr>
        <w:t>2000</w:t>
      </w:r>
      <w:r w:rsidR="0025687E">
        <w:rPr>
          <w:lang w:val="fr-FR"/>
        </w:rPr>
        <w:tab/>
      </w:r>
      <w:r w:rsidRPr="00DA2033">
        <w:rPr>
          <w:color w:val="323232"/>
          <w:shd w:val="clear" w:color="auto" w:fill="FAFAFA"/>
          <w:lang w:val="fr-FR"/>
        </w:rPr>
        <w:t>« La société comme utopie »,</w:t>
      </w:r>
      <w:r w:rsidRPr="00DA2033">
        <w:rPr>
          <w:rStyle w:val="apple-converted-space"/>
          <w:color w:val="323232"/>
          <w:shd w:val="clear" w:color="auto" w:fill="FAFAFA"/>
          <w:lang w:val="fr-FR"/>
        </w:rPr>
        <w:t xml:space="preserve"> </w:t>
      </w:r>
      <w:r w:rsidRPr="00DA2033">
        <w:rPr>
          <w:rStyle w:val="Accentuation"/>
          <w:i w:val="0"/>
          <w:color w:val="323232"/>
          <w:lang w:val="fr-FR"/>
        </w:rPr>
        <w:t xml:space="preserve">dans </w:t>
      </w:r>
      <w:r w:rsidRPr="00DA2033">
        <w:rPr>
          <w:color w:val="323232"/>
          <w:shd w:val="clear" w:color="auto" w:fill="FAFAFA"/>
          <w:lang w:val="fr-FR"/>
        </w:rPr>
        <w:t xml:space="preserve">L. Tower </w:t>
      </w:r>
      <w:r w:rsidR="0018784C" w:rsidRPr="00DA2033">
        <w:rPr>
          <w:color w:val="323232"/>
          <w:shd w:val="clear" w:color="auto" w:fill="FAFAFA"/>
          <w:lang w:val="fr-FR"/>
        </w:rPr>
        <w:t xml:space="preserve">Sargent </w:t>
      </w:r>
      <w:r w:rsidRPr="00DA2033">
        <w:rPr>
          <w:color w:val="323232"/>
          <w:shd w:val="clear" w:color="auto" w:fill="FAFAFA"/>
          <w:lang w:val="fr-FR"/>
        </w:rPr>
        <w:t xml:space="preserve">&amp; R. </w:t>
      </w:r>
      <w:proofErr w:type="spellStart"/>
      <w:r w:rsidRPr="00DA2033">
        <w:rPr>
          <w:color w:val="323232"/>
          <w:shd w:val="clear" w:color="auto" w:fill="FAFAFA"/>
          <w:lang w:val="fr-FR"/>
        </w:rPr>
        <w:t>Schaer</w:t>
      </w:r>
      <w:proofErr w:type="spellEnd"/>
      <w:r w:rsidRPr="00DA2033">
        <w:rPr>
          <w:color w:val="323232"/>
          <w:shd w:val="clear" w:color="auto" w:fill="FAFAFA"/>
          <w:lang w:val="fr-FR"/>
        </w:rPr>
        <w:t xml:space="preserve"> (</w:t>
      </w:r>
      <w:proofErr w:type="spellStart"/>
      <w:r w:rsidRPr="00DA2033">
        <w:rPr>
          <w:color w:val="323232"/>
          <w:shd w:val="clear" w:color="auto" w:fill="FAFAFA"/>
          <w:lang w:val="fr-FR"/>
        </w:rPr>
        <w:t>dirs</w:t>
      </w:r>
      <w:proofErr w:type="spellEnd"/>
      <w:r w:rsidRPr="00DA2033">
        <w:rPr>
          <w:color w:val="323232"/>
          <w:shd w:val="clear" w:color="auto" w:fill="FAFAFA"/>
          <w:lang w:val="fr-FR"/>
        </w:rPr>
        <w:t>),</w:t>
      </w:r>
      <w:r w:rsidR="0018784C" w:rsidRPr="00DA2033">
        <w:rPr>
          <w:rStyle w:val="apple-converted-space"/>
          <w:color w:val="323232"/>
          <w:shd w:val="clear" w:color="auto" w:fill="FAFAFA"/>
          <w:lang w:val="fr-FR"/>
        </w:rPr>
        <w:t xml:space="preserve"> </w:t>
      </w:r>
      <w:r w:rsidRPr="00DA2033">
        <w:rPr>
          <w:rStyle w:val="Accentuation"/>
          <w:color w:val="323232"/>
          <w:lang w:val="fr-FR"/>
        </w:rPr>
        <w:t>Utopie. La quête de la société idéale en Occident</w:t>
      </w:r>
      <w:r w:rsidRPr="00DA2033">
        <w:rPr>
          <w:color w:val="323232"/>
          <w:shd w:val="clear" w:color="auto" w:fill="FAFAFA"/>
          <w:lang w:val="fr-FR"/>
        </w:rPr>
        <w:t>, BNF &amp; Fayard, Paris.</w:t>
      </w:r>
    </w:p>
    <w:p w14:paraId="57AC4D1C" w14:textId="77777777" w:rsidR="004D0DA0" w:rsidRPr="00DA2033" w:rsidRDefault="004D0DA0" w:rsidP="004D0DA0">
      <w:pPr>
        <w:jc w:val="both"/>
        <w:rPr>
          <w:color w:val="323232"/>
          <w:shd w:val="clear" w:color="auto" w:fill="FAFAFA"/>
          <w:lang w:val="fr-FR"/>
        </w:rPr>
      </w:pPr>
    </w:p>
    <w:p w14:paraId="2D4C8F89" w14:textId="77777777" w:rsidR="003930DA" w:rsidRPr="00FD1239" w:rsidRDefault="00091FFA" w:rsidP="004D0DA0">
      <w:pPr>
        <w:pStyle w:val="NormalWeb"/>
        <w:spacing w:before="0" w:beforeAutospacing="0" w:after="0" w:afterAutospacing="0"/>
        <w:jc w:val="both"/>
        <w:rPr>
          <w:rFonts w:ascii="Times New Roman" w:eastAsia="Times New Roman" w:hAnsi="Times New Roman"/>
          <w:caps/>
          <w:color w:val="232323"/>
          <w:sz w:val="24"/>
          <w:szCs w:val="24"/>
        </w:rPr>
      </w:pPr>
      <w:r w:rsidRPr="00FD1239">
        <w:rPr>
          <w:rFonts w:ascii="Times New Roman" w:eastAsia="Times New Roman" w:hAnsi="Times New Roman"/>
          <w:caps/>
          <w:color w:val="232323"/>
          <w:sz w:val="24"/>
          <w:szCs w:val="24"/>
        </w:rPr>
        <w:t>Winnicott, D.</w:t>
      </w:r>
      <w:r w:rsidR="00986A53" w:rsidRPr="00FD1239">
        <w:rPr>
          <w:rFonts w:ascii="Times New Roman" w:eastAsia="Times New Roman" w:hAnsi="Times New Roman"/>
          <w:caps/>
          <w:color w:val="232323"/>
          <w:sz w:val="24"/>
          <w:szCs w:val="24"/>
        </w:rPr>
        <w:t> </w:t>
      </w:r>
      <w:r w:rsidRPr="00FD1239">
        <w:rPr>
          <w:rFonts w:ascii="Times New Roman" w:eastAsia="Times New Roman" w:hAnsi="Times New Roman"/>
          <w:caps/>
          <w:color w:val="232323"/>
          <w:sz w:val="24"/>
          <w:szCs w:val="24"/>
        </w:rPr>
        <w:t>W.</w:t>
      </w:r>
    </w:p>
    <w:p w14:paraId="60AEDD54" w14:textId="3F47A10F" w:rsidR="00091FFA" w:rsidRPr="00DA2033" w:rsidRDefault="00091FFA" w:rsidP="004D0DA0">
      <w:pPr>
        <w:pStyle w:val="NormalWeb"/>
        <w:spacing w:before="0" w:beforeAutospacing="0" w:after="0" w:afterAutospacing="0"/>
        <w:jc w:val="both"/>
        <w:rPr>
          <w:rFonts w:ascii="Times New Roman" w:eastAsia="Times New Roman" w:hAnsi="Times New Roman"/>
          <w:color w:val="232323"/>
          <w:sz w:val="24"/>
          <w:szCs w:val="24"/>
        </w:rPr>
      </w:pPr>
      <w:r w:rsidRPr="00DA2033">
        <w:rPr>
          <w:rFonts w:ascii="Times New Roman" w:eastAsia="Times New Roman" w:hAnsi="Times New Roman"/>
          <w:color w:val="232323"/>
          <w:sz w:val="24"/>
          <w:szCs w:val="24"/>
        </w:rPr>
        <w:t>1971</w:t>
      </w:r>
      <w:r w:rsidR="003930DA">
        <w:rPr>
          <w:rFonts w:ascii="Times New Roman" w:eastAsia="Times New Roman" w:hAnsi="Times New Roman"/>
          <w:color w:val="232323"/>
          <w:sz w:val="24"/>
          <w:szCs w:val="24"/>
        </w:rPr>
        <w:tab/>
      </w:r>
      <w:proofErr w:type="spellStart"/>
      <w:r w:rsidRPr="00DA2033">
        <w:rPr>
          <w:rFonts w:ascii="Times New Roman" w:eastAsia="Times New Roman" w:hAnsi="Times New Roman"/>
          <w:i/>
          <w:color w:val="232323"/>
          <w:sz w:val="24"/>
          <w:szCs w:val="24"/>
        </w:rPr>
        <w:t>Playing</w:t>
      </w:r>
      <w:proofErr w:type="spellEnd"/>
      <w:r w:rsidRPr="00DA2033">
        <w:rPr>
          <w:rFonts w:ascii="Times New Roman" w:eastAsia="Times New Roman" w:hAnsi="Times New Roman"/>
          <w:i/>
          <w:color w:val="232323"/>
          <w:sz w:val="24"/>
          <w:szCs w:val="24"/>
        </w:rPr>
        <w:t xml:space="preserve"> and Reality</w:t>
      </w:r>
      <w:r w:rsidRPr="00DA2033">
        <w:rPr>
          <w:rFonts w:ascii="Times New Roman" w:eastAsia="Times New Roman" w:hAnsi="Times New Roman"/>
          <w:color w:val="232323"/>
          <w:sz w:val="24"/>
          <w:szCs w:val="24"/>
        </w:rPr>
        <w:t xml:space="preserve">, Londres, Penguin Books ; </w:t>
      </w:r>
      <w:r w:rsidRPr="00DA2033">
        <w:rPr>
          <w:rFonts w:ascii="Times New Roman" w:eastAsia="Times New Roman" w:hAnsi="Times New Roman"/>
          <w:i/>
          <w:color w:val="232323"/>
          <w:sz w:val="24"/>
          <w:szCs w:val="24"/>
        </w:rPr>
        <w:t>Jeu et réalité, L’espace potentiel</w:t>
      </w:r>
      <w:r w:rsidRPr="00DA2033">
        <w:rPr>
          <w:rFonts w:ascii="Times New Roman" w:eastAsia="Times New Roman" w:hAnsi="Times New Roman"/>
          <w:color w:val="232323"/>
          <w:sz w:val="24"/>
          <w:szCs w:val="24"/>
        </w:rPr>
        <w:t xml:space="preserve">, trad. </w:t>
      </w:r>
      <w:proofErr w:type="spellStart"/>
      <w:r w:rsidRPr="00DA2033">
        <w:rPr>
          <w:rFonts w:ascii="Times New Roman" w:eastAsia="Times New Roman" w:hAnsi="Times New Roman"/>
          <w:color w:val="232323"/>
          <w:sz w:val="24"/>
          <w:szCs w:val="24"/>
        </w:rPr>
        <w:t>fr.</w:t>
      </w:r>
      <w:proofErr w:type="spellEnd"/>
      <w:r w:rsidRPr="00DA2033">
        <w:rPr>
          <w:rFonts w:ascii="Times New Roman" w:eastAsia="Times New Roman" w:hAnsi="Times New Roman"/>
          <w:color w:val="232323"/>
          <w:sz w:val="24"/>
          <w:szCs w:val="24"/>
        </w:rPr>
        <w:t>, Paris, Gallimard, 1975.</w:t>
      </w:r>
    </w:p>
    <w:p w14:paraId="7A4CDD0A" w14:textId="77777777" w:rsidR="004D0DA0" w:rsidRPr="00DA2033" w:rsidRDefault="004D0DA0" w:rsidP="004D0DA0">
      <w:pPr>
        <w:pStyle w:val="NormalWeb"/>
        <w:spacing w:before="0" w:beforeAutospacing="0" w:after="0" w:afterAutospacing="0"/>
        <w:jc w:val="both"/>
        <w:rPr>
          <w:rFonts w:ascii="Times New Roman" w:eastAsia="Times New Roman" w:hAnsi="Times New Roman"/>
          <w:color w:val="232323"/>
          <w:sz w:val="24"/>
          <w:szCs w:val="24"/>
        </w:rPr>
      </w:pPr>
    </w:p>
    <w:p w14:paraId="139C3C17" w14:textId="77777777" w:rsidR="00695628" w:rsidRPr="00695628" w:rsidRDefault="00061FBE" w:rsidP="004D0DA0">
      <w:pPr>
        <w:jc w:val="both"/>
        <w:rPr>
          <w:caps/>
          <w:lang w:val="fr-FR"/>
        </w:rPr>
      </w:pPr>
      <w:r w:rsidRPr="00695628">
        <w:rPr>
          <w:caps/>
          <w:lang w:val="fr-FR"/>
        </w:rPr>
        <w:lastRenderedPageBreak/>
        <w:t>Zilberberg, C.</w:t>
      </w:r>
    </w:p>
    <w:p w14:paraId="2F6DBC6E" w14:textId="39FA8DAC" w:rsidR="00061FBE" w:rsidRPr="00DA2033" w:rsidRDefault="00061FBE" w:rsidP="004D0DA0">
      <w:pPr>
        <w:jc w:val="both"/>
        <w:rPr>
          <w:lang w:val="fr-FR"/>
        </w:rPr>
      </w:pPr>
      <w:r w:rsidRPr="00DA2033">
        <w:rPr>
          <w:lang w:val="fr-FR"/>
        </w:rPr>
        <w:t>2006</w:t>
      </w:r>
      <w:r w:rsidR="00695628">
        <w:rPr>
          <w:lang w:val="fr-FR"/>
        </w:rPr>
        <w:tab/>
      </w:r>
      <w:r w:rsidRPr="00DA2033">
        <w:rPr>
          <w:lang w:val="fr-FR"/>
        </w:rPr>
        <w:t xml:space="preserve">« Le double conditionnement – tensif et rhétorique – des structures élémentaires de la signification », </w:t>
      </w:r>
      <w:r w:rsidRPr="00DA2033">
        <w:rPr>
          <w:rFonts w:eastAsiaTheme="minorHAnsi"/>
          <w:lang w:val="fr-FR" w:eastAsia="en-US"/>
        </w:rPr>
        <w:t>dans J. Alonso, D. Be</w:t>
      </w:r>
      <w:r w:rsidR="009900FD" w:rsidRPr="00DA2033">
        <w:rPr>
          <w:rFonts w:eastAsiaTheme="minorHAnsi"/>
          <w:lang w:val="fr-FR" w:eastAsia="en-US"/>
        </w:rPr>
        <w:t>r</w:t>
      </w:r>
      <w:r w:rsidRPr="00DA2033">
        <w:rPr>
          <w:rFonts w:eastAsiaTheme="minorHAnsi"/>
          <w:lang w:val="fr-FR" w:eastAsia="en-US"/>
        </w:rPr>
        <w:t xml:space="preserve">trand, M. </w:t>
      </w:r>
      <w:proofErr w:type="spellStart"/>
      <w:r w:rsidRPr="00DA2033">
        <w:rPr>
          <w:rFonts w:eastAsiaTheme="minorHAnsi"/>
          <w:lang w:val="fr-FR" w:eastAsia="en-US"/>
        </w:rPr>
        <w:t>Costantini</w:t>
      </w:r>
      <w:proofErr w:type="spellEnd"/>
      <w:r w:rsidRPr="00DA2033">
        <w:rPr>
          <w:rFonts w:eastAsiaTheme="minorHAnsi"/>
          <w:lang w:val="fr-FR" w:eastAsia="en-US"/>
        </w:rPr>
        <w:t xml:space="preserve"> &amp; S. </w:t>
      </w:r>
      <w:proofErr w:type="spellStart"/>
      <w:r w:rsidRPr="00DA2033">
        <w:rPr>
          <w:rFonts w:eastAsiaTheme="minorHAnsi"/>
          <w:lang w:val="fr-FR" w:eastAsia="en-US"/>
        </w:rPr>
        <w:t>Dambrine</w:t>
      </w:r>
      <w:proofErr w:type="spellEnd"/>
      <w:r w:rsidRPr="00DA2033">
        <w:rPr>
          <w:rFonts w:eastAsiaTheme="minorHAnsi"/>
          <w:lang w:val="fr-FR" w:eastAsia="en-US"/>
        </w:rPr>
        <w:t xml:space="preserve"> (</w:t>
      </w:r>
      <w:proofErr w:type="spellStart"/>
      <w:r w:rsidRPr="00DA2033">
        <w:rPr>
          <w:rFonts w:eastAsiaTheme="minorHAnsi"/>
          <w:lang w:val="fr-FR" w:eastAsia="en-US"/>
        </w:rPr>
        <w:t>dirs</w:t>
      </w:r>
      <w:proofErr w:type="spellEnd"/>
      <w:r w:rsidRPr="00DA2033">
        <w:rPr>
          <w:rFonts w:eastAsiaTheme="minorHAnsi"/>
          <w:lang w:val="fr-FR" w:eastAsia="en-US"/>
        </w:rPr>
        <w:t xml:space="preserve">), </w:t>
      </w:r>
      <w:r w:rsidRPr="00DA2033">
        <w:rPr>
          <w:rFonts w:eastAsiaTheme="minorHAnsi"/>
          <w:i/>
          <w:lang w:val="fr-FR" w:eastAsia="en-US"/>
        </w:rPr>
        <w:t>La transversalité du sens. Parcours sémiotiques</w:t>
      </w:r>
      <w:r w:rsidRPr="00DA2033">
        <w:rPr>
          <w:rFonts w:eastAsiaTheme="minorHAnsi"/>
          <w:lang w:val="fr-FR" w:eastAsia="en-US"/>
        </w:rPr>
        <w:t xml:space="preserve"> », Saint-Denis, PUV, </w:t>
      </w:r>
      <w:r w:rsidRPr="00DA2033">
        <w:rPr>
          <w:lang w:val="fr-FR"/>
        </w:rPr>
        <w:t>pp. 35-45.</w:t>
      </w:r>
    </w:p>
    <w:p w14:paraId="1FE2846E" w14:textId="77777777" w:rsidR="00420B66" w:rsidRPr="00DA2033" w:rsidRDefault="00420B66" w:rsidP="00FE0A0C">
      <w:pPr>
        <w:spacing w:after="120"/>
        <w:jc w:val="both"/>
        <w:rPr>
          <w:lang w:val="fr-FR"/>
        </w:rPr>
      </w:pPr>
    </w:p>
    <w:p w14:paraId="4FFF39D7" w14:textId="77777777" w:rsidR="00420B66" w:rsidRPr="00DA2033" w:rsidRDefault="00420B66" w:rsidP="00FE0A0C">
      <w:pPr>
        <w:spacing w:after="120"/>
        <w:jc w:val="both"/>
        <w:rPr>
          <w:lang w:val="fr-FR"/>
        </w:rPr>
      </w:pPr>
    </w:p>
    <w:p w14:paraId="0D5ACAB2" w14:textId="77777777" w:rsidR="00420B66" w:rsidRPr="00DA2033" w:rsidRDefault="00420B66" w:rsidP="00FE0A0C">
      <w:pPr>
        <w:spacing w:after="120"/>
        <w:jc w:val="both"/>
        <w:rPr>
          <w:lang w:val="fr-FR"/>
        </w:rPr>
      </w:pPr>
    </w:p>
    <w:p w14:paraId="6F1EBD1E" w14:textId="77777777" w:rsidR="00420B66" w:rsidRPr="00DA2033" w:rsidRDefault="00420B66" w:rsidP="00FE0A0C">
      <w:pPr>
        <w:spacing w:after="120"/>
        <w:jc w:val="both"/>
        <w:rPr>
          <w:lang w:val="fr-FR"/>
        </w:rPr>
      </w:pPr>
    </w:p>
    <w:bookmarkEnd w:id="0"/>
    <w:p w14:paraId="094A196B" w14:textId="77777777" w:rsidR="00420B66" w:rsidRPr="00DA2033" w:rsidRDefault="00420B66" w:rsidP="00FE0A0C">
      <w:pPr>
        <w:spacing w:after="120"/>
        <w:jc w:val="both"/>
        <w:rPr>
          <w:sz w:val="22"/>
          <w:szCs w:val="22"/>
          <w:lang w:val="fr-FR"/>
        </w:rPr>
      </w:pPr>
    </w:p>
    <w:p w14:paraId="7ABDD889" w14:textId="77777777" w:rsidR="00420B66" w:rsidRPr="00DA2033" w:rsidRDefault="00420B66" w:rsidP="00FE0A0C">
      <w:pPr>
        <w:spacing w:after="120"/>
        <w:jc w:val="both"/>
        <w:rPr>
          <w:sz w:val="22"/>
          <w:szCs w:val="22"/>
          <w:lang w:val="fr-FR"/>
        </w:rPr>
      </w:pPr>
    </w:p>
    <w:p w14:paraId="60290896" w14:textId="77777777" w:rsidR="00420B66" w:rsidRPr="00DA2033" w:rsidRDefault="00420B66" w:rsidP="00FE0A0C">
      <w:pPr>
        <w:rPr>
          <w:lang w:val="fr-FR"/>
        </w:rPr>
      </w:pPr>
    </w:p>
    <w:p w14:paraId="213B5669" w14:textId="77777777" w:rsidR="008A77B9" w:rsidRPr="00DA2033" w:rsidRDefault="008A77B9" w:rsidP="00FE0A0C">
      <w:pPr>
        <w:rPr>
          <w:lang w:val="fr-FR"/>
        </w:rPr>
      </w:pPr>
    </w:p>
    <w:sectPr w:rsidR="008A77B9" w:rsidRPr="00DA2033" w:rsidSect="00FE0A0C">
      <w:footerReference w:type="even" r:id="rId9"/>
      <w:footerReference w:type="default" r:id="rId10"/>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1BAC" w16cex:dateUtc="2023-07-25T08:00:00Z"/>
  <w16cex:commentExtensible w16cex:durableId="286A1D0B" w16cex:dateUtc="2023-07-25T08:06:00Z"/>
  <w16cex:commentExtensible w16cex:durableId="286A26AE" w16cex:dateUtc="2023-07-25T08:47:00Z"/>
  <w16cex:commentExtensible w16cex:durableId="286A26D1" w16cex:dateUtc="2023-07-25T08:47:00Z"/>
  <w16cex:commentExtensible w16cex:durableId="286A27D5" w16cex:dateUtc="2023-07-25T08:52:00Z"/>
  <w16cex:commentExtensible w16cex:durableId="286A285E" w16cex:dateUtc="2023-07-25T0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2D14D" w14:textId="77777777" w:rsidR="00123187" w:rsidRDefault="00123187" w:rsidP="00420B66">
      <w:r>
        <w:separator/>
      </w:r>
    </w:p>
  </w:endnote>
  <w:endnote w:type="continuationSeparator" w:id="0">
    <w:p w14:paraId="19F1DA5F" w14:textId="77777777" w:rsidR="00123187" w:rsidRDefault="00123187" w:rsidP="0042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46688941"/>
      <w:docPartObj>
        <w:docPartGallery w:val="Page Numbers (Bottom of Page)"/>
        <w:docPartUnique/>
      </w:docPartObj>
    </w:sdtPr>
    <w:sdtEndPr>
      <w:rPr>
        <w:rStyle w:val="Numrodepage"/>
      </w:rPr>
    </w:sdtEndPr>
    <w:sdtContent>
      <w:p w14:paraId="20C191F6" w14:textId="26F814BF" w:rsidR="00FE0A0C" w:rsidRDefault="00FE0A0C" w:rsidP="008142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B1B034" w14:textId="77777777" w:rsidR="00FE0A0C" w:rsidRDefault="00FE0A0C" w:rsidP="00FE0A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46814361"/>
      <w:docPartObj>
        <w:docPartGallery w:val="Page Numbers (Bottom of Page)"/>
        <w:docPartUnique/>
      </w:docPartObj>
    </w:sdtPr>
    <w:sdtEndPr>
      <w:rPr>
        <w:rStyle w:val="Numrodepage"/>
      </w:rPr>
    </w:sdtEndPr>
    <w:sdtContent>
      <w:p w14:paraId="3DF31797" w14:textId="32C48BC1" w:rsidR="00FE0A0C" w:rsidRDefault="00FE0A0C" w:rsidP="008142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6B9B8CB" w14:textId="77777777" w:rsidR="00FE0A0C" w:rsidRDefault="00FE0A0C" w:rsidP="00FE0A0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A978" w14:textId="77777777" w:rsidR="00123187" w:rsidRDefault="00123187" w:rsidP="00420B66">
      <w:r>
        <w:separator/>
      </w:r>
    </w:p>
  </w:footnote>
  <w:footnote w:type="continuationSeparator" w:id="0">
    <w:p w14:paraId="2E339FEB" w14:textId="77777777" w:rsidR="00123187" w:rsidRDefault="00123187" w:rsidP="00420B66">
      <w:r>
        <w:continuationSeparator/>
      </w:r>
    </w:p>
  </w:footnote>
  <w:footnote w:id="1">
    <w:p w14:paraId="31058736" w14:textId="5A7C207F" w:rsidR="000D3B1D" w:rsidRPr="000D3B1D" w:rsidRDefault="000D3B1D">
      <w:pPr>
        <w:pStyle w:val="Notedebasdepage"/>
      </w:pPr>
      <w:r>
        <w:rPr>
          <w:rStyle w:val="Appelnotedebasdep"/>
        </w:rPr>
        <w:footnoteRef/>
      </w:r>
      <w:r>
        <w:t xml:space="preserve"> Université du Luxembourg ; marion.colas@uni.lu</w:t>
      </w:r>
    </w:p>
  </w:footnote>
  <w:footnote w:id="2">
    <w:p w14:paraId="5A8C98B3" w14:textId="3CC08B08" w:rsidR="00502418" w:rsidRPr="00FF13DE" w:rsidRDefault="00C25B4A" w:rsidP="00420B66">
      <w:pPr>
        <w:pStyle w:val="Notedebasdepage"/>
      </w:pPr>
      <w:r>
        <w:rPr>
          <w:rStyle w:val="Appelnotedebasdep"/>
        </w:rPr>
        <w:footnoteRef/>
      </w:r>
      <w:r>
        <w:t xml:space="preserve"> Cf. l’entrée « Transition » dans le </w:t>
      </w:r>
      <w:r w:rsidRPr="00FF13DE">
        <w:rPr>
          <w:i/>
        </w:rPr>
        <w:t>TLF</w:t>
      </w:r>
      <w:r>
        <w:t> : il y est question d’une « transition brusque, brutale, rapide ».</w:t>
      </w:r>
    </w:p>
  </w:footnote>
  <w:footnote w:id="3">
    <w:p w14:paraId="27AFDADC" w14:textId="20FD0FB0" w:rsidR="00C25B4A" w:rsidRPr="00714CFE" w:rsidRDefault="00C25B4A">
      <w:pPr>
        <w:pStyle w:val="Notedebasdepage"/>
      </w:pPr>
      <w:r>
        <w:rPr>
          <w:rStyle w:val="Appelnotedebasdep"/>
        </w:rPr>
        <w:footnoteRef/>
      </w:r>
      <w:r>
        <w:t xml:space="preserve"> Piet Mondrian, </w:t>
      </w:r>
      <w:r w:rsidRPr="00047140">
        <w:rPr>
          <w:i/>
        </w:rPr>
        <w:t>Composition en rouge, jaune et bleu</w:t>
      </w:r>
      <w:r>
        <w:t>, huile sur toile, 59 cm x 54 cm, 1936-1943.</w:t>
      </w:r>
    </w:p>
  </w:footnote>
  <w:footnote w:id="4">
    <w:p w14:paraId="206BF90C" w14:textId="31A1E18B" w:rsidR="00BE5877" w:rsidRPr="00BE5877" w:rsidRDefault="00BE5877">
      <w:pPr>
        <w:pStyle w:val="Notedebasdepage"/>
      </w:pPr>
      <w:r>
        <w:rPr>
          <w:rStyle w:val="Appelnotedebasdep"/>
        </w:rPr>
        <w:footnoteRef/>
      </w:r>
      <w:r>
        <w:t xml:space="preserve"> Cf. </w:t>
      </w:r>
      <w:proofErr w:type="spellStart"/>
      <w:r>
        <w:t>Badir</w:t>
      </w:r>
      <w:proofErr w:type="spellEnd"/>
      <w:r>
        <w:t xml:space="preserve"> (2018 : 163) au sujet du flou et de la nuance.</w:t>
      </w:r>
    </w:p>
  </w:footnote>
  <w:footnote w:id="5">
    <w:p w14:paraId="693E1401" w14:textId="3D365F5E" w:rsidR="00C25B4A" w:rsidRPr="00ED6F87" w:rsidRDefault="00C25B4A" w:rsidP="00420B66">
      <w:pPr>
        <w:jc w:val="both"/>
        <w:rPr>
          <w:sz w:val="20"/>
          <w:szCs w:val="20"/>
          <w:lang w:val="fr-CH"/>
        </w:rPr>
      </w:pPr>
      <w:r w:rsidRPr="009D2CED">
        <w:rPr>
          <w:rStyle w:val="Appelnotedebasdep"/>
          <w:sz w:val="20"/>
          <w:szCs w:val="20"/>
        </w:rPr>
        <w:footnoteRef/>
      </w:r>
      <w:r w:rsidRPr="009D2CED">
        <w:rPr>
          <w:sz w:val="20"/>
          <w:szCs w:val="20"/>
        </w:rPr>
        <w:t xml:space="preserve"> Cf. Bruno </w:t>
      </w:r>
      <w:r w:rsidRPr="009D2CED">
        <w:rPr>
          <w:sz w:val="20"/>
          <w:szCs w:val="20"/>
          <w:lang w:val="fr-CH"/>
        </w:rPr>
        <w:t>Latour (2014</w:t>
      </w:r>
      <w:r>
        <w:rPr>
          <w:sz w:val="20"/>
          <w:szCs w:val="20"/>
          <w:lang w:val="fr-CH"/>
        </w:rPr>
        <w:t> :</w:t>
      </w:r>
      <w:r w:rsidRPr="009D2CED">
        <w:rPr>
          <w:sz w:val="20"/>
          <w:szCs w:val="20"/>
          <w:lang w:val="fr-CH"/>
        </w:rPr>
        <w:t xml:space="preserve"> 123, pour un tel dédoublement des strates d’organisation du sens : </w:t>
      </w:r>
      <w:r w:rsidRPr="009D2CED">
        <w:rPr>
          <w:sz w:val="20"/>
          <w:szCs w:val="20"/>
        </w:rPr>
        <w:t xml:space="preserve">« […] il ne faut pas confondre le </w:t>
      </w:r>
      <w:proofErr w:type="spellStart"/>
      <w:r w:rsidRPr="009D2CED">
        <w:rPr>
          <w:sz w:val="20"/>
          <w:szCs w:val="20"/>
        </w:rPr>
        <w:t>récit</w:t>
      </w:r>
      <w:proofErr w:type="spellEnd"/>
      <w:r w:rsidRPr="009D2CED">
        <w:rPr>
          <w:sz w:val="20"/>
          <w:szCs w:val="20"/>
        </w:rPr>
        <w:t xml:space="preserve"> (qui n’est jamais qu’un autre format de projection) avec la trajectoire. </w:t>
      </w:r>
      <w:r w:rsidRPr="009D2CED">
        <w:rPr>
          <w:sz w:val="20"/>
          <w:szCs w:val="20"/>
        </w:rPr>
        <w:t xml:space="preserve">Pour faire simple, la projection n’est pas le trajet par lequel on a </w:t>
      </w:r>
      <w:r w:rsidR="006F70AA" w:rsidRPr="009D2CED">
        <w:rPr>
          <w:sz w:val="20"/>
          <w:szCs w:val="20"/>
        </w:rPr>
        <w:t>rassemblé</w:t>
      </w:r>
      <w:r w:rsidRPr="009D2CED">
        <w:rPr>
          <w:sz w:val="20"/>
          <w:szCs w:val="20"/>
        </w:rPr>
        <w:t xml:space="preserve"> les connexions ».</w:t>
      </w:r>
    </w:p>
  </w:footnote>
  <w:footnote w:id="6">
    <w:p w14:paraId="0D92519E" w14:textId="77777777" w:rsidR="00C25B4A" w:rsidRPr="00794EA8" w:rsidRDefault="00C25B4A" w:rsidP="00420B66">
      <w:pPr>
        <w:pStyle w:val="Notedebasdepage"/>
        <w:jc w:val="both"/>
      </w:pPr>
      <w:r w:rsidRPr="00794EA8">
        <w:rPr>
          <w:rStyle w:val="Appelnotedebasdep"/>
        </w:rPr>
        <w:footnoteRef/>
      </w:r>
      <w:r w:rsidRPr="00794EA8">
        <w:t xml:space="preserve"> En ce sens, le </w:t>
      </w:r>
      <w:r w:rsidRPr="00794EA8">
        <w:rPr>
          <w:i/>
        </w:rPr>
        <w:t>faire faire</w:t>
      </w:r>
      <w:r w:rsidRPr="00794EA8">
        <w:t xml:space="preserve"> et le </w:t>
      </w:r>
      <w:r w:rsidRPr="00794EA8">
        <w:rPr>
          <w:i/>
        </w:rPr>
        <w:t>faire être</w:t>
      </w:r>
      <w:r w:rsidRPr="00794EA8">
        <w:t xml:space="preserve"> à la b</w:t>
      </w:r>
      <w:r>
        <w:t>a</w:t>
      </w:r>
      <w:r w:rsidRPr="00794EA8">
        <w:t xml:space="preserve">se de la transition doivent être distingués du </w:t>
      </w:r>
      <w:r w:rsidRPr="00794EA8">
        <w:rPr>
          <w:i/>
        </w:rPr>
        <w:t>faire faire</w:t>
      </w:r>
      <w:r w:rsidRPr="00794EA8">
        <w:t xml:space="preserve"> et du </w:t>
      </w:r>
      <w:r w:rsidRPr="00794EA8">
        <w:rPr>
          <w:i/>
        </w:rPr>
        <w:t>faire être</w:t>
      </w:r>
      <w:r w:rsidRPr="00794EA8">
        <w:t xml:space="preserve"> thématisés par Greimas (focalisation sur l’actant Destinateur manipulant un sujet).</w:t>
      </w:r>
    </w:p>
  </w:footnote>
  <w:footnote w:id="7">
    <w:p w14:paraId="4151D96A" w14:textId="194AA853" w:rsidR="00C25B4A" w:rsidRPr="00794EA8" w:rsidRDefault="00C25B4A" w:rsidP="00420B66">
      <w:pPr>
        <w:pStyle w:val="Notedebasdepage"/>
        <w:jc w:val="both"/>
        <w:rPr>
          <w:lang w:val="fr-CH"/>
        </w:rPr>
      </w:pPr>
      <w:r w:rsidRPr="00794EA8">
        <w:rPr>
          <w:rStyle w:val="Appelnotedebasdep"/>
        </w:rPr>
        <w:footnoteRef/>
      </w:r>
      <w:r w:rsidRPr="00794EA8">
        <w:t xml:space="preserve"> </w:t>
      </w:r>
      <w:r>
        <w:t xml:space="preserve">La typologie ajoute à l’actant </w:t>
      </w:r>
      <w:r w:rsidRPr="0006507F">
        <w:rPr>
          <w:i/>
        </w:rPr>
        <w:t>transitionnel</w:t>
      </w:r>
      <w:r>
        <w:t xml:space="preserve"> l’actant </w:t>
      </w:r>
      <w:r w:rsidRPr="0006507F">
        <w:rPr>
          <w:i/>
        </w:rPr>
        <w:t>fluent</w:t>
      </w:r>
      <w:r>
        <w:t xml:space="preserve">, qui correspond au « ça », et l’actant </w:t>
      </w:r>
      <w:proofErr w:type="spellStart"/>
      <w:r>
        <w:t>t</w:t>
      </w:r>
      <w:r w:rsidRPr="0006507F">
        <w:rPr>
          <w:i/>
        </w:rPr>
        <w:t>ransactantiel</w:t>
      </w:r>
      <w:proofErr w:type="spellEnd"/>
      <w:r>
        <w:t>, qui vise ceci et cela, alternativement (« nous » en gestation).</w:t>
      </w:r>
    </w:p>
  </w:footnote>
  <w:footnote w:id="8">
    <w:p w14:paraId="7C0E8821" w14:textId="77777777" w:rsidR="00C25B4A" w:rsidRPr="00794EA8" w:rsidRDefault="00C25B4A" w:rsidP="00420B66">
      <w:pPr>
        <w:jc w:val="both"/>
        <w:rPr>
          <w:sz w:val="20"/>
          <w:szCs w:val="20"/>
          <w:lang w:val="fr-CH"/>
        </w:rPr>
      </w:pPr>
      <w:r w:rsidRPr="00794EA8">
        <w:rPr>
          <w:rStyle w:val="Appelnotedebasdep"/>
          <w:sz w:val="20"/>
          <w:szCs w:val="20"/>
        </w:rPr>
        <w:footnoteRef/>
      </w:r>
      <w:r w:rsidRPr="00794EA8">
        <w:rPr>
          <w:sz w:val="20"/>
          <w:szCs w:val="20"/>
        </w:rPr>
        <w:t xml:space="preserve"> </w:t>
      </w:r>
      <w:proofErr w:type="spellStart"/>
      <w:r w:rsidRPr="00794EA8">
        <w:rPr>
          <w:sz w:val="20"/>
          <w:szCs w:val="20"/>
          <w:lang w:val="fr-CH"/>
        </w:rPr>
        <w:t>Basso</w:t>
      </w:r>
      <w:proofErr w:type="spellEnd"/>
      <w:r w:rsidRPr="00794EA8">
        <w:rPr>
          <w:sz w:val="20"/>
          <w:szCs w:val="20"/>
          <w:lang w:val="fr-CH"/>
        </w:rPr>
        <w:t xml:space="preserve"> </w:t>
      </w:r>
      <w:proofErr w:type="spellStart"/>
      <w:r w:rsidRPr="00794EA8">
        <w:rPr>
          <w:sz w:val="20"/>
          <w:szCs w:val="20"/>
          <w:lang w:val="fr-CH"/>
        </w:rPr>
        <w:t>Fossali</w:t>
      </w:r>
      <w:proofErr w:type="spellEnd"/>
      <w:r w:rsidRPr="00794EA8">
        <w:rPr>
          <w:sz w:val="20"/>
          <w:szCs w:val="20"/>
          <w:lang w:val="fr-CH"/>
        </w:rPr>
        <w:t xml:space="preserve"> (</w:t>
      </w:r>
      <w:r w:rsidR="00EE2948">
        <w:rPr>
          <w:sz w:val="20"/>
          <w:szCs w:val="20"/>
          <w:lang w:val="fr-CH"/>
        </w:rPr>
        <w:t>2017</w:t>
      </w:r>
      <w:r w:rsidRPr="00794EA8">
        <w:rPr>
          <w:sz w:val="20"/>
          <w:szCs w:val="20"/>
          <w:lang w:val="fr-CH"/>
        </w:rPr>
        <w:t> : 350) parle d’un acteur « transitaire » « </w:t>
      </w:r>
      <w:proofErr w:type="spellStart"/>
      <w:r w:rsidRPr="00794EA8">
        <w:rPr>
          <w:sz w:val="20"/>
          <w:szCs w:val="20"/>
          <w:lang w:val="fr-CH"/>
        </w:rPr>
        <w:t>filtr</w:t>
      </w:r>
      <w:proofErr w:type="spellEnd"/>
      <w:r w:rsidRPr="00794EA8">
        <w:rPr>
          <w:sz w:val="20"/>
          <w:szCs w:val="20"/>
          <w:lang w:val="fr-CH"/>
        </w:rPr>
        <w:t>[</w:t>
      </w:r>
      <w:proofErr w:type="spellStart"/>
      <w:r w:rsidRPr="00794EA8">
        <w:rPr>
          <w:sz w:val="20"/>
          <w:szCs w:val="20"/>
          <w:lang w:val="fr-CH"/>
        </w:rPr>
        <w:t>ant</w:t>
      </w:r>
      <w:proofErr w:type="spellEnd"/>
      <w:r w:rsidRPr="00794EA8">
        <w:rPr>
          <w:sz w:val="20"/>
          <w:szCs w:val="20"/>
          <w:lang w:val="fr-CH"/>
        </w:rPr>
        <w:t>] les valeurs en transit ».</w:t>
      </w:r>
    </w:p>
  </w:footnote>
  <w:footnote w:id="9">
    <w:p w14:paraId="548944E9" w14:textId="77777777" w:rsidR="00C25B4A" w:rsidRPr="00794EA8" w:rsidRDefault="00C25B4A" w:rsidP="00420B66">
      <w:pPr>
        <w:jc w:val="both"/>
        <w:rPr>
          <w:sz w:val="20"/>
          <w:szCs w:val="20"/>
        </w:rPr>
      </w:pPr>
      <w:r w:rsidRPr="00794EA8">
        <w:rPr>
          <w:rStyle w:val="Appelnotedebasdep"/>
          <w:sz w:val="20"/>
          <w:szCs w:val="20"/>
        </w:rPr>
        <w:footnoteRef/>
      </w:r>
      <w:r w:rsidRPr="00794EA8">
        <w:rPr>
          <w:sz w:val="20"/>
          <w:szCs w:val="20"/>
        </w:rPr>
        <w:t xml:space="preserve"> </w:t>
      </w:r>
      <w:proofErr w:type="spellStart"/>
      <w:r w:rsidRPr="00794EA8">
        <w:rPr>
          <w:sz w:val="20"/>
          <w:szCs w:val="20"/>
          <w:lang w:val="fr-CH"/>
        </w:rPr>
        <w:t>Détrie</w:t>
      </w:r>
      <w:proofErr w:type="spellEnd"/>
      <w:r w:rsidRPr="00794EA8">
        <w:rPr>
          <w:sz w:val="20"/>
          <w:szCs w:val="20"/>
          <w:lang w:val="fr-CH"/>
        </w:rPr>
        <w:t xml:space="preserve"> (1998) renvoie également aux objets transitionnels selon Winnicott (1975 [1971]). </w:t>
      </w:r>
    </w:p>
    <w:p w14:paraId="31258047" w14:textId="77777777" w:rsidR="00C25B4A" w:rsidRPr="00147A54" w:rsidRDefault="00C25B4A" w:rsidP="00420B66">
      <w:pPr>
        <w:pStyle w:val="Notedebasdepage"/>
      </w:pPr>
    </w:p>
  </w:footnote>
  <w:footnote w:id="10">
    <w:p w14:paraId="06B6F146" w14:textId="7F1D3C85" w:rsidR="00986A53" w:rsidRPr="00986A53" w:rsidRDefault="00986A53">
      <w:pPr>
        <w:pStyle w:val="Notedebasdepage"/>
      </w:pPr>
      <w:r>
        <w:rPr>
          <w:rStyle w:val="Appelnotedebasdep"/>
        </w:rPr>
        <w:footnoteRef/>
      </w:r>
      <w:r>
        <w:t xml:space="preserve"> Le soubassement transitionnel peut être mis en relation avec des </w:t>
      </w:r>
      <w:proofErr w:type="spellStart"/>
      <w:r>
        <w:t>protomodalités</w:t>
      </w:r>
      <w:proofErr w:type="spellEnd"/>
      <w:r>
        <w:t>.</w:t>
      </w:r>
    </w:p>
  </w:footnote>
  <w:footnote w:id="11">
    <w:p w14:paraId="3352B6DD" w14:textId="2C2D97D1" w:rsidR="00BE5877" w:rsidRPr="00950497" w:rsidRDefault="00BE5877" w:rsidP="00BE5877">
      <w:pPr>
        <w:pStyle w:val="Notedebasdepage"/>
        <w:jc w:val="both"/>
        <w:rPr>
          <w:lang w:val="fr-LU"/>
        </w:rPr>
      </w:pPr>
      <w:r>
        <w:rPr>
          <w:rStyle w:val="Appelnotedebasdep"/>
        </w:rPr>
        <w:footnoteRef/>
      </w:r>
      <w:r>
        <w:t xml:space="preserve"> Cf. la version 09-07-21 du </w:t>
      </w:r>
      <w:r w:rsidRPr="00950497">
        <w:rPr>
          <w:i/>
        </w:rPr>
        <w:t>Dictionnaire de sémiotique</w:t>
      </w:r>
      <w:r>
        <w:t xml:space="preserve">, </w:t>
      </w:r>
      <w:r>
        <w:rPr>
          <w:lang w:val="fr-CH"/>
        </w:rPr>
        <w:t xml:space="preserve">disponible en ligne sous « signosemio.com » (cf. </w:t>
      </w:r>
      <w:hyperlink r:id="rId1" w:history="1">
        <w:r w:rsidRPr="00986A53">
          <w:rPr>
            <w:rStyle w:val="Lienhypertexte"/>
            <w:color w:val="000000" w:themeColor="text1"/>
            <w:u w:val="none"/>
          </w:rPr>
          <w:t>www.semiotique.org</w:t>
        </w:r>
      </w:hyperlink>
      <w:r>
        <w:rPr>
          <w:rStyle w:val="Lienhypertexte"/>
          <w:color w:val="000000" w:themeColor="text1"/>
          <w:u w:val="none"/>
        </w:rPr>
        <w:t xml:space="preserve">). </w:t>
      </w:r>
      <w:r>
        <w:rPr>
          <w:lang w:val="fr-CH"/>
        </w:rPr>
        <w:t>L’entrée « Transition » comprend la variante.</w:t>
      </w:r>
    </w:p>
  </w:footnote>
  <w:footnote w:id="12">
    <w:p w14:paraId="073E0B1D" w14:textId="77777777" w:rsidR="00C25B4A" w:rsidRPr="00351564" w:rsidRDefault="00C25B4A" w:rsidP="00420B66">
      <w:pPr>
        <w:jc w:val="both"/>
        <w:rPr>
          <w:sz w:val="20"/>
          <w:szCs w:val="20"/>
        </w:rPr>
      </w:pPr>
      <w:r w:rsidRPr="00351564">
        <w:rPr>
          <w:rStyle w:val="Appelnotedebasdep"/>
          <w:sz w:val="20"/>
          <w:szCs w:val="20"/>
        </w:rPr>
        <w:footnoteRef/>
      </w:r>
      <w:r w:rsidRPr="00351564">
        <w:rPr>
          <w:sz w:val="20"/>
          <w:szCs w:val="20"/>
        </w:rPr>
        <w:t xml:space="preserve"> </w:t>
      </w:r>
      <w:r w:rsidRPr="00351564">
        <w:rPr>
          <w:sz w:val="20"/>
          <w:szCs w:val="20"/>
          <w:lang w:val="fr-CH"/>
        </w:rPr>
        <w:t xml:space="preserve">Pour les origines de ce processus, cf. Rob </w:t>
      </w:r>
      <w:proofErr w:type="spellStart"/>
      <w:r w:rsidRPr="00351564">
        <w:rPr>
          <w:sz w:val="20"/>
          <w:szCs w:val="20"/>
          <w:lang w:val="fr-CH"/>
        </w:rPr>
        <w:t>Hokins</w:t>
      </w:r>
      <w:proofErr w:type="spellEnd"/>
      <w:r w:rsidRPr="00351564">
        <w:rPr>
          <w:sz w:val="20"/>
          <w:szCs w:val="20"/>
          <w:lang w:val="fr-CH"/>
        </w:rPr>
        <w:t xml:space="preserve"> en Angleterre. </w:t>
      </w:r>
      <w:r w:rsidRPr="00351564">
        <w:rPr>
          <w:color w:val="1B1B1B"/>
          <w:sz w:val="20"/>
          <w:szCs w:val="20"/>
          <w:shd w:val="clear" w:color="auto" w:fill="FFFFFF"/>
        </w:rPr>
        <w:t xml:space="preserve">Le mouvement « Villes en Transition » est créé à </w:t>
      </w:r>
      <w:proofErr w:type="spellStart"/>
      <w:r w:rsidRPr="00351564">
        <w:rPr>
          <w:color w:val="1B1B1B"/>
          <w:sz w:val="20"/>
          <w:szCs w:val="20"/>
          <w:shd w:val="clear" w:color="auto" w:fill="FFFFFF"/>
        </w:rPr>
        <w:t>Totnes</w:t>
      </w:r>
      <w:proofErr w:type="spellEnd"/>
      <w:r w:rsidRPr="00351564">
        <w:rPr>
          <w:color w:val="1B1B1B"/>
          <w:sz w:val="20"/>
          <w:szCs w:val="20"/>
          <w:shd w:val="clear" w:color="auto" w:fill="FFFFFF"/>
        </w:rPr>
        <w:t xml:space="preserve">, dans le Devon, en 2005. Selon </w:t>
      </w:r>
      <w:proofErr w:type="spellStart"/>
      <w:r w:rsidRPr="00351564">
        <w:rPr>
          <w:color w:val="1B1B1B"/>
          <w:sz w:val="20"/>
          <w:szCs w:val="20"/>
          <w:shd w:val="clear" w:color="auto" w:fill="FFFFFF"/>
        </w:rPr>
        <w:t>Hokins</w:t>
      </w:r>
      <w:proofErr w:type="spellEnd"/>
      <w:r w:rsidRPr="00351564">
        <w:rPr>
          <w:color w:val="1B1B1B"/>
          <w:sz w:val="20"/>
          <w:szCs w:val="20"/>
          <w:shd w:val="clear" w:color="auto" w:fill="FFFFFF"/>
        </w:rPr>
        <w:t>, l'espèce humaine est menacée par l'épuisement des ressources pétrolières et par le réchauffement climatique. Pour éviter cette double catastrophe, le local doit être mis au cent</w:t>
      </w:r>
      <w:r>
        <w:rPr>
          <w:color w:val="1B1B1B"/>
          <w:sz w:val="20"/>
          <w:szCs w:val="20"/>
          <w:shd w:val="clear" w:color="auto" w:fill="FFFFFF"/>
        </w:rPr>
        <w:t>r</w:t>
      </w:r>
      <w:r w:rsidRPr="00351564">
        <w:rPr>
          <w:color w:val="1B1B1B"/>
          <w:sz w:val="20"/>
          <w:szCs w:val="20"/>
          <w:shd w:val="clear" w:color="auto" w:fill="FFFFFF"/>
        </w:rPr>
        <w:t>e de l’économie. Ainsi, il faut viser l’autosuffisance alimentaire à travers une production agricole responsable</w:t>
      </w:r>
      <w:r>
        <w:rPr>
          <w:color w:val="1B1B1B"/>
          <w:sz w:val="20"/>
          <w:szCs w:val="20"/>
          <w:shd w:val="clear" w:color="auto" w:fill="FFFFFF"/>
        </w:rPr>
        <w:t>.</w:t>
      </w:r>
    </w:p>
  </w:footnote>
  <w:footnote w:id="13">
    <w:p w14:paraId="723D0E4E" w14:textId="356C3295" w:rsidR="00C25B4A" w:rsidRPr="001B769C" w:rsidRDefault="00C25B4A" w:rsidP="004C747E">
      <w:pPr>
        <w:pStyle w:val="Notedebasdepage"/>
        <w:jc w:val="both"/>
      </w:pPr>
      <w:r>
        <w:rPr>
          <w:rStyle w:val="Appelnotedebasdep"/>
        </w:rPr>
        <w:footnoteRef/>
      </w:r>
      <w:r>
        <w:t xml:space="preserve"> Pour </w:t>
      </w:r>
      <w:proofErr w:type="spellStart"/>
      <w:r>
        <w:t>Fontanille</w:t>
      </w:r>
      <w:proofErr w:type="spellEnd"/>
      <w:r>
        <w:t xml:space="preserve"> (2021 : 185), </w:t>
      </w:r>
      <w:r w:rsidRPr="00420B66">
        <w:t>la zone utopique constitue la « zone de l’absence de personne (ou de personne “neutralisée”) »</w:t>
      </w:r>
      <w:r>
        <w:t>. Il l’associe au « ça » (que nous mettons en relation avec l’actant fluent). Enfin, la zone utopique est caractérisée par l’intransitivité et l’irréversibilité des pratiques, alors que la transitivité entre dans notre définition de la transition.</w:t>
      </w:r>
    </w:p>
  </w:footnote>
  <w:footnote w:id="14">
    <w:p w14:paraId="2B5ABE13" w14:textId="5265F318" w:rsidR="00C25B4A" w:rsidRPr="007C2624" w:rsidRDefault="00C25B4A">
      <w:pPr>
        <w:pStyle w:val="Notedebasdepage"/>
      </w:pPr>
      <w:r>
        <w:rPr>
          <w:rStyle w:val="Appelnotedebasdep"/>
        </w:rPr>
        <w:footnoteRef/>
      </w:r>
      <w:r>
        <w:t xml:space="preserve"> Voir également </w:t>
      </w:r>
      <w:proofErr w:type="spellStart"/>
      <w:r>
        <w:t>Fredric</w:t>
      </w:r>
      <w:proofErr w:type="spellEnd"/>
      <w:r>
        <w:t xml:space="preserve"> Jameson (2007) au sujet du fantasme utopique.</w:t>
      </w:r>
    </w:p>
  </w:footnote>
  <w:footnote w:id="15">
    <w:p w14:paraId="533A9C91" w14:textId="49765E57" w:rsidR="00C25B4A" w:rsidRPr="005F578D" w:rsidRDefault="00C25B4A" w:rsidP="005F578D">
      <w:pPr>
        <w:pStyle w:val="Notedebasdepage"/>
        <w:jc w:val="both"/>
      </w:pPr>
      <w:r>
        <w:rPr>
          <w:rStyle w:val="Appelnotedebasdep"/>
        </w:rPr>
        <w:footnoteRef/>
      </w:r>
      <w:r>
        <w:t xml:space="preserve"> </w:t>
      </w:r>
      <w:r w:rsidR="006D57DB">
        <w:t>L’utopie</w:t>
      </w:r>
      <w:r>
        <w:t xml:space="preserve"> correspond-elle à une étape </w:t>
      </w:r>
      <w:r w:rsidR="006D57DB">
        <w:t>vers la liberté</w:t>
      </w:r>
      <w:r>
        <w:t>, dans une société animée par un projet d’autonomisation</w:t>
      </w:r>
      <w:r w:rsidR="00695447">
        <w:t> ?</w:t>
      </w:r>
      <w:r w:rsidR="00D7492C">
        <w:t xml:space="preserve"> </w:t>
      </w:r>
      <w:r>
        <w:t xml:space="preserve">À ce sujet, cf. </w:t>
      </w:r>
      <w:r w:rsidR="002C0568">
        <w:t xml:space="preserve">Raphaël </w:t>
      </w:r>
      <w:proofErr w:type="spellStart"/>
      <w:r>
        <w:t>Gély</w:t>
      </w:r>
      <w:proofErr w:type="spellEnd"/>
      <w:r>
        <w:t xml:space="preserve"> (2008).</w:t>
      </w:r>
    </w:p>
  </w:footnote>
  <w:footnote w:id="16">
    <w:p w14:paraId="0A955353" w14:textId="5D0E0E03" w:rsidR="00C25B4A" w:rsidRPr="00E14C00" w:rsidRDefault="00C25B4A" w:rsidP="004C747E">
      <w:pPr>
        <w:spacing w:after="120"/>
        <w:jc w:val="both"/>
        <w:rPr>
          <w:sz w:val="20"/>
          <w:szCs w:val="20"/>
          <w:lang w:val="fr-CH"/>
        </w:rPr>
      </w:pPr>
      <w:r w:rsidRPr="00351564">
        <w:rPr>
          <w:rStyle w:val="Appelnotedebasdep"/>
          <w:sz w:val="20"/>
          <w:szCs w:val="20"/>
        </w:rPr>
        <w:footnoteRef/>
      </w:r>
      <w:r w:rsidRPr="00351564">
        <w:rPr>
          <w:sz w:val="20"/>
          <w:szCs w:val="20"/>
        </w:rPr>
        <w:t xml:space="preserve"> </w:t>
      </w:r>
      <w:r w:rsidRPr="00351564">
        <w:rPr>
          <w:sz w:val="20"/>
          <w:szCs w:val="20"/>
          <w:lang w:val="fr-CH"/>
        </w:rPr>
        <w:t xml:space="preserve">Remontons à Ernst Bloch (1976) dans </w:t>
      </w:r>
      <w:r w:rsidR="007215A9" w:rsidRPr="007215A9">
        <w:rPr>
          <w:i/>
          <w:sz w:val="20"/>
          <w:szCs w:val="20"/>
          <w:lang w:val="fr-CH"/>
        </w:rPr>
        <w:t>Le</w:t>
      </w:r>
      <w:r w:rsidR="007215A9">
        <w:rPr>
          <w:sz w:val="20"/>
          <w:szCs w:val="20"/>
          <w:lang w:val="fr-CH"/>
        </w:rPr>
        <w:t xml:space="preserve"> </w:t>
      </w:r>
      <w:r w:rsidR="007215A9">
        <w:rPr>
          <w:i/>
          <w:sz w:val="20"/>
          <w:szCs w:val="20"/>
          <w:lang w:val="fr-CH"/>
        </w:rPr>
        <w:t>p</w:t>
      </w:r>
      <w:r w:rsidRPr="00351564">
        <w:rPr>
          <w:i/>
          <w:sz w:val="20"/>
          <w:szCs w:val="20"/>
          <w:lang w:val="fr-CH"/>
        </w:rPr>
        <w:t>rincipe espérance</w:t>
      </w:r>
      <w:r w:rsidRPr="00351564">
        <w:rPr>
          <w:sz w:val="20"/>
          <w:szCs w:val="20"/>
          <w:lang w:val="fr-CH"/>
        </w:rPr>
        <w:t> : il s’agit de dégager dans le présent les bases d’un avenir meilleur, de négocier le passage de ce qui est impossible dans le monde actuel à de nouvelles possibilités, grâce, précisément, à la construction d’utopies. Si l’utopie contribue au « </w:t>
      </w:r>
      <w:proofErr w:type="spellStart"/>
      <w:r w:rsidRPr="00351564">
        <w:rPr>
          <w:sz w:val="20"/>
          <w:szCs w:val="20"/>
          <w:lang w:val="fr-CH"/>
        </w:rPr>
        <w:t>réenchantement</w:t>
      </w:r>
      <w:proofErr w:type="spellEnd"/>
      <w:r w:rsidRPr="00351564">
        <w:rPr>
          <w:sz w:val="20"/>
          <w:szCs w:val="20"/>
          <w:lang w:val="fr-CH"/>
        </w:rPr>
        <w:t> » du monde actuel, c’est en tant qu’elle est « une invocation d’un ordre à venir ou à faire, contre un désordre présent » (</w:t>
      </w:r>
      <w:r>
        <w:rPr>
          <w:sz w:val="20"/>
          <w:szCs w:val="20"/>
          <w:lang w:val="fr-CH"/>
        </w:rPr>
        <w:t xml:space="preserve">Léger &amp; </w:t>
      </w:r>
      <w:r w:rsidRPr="00351564">
        <w:rPr>
          <w:sz w:val="20"/>
          <w:szCs w:val="20"/>
          <w:lang w:val="fr-CH"/>
        </w:rPr>
        <w:t xml:space="preserve">Hervieu </w:t>
      </w:r>
      <w:r>
        <w:rPr>
          <w:sz w:val="20"/>
          <w:szCs w:val="20"/>
          <w:lang w:val="fr-CH"/>
        </w:rPr>
        <w:t>197</w:t>
      </w:r>
      <w:r w:rsidR="007215A9">
        <w:rPr>
          <w:sz w:val="20"/>
          <w:szCs w:val="20"/>
          <w:lang w:val="fr-CH"/>
        </w:rPr>
        <w:t>9</w:t>
      </w:r>
      <w:r>
        <w:rPr>
          <w:sz w:val="20"/>
          <w:szCs w:val="20"/>
          <w:lang w:val="fr-CH"/>
        </w:rPr>
        <w:t> :</w:t>
      </w:r>
      <w:r w:rsidRPr="00351564">
        <w:rPr>
          <w:sz w:val="20"/>
          <w:szCs w:val="20"/>
          <w:lang w:val="fr-CH"/>
        </w:rPr>
        <w:t>156).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111"/>
    <w:multiLevelType w:val="hybridMultilevel"/>
    <w:tmpl w:val="FAC03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503478"/>
    <w:multiLevelType w:val="hybridMultilevel"/>
    <w:tmpl w:val="0CEC1ED8"/>
    <w:lvl w:ilvl="0" w:tplc="E87EE3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B4AEE"/>
    <w:multiLevelType w:val="hybridMultilevel"/>
    <w:tmpl w:val="C9240270"/>
    <w:lvl w:ilvl="0" w:tplc="FC9A62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C84C75"/>
    <w:multiLevelType w:val="hybridMultilevel"/>
    <w:tmpl w:val="00C042CC"/>
    <w:lvl w:ilvl="0" w:tplc="2E18C2AE">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EB315C"/>
    <w:multiLevelType w:val="hybridMultilevel"/>
    <w:tmpl w:val="96B2C482"/>
    <w:lvl w:ilvl="0" w:tplc="B64032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0527A"/>
    <w:multiLevelType w:val="hybridMultilevel"/>
    <w:tmpl w:val="9B3A6C0E"/>
    <w:lvl w:ilvl="0" w:tplc="F78087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54199E"/>
    <w:multiLevelType w:val="hybridMultilevel"/>
    <w:tmpl w:val="79C0407C"/>
    <w:lvl w:ilvl="0" w:tplc="1DB649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9C0A8D"/>
    <w:multiLevelType w:val="hybridMultilevel"/>
    <w:tmpl w:val="08E46EC0"/>
    <w:lvl w:ilvl="0" w:tplc="7D721B2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A871DA"/>
    <w:multiLevelType w:val="hybridMultilevel"/>
    <w:tmpl w:val="E5DE3A1C"/>
    <w:lvl w:ilvl="0" w:tplc="16F293D6">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7"/>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66"/>
    <w:rsid w:val="00017466"/>
    <w:rsid w:val="00047140"/>
    <w:rsid w:val="00061C2C"/>
    <w:rsid w:val="00061FBE"/>
    <w:rsid w:val="0006278E"/>
    <w:rsid w:val="00062CE4"/>
    <w:rsid w:val="0006507F"/>
    <w:rsid w:val="0006763D"/>
    <w:rsid w:val="00071149"/>
    <w:rsid w:val="00080895"/>
    <w:rsid w:val="00091FFA"/>
    <w:rsid w:val="00097EA0"/>
    <w:rsid w:val="000D3B1D"/>
    <w:rsid w:val="000E0959"/>
    <w:rsid w:val="000F7E19"/>
    <w:rsid w:val="00123187"/>
    <w:rsid w:val="001343F0"/>
    <w:rsid w:val="00146230"/>
    <w:rsid w:val="0018784C"/>
    <w:rsid w:val="001935FF"/>
    <w:rsid w:val="001B769C"/>
    <w:rsid w:val="001D5463"/>
    <w:rsid w:val="001F4031"/>
    <w:rsid w:val="002247A1"/>
    <w:rsid w:val="0025687E"/>
    <w:rsid w:val="00285723"/>
    <w:rsid w:val="002876E7"/>
    <w:rsid w:val="002A2906"/>
    <w:rsid w:val="002A5009"/>
    <w:rsid w:val="002B1B36"/>
    <w:rsid w:val="002C0568"/>
    <w:rsid w:val="002E5C79"/>
    <w:rsid w:val="002F5700"/>
    <w:rsid w:val="003315BA"/>
    <w:rsid w:val="0034066E"/>
    <w:rsid w:val="0037157C"/>
    <w:rsid w:val="003930DA"/>
    <w:rsid w:val="003C2A63"/>
    <w:rsid w:val="004053D2"/>
    <w:rsid w:val="004167EE"/>
    <w:rsid w:val="00420B66"/>
    <w:rsid w:val="00441A7F"/>
    <w:rsid w:val="004814E8"/>
    <w:rsid w:val="00484F5E"/>
    <w:rsid w:val="004A1378"/>
    <w:rsid w:val="004B0A10"/>
    <w:rsid w:val="004B7322"/>
    <w:rsid w:val="004C747E"/>
    <w:rsid w:val="004D0DA0"/>
    <w:rsid w:val="004F4656"/>
    <w:rsid w:val="00502418"/>
    <w:rsid w:val="005112C2"/>
    <w:rsid w:val="00551823"/>
    <w:rsid w:val="00592DDE"/>
    <w:rsid w:val="005F578D"/>
    <w:rsid w:val="006031CC"/>
    <w:rsid w:val="0060625A"/>
    <w:rsid w:val="0063003B"/>
    <w:rsid w:val="00633537"/>
    <w:rsid w:val="0069469F"/>
    <w:rsid w:val="00695447"/>
    <w:rsid w:val="00695628"/>
    <w:rsid w:val="006B1661"/>
    <w:rsid w:val="006B494C"/>
    <w:rsid w:val="006D0B78"/>
    <w:rsid w:val="006D0E92"/>
    <w:rsid w:val="006D57DB"/>
    <w:rsid w:val="006F70AA"/>
    <w:rsid w:val="007060C6"/>
    <w:rsid w:val="00714CFE"/>
    <w:rsid w:val="007215A9"/>
    <w:rsid w:val="00724CD4"/>
    <w:rsid w:val="0073532D"/>
    <w:rsid w:val="007363E4"/>
    <w:rsid w:val="007545C8"/>
    <w:rsid w:val="0078610D"/>
    <w:rsid w:val="007C0D3A"/>
    <w:rsid w:val="007C2624"/>
    <w:rsid w:val="007D65D9"/>
    <w:rsid w:val="007F6A57"/>
    <w:rsid w:val="008576EE"/>
    <w:rsid w:val="0086765D"/>
    <w:rsid w:val="00872281"/>
    <w:rsid w:val="008A77B9"/>
    <w:rsid w:val="008F2DDF"/>
    <w:rsid w:val="00904031"/>
    <w:rsid w:val="0092084A"/>
    <w:rsid w:val="00931CC4"/>
    <w:rsid w:val="0094290B"/>
    <w:rsid w:val="00972D48"/>
    <w:rsid w:val="00986A53"/>
    <w:rsid w:val="00986DCD"/>
    <w:rsid w:val="009900FD"/>
    <w:rsid w:val="00992C08"/>
    <w:rsid w:val="0099717E"/>
    <w:rsid w:val="009D329B"/>
    <w:rsid w:val="009D4831"/>
    <w:rsid w:val="009F704C"/>
    <w:rsid w:val="00A21388"/>
    <w:rsid w:val="00A50E06"/>
    <w:rsid w:val="00A5758F"/>
    <w:rsid w:val="00AA2258"/>
    <w:rsid w:val="00AC5B87"/>
    <w:rsid w:val="00B138AF"/>
    <w:rsid w:val="00B87BF4"/>
    <w:rsid w:val="00B95B35"/>
    <w:rsid w:val="00BA1520"/>
    <w:rsid w:val="00BA2354"/>
    <w:rsid w:val="00BD6DD0"/>
    <w:rsid w:val="00BE5877"/>
    <w:rsid w:val="00BE75AB"/>
    <w:rsid w:val="00BF1EED"/>
    <w:rsid w:val="00C25B4A"/>
    <w:rsid w:val="00C27AA5"/>
    <w:rsid w:val="00C6796C"/>
    <w:rsid w:val="00C7114B"/>
    <w:rsid w:val="00C84DF6"/>
    <w:rsid w:val="00C85AD6"/>
    <w:rsid w:val="00C96390"/>
    <w:rsid w:val="00CE46BB"/>
    <w:rsid w:val="00CF3C54"/>
    <w:rsid w:val="00CF640E"/>
    <w:rsid w:val="00CF6553"/>
    <w:rsid w:val="00D30752"/>
    <w:rsid w:val="00D470C7"/>
    <w:rsid w:val="00D51031"/>
    <w:rsid w:val="00D55ADD"/>
    <w:rsid w:val="00D7492C"/>
    <w:rsid w:val="00D823C6"/>
    <w:rsid w:val="00DA2033"/>
    <w:rsid w:val="00DD2DD5"/>
    <w:rsid w:val="00DE4117"/>
    <w:rsid w:val="00E054F6"/>
    <w:rsid w:val="00E14C00"/>
    <w:rsid w:val="00E36F81"/>
    <w:rsid w:val="00E47CAD"/>
    <w:rsid w:val="00E948DB"/>
    <w:rsid w:val="00EE2948"/>
    <w:rsid w:val="00F10F72"/>
    <w:rsid w:val="00F21344"/>
    <w:rsid w:val="00F63BEE"/>
    <w:rsid w:val="00F83474"/>
    <w:rsid w:val="00F8440B"/>
    <w:rsid w:val="00F84CAD"/>
    <w:rsid w:val="00F863B5"/>
    <w:rsid w:val="00F90A59"/>
    <w:rsid w:val="00FA0B5C"/>
    <w:rsid w:val="00FC38DC"/>
    <w:rsid w:val="00FC3CA7"/>
    <w:rsid w:val="00FD1239"/>
    <w:rsid w:val="00FD4CF3"/>
    <w:rsid w:val="00FE0A0C"/>
    <w:rsid w:val="00FE25E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3E1D4113"/>
  <w15:chartTrackingRefBased/>
  <w15:docId w15:val="{89A181D8-6DB1-2D4C-B52D-DBACC7A1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65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0B66"/>
    <w:pPr>
      <w:spacing w:before="100" w:beforeAutospacing="1" w:after="100" w:afterAutospacing="1"/>
    </w:pPr>
    <w:rPr>
      <w:rFonts w:ascii="Times" w:eastAsiaTheme="minorEastAsia" w:hAnsi="Times"/>
      <w:sz w:val="20"/>
      <w:szCs w:val="20"/>
      <w:lang w:val="fr-FR"/>
    </w:rPr>
  </w:style>
  <w:style w:type="paragraph" w:styleId="Paragraphedeliste">
    <w:name w:val="List Paragraph"/>
    <w:basedOn w:val="Normal"/>
    <w:uiPriority w:val="34"/>
    <w:qFormat/>
    <w:rsid w:val="00420B66"/>
    <w:pPr>
      <w:ind w:left="720"/>
      <w:contextualSpacing/>
    </w:pPr>
    <w:rPr>
      <w:rFonts w:asciiTheme="minorHAnsi" w:eastAsiaTheme="minorHAnsi" w:hAnsiTheme="minorHAnsi" w:cstheme="minorBidi"/>
      <w:lang w:val="fr-FR" w:eastAsia="en-US"/>
    </w:rPr>
  </w:style>
  <w:style w:type="character" w:customStyle="1" w:styleId="apple-converted-space">
    <w:name w:val="apple-converted-space"/>
    <w:basedOn w:val="Policepardfaut"/>
    <w:rsid w:val="00420B66"/>
  </w:style>
  <w:style w:type="character" w:styleId="Accentuation">
    <w:name w:val="Emphasis"/>
    <w:basedOn w:val="Policepardfaut"/>
    <w:uiPriority w:val="20"/>
    <w:qFormat/>
    <w:rsid w:val="00420B66"/>
    <w:rPr>
      <w:i/>
      <w:iCs/>
    </w:rPr>
  </w:style>
  <w:style w:type="paragraph" w:styleId="Notedebasdepage">
    <w:name w:val="footnote text"/>
    <w:aliases w:val="Carattere, Carattere,Note de bas de pageGL"/>
    <w:basedOn w:val="Normal"/>
    <w:link w:val="NotedebasdepageCar"/>
    <w:uiPriority w:val="99"/>
    <w:unhideWhenUsed/>
    <w:qFormat/>
    <w:rsid w:val="00420B66"/>
    <w:rPr>
      <w:sz w:val="20"/>
      <w:szCs w:val="20"/>
      <w:lang w:val="fr-FR"/>
    </w:rPr>
  </w:style>
  <w:style w:type="character" w:customStyle="1" w:styleId="NotedebasdepageCar">
    <w:name w:val="Note de bas de page Car"/>
    <w:aliases w:val="Carattere Car, Carattere Car,Note de bas de pageGL Car"/>
    <w:basedOn w:val="Policepardfaut"/>
    <w:link w:val="Notedebasdepage"/>
    <w:uiPriority w:val="99"/>
    <w:rsid w:val="00420B66"/>
    <w:rPr>
      <w:rFonts w:ascii="Times New Roman" w:eastAsia="Times New Roman" w:hAnsi="Times New Roman" w:cs="Times New Roman"/>
      <w:sz w:val="20"/>
      <w:szCs w:val="20"/>
      <w:lang w:val="fr-FR" w:eastAsia="fr-FR"/>
    </w:rPr>
  </w:style>
  <w:style w:type="character" w:styleId="Appelnotedebasdep">
    <w:name w:val="footnote reference"/>
    <w:aliases w:val="numéro d'appel de note"/>
    <w:basedOn w:val="Policepardfaut"/>
    <w:unhideWhenUsed/>
    <w:qFormat/>
    <w:rsid w:val="00420B66"/>
    <w:rPr>
      <w:vertAlign w:val="superscript"/>
    </w:rPr>
  </w:style>
  <w:style w:type="character" w:styleId="Lienhypertexte">
    <w:name w:val="Hyperlink"/>
    <w:basedOn w:val="Policepardfaut"/>
    <w:uiPriority w:val="99"/>
    <w:unhideWhenUsed/>
    <w:rsid w:val="00420B66"/>
    <w:rPr>
      <w:color w:val="0563C1" w:themeColor="hyperlink"/>
      <w:u w:val="single"/>
    </w:rPr>
  </w:style>
  <w:style w:type="character" w:styleId="Lienhypertextesuivivisit">
    <w:name w:val="FollowedHyperlink"/>
    <w:basedOn w:val="Policepardfaut"/>
    <w:uiPriority w:val="99"/>
    <w:semiHidden/>
    <w:unhideWhenUsed/>
    <w:rsid w:val="006B1661"/>
    <w:rPr>
      <w:color w:val="954F72" w:themeColor="followedHyperlink"/>
      <w:u w:val="single"/>
    </w:rPr>
  </w:style>
  <w:style w:type="paragraph" w:styleId="En-tte">
    <w:name w:val="header"/>
    <w:basedOn w:val="Normal"/>
    <w:link w:val="En-tteCar"/>
    <w:uiPriority w:val="99"/>
    <w:unhideWhenUsed/>
    <w:rsid w:val="00E14C00"/>
    <w:pPr>
      <w:tabs>
        <w:tab w:val="center" w:pos="4536"/>
        <w:tab w:val="right" w:pos="9072"/>
      </w:tabs>
    </w:pPr>
    <w:rPr>
      <w:lang w:val="fr-FR"/>
    </w:rPr>
  </w:style>
  <w:style w:type="character" w:customStyle="1" w:styleId="En-tteCar">
    <w:name w:val="En-tête Car"/>
    <w:basedOn w:val="Policepardfaut"/>
    <w:link w:val="En-tte"/>
    <w:uiPriority w:val="99"/>
    <w:rsid w:val="00E14C00"/>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E14C00"/>
    <w:pPr>
      <w:tabs>
        <w:tab w:val="center" w:pos="4536"/>
        <w:tab w:val="right" w:pos="9072"/>
      </w:tabs>
    </w:pPr>
    <w:rPr>
      <w:lang w:val="fr-FR"/>
    </w:rPr>
  </w:style>
  <w:style w:type="character" w:customStyle="1" w:styleId="PieddepageCar">
    <w:name w:val="Pied de page Car"/>
    <w:basedOn w:val="Policepardfaut"/>
    <w:link w:val="Pieddepage"/>
    <w:uiPriority w:val="99"/>
    <w:rsid w:val="00E14C00"/>
    <w:rPr>
      <w:rFonts w:ascii="Times New Roman" w:eastAsia="Times New Roman" w:hAnsi="Times New Roman" w:cs="Times New Roman"/>
      <w:lang w:val="fr-FR" w:eastAsia="fr-FR"/>
    </w:rPr>
  </w:style>
  <w:style w:type="character" w:styleId="Mentionnonrsolue">
    <w:name w:val="Unresolved Mention"/>
    <w:basedOn w:val="Policepardfaut"/>
    <w:uiPriority w:val="99"/>
    <w:semiHidden/>
    <w:unhideWhenUsed/>
    <w:rsid w:val="009D4831"/>
    <w:rPr>
      <w:color w:val="605E5C"/>
      <w:shd w:val="clear" w:color="auto" w:fill="E1DFDD"/>
    </w:rPr>
  </w:style>
  <w:style w:type="character" w:styleId="Numrodepage">
    <w:name w:val="page number"/>
    <w:basedOn w:val="Policepardfaut"/>
    <w:uiPriority w:val="99"/>
    <w:semiHidden/>
    <w:unhideWhenUsed/>
    <w:rsid w:val="00FE0A0C"/>
  </w:style>
  <w:style w:type="paragraph" w:styleId="Rvision">
    <w:name w:val="Revision"/>
    <w:hidden/>
    <w:uiPriority w:val="99"/>
    <w:semiHidden/>
    <w:rsid w:val="00F83474"/>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F83474"/>
    <w:rPr>
      <w:sz w:val="16"/>
      <w:szCs w:val="16"/>
    </w:rPr>
  </w:style>
  <w:style w:type="paragraph" w:styleId="Commentaire">
    <w:name w:val="annotation text"/>
    <w:basedOn w:val="Normal"/>
    <w:link w:val="CommentaireCar"/>
    <w:uiPriority w:val="99"/>
    <w:semiHidden/>
    <w:unhideWhenUsed/>
    <w:rsid w:val="00F83474"/>
    <w:rPr>
      <w:sz w:val="20"/>
      <w:szCs w:val="20"/>
    </w:rPr>
  </w:style>
  <w:style w:type="character" w:customStyle="1" w:styleId="CommentaireCar">
    <w:name w:val="Commentaire Car"/>
    <w:basedOn w:val="Policepardfaut"/>
    <w:link w:val="Commentaire"/>
    <w:uiPriority w:val="99"/>
    <w:semiHidden/>
    <w:rsid w:val="00F8347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83474"/>
    <w:rPr>
      <w:b/>
      <w:bCs/>
    </w:rPr>
  </w:style>
  <w:style w:type="character" w:customStyle="1" w:styleId="ObjetducommentaireCar">
    <w:name w:val="Objet du commentaire Car"/>
    <w:basedOn w:val="CommentaireCar"/>
    <w:link w:val="Objetducommentaire"/>
    <w:uiPriority w:val="99"/>
    <w:semiHidden/>
    <w:rsid w:val="00F83474"/>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D6DD0"/>
    <w:rPr>
      <w:sz w:val="18"/>
      <w:szCs w:val="18"/>
    </w:rPr>
  </w:style>
  <w:style w:type="character" w:customStyle="1" w:styleId="TextedebullesCar">
    <w:name w:val="Texte de bulles Car"/>
    <w:basedOn w:val="Policepardfaut"/>
    <w:link w:val="Textedebulles"/>
    <w:uiPriority w:val="99"/>
    <w:semiHidden/>
    <w:rsid w:val="00BD6DD0"/>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50409">
      <w:bodyDiv w:val="1"/>
      <w:marLeft w:val="0"/>
      <w:marRight w:val="0"/>
      <w:marTop w:val="0"/>
      <w:marBottom w:val="0"/>
      <w:divBdr>
        <w:top w:val="none" w:sz="0" w:space="0" w:color="auto"/>
        <w:left w:val="none" w:sz="0" w:space="0" w:color="auto"/>
        <w:bottom w:val="none" w:sz="0" w:space="0" w:color="auto"/>
        <w:right w:val="none" w:sz="0" w:space="0" w:color="auto"/>
      </w:divBdr>
    </w:div>
    <w:div w:id="1570379915">
      <w:bodyDiv w:val="1"/>
      <w:marLeft w:val="0"/>
      <w:marRight w:val="0"/>
      <w:marTop w:val="0"/>
      <w:marBottom w:val="0"/>
      <w:divBdr>
        <w:top w:val="none" w:sz="0" w:space="0" w:color="auto"/>
        <w:left w:val="none" w:sz="0" w:space="0" w:color="auto"/>
        <w:bottom w:val="none" w:sz="0" w:space="0" w:color="auto"/>
        <w:right w:val="none" w:sz="0" w:space="0" w:color="auto"/>
      </w:divBdr>
    </w:div>
    <w:div w:id="1886715927">
      <w:bodyDiv w:val="1"/>
      <w:marLeft w:val="0"/>
      <w:marRight w:val="0"/>
      <w:marTop w:val="0"/>
      <w:marBottom w:val="0"/>
      <w:divBdr>
        <w:top w:val="none" w:sz="0" w:space="0" w:color="auto"/>
        <w:left w:val="none" w:sz="0" w:space="0" w:color="auto"/>
        <w:bottom w:val="none" w:sz="0" w:space="0" w:color="auto"/>
        <w:right w:val="none" w:sz="0" w:space="0" w:color="auto"/>
      </w:divBdr>
    </w:div>
    <w:div w:id="19127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o-latour.fr/sites/default/files/P-170-ELIASSON-GBpdf.pdf"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semiotiqu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miotiqu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5768</Words>
  <Characters>31726</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COLAS-BLAISE</cp:lastModifiedBy>
  <cp:revision>2</cp:revision>
  <cp:lastPrinted>2022-11-28T10:27:00Z</cp:lastPrinted>
  <dcterms:created xsi:type="dcterms:W3CDTF">2023-11-27T11:35:00Z</dcterms:created>
  <dcterms:modified xsi:type="dcterms:W3CDTF">2023-11-27T11:35:00Z</dcterms:modified>
</cp:coreProperties>
</file>