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6A" w:rsidRDefault="00AD766A" w:rsidP="00AD766A">
      <w:pPr>
        <w:spacing w:after="120" w:line="276" w:lineRule="auto"/>
        <w:jc w:val="center"/>
        <w:rPr>
          <w:lang w:val="fr-CH"/>
        </w:rPr>
      </w:pPr>
      <w:r w:rsidRPr="00715A64">
        <w:rPr>
          <w:lang w:val="fr-CH"/>
        </w:rPr>
        <w:t>Le geste de création</w:t>
      </w:r>
      <w:r>
        <w:rPr>
          <w:lang w:val="fr-CH"/>
        </w:rPr>
        <w:t> </w:t>
      </w:r>
    </w:p>
    <w:p w:rsidR="00AD766A" w:rsidRDefault="00AD766A" w:rsidP="00AD766A">
      <w:pPr>
        <w:spacing w:after="120" w:line="276" w:lineRule="auto"/>
        <w:jc w:val="center"/>
      </w:pPr>
      <w:r w:rsidRPr="00715A64">
        <w:t xml:space="preserve">Paul Klee et Bernard </w:t>
      </w:r>
      <w:proofErr w:type="spellStart"/>
      <w:r w:rsidRPr="00715A64">
        <w:t>Frize</w:t>
      </w:r>
      <w:proofErr w:type="spellEnd"/>
      <w:r w:rsidRPr="00715A64">
        <w:t>, un duo improbable ?</w:t>
      </w:r>
    </w:p>
    <w:p w:rsidR="00AD766A" w:rsidRDefault="00AD766A" w:rsidP="00AD766A">
      <w:pPr>
        <w:spacing w:after="120" w:line="276" w:lineRule="auto"/>
        <w:jc w:val="center"/>
      </w:pPr>
    </w:p>
    <w:p w:rsidR="00AD766A" w:rsidRDefault="00AD766A" w:rsidP="00AD766A">
      <w:pPr>
        <w:spacing w:after="120" w:line="276" w:lineRule="auto"/>
        <w:jc w:val="center"/>
      </w:pPr>
      <w:r>
        <w:t>Marion Colas-Blaise (Université du Luxembourg)</w:t>
      </w:r>
    </w:p>
    <w:p w:rsidR="00AD766A" w:rsidRDefault="00AD766A" w:rsidP="00AD766A">
      <w:pPr>
        <w:spacing w:after="120" w:line="276" w:lineRule="auto"/>
        <w:jc w:val="center"/>
      </w:pPr>
    </w:p>
    <w:p w:rsidR="00AD766A" w:rsidRDefault="00AD766A" w:rsidP="00AD766A">
      <w:pPr>
        <w:tabs>
          <w:tab w:val="left" w:pos="1000"/>
        </w:tabs>
        <w:spacing w:after="120" w:line="276" w:lineRule="auto"/>
        <w:jc w:val="both"/>
      </w:pPr>
      <w:r w:rsidRPr="009A1F70">
        <w:t xml:space="preserve">Paul Klee et Bernard </w:t>
      </w:r>
      <w:proofErr w:type="spellStart"/>
      <w:r w:rsidRPr="009A1F70">
        <w:t>Frize</w:t>
      </w:r>
      <w:proofErr w:type="spellEnd"/>
      <w:r w:rsidRPr="009A1F70">
        <w:t> : tout semble les séparer. L’époque, le style, la quête spirituelle, pour l’un, la possibilité de l’absence d’un sens plus englobant, pour l’autre. Dans un cas, « l’art ne reproduit pas le visible ; il rend visible », « les choses dévoilent un sens élargi et bien plus complexe qui souvent infirme en apparence l’ancien rationalisme. L’accidentel tend à passer au rang d’essence »</w:t>
      </w:r>
      <w:r>
        <w:t>. Et</w:t>
      </w:r>
      <w:r w:rsidRPr="009A1F70">
        <w:t>  aussi : « l’art traverse les choses, il porte au-delà du réel aussi bien que l’imaginaire »</w:t>
      </w:r>
      <w:r w:rsidRPr="009A1F70">
        <w:rPr>
          <w:rStyle w:val="Appelnotedebasdep"/>
        </w:rPr>
        <w:footnoteReference w:id="1"/>
      </w:r>
      <w:r w:rsidRPr="009A1F70">
        <w:t>. Dans l’autre, l’important, c’est la représentation d’une « relation entre un faire et une pensée »</w:t>
      </w:r>
      <w:r>
        <w:t>. E</w:t>
      </w:r>
      <w:r w:rsidRPr="009A1F70">
        <w:t>lle trouve son ancrage dans la « compréhension de moi-même, celle de la société, de la culture », tant il est vrai que « se représenter le monde autour de moi fabrique à la fois le sens que je me donne à moi-même et celui que je transmets à mon œuvre</w:t>
      </w:r>
      <w:r>
        <w:t>. Cette représentation atteint une vérité qu’elle n’épuise jamais, mais rassasie temporairement, tableau après tableau</w:t>
      </w:r>
      <w:r w:rsidRPr="009A1F70">
        <w:t> »</w:t>
      </w:r>
      <w:r w:rsidRPr="009A1F70">
        <w:rPr>
          <w:rStyle w:val="Appelnotedebasdep"/>
        </w:rPr>
        <w:footnoteReference w:id="2"/>
      </w:r>
      <w:r w:rsidRPr="009A1F70">
        <w:t xml:space="preserve">. La peinture, nous dit Bernard </w:t>
      </w:r>
      <w:proofErr w:type="spellStart"/>
      <w:r w:rsidRPr="009A1F70">
        <w:t>Frize</w:t>
      </w:r>
      <w:proofErr w:type="spellEnd"/>
      <w:r w:rsidRPr="009A1F70">
        <w:t xml:space="preserve">, est inscription dans le monde, </w:t>
      </w:r>
      <w:r>
        <w:t>le « support de valeurs spirituelles »</w:t>
      </w:r>
      <w:r>
        <w:rPr>
          <w:rStyle w:val="Appelnotedebasdep"/>
        </w:rPr>
        <w:footnoteReference w:id="3"/>
      </w:r>
      <w:r>
        <w:t xml:space="preserve">, </w:t>
      </w:r>
      <w:r w:rsidRPr="009A1F70">
        <w:t>seule « signification de notre être »</w:t>
      </w:r>
      <w:r w:rsidRPr="009A1F70">
        <w:rPr>
          <w:rStyle w:val="Appelnotedebasdep"/>
        </w:rPr>
        <w:footnoteReference w:id="4"/>
      </w:r>
      <w:r>
        <w:t>. P</w:t>
      </w:r>
      <w:r w:rsidRPr="009A1F70">
        <w:t xml:space="preserve">ourtant, </w:t>
      </w:r>
      <w:r>
        <w:t xml:space="preserve">et non sans paradoxe, </w:t>
      </w:r>
      <w:r w:rsidRPr="009A1F70">
        <w:t xml:space="preserve">elle peut </w:t>
      </w:r>
      <w:r>
        <w:t xml:space="preserve">aussi </w:t>
      </w:r>
      <w:r w:rsidRPr="009A1F70">
        <w:t>se résumer à ce qu’elle est, s’il « n’y a rien derrière [l]es peintures ».</w:t>
      </w:r>
      <w:r>
        <w:t xml:space="preserve"> Dans une interview avec Angela Lampe, Bernard </w:t>
      </w:r>
      <w:proofErr w:type="spellStart"/>
      <w:r>
        <w:t>Frize</w:t>
      </w:r>
      <w:proofErr w:type="spellEnd"/>
      <w:r>
        <w:t xml:space="preserve"> admet que la répétition de traits horizontaux et verticaux « n’avait pas vraiment de sens ». Et il ajoute : «  […] au lieu de décrire un monde sans raison, j’ai décrit un monde dont on cherche la raison »</w:t>
      </w:r>
      <w:r>
        <w:rPr>
          <w:rStyle w:val="Appelnotedebasdep"/>
        </w:rPr>
        <w:footnoteReference w:id="5"/>
      </w:r>
      <w:r>
        <w:t xml:space="preserve">. </w:t>
      </w:r>
    </w:p>
    <w:p w:rsidR="00AD766A" w:rsidRDefault="00AD766A" w:rsidP="00AD766A">
      <w:pPr>
        <w:spacing w:after="120" w:line="276" w:lineRule="auto"/>
        <w:jc w:val="both"/>
      </w:pPr>
      <w:r>
        <w:t>Nous ne masquerons pas ces différences ; nous les exacerberons même, en vérifiant toutefois la pertinence d’entrées analytiques communes. En effet, ce qui peut rapprocher les deux artistes, c’est la volonté de considérer, de commenter, voire d’exhiber le processus de production, de fabrication</w:t>
      </w:r>
      <w:r>
        <w:rPr>
          <w:rStyle w:val="Appelnotedebasdep"/>
        </w:rPr>
        <w:footnoteReference w:id="6"/>
      </w:r>
      <w:r>
        <w:t xml:space="preserve"> du tableau, le « devenir un tableau », plutôt que le seul résultat. La </w:t>
      </w:r>
      <w:proofErr w:type="spellStart"/>
      <w:r w:rsidRPr="00715A64">
        <w:rPr>
          <w:i/>
        </w:rPr>
        <w:t>Gestaltung</w:t>
      </w:r>
      <w:proofErr w:type="spellEnd"/>
      <w:r>
        <w:t>, chère à Paul Klee, qui note ceci : « </w:t>
      </w:r>
      <w:r w:rsidRPr="00DB1EE1">
        <w:t xml:space="preserve">La théorie de la </w:t>
      </w:r>
      <w:proofErr w:type="spellStart"/>
      <w:r w:rsidRPr="00DB1EE1">
        <w:rPr>
          <w:i/>
        </w:rPr>
        <w:t>Gestaltung</w:t>
      </w:r>
      <w:proofErr w:type="spellEnd"/>
      <w:r w:rsidRPr="00DB1EE1">
        <w:t xml:space="preserve"> se préoccupe des chemins qui mènent à la </w:t>
      </w:r>
      <w:r w:rsidRPr="00DB1EE1">
        <w:rPr>
          <w:i/>
        </w:rPr>
        <w:t>Gestalt</w:t>
      </w:r>
      <w:r w:rsidRPr="00DB1EE1">
        <w:t xml:space="preserve"> (forme). C’est la théorie de la forme mais telle qu’elle met </w:t>
      </w:r>
      <w:r>
        <w:t xml:space="preserve">l’accent sur la </w:t>
      </w:r>
      <w:r>
        <w:lastRenderedPageBreak/>
        <w:t>voie qui y mène »</w:t>
      </w:r>
      <w:r w:rsidRPr="00DB1EE1">
        <w:rPr>
          <w:rStyle w:val="Appelnotedebasdep"/>
        </w:rPr>
        <w:footnoteReference w:id="7"/>
      </w:r>
      <w:r>
        <w:t>. Et il ajoute : « </w:t>
      </w:r>
      <w:r w:rsidRPr="00DB1EE1">
        <w:t>La genèse comme mouvement à la fois formel et forma</w:t>
      </w:r>
      <w:r>
        <w:t>teur est l’essentiel de l’œuvre »</w:t>
      </w:r>
      <w:r w:rsidRPr="00DB1EE1">
        <w:rPr>
          <w:rStyle w:val="Appelnotedebasdep"/>
        </w:rPr>
        <w:footnoteReference w:id="8"/>
      </w:r>
      <w:r w:rsidRPr="00DB1EE1">
        <w:t>.</w:t>
      </w:r>
      <w:r>
        <w:t xml:space="preserve"> La fabrication du tableau, pour Bernard </w:t>
      </w:r>
      <w:proofErr w:type="spellStart"/>
      <w:r>
        <w:t>Frize</w:t>
      </w:r>
      <w:proofErr w:type="spellEnd"/>
      <w:r>
        <w:t xml:space="preserve">, c’est-à-dire l’instance de production aux prises avec des matériaux (en particulier, la résine acrylique). </w:t>
      </w:r>
    </w:p>
    <w:p w:rsidR="00AD766A" w:rsidRPr="00EF7F77" w:rsidRDefault="00AD766A" w:rsidP="00AD766A">
      <w:pPr>
        <w:spacing w:after="120" w:line="276" w:lineRule="auto"/>
        <w:jc w:val="both"/>
      </w:pPr>
      <w:r>
        <w:t xml:space="preserve">Le </w:t>
      </w:r>
      <w:r w:rsidRPr="00D1355E">
        <w:rPr>
          <w:i/>
        </w:rPr>
        <w:t>geste de création</w:t>
      </w:r>
      <w:r>
        <w:t xml:space="preserve">, dirons-nous, qui suppose un même rapport à l’espace et au temps, les moyens mis en œuvre et les techniques picturales fussent-ils propres aux deux artistes. L’hypothèse à valider est que Paul Klee privilégie </w:t>
      </w:r>
      <w:r w:rsidRPr="00873563">
        <w:rPr>
          <w:i/>
        </w:rPr>
        <w:t>le devenir des formes</w:t>
      </w:r>
      <w:r>
        <w:t>, leur formation</w:t>
      </w:r>
      <w:r>
        <w:rPr>
          <w:rStyle w:val="Appelnotedebasdep"/>
        </w:rPr>
        <w:footnoteReference w:id="9"/>
      </w:r>
      <w:r>
        <w:t xml:space="preserve">, Bernard </w:t>
      </w:r>
      <w:proofErr w:type="spellStart"/>
      <w:r>
        <w:t>Frize</w:t>
      </w:r>
      <w:proofErr w:type="spellEnd"/>
      <w:r>
        <w:t xml:space="preserve"> s’intéressant avant tout à la manière dont les idées, qui « ne flottent pas dans l’air […] doivent trouver une </w:t>
      </w:r>
      <w:r w:rsidRPr="00873563">
        <w:rPr>
          <w:i/>
        </w:rPr>
        <w:t>matérialité</w:t>
      </w:r>
      <w:r>
        <w:t> »</w:t>
      </w:r>
      <w:r>
        <w:rPr>
          <w:rStyle w:val="Appelnotedebasdep"/>
        </w:rPr>
        <w:footnoteReference w:id="10"/>
      </w:r>
      <w:r>
        <w:t>.</w:t>
      </w:r>
    </w:p>
    <w:p w:rsidR="00AD766A" w:rsidRDefault="00AD766A" w:rsidP="00AD766A">
      <w:pPr>
        <w:spacing w:after="120" w:line="276" w:lineRule="auto"/>
        <w:jc w:val="both"/>
      </w:pPr>
      <w:r>
        <w:t xml:space="preserve">Dans ce cas, comment définir l’acte de création ? Quelles en sont les propriétés ? Faut-il le distinguer de l’acte, unique ou répété ? Dans quelle mesure le geste de création est-il non seulement pourvu d’un substrat sensible, mais encore rapporté à tout un environnement (naturel…) que le peintre transforme en </w:t>
      </w:r>
      <w:r w:rsidRPr="00C85190">
        <w:rPr>
          <w:i/>
        </w:rPr>
        <w:t>milieu de vie</w:t>
      </w:r>
      <w:r>
        <w:t>, à tout un contexte social, culturel, politique, voire économique, qui véhicule des conventions et des normes spécifiques à un espace institutionnel et à ses pratiques, des représentations et des valeurs ? Enfin, en quoi le format, le support matériel, les outils faisant fonction de prothèses</w:t>
      </w:r>
      <w:r>
        <w:rPr>
          <w:rStyle w:val="Appelnotedebasdep"/>
        </w:rPr>
        <w:footnoteReference w:id="11"/>
      </w:r>
      <w:r>
        <w:t xml:space="preserve"> (par exemple le pinceau) contribuent-ils à la production du sens ? </w:t>
      </w:r>
    </w:p>
    <w:p w:rsidR="00AD766A" w:rsidRDefault="00AD766A" w:rsidP="00AD766A">
      <w:pPr>
        <w:spacing w:after="120" w:line="276" w:lineRule="auto"/>
        <w:jc w:val="both"/>
      </w:pPr>
      <w:r>
        <w:t xml:space="preserve">On peut, en ces termes, circonscrire un champ de questionnement qui, même s’il n’est pas inédit, nous servira de point de départ. L’on prend, en effet, la mesure des enjeux, qui sont aussi d’ordre théorique. Ainsi, nous serons confrontés à des défis épistémologiques et à l’évolution des paradigmes. Nous esquisserons des réponses à travers l’étude de peintures de Paul Klee et de Bernard </w:t>
      </w:r>
      <w:proofErr w:type="spellStart"/>
      <w:r>
        <w:t>Frize</w:t>
      </w:r>
      <w:proofErr w:type="spellEnd"/>
      <w:r>
        <w:t xml:space="preserve">, notre hypothèse étant que ces dernières attestent des styles suffisamment éloignés l’un de l’autre pour que leur mise en regard soit pertinente. </w:t>
      </w:r>
    </w:p>
    <w:p w:rsidR="00AD766A" w:rsidRDefault="00AD766A" w:rsidP="00AD766A">
      <w:pPr>
        <w:spacing w:after="120" w:line="276" w:lineRule="auto"/>
        <w:jc w:val="both"/>
      </w:pPr>
      <w:r>
        <w:t xml:space="preserve">À cet effet, nous mobiliserons surtout le cadre théorique et le bagage conceptuel de la sémiotique développée au vingtième siècle – entre les années cinquante et les années quatre-vingt-dix – par </w:t>
      </w:r>
      <w:proofErr w:type="spellStart"/>
      <w:r>
        <w:t>Algirdas</w:t>
      </w:r>
      <w:proofErr w:type="spellEnd"/>
      <w:r>
        <w:t xml:space="preserve"> Julien Greimas</w:t>
      </w:r>
      <w:r>
        <w:rPr>
          <w:rStyle w:val="Appelnotedebasdep"/>
        </w:rPr>
        <w:footnoteReference w:id="12"/>
      </w:r>
      <w:r>
        <w:t xml:space="preserve"> et les chercheurs regroupés autour de lui, ainsi que les théories post-</w:t>
      </w:r>
      <w:proofErr w:type="spellStart"/>
      <w:r>
        <w:t>greimassiennes</w:t>
      </w:r>
      <w:proofErr w:type="spellEnd"/>
      <w:r>
        <w:t xml:space="preserve"> qui ponctuent les trente dernières années : essentiellement la sémiotique du corps et la sémiotique des pratiques développées par Jacques </w:t>
      </w:r>
      <w:proofErr w:type="spellStart"/>
      <w:r>
        <w:t>Fontanille</w:t>
      </w:r>
      <w:proofErr w:type="spellEnd"/>
      <w:r>
        <w:rPr>
          <w:rStyle w:val="Appelnotedebasdep"/>
        </w:rPr>
        <w:footnoteReference w:id="13"/>
      </w:r>
      <w:r>
        <w:t xml:space="preserve">, la sémiotique des instances </w:t>
      </w:r>
      <w:proofErr w:type="spellStart"/>
      <w:r>
        <w:t>énonçantes</w:t>
      </w:r>
      <w:proofErr w:type="spellEnd"/>
      <w:r>
        <w:t xml:space="preserve"> chère à Jean-Claude Coquet</w:t>
      </w:r>
      <w:r>
        <w:rPr>
          <w:rStyle w:val="Appelnotedebasdep"/>
        </w:rPr>
        <w:footnoteReference w:id="14"/>
      </w:r>
      <w:r>
        <w:t xml:space="preserve"> et la sémiotique de la perception, dont Jean-François </w:t>
      </w:r>
      <w:proofErr w:type="spellStart"/>
      <w:r>
        <w:t>Bordron</w:t>
      </w:r>
      <w:proofErr w:type="spellEnd"/>
      <w:r>
        <w:rPr>
          <w:rStyle w:val="Appelnotedebasdep"/>
        </w:rPr>
        <w:footnoteReference w:id="15"/>
      </w:r>
      <w:r>
        <w:t xml:space="preserve"> est un des auteurs principaux. En même temps, la </w:t>
      </w:r>
      <w:r>
        <w:lastRenderedPageBreak/>
        <w:t>sémiotique, dès ses débuts, appelle au dialogue interdisciplinaire : d’abord avec les linguistiques, la philosophie, la sociologie et l’anthropologie. Nous ne dérogerons pas à la tradition, en posant au départ de notre réflexion le postulat sémiotique de base : pour montrer comment la signification ou le sens est produit (dans un texte verbal, visuel, musical, olfactif, etc.), pour rendre compte d’une pratique, il faut s’attacher à dégager les mécanismes intervenant dans la solidarisation d’un plan du contenu et d’un plan de l’expression. </w:t>
      </w:r>
    </w:p>
    <w:p w:rsidR="00AD766A" w:rsidRDefault="00AD766A" w:rsidP="00AD766A">
      <w:pPr>
        <w:spacing w:after="120" w:line="276" w:lineRule="auto"/>
        <w:jc w:val="both"/>
      </w:pPr>
      <w:r>
        <w:t xml:space="preserve">À cet effet, privilégiant une approche </w:t>
      </w:r>
      <w:proofErr w:type="spellStart"/>
      <w:r>
        <w:t>dynamiciste</w:t>
      </w:r>
      <w:proofErr w:type="spellEnd"/>
      <w:r>
        <w:t xml:space="preserve">, nous serons attentive aux déploiements du sens, à ses stabilisations et ses déstabilisations, aux tensions habitant un espace qui se forme et se déforme, aux prises de sens, aux </w:t>
      </w:r>
      <w:proofErr w:type="spellStart"/>
      <w:r>
        <w:t>dé-prises</w:t>
      </w:r>
      <w:proofErr w:type="spellEnd"/>
      <w:r>
        <w:t xml:space="preserve"> et aux </w:t>
      </w:r>
      <w:proofErr w:type="spellStart"/>
      <w:r>
        <w:t>re-prises</w:t>
      </w:r>
      <w:proofErr w:type="spellEnd"/>
      <w:r>
        <w:t>, là où le nouveau est à la fois mémoriel, reconduisant des dits et des dires antérieurs, selon l’expression de Foucault</w:t>
      </w:r>
      <w:r>
        <w:rPr>
          <w:rStyle w:val="Appelnotedebasdep"/>
        </w:rPr>
        <w:footnoteReference w:id="16"/>
      </w:r>
      <w:r>
        <w:t xml:space="preserve">, et inaugural. Enfin, le point de vue théorique des </w:t>
      </w:r>
      <w:proofErr w:type="spellStart"/>
      <w:r>
        <w:t>textualisations</w:t>
      </w:r>
      <w:proofErr w:type="spellEnd"/>
      <w:r>
        <w:t xml:space="preserve"> (productions de textes) se profilant sur un arrière-fond institutionnel doit être conjugué avec celui des pratiques ou cours d’actions ou encore avec celui des formes de vie, que Jacques </w:t>
      </w:r>
      <w:proofErr w:type="spellStart"/>
      <w:r>
        <w:t>Fontanille</w:t>
      </w:r>
      <w:proofErr w:type="spellEnd"/>
      <w:r>
        <w:rPr>
          <w:rStyle w:val="Appelnotedebasdep"/>
        </w:rPr>
        <w:footnoteReference w:id="17"/>
      </w:r>
      <w:r>
        <w:t xml:space="preserve"> théorise à la suite de Wittgenstein : pratiques</w:t>
      </w:r>
      <w:r>
        <w:rPr>
          <w:rStyle w:val="Appelnotedebasdep"/>
        </w:rPr>
        <w:footnoteReference w:id="18"/>
      </w:r>
      <w:r>
        <w:t xml:space="preserve"> et formes de vie sont alors en charge de la </w:t>
      </w:r>
      <w:r w:rsidR="003304E3">
        <w:t xml:space="preserve">gestation et de la </w:t>
      </w:r>
      <w:r>
        <w:t>gestion du sens</w:t>
      </w:r>
      <w:r>
        <w:rPr>
          <w:rStyle w:val="Appelnotedebasdep"/>
        </w:rPr>
        <w:footnoteReference w:id="19"/>
      </w:r>
      <w:r>
        <w:t xml:space="preserve">.  </w:t>
      </w:r>
    </w:p>
    <w:p w:rsidR="00AD766A" w:rsidRDefault="00AD766A" w:rsidP="00AD766A">
      <w:pPr>
        <w:spacing w:after="120" w:line="276" w:lineRule="auto"/>
        <w:jc w:val="both"/>
      </w:pPr>
      <w:r>
        <w:t xml:space="preserve">Notre réflexion sera déclinée en quatre temps. Dans une première partie, nous viserons à dégager les propriétés du geste de création d’une instance sensible et perceptivo-cognitive, singulière ou collective, personnelle ou impersonnelle, qui est confrontée à la matière et au matériau. Ensuite, nous nous demanderons en quoi la distinction entre la création et la gestion-exécution permet d’approcher le processus de la </w:t>
      </w:r>
      <w:proofErr w:type="spellStart"/>
      <w:r w:rsidRPr="00B15490">
        <w:rPr>
          <w:i/>
        </w:rPr>
        <w:t>Gestaltung</w:t>
      </w:r>
      <w:proofErr w:type="spellEnd"/>
      <w:r w:rsidRPr="00B15490">
        <w:rPr>
          <w:i/>
        </w:rPr>
        <w:t xml:space="preserve"> </w:t>
      </w:r>
      <w:r>
        <w:t xml:space="preserve">et de la fabrication du tableau à nouveaux frais. À cela s’ajoutera, dans un troisième temps, une réflexion sur la participation de  différents acteurs – instances de production, normes, représentations, instruments ou outils, supports, couleurs… – à la production du sens dans un tableau. Enfin, il s’agira de montrer que le déplacement de l’accent sur le processus de création / gestion suppose le réexamen de l’épineuse question de la temporalité dans la peinture, considérée, traditionnellement, comme un art de l’espace. </w:t>
      </w:r>
    </w:p>
    <w:p w:rsidR="00AD766A" w:rsidRPr="0007357B" w:rsidRDefault="00AD766A" w:rsidP="00AD766A">
      <w:pPr>
        <w:spacing w:after="120" w:line="276" w:lineRule="auto"/>
        <w:jc w:val="both"/>
        <w:rPr>
          <w:i/>
        </w:rPr>
      </w:pPr>
      <w:r w:rsidRPr="0007357B">
        <w:rPr>
          <w:i/>
        </w:rPr>
        <w:t xml:space="preserve">Le geste de création : comment dénouer une complexité ? </w:t>
      </w:r>
    </w:p>
    <w:p w:rsidR="00AD766A" w:rsidRDefault="00AD766A" w:rsidP="00AD766A">
      <w:pPr>
        <w:spacing w:after="120" w:line="276" w:lineRule="auto"/>
        <w:jc w:val="both"/>
      </w:pPr>
      <w:r>
        <w:t xml:space="preserve">Le geste est remis à l’honneur par des chercheurs d’appartenances théoriques différentes : ainsi par Yves </w:t>
      </w:r>
      <w:proofErr w:type="spellStart"/>
      <w:r>
        <w:t>Citton</w:t>
      </w:r>
      <w:proofErr w:type="spellEnd"/>
      <w:r>
        <w:t xml:space="preserve">, qui, dans </w:t>
      </w:r>
      <w:r w:rsidRPr="0098081E">
        <w:rPr>
          <w:i/>
        </w:rPr>
        <w:t>Gestes d’humanité</w:t>
      </w:r>
      <w:r>
        <w:rPr>
          <w:i/>
        </w:rPr>
        <w:t>s</w:t>
      </w:r>
      <w:r w:rsidRPr="0098081E">
        <w:rPr>
          <w:i/>
        </w:rPr>
        <w:t>. Anthropologie sauvage de nos expériences esthétiques</w:t>
      </w:r>
      <w:r>
        <w:t xml:space="preserve">, reconnaît comme geste « tout ce qui, de nos mouvements corporels, affectifs et </w:t>
      </w:r>
      <w:r>
        <w:lastRenderedPageBreak/>
        <w:t>relationnels, se montre à autrui, que ce soit de façon volontaire ou non, active ou subie »</w:t>
      </w:r>
      <w:r w:rsidRPr="0098081E">
        <w:rPr>
          <w:rStyle w:val="Appelnotedebasdep"/>
        </w:rPr>
        <w:t xml:space="preserve"> </w:t>
      </w:r>
      <w:r>
        <w:rPr>
          <w:rStyle w:val="Appelnotedebasdep"/>
        </w:rPr>
        <w:footnoteReference w:id="20"/>
      </w:r>
      <w:r>
        <w:t xml:space="preserve">. Par l’anthropologue Tim Ingold, qui – notamment dans </w:t>
      </w:r>
      <w:r w:rsidRPr="0010569C">
        <w:rPr>
          <w:i/>
        </w:rPr>
        <w:t>Faire : anthropologie, archéologie, art et architecture</w:t>
      </w:r>
      <w:r w:rsidRPr="0098081E">
        <w:rPr>
          <w:rStyle w:val="Appelnotedebasdep"/>
        </w:rPr>
        <w:footnoteReference w:id="21"/>
      </w:r>
      <w:r>
        <w:t xml:space="preserve"> – met en avant les gestes de fabrication, dans la confrontation des forces et des matériaux. Ou encore par les sémioticiens, qui peuvent s’interroger sur le geste</w:t>
      </w:r>
      <w:r>
        <w:rPr>
          <w:rStyle w:val="Appelnotedebasdep"/>
        </w:rPr>
        <w:footnoteReference w:id="22"/>
      </w:r>
      <w:r>
        <w:t>, notamment en relation avec le numérique</w:t>
      </w:r>
      <w:r>
        <w:rPr>
          <w:rStyle w:val="Appelnotedebasdep"/>
        </w:rPr>
        <w:footnoteReference w:id="23"/>
      </w:r>
      <w:r>
        <w:t xml:space="preserve">. </w:t>
      </w:r>
    </w:p>
    <w:p w:rsidR="00AD766A" w:rsidRPr="009123AA" w:rsidRDefault="00AD766A" w:rsidP="00AD766A">
      <w:pPr>
        <w:spacing w:after="120" w:line="276" w:lineRule="auto"/>
        <w:jc w:val="both"/>
      </w:pPr>
      <w:r>
        <w:t>Pourquoi cet engouement ? Précisément, il semblerait que, depuis les objectivations et abstractions structuralistes, l’accent se déplace (à nouveau) sur le corps, le sujet sensible, voire sur la subjectivité – ou les lignes de subjectivation chères à Deleuze</w:t>
      </w:r>
      <w:r>
        <w:rPr>
          <w:rStyle w:val="Appelnotedebasdep"/>
        </w:rPr>
        <w:footnoteReference w:id="24"/>
      </w:r>
      <w:r>
        <w:t>, quand « créer, c’est produire des lignes et des figures de différenciation »</w:t>
      </w:r>
      <w:r>
        <w:rPr>
          <w:rStyle w:val="Appelnotedebasdep"/>
        </w:rPr>
        <w:footnoteReference w:id="25"/>
      </w:r>
      <w:r>
        <w:t>. Mais aussi sur la matérialité de la fabrication d’un objet, par exemple d’un tableau.</w:t>
      </w:r>
    </w:p>
    <w:p w:rsidR="00AD766A" w:rsidRPr="00D36488" w:rsidRDefault="00AD766A" w:rsidP="00AD766A">
      <w:pPr>
        <w:spacing w:after="120" w:line="276" w:lineRule="auto"/>
        <w:jc w:val="both"/>
      </w:pPr>
      <w:r>
        <w:t xml:space="preserve">D’une part, il s’agit plus que jamais de se tourner vers l’amont des règles gouvernant les langages symboliques : vers la genèse du sens, à partir d’un substrat sensible. La sémiotique de Jean-François </w:t>
      </w:r>
      <w:proofErr w:type="spellStart"/>
      <w:r>
        <w:t>Bordron</w:t>
      </w:r>
      <w:proofErr w:type="spellEnd"/>
      <w:r>
        <w:rPr>
          <w:rStyle w:val="Appelnotedebasdep"/>
        </w:rPr>
        <w:footnoteReference w:id="26"/>
      </w:r>
      <w:r>
        <w:t xml:space="preserve">, qui, s’inspirant de Peirce librement, distingue les strates indicielle du sens – </w:t>
      </w:r>
      <w:r w:rsidRPr="008916A2">
        <w:rPr>
          <w:i/>
        </w:rPr>
        <w:t>il y a</w:t>
      </w:r>
      <w:r>
        <w:t xml:space="preserve"> avant le </w:t>
      </w:r>
      <w:r w:rsidRPr="008916A2">
        <w:rPr>
          <w:i/>
        </w:rPr>
        <w:t>il y a quelque chose</w:t>
      </w:r>
      <w:r>
        <w:t xml:space="preserve"> –, iconique ou perceptuelle et symbolique, y trouve son ancrage. Nous dirons que l’instance est d’abord </w:t>
      </w:r>
      <w:r w:rsidRPr="008916A2">
        <w:rPr>
          <w:i/>
        </w:rPr>
        <w:t>au</w:t>
      </w:r>
      <w:r>
        <w:t xml:space="preserve"> monde (prise de position primitive et attitude </w:t>
      </w:r>
      <w:proofErr w:type="spellStart"/>
      <w:r>
        <w:t>puissancielle</w:t>
      </w:r>
      <w:proofErr w:type="spellEnd"/>
      <w:r>
        <w:t xml:space="preserve">), avant d’être </w:t>
      </w:r>
      <w:r w:rsidRPr="008916A2">
        <w:rPr>
          <w:i/>
        </w:rPr>
        <w:t>face</w:t>
      </w:r>
      <w:r>
        <w:t xml:space="preserve"> à lui (perception) et, enfin, </w:t>
      </w:r>
      <w:r w:rsidRPr="008916A2">
        <w:rPr>
          <w:i/>
        </w:rPr>
        <w:t xml:space="preserve">dans </w:t>
      </w:r>
      <w:r>
        <w:t>le monde (une instance d’énonciation, c’est-à-dire de production du sens, projette sur le monde des modèles d’organisation tels le récit, qui suppose un ordre logique et un déploiement de la séquence temporelle en présent, passé et futur). Ces préoccupations ne sont pas récentes – on songera à Henri Michaux, qui met en avant les « pauvres connexions » capables, sur les plans syntaxique et sémantique, de secouer la tyrannie des « langues achevées », des « langues commandantes », au profit des « langues inachevées – à moitié faites, abandonnées à mi-parcours, (ou bien avant) »</w:t>
      </w:r>
      <w:r>
        <w:rPr>
          <w:rStyle w:val="Appelnotedebasdep"/>
        </w:rPr>
        <w:footnoteReference w:id="27"/>
      </w:r>
      <w:r>
        <w:t xml:space="preserve">. Elles gardent toute leur actualité. </w:t>
      </w:r>
    </w:p>
    <w:p w:rsidR="00AD766A" w:rsidRPr="00E968D2" w:rsidRDefault="00AD766A" w:rsidP="00AD766A">
      <w:pPr>
        <w:spacing w:after="120" w:line="276" w:lineRule="auto"/>
        <w:jc w:val="both"/>
      </w:pPr>
      <w:r>
        <w:t xml:space="preserve">D’autre part, ce revirement est caractérisé par l’attachement réaffirmé à la terre et à l’environnement naturel, à la pratique et au faire (notamment artisanal). Par l’attention portée aux matériaux ainsi qu’à la </w:t>
      </w:r>
      <w:proofErr w:type="spellStart"/>
      <w:r w:rsidRPr="00EB3064">
        <w:rPr>
          <w:i/>
        </w:rPr>
        <w:t>te</w:t>
      </w:r>
      <w:r>
        <w:rPr>
          <w:i/>
        </w:rPr>
        <w:t>c</w:t>
      </w:r>
      <w:r w:rsidRPr="00EB3064">
        <w:rPr>
          <w:i/>
        </w:rPr>
        <w:t>hnè</w:t>
      </w:r>
      <w:proofErr w:type="spellEnd"/>
      <w:r>
        <w:t xml:space="preserve"> au sens où l’entendaient les Grecs, c’est-à-dire à l’activité de production d’artefacts, que ces derniers soient utilitaires ou esthétiques, et donc aussi à l’outil, prothèse de la main. Elle se prolonge par une réflexion sur les objets techniques</w:t>
      </w:r>
      <w:r>
        <w:rPr>
          <w:rStyle w:val="Appelnotedebasdep"/>
        </w:rPr>
        <w:footnoteReference w:id="28"/>
      </w:r>
      <w:r>
        <w:t xml:space="preserve"> et les rapports que l’humain entretient avec la machine. Ceci au-delà du constat trop rapide – du lieu commun – d’une déshumanisation aliénante. La distinction introduite par Yves </w:t>
      </w:r>
      <w:proofErr w:type="spellStart"/>
      <w:r>
        <w:t>Citton</w:t>
      </w:r>
      <w:proofErr w:type="spellEnd"/>
      <w:r>
        <w:t xml:space="preserve"> entre le geste « </w:t>
      </w:r>
      <w:proofErr w:type="spellStart"/>
      <w:r>
        <w:t>machinisé</w:t>
      </w:r>
      <w:proofErr w:type="spellEnd"/>
      <w:r>
        <w:t xml:space="preserve"> », qui « se </w:t>
      </w:r>
      <w:proofErr w:type="spellStart"/>
      <w:r>
        <w:t>conform</w:t>
      </w:r>
      <w:proofErr w:type="spellEnd"/>
      <w:r>
        <w:t xml:space="preserve">[e] à un programme préexistant », et le geste </w:t>
      </w:r>
      <w:r>
        <w:lastRenderedPageBreak/>
        <w:t xml:space="preserve">« machinant », </w:t>
      </w:r>
      <w:r>
        <w:rPr>
          <w:rFonts w:eastAsiaTheme="minorEastAsia"/>
        </w:rPr>
        <w:t xml:space="preserve">qui </w:t>
      </w:r>
      <w:r w:rsidRPr="00102577">
        <w:rPr>
          <w:rFonts w:eastAsiaTheme="minorEastAsia"/>
        </w:rPr>
        <w:t>redéfini</w:t>
      </w:r>
      <w:r>
        <w:rPr>
          <w:rFonts w:eastAsiaTheme="minorEastAsia"/>
        </w:rPr>
        <w:t xml:space="preserve">t </w:t>
      </w:r>
      <w:r w:rsidRPr="00102577">
        <w:rPr>
          <w:rFonts w:eastAsiaTheme="minorEastAsia"/>
        </w:rPr>
        <w:t>le rapport de l’homme à la nature, à ses organismes et à ses matériaux</w:t>
      </w:r>
      <w:r>
        <w:rPr>
          <w:rFonts w:eastAsiaTheme="minorEastAsia"/>
        </w:rPr>
        <w:t xml:space="preserve">, en convoquant la « puissance d’agir extériorisée par les humains dans des machines indissociablement physiques et sociales », </w:t>
      </w:r>
      <w:r>
        <w:t>permet de faire avancer le débat</w:t>
      </w:r>
      <w:r>
        <w:rPr>
          <w:rStyle w:val="Appelnotedebasdep"/>
        </w:rPr>
        <w:footnoteReference w:id="29"/>
      </w:r>
      <w:r>
        <w:t>.</w:t>
      </w:r>
    </w:p>
    <w:p w:rsidR="00AD766A" w:rsidRDefault="00AD766A" w:rsidP="00AD766A">
      <w:pPr>
        <w:spacing w:after="120" w:line="276" w:lineRule="auto"/>
        <w:jc w:val="both"/>
      </w:pPr>
      <w:r>
        <w:t xml:space="preserve">On le voit, la notion de geste couvre un large empan et semble cristalliser tout un débat et tout un emportement critique, qu’il faut évaluer à la lumière des pratiques sociales, culturelles, historiques ou économiques. Les défis lancés par le développement des technologies au vingt-et-unième siècle n’y sont sans doute pas étrangers. Parler du geste aujourd’hui, c’est, nécessairement, prendre en compte l’interaction avec la machine. Ainsi, en quoi l’humain est-il destitué, dépouillé d’une partie de son initiative, quand les programmes informatiques font connaître leurs prescriptions ? Mais aussi, en quoi l’interaction avec la machine accroît-elle les compétences de l’humain, au point qu’on peut parler d’un « corps augmenté » ? Sans doute l’époque est-elle à un tournant majeur, comparable à celui que marqua l’industrialisation au dix-neuvième siècle. L’urgence d’une réflexion approfondie n’en devient que plus grande. </w:t>
      </w:r>
    </w:p>
    <w:p w:rsidR="00AD766A" w:rsidRDefault="00AD766A" w:rsidP="00AD766A">
      <w:pPr>
        <w:pStyle w:val="NormalWeb"/>
        <w:spacing w:before="0" w:beforeAutospacing="0" w:after="120" w:afterAutospacing="0" w:line="276" w:lineRule="auto"/>
        <w:jc w:val="both"/>
      </w:pPr>
      <w:r>
        <w:t xml:space="preserve">Il peut sembler que nous nous écartons de notre sujet : Bernard </w:t>
      </w:r>
      <w:proofErr w:type="spellStart"/>
      <w:r>
        <w:t>Frize</w:t>
      </w:r>
      <w:proofErr w:type="spellEnd"/>
      <w:r>
        <w:t xml:space="preserve"> et, </w:t>
      </w:r>
      <w:r w:rsidRPr="00B370C1">
        <w:rPr>
          <w:i/>
        </w:rPr>
        <w:t>a fortiori</w:t>
      </w:r>
      <w:r>
        <w:t xml:space="preserve">, Paul Klee, ne pratiquent pas l’art numérique. La question est cependant plus vaste et concerne aussi, à des degrés différents, tous les outils (pinceaux, rouleaux, pistolets…) et les matériaux eux-mêmes, avec lesquels l’artiste doit composer ou, mieux, interagir. </w:t>
      </w:r>
    </w:p>
    <w:p w:rsidR="00AD766A" w:rsidRDefault="00AD766A" w:rsidP="00AD766A">
      <w:pPr>
        <w:pStyle w:val="NormalWeb"/>
        <w:spacing w:before="0" w:beforeAutospacing="0" w:after="120" w:afterAutospacing="0" w:line="276" w:lineRule="auto"/>
        <w:jc w:val="both"/>
      </w:pPr>
      <w:r>
        <w:t>Privilégions donc</w:t>
      </w:r>
      <w:r w:rsidRPr="00DB06D5">
        <w:t xml:space="preserve"> le domaine de l’art</w:t>
      </w:r>
      <w:r>
        <w:t xml:space="preserve"> – au-delà ou en deçà de l’art numérique. L</w:t>
      </w:r>
      <w:r w:rsidRPr="00DB06D5">
        <w:t xml:space="preserve">a question de départ se pose avec plus d’acuité </w:t>
      </w:r>
      <w:r>
        <w:t>encore </w:t>
      </w:r>
      <w:r w:rsidRPr="00DB06D5">
        <w:t xml:space="preserve">: comment définir le geste, plus particulièrement le geste de création ? Adoptant le point de vue de la sémiotique, nous dirons qu’il est, pour le moins, (i) incarné, (ii) processuel et (iii) matériel. </w:t>
      </w:r>
    </w:p>
    <w:p w:rsidR="00AD766A" w:rsidRDefault="00AD766A" w:rsidP="00AD766A">
      <w:pPr>
        <w:pStyle w:val="NormalWeb"/>
        <w:spacing w:before="0" w:beforeAutospacing="0" w:after="120" w:afterAutospacing="0" w:line="276" w:lineRule="auto"/>
        <w:jc w:val="both"/>
      </w:pPr>
      <w:r w:rsidRPr="00DB06D5">
        <w:t xml:space="preserve">Incarné, </w:t>
      </w:r>
      <w:r>
        <w:t xml:space="preserve">car </w:t>
      </w:r>
      <w:r w:rsidRPr="00DB06D5">
        <w:t xml:space="preserve">l’instance productrice du sens </w:t>
      </w:r>
      <w:r>
        <w:t>est</w:t>
      </w:r>
      <w:r w:rsidRPr="00DB06D5">
        <w:t xml:space="preserve"> sensible </w:t>
      </w:r>
      <w:r>
        <w:t xml:space="preserve">et </w:t>
      </w:r>
      <w:proofErr w:type="spellStart"/>
      <w:r>
        <w:t>percevante</w:t>
      </w:r>
      <w:proofErr w:type="spellEnd"/>
      <w:r>
        <w:t xml:space="preserve">, </w:t>
      </w:r>
      <w:r w:rsidRPr="00DB06D5">
        <w:t>et l’inscription sur une toile, une feuille, un morceau de tissu… impliqu</w:t>
      </w:r>
      <w:r>
        <w:t>e</w:t>
      </w:r>
      <w:r w:rsidRPr="00DB06D5">
        <w:t xml:space="preserve"> l‘interaction entre deux corps-enveloppe</w:t>
      </w:r>
      <w:r w:rsidRPr="00DB06D5">
        <w:rPr>
          <w:rStyle w:val="Appelnotedebasdep"/>
        </w:rPr>
        <w:footnoteReference w:id="30"/>
      </w:r>
      <w:r w:rsidRPr="00DB06D5">
        <w:t xml:space="preserve">. </w:t>
      </w:r>
      <w:r>
        <w:t xml:space="preserve">Le « débrayage » à travers des inscriptions sur un support est incarné en ce que la traduction en points, en lignes, en formes et figures, en couleurs… présuppose la </w:t>
      </w:r>
      <w:proofErr w:type="spellStart"/>
      <w:r>
        <w:t>sensori</w:t>
      </w:r>
      <w:proofErr w:type="spellEnd"/>
      <w:r>
        <w:t xml:space="preserve">-motricité d’une instance sensible. </w:t>
      </w:r>
    </w:p>
    <w:p w:rsidR="00AD766A" w:rsidRDefault="00AD766A" w:rsidP="00AD766A">
      <w:pPr>
        <w:pStyle w:val="NormalWeb"/>
        <w:spacing w:before="0" w:beforeAutospacing="0" w:after="120" w:afterAutospacing="0" w:line="276" w:lineRule="auto"/>
        <w:jc w:val="both"/>
      </w:pPr>
      <w:r>
        <w:t>Ensuite, le geste est processuel, parce que</w:t>
      </w:r>
      <w:r w:rsidRPr="00DB06D5">
        <w:t xml:space="preserve"> toujours en « gestation », selon l’expression de Pierluigi </w:t>
      </w:r>
      <w:proofErr w:type="spellStart"/>
      <w:r w:rsidRPr="00DB06D5">
        <w:t>Basso</w:t>
      </w:r>
      <w:proofErr w:type="spellEnd"/>
      <w:r w:rsidRPr="00DB06D5">
        <w:rPr>
          <w:rStyle w:val="Appelnotedebasdep"/>
        </w:rPr>
        <w:footnoteReference w:id="31"/>
      </w:r>
      <w:r w:rsidRPr="00DB06D5">
        <w:t xml:space="preserve">. L’approche </w:t>
      </w:r>
      <w:proofErr w:type="spellStart"/>
      <w:r w:rsidRPr="00DB06D5">
        <w:t>dynamiciste</w:t>
      </w:r>
      <w:proofErr w:type="spellEnd"/>
      <w:r w:rsidRPr="00DB06D5">
        <w:t xml:space="preserve"> met l’accent sur les processus – la </w:t>
      </w:r>
      <w:proofErr w:type="spellStart"/>
      <w:r w:rsidRPr="00EB3064">
        <w:rPr>
          <w:i/>
        </w:rPr>
        <w:t>Gestaltung</w:t>
      </w:r>
      <w:proofErr w:type="spellEnd"/>
      <w:r w:rsidRPr="00DB06D5">
        <w:t xml:space="preserve"> </w:t>
      </w:r>
      <w:r>
        <w:t xml:space="preserve">et la fabrication </w:t>
      </w:r>
      <w:r w:rsidRPr="00DB06D5">
        <w:t>–, sur la formation, les formes produites étant éminemment provisoires</w:t>
      </w:r>
      <w:r>
        <w:t>, l’achèvement étant reporté, indéfiniment.</w:t>
      </w:r>
      <w:r w:rsidRPr="00DB06D5">
        <w:t xml:space="preserve"> </w:t>
      </w:r>
      <w:r>
        <w:t xml:space="preserve">C’est en cela que le processus est relancé, incessamment, que la création et l’invention / innovation sont rendues possibles. </w:t>
      </w:r>
    </w:p>
    <w:p w:rsidR="00AD766A" w:rsidRPr="009B3E86" w:rsidRDefault="00AD766A" w:rsidP="00AD766A">
      <w:pPr>
        <w:pStyle w:val="NormalWeb"/>
        <w:spacing w:before="0" w:beforeAutospacing="0" w:after="120" w:afterAutospacing="0" w:line="276" w:lineRule="auto"/>
        <w:jc w:val="both"/>
      </w:pPr>
      <w:r>
        <w:t xml:space="preserve">Enfin, le geste est matériel, en tant que </w:t>
      </w:r>
      <w:r w:rsidRPr="00DB06D5">
        <w:t>geste de fabrication</w:t>
      </w:r>
      <w:r>
        <w:t xml:space="preserve"> </w:t>
      </w:r>
      <w:r w:rsidRPr="00DB06D5">
        <w:t xml:space="preserve">qui tient compte des exigences et des demandes formulées par le matériau. </w:t>
      </w:r>
      <w:r>
        <w:t xml:space="preserve">De ses promesses aussi. </w:t>
      </w:r>
      <w:r w:rsidRPr="00DB06D5">
        <w:t xml:space="preserve">Telle la glaise du potier, dira-t-on, en se souvenant de </w:t>
      </w:r>
      <w:r w:rsidRPr="009B3E86">
        <w:t xml:space="preserve">Souriau : </w:t>
      </w:r>
    </w:p>
    <w:p w:rsidR="00AD766A" w:rsidRPr="009B3E86" w:rsidRDefault="00AD766A" w:rsidP="00AD766A">
      <w:pPr>
        <w:pStyle w:val="NormalWeb"/>
        <w:spacing w:before="0" w:beforeAutospacing="0" w:after="120" w:afterAutospacing="0" w:line="276" w:lineRule="auto"/>
        <w:ind w:left="567"/>
        <w:jc w:val="both"/>
      </w:pPr>
      <w:r w:rsidRPr="009B3E86">
        <w:rPr>
          <w:iCs/>
        </w:rPr>
        <w:t xml:space="preserve">D'une </w:t>
      </w:r>
      <w:proofErr w:type="spellStart"/>
      <w:r w:rsidRPr="009B3E86">
        <w:rPr>
          <w:iCs/>
        </w:rPr>
        <w:t>façon</w:t>
      </w:r>
      <w:proofErr w:type="spellEnd"/>
      <w:r w:rsidRPr="009B3E86">
        <w:rPr>
          <w:iCs/>
        </w:rPr>
        <w:t xml:space="preserve"> </w:t>
      </w:r>
      <w:proofErr w:type="spellStart"/>
      <w:r w:rsidRPr="009B3E86">
        <w:rPr>
          <w:iCs/>
        </w:rPr>
        <w:t>générale</w:t>
      </w:r>
      <w:proofErr w:type="spellEnd"/>
      <w:r w:rsidRPr="009B3E86">
        <w:rPr>
          <w:iCs/>
        </w:rPr>
        <w:t xml:space="preserve">, on peut dire que pour savoir ce qu'est un </w:t>
      </w:r>
      <w:proofErr w:type="spellStart"/>
      <w:r w:rsidRPr="009B3E86">
        <w:rPr>
          <w:iCs/>
        </w:rPr>
        <w:t>être</w:t>
      </w:r>
      <w:proofErr w:type="spellEnd"/>
      <w:r w:rsidRPr="009B3E86">
        <w:rPr>
          <w:iCs/>
        </w:rPr>
        <w:t xml:space="preserve">, il faut </w:t>
      </w:r>
      <w:r w:rsidRPr="009B3E86">
        <w:rPr>
          <w:bCs/>
          <w:iCs/>
        </w:rPr>
        <w:t>l'instaurer</w:t>
      </w:r>
      <w:r w:rsidRPr="009B3E86">
        <w:rPr>
          <w:iCs/>
        </w:rPr>
        <w:t xml:space="preserve">, le </w:t>
      </w:r>
      <w:r w:rsidRPr="009B3E86">
        <w:rPr>
          <w:bCs/>
          <w:iCs/>
        </w:rPr>
        <w:t xml:space="preserve">construire </w:t>
      </w:r>
      <w:proofErr w:type="spellStart"/>
      <w:r w:rsidRPr="009B3E86">
        <w:rPr>
          <w:iCs/>
        </w:rPr>
        <w:t>même</w:t>
      </w:r>
      <w:proofErr w:type="spellEnd"/>
      <w:r w:rsidRPr="009B3E86">
        <w:rPr>
          <w:iCs/>
        </w:rPr>
        <w:t xml:space="preserve">, soit directement (heureux à cet </w:t>
      </w:r>
      <w:proofErr w:type="spellStart"/>
      <w:r w:rsidRPr="009B3E86">
        <w:rPr>
          <w:iCs/>
        </w:rPr>
        <w:t>égard</w:t>
      </w:r>
      <w:proofErr w:type="spellEnd"/>
      <w:r w:rsidRPr="009B3E86">
        <w:rPr>
          <w:iCs/>
        </w:rPr>
        <w:t xml:space="preserve"> ceux qui </w:t>
      </w:r>
      <w:r w:rsidRPr="009B3E86">
        <w:t>font des choses!</w:t>
      </w:r>
      <w:r w:rsidRPr="009B3E86">
        <w:rPr>
          <w:iCs/>
        </w:rPr>
        <w:t xml:space="preserve">) soit indirectement et par </w:t>
      </w:r>
      <w:proofErr w:type="spellStart"/>
      <w:r w:rsidRPr="009B3E86">
        <w:rPr>
          <w:iCs/>
        </w:rPr>
        <w:t>représentation</w:t>
      </w:r>
      <w:proofErr w:type="spellEnd"/>
      <w:r w:rsidRPr="009B3E86">
        <w:rPr>
          <w:iCs/>
        </w:rPr>
        <w:t xml:space="preserve">, jusqu'au moment </w:t>
      </w:r>
      <w:proofErr w:type="spellStart"/>
      <w:r w:rsidRPr="009B3E86">
        <w:rPr>
          <w:iCs/>
        </w:rPr>
        <w:t>ou</w:t>
      </w:r>
      <w:proofErr w:type="spellEnd"/>
      <w:r w:rsidRPr="009B3E86">
        <w:rPr>
          <w:iCs/>
        </w:rPr>
        <w:t xml:space="preserve">̀, </w:t>
      </w:r>
      <w:proofErr w:type="spellStart"/>
      <w:r w:rsidRPr="009B3E86">
        <w:rPr>
          <w:iCs/>
        </w:rPr>
        <w:t>souleve</w:t>
      </w:r>
      <w:proofErr w:type="spellEnd"/>
      <w:r w:rsidRPr="009B3E86">
        <w:rPr>
          <w:iCs/>
        </w:rPr>
        <w:t xml:space="preserve">́ jusqu'à son plus haut </w:t>
      </w:r>
      <w:r w:rsidRPr="009B3E86">
        <w:rPr>
          <w:iCs/>
        </w:rPr>
        <w:lastRenderedPageBreak/>
        <w:t xml:space="preserve">point de </w:t>
      </w:r>
      <w:proofErr w:type="spellStart"/>
      <w:r w:rsidRPr="009B3E86">
        <w:rPr>
          <w:bCs/>
          <w:iCs/>
        </w:rPr>
        <w:t>présence</w:t>
      </w:r>
      <w:proofErr w:type="spellEnd"/>
      <w:r w:rsidRPr="009B3E86">
        <w:rPr>
          <w:bCs/>
          <w:iCs/>
        </w:rPr>
        <w:t xml:space="preserve"> </w:t>
      </w:r>
      <w:proofErr w:type="spellStart"/>
      <w:r w:rsidRPr="009B3E86">
        <w:rPr>
          <w:bCs/>
          <w:iCs/>
        </w:rPr>
        <w:t>réelle</w:t>
      </w:r>
      <w:proofErr w:type="spellEnd"/>
      <w:r w:rsidRPr="009B3E86">
        <w:rPr>
          <w:iCs/>
        </w:rPr>
        <w:t xml:space="preserve">, et </w:t>
      </w:r>
      <w:proofErr w:type="spellStart"/>
      <w:r w:rsidRPr="009B3E86">
        <w:rPr>
          <w:iCs/>
        </w:rPr>
        <w:t>entièrement</w:t>
      </w:r>
      <w:proofErr w:type="spellEnd"/>
      <w:r w:rsidRPr="009B3E86">
        <w:rPr>
          <w:iCs/>
        </w:rPr>
        <w:t xml:space="preserve"> </w:t>
      </w:r>
      <w:proofErr w:type="spellStart"/>
      <w:r w:rsidRPr="009B3E86">
        <w:rPr>
          <w:iCs/>
        </w:rPr>
        <w:t>détermine</w:t>
      </w:r>
      <w:proofErr w:type="spellEnd"/>
      <w:r w:rsidRPr="009B3E86">
        <w:rPr>
          <w:iCs/>
        </w:rPr>
        <w:t>́ pour ce qu'il devient alors, il se</w:t>
      </w:r>
      <w:r>
        <w:rPr>
          <w:iCs/>
        </w:rPr>
        <w:t> </w:t>
      </w:r>
      <w:r w:rsidRPr="009B3E86">
        <w:rPr>
          <w:iCs/>
        </w:rPr>
        <w:t xml:space="preserve">manifeste en son entier accomplissement, en sa </w:t>
      </w:r>
      <w:proofErr w:type="spellStart"/>
      <w:r w:rsidRPr="009B3E86">
        <w:rPr>
          <w:iCs/>
        </w:rPr>
        <w:t>vérite</w:t>
      </w:r>
      <w:proofErr w:type="spellEnd"/>
      <w:r w:rsidRPr="009B3E86">
        <w:rPr>
          <w:iCs/>
        </w:rPr>
        <w:t>́ propre</w:t>
      </w:r>
      <w:r>
        <w:rPr>
          <w:rStyle w:val="Appelnotedebasdep"/>
          <w:iCs/>
        </w:rPr>
        <w:footnoteReference w:id="32"/>
      </w:r>
      <w:r>
        <w:rPr>
          <w:iCs/>
        </w:rPr>
        <w:t>.</w:t>
      </w:r>
      <w:r w:rsidRPr="009B3E86">
        <w:rPr>
          <w:iCs/>
        </w:rPr>
        <w:t xml:space="preserve"> </w:t>
      </w:r>
    </w:p>
    <w:p w:rsidR="00AD766A" w:rsidRPr="00DB06D5" w:rsidRDefault="00AD766A" w:rsidP="00AD766A">
      <w:pPr>
        <w:pStyle w:val="NormalWeb"/>
        <w:spacing w:before="0" w:beforeAutospacing="0" w:after="120" w:afterAutospacing="0" w:line="276" w:lineRule="auto"/>
        <w:jc w:val="both"/>
      </w:pPr>
      <w:r>
        <w:t>La f</w:t>
      </w:r>
      <w:r w:rsidRPr="00DB06D5">
        <w:t xml:space="preserve">abrication </w:t>
      </w:r>
      <w:r>
        <w:t>est d’abord une</w:t>
      </w:r>
      <w:r w:rsidRPr="00DB06D5">
        <w:t xml:space="preserve"> instauration. </w:t>
      </w:r>
      <w:r>
        <w:t xml:space="preserve">Celle-ci prend les formes d’une négociation entre déterminations et possibilités, inhérentes, en partie, au matériau. </w:t>
      </w:r>
      <w:r w:rsidRPr="00DB06D5">
        <w:t xml:space="preserve">Le commentaire de Bruno </w:t>
      </w:r>
      <w:proofErr w:type="spellStart"/>
      <w:r w:rsidRPr="00DB06D5">
        <w:t>Latour</w:t>
      </w:r>
      <w:proofErr w:type="spellEnd"/>
      <w:r w:rsidRPr="00DB06D5">
        <w:t xml:space="preserve"> </w:t>
      </w:r>
      <w:r>
        <w:t xml:space="preserve">et d’Isabelle </w:t>
      </w:r>
      <w:proofErr w:type="spellStart"/>
      <w:r>
        <w:t>Stengers</w:t>
      </w:r>
      <w:proofErr w:type="spellEnd"/>
      <w:r>
        <w:t xml:space="preserve"> </w:t>
      </w:r>
      <w:r w:rsidRPr="00DB06D5">
        <w:t xml:space="preserve">est éloquent : </w:t>
      </w:r>
    </w:p>
    <w:p w:rsidR="00AD766A" w:rsidRDefault="00AD766A" w:rsidP="00AD766A">
      <w:pPr>
        <w:spacing w:after="120" w:line="276" w:lineRule="auto"/>
        <w:ind w:left="567"/>
        <w:jc w:val="both"/>
        <w:rPr>
          <w:rFonts w:ascii="MTimesNewRoman" w:hAnsi="MTimesNewRoman"/>
          <w:sz w:val="22"/>
          <w:szCs w:val="22"/>
        </w:rPr>
      </w:pPr>
      <w:r w:rsidRPr="009B3E86">
        <w:t xml:space="preserve">Mais tout commence </w:t>
      </w:r>
      <w:proofErr w:type="spellStart"/>
      <w:r w:rsidRPr="009B3E86">
        <w:t>peut-être</w:t>
      </w:r>
      <w:proofErr w:type="spellEnd"/>
      <w:r w:rsidRPr="009B3E86">
        <w:t xml:space="preserve"> avec le </w:t>
      </w:r>
      <w:proofErr w:type="spellStart"/>
      <w:r w:rsidRPr="009B3E86">
        <w:t>modèle</w:t>
      </w:r>
      <w:proofErr w:type="spellEnd"/>
      <w:r w:rsidRPr="009B3E86">
        <w:t xml:space="preserve"> du potier – ou avec le Dieu potier – imposant une </w:t>
      </w:r>
      <w:proofErr w:type="spellStart"/>
      <w:r w:rsidRPr="009B3E86">
        <w:t>volonte</w:t>
      </w:r>
      <w:proofErr w:type="spellEnd"/>
      <w:r w:rsidRPr="009B3E86">
        <w:t xml:space="preserve">́ </w:t>
      </w:r>
      <w:proofErr w:type="spellStart"/>
      <w:r w:rsidRPr="009B3E86">
        <w:t>unilatérale</w:t>
      </w:r>
      <w:proofErr w:type="spellEnd"/>
      <w:r w:rsidRPr="009B3E86">
        <w:t xml:space="preserve"> à une glaise qui doit </w:t>
      </w:r>
      <w:proofErr w:type="spellStart"/>
      <w:r w:rsidRPr="009B3E86">
        <w:t>être</w:t>
      </w:r>
      <w:proofErr w:type="spellEnd"/>
      <w:r w:rsidRPr="009B3E86">
        <w:t xml:space="preserve"> </w:t>
      </w:r>
      <w:proofErr w:type="spellStart"/>
      <w:r w:rsidRPr="009B3E86">
        <w:t>réputée</w:t>
      </w:r>
      <w:proofErr w:type="spellEnd"/>
      <w:r w:rsidRPr="009B3E86">
        <w:t xml:space="preserve"> </w:t>
      </w:r>
      <w:proofErr w:type="spellStart"/>
      <w:r w:rsidRPr="009B3E86">
        <w:t>indifférente</w:t>
      </w:r>
      <w:proofErr w:type="spellEnd"/>
      <w:r w:rsidRPr="009B3E86">
        <w:t xml:space="preserve"> – voire </w:t>
      </w:r>
      <w:proofErr w:type="spellStart"/>
      <w:r w:rsidRPr="009B3E86">
        <w:t>même</w:t>
      </w:r>
      <w:proofErr w:type="spellEnd"/>
      <w:r w:rsidRPr="009B3E86">
        <w:t xml:space="preserve"> inexistante avec le Dieu </w:t>
      </w:r>
      <w:proofErr w:type="spellStart"/>
      <w:r w:rsidRPr="009B3E86">
        <w:t>créateur</w:t>
      </w:r>
      <w:proofErr w:type="spellEnd"/>
      <w:r w:rsidRPr="009B3E86">
        <w:t xml:space="preserve"> </w:t>
      </w:r>
      <w:r w:rsidRPr="009B3E86">
        <w:rPr>
          <w:i/>
          <w:iCs/>
        </w:rPr>
        <w:t>ex nihilo</w:t>
      </w:r>
      <w:r w:rsidRPr="009B3E86">
        <w:t xml:space="preserve">. Le monde n’est </w:t>
      </w:r>
      <w:proofErr w:type="spellStart"/>
      <w:r w:rsidRPr="009B3E86">
        <w:t>même</w:t>
      </w:r>
      <w:proofErr w:type="spellEnd"/>
      <w:r w:rsidRPr="009B3E86">
        <w:t xml:space="preserve"> plus de la boue saisie par le souffle divin. </w:t>
      </w:r>
      <w:r w:rsidRPr="009B3E86">
        <w:rPr>
          <w:i/>
          <w:iCs/>
        </w:rPr>
        <w:t xml:space="preserve">Fiat ! </w:t>
      </w:r>
      <w:r w:rsidRPr="009B3E86">
        <w:t xml:space="preserve">Et c’est avec ce potier que Souriau recommence lorsqu’il </w:t>
      </w:r>
      <w:proofErr w:type="spellStart"/>
      <w:r w:rsidRPr="009B3E86">
        <w:t>évoque</w:t>
      </w:r>
      <w:proofErr w:type="spellEnd"/>
      <w:r w:rsidRPr="009B3E86">
        <w:t xml:space="preserve"> son sculpteur et son tas de glaise. Dire d’une œuvre d’art qu’elle est « </w:t>
      </w:r>
      <w:proofErr w:type="spellStart"/>
      <w:r w:rsidRPr="009B3E86">
        <w:t>instaurée</w:t>
      </w:r>
      <w:proofErr w:type="spellEnd"/>
      <w:r>
        <w:t> </w:t>
      </w:r>
      <w:r w:rsidRPr="009B3E86">
        <w:t xml:space="preserve">», c’est se </w:t>
      </w:r>
      <w:proofErr w:type="spellStart"/>
      <w:r w:rsidRPr="009B3E86">
        <w:t>préparer</w:t>
      </w:r>
      <w:proofErr w:type="spellEnd"/>
      <w:r w:rsidRPr="009B3E86">
        <w:t xml:space="preserve"> </w:t>
      </w:r>
      <w:proofErr w:type="spellStart"/>
      <w:r w:rsidRPr="00A3212A">
        <w:rPr>
          <w:rFonts w:ascii="MTimesNewRoman" w:hAnsi="MTimesNewRoman"/>
          <w:sz w:val="22"/>
          <w:szCs w:val="22"/>
        </w:rPr>
        <w:t>a</w:t>
      </w:r>
      <w:proofErr w:type="spellEnd"/>
      <w:r w:rsidRPr="00A3212A">
        <w:rPr>
          <w:rFonts w:ascii="MTimesNewRoman" w:hAnsi="MTimesNewRoman"/>
          <w:sz w:val="22"/>
          <w:szCs w:val="22"/>
        </w:rPr>
        <w:t xml:space="preserve">̀ faire du potier celui qui accueille, recueille, </w:t>
      </w:r>
      <w:proofErr w:type="spellStart"/>
      <w:r w:rsidRPr="00A3212A">
        <w:rPr>
          <w:rFonts w:ascii="MTimesNewRoman" w:hAnsi="MTimesNewRoman"/>
          <w:sz w:val="22"/>
          <w:szCs w:val="22"/>
        </w:rPr>
        <w:t>prépare</w:t>
      </w:r>
      <w:proofErr w:type="spellEnd"/>
      <w:r w:rsidRPr="00A3212A">
        <w:rPr>
          <w:rFonts w:ascii="MTimesNewRoman" w:hAnsi="MTimesNewRoman"/>
          <w:sz w:val="22"/>
          <w:szCs w:val="22"/>
        </w:rPr>
        <w:t xml:space="preserve">, explore, invente – comme on invente un </w:t>
      </w:r>
      <w:proofErr w:type="spellStart"/>
      <w:r w:rsidRPr="00A3212A">
        <w:rPr>
          <w:rFonts w:ascii="MTimesNewRoman" w:hAnsi="MTimesNewRoman"/>
          <w:sz w:val="22"/>
          <w:szCs w:val="22"/>
        </w:rPr>
        <w:t>trésor</w:t>
      </w:r>
      <w:proofErr w:type="spellEnd"/>
      <w:r w:rsidRPr="00A3212A">
        <w:rPr>
          <w:rFonts w:ascii="MTimesNewRoman" w:hAnsi="MTimesNewRoman"/>
          <w:sz w:val="22"/>
          <w:szCs w:val="22"/>
        </w:rPr>
        <w:t xml:space="preserve"> – la forme de l’œuvre. Si elles viennent d’une </w:t>
      </w:r>
      <w:proofErr w:type="spellStart"/>
      <w:r w:rsidRPr="00A3212A">
        <w:rPr>
          <w:rFonts w:ascii="MTimesNewRoman" w:hAnsi="MTimesNewRoman"/>
          <w:sz w:val="22"/>
          <w:szCs w:val="22"/>
        </w:rPr>
        <w:t>ébauche</w:t>
      </w:r>
      <w:proofErr w:type="spellEnd"/>
      <w:r w:rsidRPr="00A3212A">
        <w:rPr>
          <w:rFonts w:ascii="MTimesNewRoman" w:hAnsi="MTimesNewRoman"/>
          <w:sz w:val="22"/>
          <w:szCs w:val="22"/>
        </w:rPr>
        <w:t xml:space="preserve"> alors les œuvres tiennent, </w:t>
      </w:r>
      <w:proofErr w:type="spellStart"/>
      <w:r w:rsidRPr="00A3212A">
        <w:rPr>
          <w:rFonts w:ascii="MTimesNewRoman" w:hAnsi="MTimesNewRoman"/>
          <w:sz w:val="22"/>
          <w:szCs w:val="22"/>
        </w:rPr>
        <w:t>résistent</w:t>
      </w:r>
      <w:proofErr w:type="spellEnd"/>
      <w:r w:rsidRPr="00A3212A">
        <w:rPr>
          <w:rFonts w:ascii="MTimesNewRoman" w:hAnsi="MTimesNewRoman"/>
          <w:sz w:val="22"/>
          <w:szCs w:val="22"/>
        </w:rPr>
        <w:t xml:space="preserve">, obligent – et les humains, leurs auteurs, doivent se </w:t>
      </w:r>
      <w:proofErr w:type="spellStart"/>
      <w:r w:rsidRPr="00A3212A">
        <w:rPr>
          <w:rFonts w:ascii="MTimesNewRoman" w:hAnsi="MTimesNewRoman"/>
          <w:i/>
          <w:iCs/>
          <w:sz w:val="22"/>
          <w:szCs w:val="22"/>
        </w:rPr>
        <w:t>dévouer</w:t>
      </w:r>
      <w:proofErr w:type="spellEnd"/>
      <w:r w:rsidRPr="00A3212A">
        <w:rPr>
          <w:rFonts w:ascii="MTimesNewRoman" w:hAnsi="MTimesNewRoman"/>
          <w:i/>
          <w:iCs/>
          <w:sz w:val="22"/>
          <w:szCs w:val="22"/>
        </w:rPr>
        <w:t xml:space="preserve"> </w:t>
      </w:r>
      <w:r w:rsidRPr="00A3212A">
        <w:rPr>
          <w:rFonts w:ascii="MTimesNewRoman" w:hAnsi="MTimesNewRoman"/>
          <w:sz w:val="22"/>
          <w:szCs w:val="22"/>
        </w:rPr>
        <w:t>pour elles, ce qui ne veut pourtant pas dire qu’ils leur servent de simple conduit</w:t>
      </w:r>
      <w:r>
        <w:rPr>
          <w:rStyle w:val="Appelnotedebasdep"/>
          <w:rFonts w:ascii="MTimesNewRoman" w:hAnsi="MTimesNewRoman"/>
          <w:sz w:val="22"/>
          <w:szCs w:val="22"/>
        </w:rPr>
        <w:footnoteReference w:id="33"/>
      </w:r>
      <w:r w:rsidRPr="00A3212A">
        <w:rPr>
          <w:rFonts w:ascii="MTimesNewRoman" w:hAnsi="MTimesNewRoman"/>
          <w:sz w:val="22"/>
          <w:szCs w:val="22"/>
        </w:rPr>
        <w:t xml:space="preserve">. </w:t>
      </w:r>
    </w:p>
    <w:p w:rsidR="00AD766A" w:rsidRDefault="00AD766A" w:rsidP="00AD766A">
      <w:pPr>
        <w:spacing w:after="120" w:line="276" w:lineRule="auto"/>
        <w:jc w:val="both"/>
      </w:pPr>
      <w:r w:rsidRPr="0021546A">
        <w:t>L’intérêt de la notion d’instauration est double : (i) l’accent se porte sur le faire, la fabrication, en relation ou non avec un instrument</w:t>
      </w:r>
      <w:r>
        <w:t xml:space="preserve"> / outil</w:t>
      </w:r>
      <w:r w:rsidRPr="0021546A">
        <w:t xml:space="preserve"> (notamment technologique)</w:t>
      </w:r>
      <w:r>
        <w:t xml:space="preserve"> ; </w:t>
      </w:r>
      <w:r w:rsidRPr="0021546A">
        <w:t>(ii) le geste de débrayage objectivant</w:t>
      </w:r>
      <w:r>
        <w:t xml:space="preserve"> </w:t>
      </w:r>
      <w:r w:rsidRPr="0021546A">
        <w:t>suppose une interaction entre l’instance productrice et un matériau, qui fait connaître ses contraintes</w:t>
      </w:r>
      <w:r>
        <w:t xml:space="preserve"> et ses potentialités, tout comme l’ébauche de l’œuvre. Créer, c’est inventer et c’est se soumettre aussi.  </w:t>
      </w:r>
    </w:p>
    <w:p w:rsidR="00AD766A" w:rsidRDefault="00AD766A" w:rsidP="00AD766A">
      <w:pPr>
        <w:pStyle w:val="NormalWeb"/>
        <w:spacing w:before="0" w:beforeAutospacing="0" w:after="120" w:afterAutospacing="0" w:line="276" w:lineRule="auto"/>
        <w:jc w:val="both"/>
        <w:rPr>
          <w:rFonts w:eastAsia="Code2000"/>
        </w:rPr>
      </w:pPr>
      <w:r w:rsidRPr="006E6EC3">
        <w:t>Dans ce contexte, la devise du Bauhaus, qui a été créé par Walter Gropius en 1919</w:t>
      </w:r>
      <w:r>
        <w:t>,</w:t>
      </w:r>
      <w:r w:rsidRPr="006E6EC3">
        <w:t xml:space="preserve"> n’est pas anodine : </w:t>
      </w:r>
      <w:r w:rsidRPr="006E6EC3">
        <w:rPr>
          <w:color w:val="000000"/>
          <w:shd w:val="clear" w:color="auto" w:fill="FFFFFF"/>
        </w:rPr>
        <w:t>« L’art et la technique, une nouvelle unité » (“</w:t>
      </w:r>
      <w:proofErr w:type="spellStart"/>
      <w:r w:rsidRPr="006E6EC3">
        <w:rPr>
          <w:color w:val="000000"/>
          <w:shd w:val="clear" w:color="auto" w:fill="FFFFFF"/>
        </w:rPr>
        <w:t>Kunst</w:t>
      </w:r>
      <w:proofErr w:type="spellEnd"/>
      <w:r w:rsidRPr="006E6EC3">
        <w:rPr>
          <w:color w:val="000000"/>
          <w:shd w:val="clear" w:color="auto" w:fill="FFFFFF"/>
        </w:rPr>
        <w:t xml:space="preserve"> </w:t>
      </w:r>
      <w:proofErr w:type="spellStart"/>
      <w:r w:rsidRPr="006E6EC3">
        <w:rPr>
          <w:color w:val="000000"/>
          <w:shd w:val="clear" w:color="auto" w:fill="FFFFFF"/>
        </w:rPr>
        <w:t>und</w:t>
      </w:r>
      <w:proofErr w:type="spellEnd"/>
      <w:r w:rsidRPr="006E6EC3">
        <w:rPr>
          <w:color w:val="000000"/>
          <w:shd w:val="clear" w:color="auto" w:fill="FFFFFF"/>
        </w:rPr>
        <w:t xml:space="preserve"> </w:t>
      </w:r>
      <w:proofErr w:type="spellStart"/>
      <w:r w:rsidRPr="006E6EC3">
        <w:rPr>
          <w:color w:val="000000"/>
          <w:shd w:val="clear" w:color="auto" w:fill="FFFFFF"/>
        </w:rPr>
        <w:t>Technik</w:t>
      </w:r>
      <w:proofErr w:type="spellEnd"/>
      <w:r w:rsidRPr="006E6EC3">
        <w:rPr>
          <w:color w:val="000000"/>
          <w:shd w:val="clear" w:color="auto" w:fill="FFFFFF"/>
        </w:rPr>
        <w:t xml:space="preserve"> </w:t>
      </w:r>
      <w:r>
        <w:rPr>
          <w:color w:val="000000"/>
          <w:shd w:val="clear" w:color="auto" w:fill="FFFFFF"/>
        </w:rPr>
        <w:t>–</w:t>
      </w:r>
      <w:r w:rsidRPr="006E6EC3">
        <w:rPr>
          <w:color w:val="000000"/>
          <w:shd w:val="clear" w:color="auto" w:fill="FFFFFF"/>
        </w:rPr>
        <w:t xml:space="preserve"> </w:t>
      </w:r>
      <w:proofErr w:type="spellStart"/>
      <w:r w:rsidRPr="006E6EC3">
        <w:rPr>
          <w:color w:val="000000"/>
          <w:shd w:val="clear" w:color="auto" w:fill="FFFFFF"/>
        </w:rPr>
        <w:t>eine</w:t>
      </w:r>
      <w:proofErr w:type="spellEnd"/>
      <w:r w:rsidRPr="006E6EC3">
        <w:rPr>
          <w:color w:val="000000"/>
          <w:shd w:val="clear" w:color="auto" w:fill="FFFFFF"/>
        </w:rPr>
        <w:t xml:space="preserve"> </w:t>
      </w:r>
      <w:proofErr w:type="spellStart"/>
      <w:r w:rsidRPr="006E6EC3">
        <w:rPr>
          <w:color w:val="000000"/>
          <w:shd w:val="clear" w:color="auto" w:fill="FFFFFF"/>
        </w:rPr>
        <w:t>neue</w:t>
      </w:r>
      <w:proofErr w:type="spellEnd"/>
      <w:r w:rsidRPr="006E6EC3">
        <w:rPr>
          <w:color w:val="000000"/>
          <w:shd w:val="clear" w:color="auto" w:fill="FFFFFF"/>
        </w:rPr>
        <w:t xml:space="preserve"> </w:t>
      </w:r>
      <w:proofErr w:type="spellStart"/>
      <w:r w:rsidRPr="006E6EC3">
        <w:rPr>
          <w:color w:val="000000"/>
          <w:shd w:val="clear" w:color="auto" w:fill="FFFFFF"/>
        </w:rPr>
        <w:t>Einheit</w:t>
      </w:r>
      <w:proofErr w:type="spellEnd"/>
      <w:r w:rsidRPr="006E6EC3">
        <w:rPr>
          <w:color w:val="000000"/>
          <w:shd w:val="clear" w:color="auto" w:fill="FFFFFF"/>
        </w:rPr>
        <w:t>”, 1923)</w:t>
      </w:r>
      <w:r w:rsidRPr="006E6EC3">
        <w:rPr>
          <w:rStyle w:val="Appelnotedebasdep"/>
          <w:color w:val="000000"/>
          <w:shd w:val="clear" w:color="auto" w:fill="FFFFFF"/>
        </w:rPr>
        <w:footnoteReference w:id="34"/>
      </w:r>
      <w:r w:rsidRPr="006E6EC3">
        <w:rPr>
          <w:color w:val="000000"/>
          <w:shd w:val="clear" w:color="auto" w:fill="FFFFFF"/>
        </w:rPr>
        <w:t xml:space="preserve">. </w:t>
      </w:r>
      <w:r>
        <w:t>Or, le Bauhaus a accueilli</w:t>
      </w:r>
      <w:r w:rsidRPr="006E6EC3">
        <w:t xml:space="preserve"> Paul Klee </w:t>
      </w:r>
      <w:r>
        <w:t xml:space="preserve">en </w:t>
      </w:r>
      <w:r w:rsidRPr="006E6EC3">
        <w:t xml:space="preserve">1920, </w:t>
      </w:r>
      <w:r>
        <w:t xml:space="preserve">Gropius lui confiant, </w:t>
      </w:r>
      <w:r w:rsidRPr="006E6EC3">
        <w:t>entre autres, un enseignement fondamental en théorie de l’art</w:t>
      </w:r>
      <w:r>
        <w:t>.</w:t>
      </w:r>
      <w:r w:rsidRPr="006E6EC3">
        <w:t xml:space="preserve"> </w:t>
      </w:r>
      <w:r w:rsidRPr="006E6EC3">
        <w:rPr>
          <w:color w:val="000000"/>
          <w:shd w:val="clear" w:color="auto" w:fill="FFFFFF"/>
        </w:rPr>
        <w:t xml:space="preserve">Plus que jamais, il faut remonter au sens grec de </w:t>
      </w:r>
      <w:proofErr w:type="spellStart"/>
      <w:r w:rsidRPr="006E6EC3">
        <w:rPr>
          <w:i/>
          <w:color w:val="000000"/>
          <w:shd w:val="clear" w:color="auto" w:fill="FFFFFF"/>
        </w:rPr>
        <w:t>technè</w:t>
      </w:r>
      <w:proofErr w:type="spellEnd"/>
      <w:r w:rsidRPr="006E6EC3">
        <w:rPr>
          <w:color w:val="000000"/>
          <w:shd w:val="clear" w:color="auto" w:fill="FFFFFF"/>
        </w:rPr>
        <w:t> : à l’</w:t>
      </w:r>
      <w:r>
        <w:rPr>
          <w:color w:val="000000"/>
          <w:shd w:val="clear" w:color="auto" w:fill="FFFFFF"/>
        </w:rPr>
        <w:t>« </w:t>
      </w:r>
      <w:r w:rsidRPr="006E6EC3">
        <w:rPr>
          <w:color w:val="000000"/>
          <w:shd w:val="clear" w:color="auto" w:fill="FFFFFF"/>
        </w:rPr>
        <w:t>art</w:t>
      </w:r>
      <w:r>
        <w:rPr>
          <w:color w:val="000000"/>
          <w:shd w:val="clear" w:color="auto" w:fill="FFFFFF"/>
        </w:rPr>
        <w:t> »</w:t>
      </w:r>
      <w:r w:rsidRPr="006E6EC3">
        <w:rPr>
          <w:color w:val="000000"/>
          <w:shd w:val="clear" w:color="auto" w:fill="FFFFFF"/>
        </w:rPr>
        <w:t xml:space="preserve"> </w:t>
      </w:r>
      <w:r w:rsidR="003304E3">
        <w:rPr>
          <w:color w:val="000000"/>
          <w:shd w:val="clear" w:color="auto" w:fill="FFFFFF"/>
        </w:rPr>
        <w:t xml:space="preserve">(au sens large) </w:t>
      </w:r>
      <w:r w:rsidRPr="006E6EC3">
        <w:rPr>
          <w:color w:val="000000"/>
          <w:shd w:val="clear" w:color="auto" w:fill="FFFFFF"/>
        </w:rPr>
        <w:t xml:space="preserve">de produire une œuvre, dirons-nous. L’art de Paul Klee suppose le faire, </w:t>
      </w:r>
      <w:r>
        <w:rPr>
          <w:color w:val="000000"/>
          <w:shd w:val="clear" w:color="auto" w:fill="FFFFFF"/>
        </w:rPr>
        <w:t xml:space="preserve">le </w:t>
      </w:r>
      <w:proofErr w:type="spellStart"/>
      <w:r w:rsidRPr="00D77E0D">
        <w:rPr>
          <w:i/>
          <w:color w:val="000000"/>
          <w:shd w:val="clear" w:color="auto" w:fill="FFFFFF"/>
        </w:rPr>
        <w:t>facere</w:t>
      </w:r>
      <w:proofErr w:type="spellEnd"/>
      <w:r>
        <w:rPr>
          <w:color w:val="000000"/>
          <w:shd w:val="clear" w:color="auto" w:fill="FFFFFF"/>
        </w:rPr>
        <w:t xml:space="preserve">, ou </w:t>
      </w:r>
      <w:r w:rsidRPr="006E6EC3">
        <w:rPr>
          <w:color w:val="000000"/>
          <w:shd w:val="clear" w:color="auto" w:fill="FFFFFF"/>
        </w:rPr>
        <w:t xml:space="preserve">le </w:t>
      </w:r>
      <w:proofErr w:type="spellStart"/>
      <w:r w:rsidRPr="006E6EC3">
        <w:rPr>
          <w:i/>
          <w:color w:val="000000"/>
          <w:shd w:val="clear" w:color="auto" w:fill="FFFFFF"/>
        </w:rPr>
        <w:t>poïein</w:t>
      </w:r>
      <w:proofErr w:type="spellEnd"/>
      <w:r w:rsidRPr="006E6EC3">
        <w:rPr>
          <w:color w:val="000000"/>
          <w:shd w:val="clear" w:color="auto" w:fill="FFFFFF"/>
        </w:rPr>
        <w:t xml:space="preserve">, </w:t>
      </w:r>
      <w:r>
        <w:rPr>
          <w:color w:val="000000"/>
          <w:shd w:val="clear" w:color="auto" w:fill="FFFFFF"/>
        </w:rPr>
        <w:t xml:space="preserve">dont la </w:t>
      </w:r>
      <w:proofErr w:type="spellStart"/>
      <w:r w:rsidRPr="00941947">
        <w:rPr>
          <w:i/>
          <w:color w:val="000000"/>
          <w:shd w:val="clear" w:color="auto" w:fill="FFFFFF"/>
        </w:rPr>
        <w:t>technè</w:t>
      </w:r>
      <w:proofErr w:type="spellEnd"/>
      <w:r>
        <w:rPr>
          <w:color w:val="000000"/>
          <w:shd w:val="clear" w:color="auto" w:fill="FFFFFF"/>
        </w:rPr>
        <w:t xml:space="preserve"> est un mode. Ce n’est que par le biais de la production du tableau, préparée minutieusement, comme en témoignent ses notes de cours, ses explications pédagogiques, ses calculs et ses croquis, que Paul Klee peut se frotter à </w:t>
      </w:r>
      <w:r w:rsidRPr="006E6EC3">
        <w:rPr>
          <w:color w:val="000000"/>
          <w:shd w:val="clear" w:color="auto" w:fill="FFFFFF"/>
        </w:rPr>
        <w:t xml:space="preserve">du vivant, tout en visant ce qui </w:t>
      </w:r>
      <w:proofErr w:type="spellStart"/>
      <w:r w:rsidRPr="006E6EC3">
        <w:rPr>
          <w:color w:val="000000"/>
          <w:shd w:val="clear" w:color="auto" w:fill="FFFFFF"/>
        </w:rPr>
        <w:t>par</w:t>
      </w:r>
      <w:r>
        <w:rPr>
          <w:color w:val="000000"/>
          <w:shd w:val="clear" w:color="auto" w:fill="FFFFFF"/>
        </w:rPr>
        <w:t xml:space="preserve"> </w:t>
      </w:r>
      <w:r w:rsidRPr="006E6EC3">
        <w:rPr>
          <w:color w:val="000000"/>
          <w:shd w:val="clear" w:color="auto" w:fill="FFFFFF"/>
        </w:rPr>
        <w:t>là</w:t>
      </w:r>
      <w:proofErr w:type="spellEnd"/>
      <w:r w:rsidRPr="006E6EC3">
        <w:rPr>
          <w:color w:val="000000"/>
          <w:shd w:val="clear" w:color="auto" w:fill="FFFFFF"/>
        </w:rPr>
        <w:t xml:space="preserve"> se trouve dévoilé : « […] à la longue, la réalité établie, </w:t>
      </w:r>
      <w:r w:rsidRPr="006E6EC3">
        <w:rPr>
          <w:color w:val="000000"/>
          <w:shd w:val="clear" w:color="auto" w:fill="FFFFFF"/>
        </w:rPr>
        <w:lastRenderedPageBreak/>
        <w:t>même intensifiée ne fait pas l’affaire », écrit</w:t>
      </w:r>
      <w:r>
        <w:rPr>
          <w:color w:val="000000"/>
          <w:shd w:val="clear" w:color="auto" w:fill="FFFFFF"/>
        </w:rPr>
        <w:t xml:space="preserve">-il </w:t>
      </w:r>
      <w:r w:rsidRPr="006E6EC3">
        <w:rPr>
          <w:color w:val="000000"/>
          <w:shd w:val="clear" w:color="auto" w:fill="FFFFFF"/>
        </w:rPr>
        <w:t>dans « Credo du créateur »</w:t>
      </w:r>
      <w:r w:rsidRPr="006E6EC3">
        <w:rPr>
          <w:rStyle w:val="Appelnotedebasdep"/>
          <w:color w:val="000000"/>
          <w:shd w:val="clear" w:color="auto" w:fill="FFFFFF"/>
        </w:rPr>
        <w:footnoteReference w:id="35"/>
      </w:r>
      <w:r w:rsidRPr="006E6EC3">
        <w:rPr>
          <w:color w:val="000000"/>
          <w:shd w:val="clear" w:color="auto" w:fill="FFFFFF"/>
        </w:rPr>
        <w:t>. Le créateur, précisément</w:t>
      </w:r>
      <w:r>
        <w:rPr>
          <w:color w:val="000000"/>
          <w:shd w:val="clear" w:color="auto" w:fill="FFFFFF"/>
        </w:rPr>
        <w:t xml:space="preserve"> : </w:t>
      </w:r>
      <w:r w:rsidRPr="006E6EC3">
        <w:rPr>
          <w:color w:val="000000"/>
          <w:shd w:val="clear" w:color="auto" w:fill="FFFFFF"/>
        </w:rPr>
        <w:t>ce qui n’empêche pas que la « part d’élan créateur et d’imagination »</w:t>
      </w:r>
      <w:r>
        <w:rPr>
          <w:color w:val="000000"/>
          <w:shd w:val="clear" w:color="auto" w:fill="FFFFFF"/>
        </w:rPr>
        <w:t>,</w:t>
      </w:r>
      <w:r w:rsidRPr="006E6EC3">
        <w:rPr>
          <w:color w:val="000000"/>
          <w:shd w:val="clear" w:color="auto" w:fill="FFFFFF"/>
        </w:rPr>
        <w:t xml:space="preserve"> dont un </w:t>
      </w:r>
      <w:r>
        <w:rPr>
          <w:color w:val="000000"/>
          <w:shd w:val="clear" w:color="auto" w:fill="FFFFFF"/>
        </w:rPr>
        <w:t>« </w:t>
      </w:r>
      <w:r w:rsidRPr="006E6EC3">
        <w:rPr>
          <w:color w:val="000000"/>
          <w:shd w:val="clear" w:color="auto" w:fill="FFFFFF"/>
        </w:rPr>
        <w:t>ensemble d’éléments</w:t>
      </w:r>
      <w:r>
        <w:rPr>
          <w:color w:val="000000"/>
          <w:shd w:val="clear" w:color="auto" w:fill="FFFFFF"/>
        </w:rPr>
        <w:t> »</w:t>
      </w:r>
      <w:r w:rsidRPr="006E6EC3">
        <w:rPr>
          <w:color w:val="000000"/>
          <w:shd w:val="clear" w:color="auto" w:fill="FFFFFF"/>
        </w:rPr>
        <w:t xml:space="preserve"> sont issus</w:t>
      </w:r>
      <w:r>
        <w:rPr>
          <w:color w:val="000000"/>
          <w:shd w:val="clear" w:color="auto" w:fill="FFFFFF"/>
        </w:rPr>
        <w:t>,</w:t>
      </w:r>
      <w:r w:rsidRPr="006E6EC3">
        <w:rPr>
          <w:color w:val="000000"/>
          <w:shd w:val="clear" w:color="auto" w:fill="FFFFFF"/>
        </w:rPr>
        <w:t xml:space="preserve"> </w:t>
      </w:r>
      <w:r>
        <w:rPr>
          <w:color w:val="000000"/>
          <w:shd w:val="clear" w:color="auto" w:fill="FFFFFF"/>
        </w:rPr>
        <w:t>soit</w:t>
      </w:r>
      <w:r w:rsidRPr="006E6EC3">
        <w:rPr>
          <w:color w:val="000000"/>
          <w:shd w:val="clear" w:color="auto" w:fill="FFFFFF"/>
        </w:rPr>
        <w:t xml:space="preserve"> moins évidente que </w:t>
      </w:r>
      <w:r w:rsidRPr="006E6EC3">
        <w:rPr>
          <w:rFonts w:eastAsia="Code2000"/>
        </w:rPr>
        <w:t xml:space="preserve">la </w:t>
      </w:r>
      <w:r>
        <w:rPr>
          <w:rFonts w:eastAsia="Code2000"/>
        </w:rPr>
        <w:t>« </w:t>
      </w:r>
      <w:r w:rsidRPr="006E6EC3">
        <w:rPr>
          <w:rFonts w:eastAsia="Code2000"/>
        </w:rPr>
        <w:t>composition claire, leur aspect logique ». Seules l’abstraction et la généralisation conduisent au « modèle type » auquel les exemples donnen</w:t>
      </w:r>
      <w:r>
        <w:rPr>
          <w:rFonts w:eastAsia="Code2000"/>
        </w:rPr>
        <w:t>t</w:t>
      </w:r>
      <w:r w:rsidRPr="006E6EC3">
        <w:rPr>
          <w:rFonts w:eastAsia="Code2000"/>
        </w:rPr>
        <w:t xml:space="preserve"> </w:t>
      </w:r>
      <w:r w:rsidR="003304E3">
        <w:rPr>
          <w:rFonts w:eastAsia="Code2000"/>
        </w:rPr>
        <w:t>une forme concrète</w:t>
      </w:r>
      <w:r w:rsidRPr="006E6EC3">
        <w:rPr>
          <w:rFonts w:eastAsia="Code2000"/>
        </w:rPr>
        <w:t xml:space="preserve">. </w:t>
      </w:r>
      <w:r>
        <w:rPr>
          <w:rFonts w:eastAsia="Code2000"/>
        </w:rPr>
        <w:t xml:space="preserve">« Les arts plastiques ne commencent jamais avec un sentiment poétique », note-t-il encore dans son </w:t>
      </w:r>
      <w:r w:rsidRPr="00941947">
        <w:rPr>
          <w:rFonts w:eastAsia="Code2000"/>
          <w:i/>
        </w:rPr>
        <w:t>Journal</w:t>
      </w:r>
      <w:r>
        <w:rPr>
          <w:rFonts w:eastAsia="Code2000"/>
        </w:rPr>
        <w:t xml:space="preserve">, mais avec la construction d’une ou plusieurs figures, avec l’action d’accorder quelques </w:t>
      </w:r>
      <w:r w:rsidRPr="00B21E55">
        <w:rPr>
          <w:rFonts w:eastAsia="Code2000"/>
        </w:rPr>
        <w:t>couleurs et quelques valeurs »</w:t>
      </w:r>
      <w:r w:rsidRPr="00B21E55">
        <w:rPr>
          <w:rStyle w:val="Appelnotedebasdep"/>
          <w:rFonts w:eastAsia="Code2000"/>
        </w:rPr>
        <w:footnoteReference w:id="36"/>
      </w:r>
      <w:r w:rsidRPr="00B21E55">
        <w:rPr>
          <w:rFonts w:eastAsia="Code2000"/>
        </w:rPr>
        <w:t xml:space="preserve">. </w:t>
      </w:r>
    </w:p>
    <w:p w:rsidR="00AD766A" w:rsidRPr="00ED5E95" w:rsidRDefault="00AD766A" w:rsidP="00AD766A">
      <w:pPr>
        <w:pStyle w:val="NormalWeb"/>
        <w:spacing w:before="0" w:beforeAutospacing="0" w:after="120" w:afterAutospacing="0" w:line="276" w:lineRule="auto"/>
        <w:jc w:val="both"/>
        <w:rPr>
          <w:rFonts w:eastAsia="Code2000"/>
        </w:rPr>
      </w:pPr>
      <w:r>
        <w:rPr>
          <w:rFonts w:eastAsia="Code2000"/>
        </w:rPr>
        <w:t xml:space="preserve">Considérons mieux la </w:t>
      </w:r>
      <w:proofErr w:type="spellStart"/>
      <w:r w:rsidRPr="00290167">
        <w:rPr>
          <w:rFonts w:eastAsia="Code2000"/>
          <w:i/>
        </w:rPr>
        <w:t>Gestaltung</w:t>
      </w:r>
      <w:proofErr w:type="spellEnd"/>
      <w:r w:rsidRPr="00290167">
        <w:rPr>
          <w:rFonts w:eastAsia="Code2000"/>
          <w:i/>
        </w:rPr>
        <w:t xml:space="preserve"> </w:t>
      </w:r>
      <w:r>
        <w:rPr>
          <w:rFonts w:eastAsia="Code2000"/>
        </w:rPr>
        <w:t>de l’œuvre d’art. Elle</w:t>
      </w:r>
      <w:r w:rsidRPr="00B21E55">
        <w:rPr>
          <w:rFonts w:eastAsia="Code2000"/>
        </w:rPr>
        <w:t xml:space="preserve"> mène à la </w:t>
      </w:r>
      <w:r w:rsidRPr="00B21E55">
        <w:rPr>
          <w:rFonts w:eastAsia="Code2000"/>
          <w:i/>
        </w:rPr>
        <w:t>Gestalt</w:t>
      </w:r>
      <w:r w:rsidRPr="00B21E55">
        <w:rPr>
          <w:rFonts w:eastAsia="Code2000"/>
        </w:rPr>
        <w:t> </w:t>
      </w:r>
      <w:r w:rsidRPr="00B21E55">
        <w:t>comme champ de forces en interaction, selon les termes de Fernande Saint-Martin</w:t>
      </w:r>
      <w:r w:rsidRPr="00B21E55">
        <w:rPr>
          <w:rStyle w:val="Appelnotedebasdep"/>
        </w:rPr>
        <w:footnoteReference w:id="37"/>
      </w:r>
      <w:r w:rsidRPr="00B21E55">
        <w:t> : « </w:t>
      </w:r>
      <w:r>
        <w:t>C</w:t>
      </w:r>
      <w:r w:rsidRPr="00B21E55">
        <w:t xml:space="preserve">e terme </w:t>
      </w:r>
      <w:r>
        <w:t>“</w:t>
      </w:r>
      <w:r w:rsidRPr="00B21E55">
        <w:t>gestalt</w:t>
      </w:r>
      <w:r>
        <w:t>”</w:t>
      </w:r>
      <w:r w:rsidRPr="00B21E55">
        <w:t>, […], sera utilisé pour désigner une région du champ perceptuel qui, même si elle est constituée de parties distinguables, se présente en vertu de l’articulation de ses forces internes comme un tout unifié et doté d’un équilibre particulier »</w:t>
      </w:r>
      <w:r>
        <w:t xml:space="preserve">. </w:t>
      </w:r>
      <w:r w:rsidRPr="00B21E55">
        <w:t>La perception</w:t>
      </w:r>
      <w:r>
        <w:t xml:space="preserve"> </w:t>
      </w:r>
      <w:r w:rsidRPr="00B21E55">
        <w:t>implique alors le percepteur dans une expérimentation de « tensions, de forces de disjonctions et d’équilibres » au sein d’un champ spatial</w:t>
      </w:r>
      <w:r w:rsidRPr="00B21E55">
        <w:rPr>
          <w:rStyle w:val="Appelnotedebasdep"/>
        </w:rPr>
        <w:footnoteReference w:id="38"/>
      </w:r>
      <w:r w:rsidRPr="00B21E55">
        <w:t xml:space="preserve">. </w:t>
      </w:r>
      <w:r>
        <w:t>De déséquilibres, aussi, et, de ce point de vue, le tableau de Paul Klee intitulé</w:t>
      </w:r>
      <w:r>
        <w:rPr>
          <w:color w:val="181818"/>
        </w:rPr>
        <w:t xml:space="preserve"> </w:t>
      </w:r>
      <w:r w:rsidRPr="00DB1EE1">
        <w:rPr>
          <w:i/>
        </w:rPr>
        <w:t>Qui plane</w:t>
      </w:r>
      <w:r>
        <w:t xml:space="preserve"> (</w:t>
      </w:r>
      <w:proofErr w:type="spellStart"/>
      <w:r w:rsidRPr="001F14D7">
        <w:rPr>
          <w:i/>
        </w:rPr>
        <w:t>Schwebendes</w:t>
      </w:r>
      <w:proofErr w:type="spellEnd"/>
      <w:r>
        <w:t>)</w:t>
      </w:r>
      <w:r w:rsidRPr="00DB1EE1">
        <w:rPr>
          <w:rStyle w:val="Appelnotedebasdep"/>
        </w:rPr>
        <w:footnoteReference w:id="39"/>
      </w:r>
      <w:r w:rsidRPr="00DB1EE1">
        <w:t xml:space="preserve"> </w:t>
      </w:r>
      <w:r>
        <w:rPr>
          <w:color w:val="181818"/>
        </w:rPr>
        <w:t xml:space="preserve">revêt un intérêt tout particulier. En effet, un fond-cadre verdâtre enveloppe une figure octogonale ou heptagonale, mais aussi ses « excroissances », qui menacent l’équilibre précaire. On y verra à la fois une totalité, une unité, et un champ où s’exercent des forces, contraires : notamment en raison de la flèche de petite taille, </w:t>
      </w:r>
      <w:r>
        <w:t xml:space="preserve">oblique et </w:t>
      </w:r>
      <w:r w:rsidRPr="00DB1EE1">
        <w:t xml:space="preserve">un peu décentrée vers la droite, </w:t>
      </w:r>
      <w:r>
        <w:t xml:space="preserve">qui est logée dans la partie supérieure du tableau et </w:t>
      </w:r>
      <w:r w:rsidRPr="00DB1EE1">
        <w:t>point</w:t>
      </w:r>
      <w:r>
        <w:t xml:space="preserve">e </w:t>
      </w:r>
      <w:r w:rsidRPr="00DB1EE1">
        <w:t>vers une sortie</w:t>
      </w:r>
      <w:r>
        <w:t xml:space="preserve">, alors même qu’elle développe toutes ces flèches embryonnaires au sein de l’octogone ou de l’heptagone – tous ces </w:t>
      </w:r>
      <w:r w:rsidRPr="00DB1EE1">
        <w:t>traits noirs tend</w:t>
      </w:r>
      <w:r>
        <w:t>a</w:t>
      </w:r>
      <w:r w:rsidRPr="00DB1EE1">
        <w:t>nt vers les points de jonction des lignes perpendiculaires</w:t>
      </w:r>
      <w:r>
        <w:t xml:space="preserve"> – qui restent encore largement inféodées aux lignes</w:t>
      </w:r>
      <w:r>
        <w:rPr>
          <w:rStyle w:val="Appelnotedebasdep"/>
        </w:rPr>
        <w:footnoteReference w:id="40"/>
      </w:r>
      <w:r>
        <w:t xml:space="preserve">. </w:t>
      </w:r>
    </w:p>
    <w:p w:rsidR="00AD766A" w:rsidRPr="00137FE0" w:rsidRDefault="00AD766A" w:rsidP="00AD766A">
      <w:pPr>
        <w:widowControl w:val="0"/>
        <w:autoSpaceDE w:val="0"/>
        <w:autoSpaceDN w:val="0"/>
        <w:adjustRightInd w:val="0"/>
        <w:spacing w:after="120" w:line="276" w:lineRule="auto"/>
        <w:jc w:val="both"/>
        <w:rPr>
          <w:color w:val="181818"/>
        </w:rPr>
      </w:pPr>
      <w:r>
        <w:t xml:space="preserve">Mais dans quelle mesure la </w:t>
      </w:r>
      <w:proofErr w:type="spellStart"/>
      <w:r w:rsidRPr="00BD3543">
        <w:rPr>
          <w:i/>
        </w:rPr>
        <w:t>Gestaltung</w:t>
      </w:r>
      <w:proofErr w:type="spellEnd"/>
      <w:r>
        <w:t xml:space="preserve"> a-t-elle affaire à de la </w:t>
      </w:r>
      <w:r w:rsidRPr="00BD3543">
        <w:rPr>
          <w:i/>
        </w:rPr>
        <w:t>matière</w:t>
      </w:r>
      <w:r>
        <w:t xml:space="preserve"> ? On peut parler de matière au sens où l’entend par exemple Greimas quand, en 1984, il </w:t>
      </w:r>
      <w:r>
        <w:rPr>
          <w:color w:val="181818"/>
        </w:rPr>
        <w:t xml:space="preserve">invite à considérer la « matérialité des traces » – la </w:t>
      </w:r>
      <w:r w:rsidRPr="004963F6">
        <w:rPr>
          <w:color w:val="181818"/>
        </w:rPr>
        <w:t>matière picturale</w:t>
      </w:r>
      <w:r>
        <w:rPr>
          <w:color w:val="181818"/>
        </w:rPr>
        <w:t xml:space="preserve"> (la « matérialité de la surface remplie de traces »</w:t>
      </w:r>
      <w:r>
        <w:rPr>
          <w:rStyle w:val="Appelnotedebasdep"/>
          <w:color w:val="181818"/>
        </w:rPr>
        <w:footnoteReference w:id="41"/>
      </w:r>
      <w:r>
        <w:rPr>
          <w:color w:val="181818"/>
        </w:rPr>
        <w:t xml:space="preserve">, la lumière…). Greimas y attache cependant moins d’attention qu’aux dimensions chromatique et </w:t>
      </w:r>
      <w:proofErr w:type="spellStart"/>
      <w:r>
        <w:rPr>
          <w:color w:val="181818"/>
        </w:rPr>
        <w:t>éidétique</w:t>
      </w:r>
      <w:proofErr w:type="spellEnd"/>
      <w:r>
        <w:rPr>
          <w:color w:val="181818"/>
        </w:rPr>
        <w:t xml:space="preserve"> de l’image et à l’agencement des unités de sens discrétisées. La matière pré-structurée signifierait alors au sein de la </w:t>
      </w:r>
      <w:r w:rsidRPr="001E3D68">
        <w:rPr>
          <w:i/>
          <w:color w:val="181818"/>
        </w:rPr>
        <w:t>structure</w:t>
      </w:r>
      <w:r>
        <w:rPr>
          <w:color w:val="181818"/>
        </w:rPr>
        <w:t xml:space="preserve"> dont le texte visuel est pourvu. </w:t>
      </w:r>
    </w:p>
    <w:p w:rsidR="00AD766A" w:rsidRPr="00182763" w:rsidRDefault="00AD766A" w:rsidP="00AD766A">
      <w:pPr>
        <w:widowControl w:val="0"/>
        <w:autoSpaceDE w:val="0"/>
        <w:autoSpaceDN w:val="0"/>
        <w:adjustRightInd w:val="0"/>
        <w:spacing w:after="120" w:line="276" w:lineRule="auto"/>
        <w:jc w:val="both"/>
        <w:rPr>
          <w:color w:val="181818"/>
        </w:rPr>
      </w:pPr>
      <w:r>
        <w:rPr>
          <w:color w:val="181818"/>
        </w:rPr>
        <w:t>Cependant, la sémiotique post-</w:t>
      </w:r>
      <w:proofErr w:type="spellStart"/>
      <w:r>
        <w:rPr>
          <w:color w:val="181818"/>
        </w:rPr>
        <w:t>greimassienne</w:t>
      </w:r>
      <w:proofErr w:type="spellEnd"/>
      <w:r>
        <w:rPr>
          <w:color w:val="181818"/>
        </w:rPr>
        <w:t xml:space="preserve"> remet la question de la matière / du matériau sur le métier. Ainsi, selon le Groupe µ, qui distingue le signe plastique et le signe iconique, « chaque famille d’unités texturales pourra […] être décrite sous trois angles : le support, la matière et la manière »</w:t>
      </w:r>
      <w:r>
        <w:rPr>
          <w:rStyle w:val="Appelnotedebasdep"/>
          <w:color w:val="181818"/>
        </w:rPr>
        <w:footnoteReference w:id="42"/>
      </w:r>
      <w:r>
        <w:rPr>
          <w:color w:val="181818"/>
        </w:rPr>
        <w:t xml:space="preserve">. Pour sa part, Jacques </w:t>
      </w:r>
      <w:proofErr w:type="spellStart"/>
      <w:r>
        <w:rPr>
          <w:color w:val="181818"/>
        </w:rPr>
        <w:t>Fontanille</w:t>
      </w:r>
      <w:proofErr w:type="spellEnd"/>
      <w:r>
        <w:rPr>
          <w:color w:val="181818"/>
        </w:rPr>
        <w:t xml:space="preserve"> montre que la « restitution » de l’éclat </w:t>
      </w:r>
      <w:r>
        <w:rPr>
          <w:color w:val="181818"/>
        </w:rPr>
        <w:lastRenderedPageBreak/>
        <w:t>de la lumière émanant de l’objet est modulée par la matière, le corps matériel apparaissant enfin comme un « médiateur temporalisant »</w:t>
      </w:r>
      <w:r>
        <w:rPr>
          <w:rStyle w:val="Appelnotedebasdep"/>
          <w:color w:val="181818"/>
        </w:rPr>
        <w:footnoteReference w:id="43"/>
      </w:r>
      <w:r>
        <w:rPr>
          <w:color w:val="181818"/>
        </w:rPr>
        <w:t xml:space="preserve">. Anne </w:t>
      </w:r>
      <w:proofErr w:type="spellStart"/>
      <w:r>
        <w:rPr>
          <w:color w:val="181818"/>
        </w:rPr>
        <w:t>Beyaert-Geslin</w:t>
      </w:r>
      <w:proofErr w:type="spellEnd"/>
      <w:r>
        <w:rPr>
          <w:color w:val="181818"/>
        </w:rPr>
        <w:t xml:space="preserve"> met à l’étude une « hypothèse actantielle », considérant la matière comme une instance autonome</w:t>
      </w:r>
      <w:r>
        <w:rPr>
          <w:rStyle w:val="Appelnotedebasdep"/>
          <w:color w:val="181818"/>
        </w:rPr>
        <w:footnoteReference w:id="44"/>
      </w:r>
      <w:r>
        <w:rPr>
          <w:color w:val="181818"/>
        </w:rPr>
        <w:t xml:space="preserve">. « Finalisée », la matière est convertie en </w:t>
      </w:r>
      <w:r w:rsidRPr="004963F6">
        <w:rPr>
          <w:i/>
          <w:color w:val="262626"/>
        </w:rPr>
        <w:t>matériau</w:t>
      </w:r>
      <w:r>
        <w:rPr>
          <w:rStyle w:val="Appelnotedebasdep"/>
          <w:color w:val="262626"/>
        </w:rPr>
        <w:footnoteReference w:id="45"/>
      </w:r>
      <w:r>
        <w:rPr>
          <w:color w:val="262626"/>
        </w:rPr>
        <w:t xml:space="preserve">. </w:t>
      </w:r>
      <w:r w:rsidRPr="00182763">
        <w:rPr>
          <w:color w:val="262626"/>
        </w:rPr>
        <w:t>Adopter ce point de vue, c’est mettre en avant le programme de sens, le façonnement du tableau</w:t>
      </w:r>
      <w:r>
        <w:rPr>
          <w:color w:val="262626"/>
        </w:rPr>
        <w:t xml:space="preserve">, en relation avec un </w:t>
      </w:r>
      <w:r w:rsidRPr="00182763">
        <w:rPr>
          <w:color w:val="262626"/>
        </w:rPr>
        <w:t>support matériel</w:t>
      </w:r>
      <w:r>
        <w:rPr>
          <w:color w:val="262626"/>
        </w:rPr>
        <w:t xml:space="preserve"> qui se distingue du support formel </w:t>
      </w:r>
      <w:r>
        <w:rPr>
          <w:color w:val="181818"/>
        </w:rPr>
        <w:t>des inscriptions</w:t>
      </w:r>
      <w:r>
        <w:rPr>
          <w:rStyle w:val="Appelnotedebasdep"/>
          <w:color w:val="181818"/>
        </w:rPr>
        <w:footnoteReference w:id="46"/>
      </w:r>
      <w:r>
        <w:rPr>
          <w:color w:val="181818"/>
        </w:rPr>
        <w:t xml:space="preserve">. </w:t>
      </w:r>
      <w:r>
        <w:rPr>
          <w:color w:val="262626"/>
        </w:rPr>
        <w:t xml:space="preserve">L’attention se porte sur </w:t>
      </w:r>
      <w:r>
        <w:rPr>
          <w:color w:val="181818"/>
        </w:rPr>
        <w:t>les techniques (par exemple la coulure), les pigments, les brosses, c’est-à-dire, globalement, sur les pressions exercées concrètement et les résistances éprouvées en retour</w:t>
      </w:r>
      <w:r>
        <w:rPr>
          <w:rStyle w:val="Appelnotedebasdep"/>
          <w:color w:val="181818"/>
        </w:rPr>
        <w:footnoteReference w:id="47"/>
      </w:r>
      <w:r>
        <w:rPr>
          <w:color w:val="181818"/>
        </w:rPr>
        <w:t xml:space="preserve">. </w:t>
      </w:r>
    </w:p>
    <w:p w:rsidR="00AD766A" w:rsidRDefault="00AD766A" w:rsidP="00AD766A">
      <w:pPr>
        <w:pStyle w:val="NormalWeb"/>
        <w:spacing w:before="0" w:beforeAutospacing="0" w:after="120" w:afterAutospacing="0" w:line="276" w:lineRule="auto"/>
        <w:jc w:val="both"/>
        <w:rPr>
          <w:rFonts w:eastAsia="Code2000"/>
        </w:rPr>
      </w:pPr>
      <w:r>
        <w:rPr>
          <w:rFonts w:eastAsia="Code2000"/>
        </w:rPr>
        <w:t>La</w:t>
      </w:r>
      <w:r w:rsidRPr="00B21E55">
        <w:rPr>
          <w:rFonts w:eastAsia="Code2000"/>
        </w:rPr>
        <w:t xml:space="preserve"> matière se distingue </w:t>
      </w:r>
      <w:r>
        <w:rPr>
          <w:rFonts w:eastAsia="Code2000"/>
        </w:rPr>
        <w:t xml:space="preserve">alors </w:t>
      </w:r>
      <w:r w:rsidRPr="00B21E55">
        <w:rPr>
          <w:rFonts w:eastAsia="Code2000"/>
        </w:rPr>
        <w:t>du matériau. La fabrication, avons-nous dit, implique des instruments, des outils, des supports, des couleurs</w:t>
      </w:r>
      <w:r>
        <w:rPr>
          <w:rFonts w:eastAsia="Code2000"/>
        </w:rPr>
        <w:t xml:space="preserve">. Ainsi, il ne suffit plus de </w:t>
      </w:r>
      <w:r w:rsidRPr="00B21E55">
        <w:rPr>
          <w:rFonts w:eastAsia="Code2000"/>
        </w:rPr>
        <w:t xml:space="preserve">renvoyer à la </w:t>
      </w:r>
      <w:proofErr w:type="spellStart"/>
      <w:r w:rsidRPr="00B21E55">
        <w:rPr>
          <w:rFonts w:eastAsia="Code2000"/>
          <w:i/>
        </w:rPr>
        <w:t>Farbenlehre</w:t>
      </w:r>
      <w:proofErr w:type="spellEnd"/>
      <w:r>
        <w:rPr>
          <w:rFonts w:eastAsia="Code2000"/>
        </w:rPr>
        <w:t xml:space="preserve"> et</w:t>
      </w:r>
      <w:r w:rsidRPr="00B21E55">
        <w:rPr>
          <w:rFonts w:eastAsia="Code2000"/>
        </w:rPr>
        <w:t xml:space="preserve"> à la sphère des couleurs d</w:t>
      </w:r>
      <w:r>
        <w:rPr>
          <w:rFonts w:eastAsia="Code2000"/>
        </w:rPr>
        <w:t>u peintre romantique</w:t>
      </w:r>
      <w:r w:rsidRPr="00B21E55">
        <w:rPr>
          <w:rFonts w:eastAsia="Code2000"/>
        </w:rPr>
        <w:t xml:space="preserve"> </w:t>
      </w:r>
      <w:r>
        <w:rPr>
          <w:rFonts w:eastAsia="Code2000"/>
        </w:rPr>
        <w:t xml:space="preserve">Phillip Otto </w:t>
      </w:r>
      <w:r w:rsidRPr="00B21E55">
        <w:rPr>
          <w:rFonts w:eastAsia="Code2000"/>
        </w:rPr>
        <w:t>Runge</w:t>
      </w:r>
      <w:r>
        <w:rPr>
          <w:rFonts w:eastAsia="Code2000"/>
        </w:rPr>
        <w:t xml:space="preserve"> (1777-1810)</w:t>
      </w:r>
      <w:r w:rsidRPr="00B21E55">
        <w:rPr>
          <w:rFonts w:eastAsia="Code2000"/>
        </w:rPr>
        <w:t>, dont Paul Klee s’est inspiré</w:t>
      </w:r>
      <w:r>
        <w:rPr>
          <w:rStyle w:val="Appelnotedebasdep"/>
          <w:rFonts w:eastAsia="Code2000"/>
        </w:rPr>
        <w:footnoteReference w:id="48"/>
      </w:r>
      <w:r w:rsidRPr="00B21E55">
        <w:rPr>
          <w:rFonts w:eastAsia="Code2000"/>
        </w:rPr>
        <w:t xml:space="preserve">, mais </w:t>
      </w:r>
      <w:r>
        <w:rPr>
          <w:rFonts w:eastAsia="Code2000"/>
        </w:rPr>
        <w:t>il faut considérer les couleurs</w:t>
      </w:r>
      <w:r w:rsidRPr="00B21E55">
        <w:rPr>
          <w:rFonts w:eastAsia="Code2000"/>
        </w:rPr>
        <w:t xml:space="preserve"> du point de vue de leur consistance (couleur liquide ou visqueuse</w:t>
      </w:r>
      <w:r>
        <w:rPr>
          <w:rFonts w:eastAsia="Code2000"/>
        </w:rPr>
        <w:t>…</w:t>
      </w:r>
      <w:r w:rsidRPr="00B21E55">
        <w:rPr>
          <w:rFonts w:eastAsia="Code2000"/>
        </w:rPr>
        <w:t>), de leur poids,</w:t>
      </w:r>
      <w:r>
        <w:rPr>
          <w:rFonts w:eastAsia="Code2000"/>
        </w:rPr>
        <w:t xml:space="preserve"> de leur matérialité (par exemple, les couleurs qui forment une croûte à la surface des pots de couleur, comme nous le verrons). </w:t>
      </w:r>
    </w:p>
    <w:p w:rsidR="00AD766A" w:rsidRDefault="00AD766A" w:rsidP="00AD766A">
      <w:pPr>
        <w:pStyle w:val="NormalWeb"/>
        <w:spacing w:before="0" w:beforeAutospacing="0" w:after="120" w:afterAutospacing="0" w:line="276" w:lineRule="auto"/>
        <w:jc w:val="both"/>
        <w:rPr>
          <w:rFonts w:eastAsia="Code2000"/>
        </w:rPr>
      </w:pPr>
      <w:r>
        <w:rPr>
          <w:color w:val="181818"/>
        </w:rPr>
        <w:t xml:space="preserve">Dans </w:t>
      </w:r>
      <w:proofErr w:type="spellStart"/>
      <w:r w:rsidRPr="00D2079D">
        <w:rPr>
          <w:i/>
          <w:color w:val="181818"/>
        </w:rPr>
        <w:t>Harmonisierte</w:t>
      </w:r>
      <w:proofErr w:type="spellEnd"/>
      <w:r w:rsidRPr="00D2079D">
        <w:rPr>
          <w:i/>
          <w:color w:val="181818"/>
        </w:rPr>
        <w:t xml:space="preserve"> </w:t>
      </w:r>
      <w:proofErr w:type="spellStart"/>
      <w:r w:rsidRPr="00D2079D">
        <w:rPr>
          <w:i/>
          <w:color w:val="181818"/>
        </w:rPr>
        <w:t>Störungen</w:t>
      </w:r>
      <w:proofErr w:type="spellEnd"/>
      <w:r>
        <w:rPr>
          <w:rStyle w:val="Appelnotedebasdep"/>
          <w:color w:val="181818"/>
        </w:rPr>
        <w:footnoteReference w:id="49"/>
      </w:r>
      <w:r>
        <w:rPr>
          <w:i/>
          <w:color w:val="181818"/>
        </w:rPr>
        <w:t xml:space="preserve"> </w:t>
      </w:r>
      <w:r>
        <w:rPr>
          <w:color w:val="181818"/>
        </w:rPr>
        <w:t xml:space="preserve">de Paul Klee, par exemple, la matière est pré-structurée et accueille la structure de l’œuvre. Parlera-t-on également de matériau ? Sans doute, </w:t>
      </w:r>
      <w:r w:rsidRPr="00281A80">
        <w:rPr>
          <w:color w:val="181818"/>
        </w:rPr>
        <w:t>le tracé au fusain résult</w:t>
      </w:r>
      <w:r>
        <w:rPr>
          <w:color w:val="181818"/>
        </w:rPr>
        <w:t>ant</w:t>
      </w:r>
      <w:r w:rsidRPr="00281A80">
        <w:rPr>
          <w:color w:val="181818"/>
        </w:rPr>
        <w:t xml:space="preserve"> d’une interaction et d’une négociation entre le geste et la toile de jute. </w:t>
      </w:r>
      <w:r>
        <w:rPr>
          <w:color w:val="181818"/>
        </w:rPr>
        <w:t xml:space="preserve">Mais il nous semble qu’en l’occurrence, cet aspect est plus secondaire. </w:t>
      </w:r>
      <w:r>
        <w:rPr>
          <w:rFonts w:eastAsia="Code2000"/>
        </w:rPr>
        <w:t xml:space="preserve">En revanche, le passage de la matière au matériau permet, croyons-nous, de capter une des spécificités du faire de Bernard </w:t>
      </w:r>
      <w:proofErr w:type="spellStart"/>
      <w:r>
        <w:rPr>
          <w:rFonts w:eastAsia="Code2000"/>
        </w:rPr>
        <w:t>Frize</w:t>
      </w:r>
      <w:proofErr w:type="spellEnd"/>
      <w:r>
        <w:rPr>
          <w:rFonts w:eastAsia="Code2000"/>
        </w:rPr>
        <w:t xml:space="preserve">. Nous le verrons mieux dans la troisième partie. </w:t>
      </w:r>
    </w:p>
    <w:p w:rsidR="00AD766A" w:rsidRDefault="00AD766A" w:rsidP="00AD766A">
      <w:pPr>
        <w:pStyle w:val="NormalWeb"/>
        <w:spacing w:before="0" w:beforeAutospacing="0" w:after="120" w:afterAutospacing="0" w:line="276" w:lineRule="auto"/>
        <w:jc w:val="both"/>
        <w:rPr>
          <w:rFonts w:eastAsia="Code2000"/>
        </w:rPr>
      </w:pPr>
      <w:r>
        <w:rPr>
          <w:rFonts w:eastAsia="Code2000"/>
        </w:rPr>
        <w:t xml:space="preserve">Pour l’instant, attardons-nous sur un autre couple : </w:t>
      </w:r>
      <w:proofErr w:type="spellStart"/>
      <w:r w:rsidRPr="000F266F">
        <w:rPr>
          <w:rFonts w:eastAsia="Code2000"/>
          <w:i/>
        </w:rPr>
        <w:t>facere</w:t>
      </w:r>
      <w:proofErr w:type="spellEnd"/>
      <w:r>
        <w:rPr>
          <w:rFonts w:eastAsia="Code2000"/>
        </w:rPr>
        <w:t xml:space="preserve"> (création) face à </w:t>
      </w:r>
      <w:proofErr w:type="spellStart"/>
      <w:r w:rsidRPr="000F266F">
        <w:rPr>
          <w:rFonts w:eastAsia="Code2000"/>
          <w:i/>
        </w:rPr>
        <w:t>gerere</w:t>
      </w:r>
      <w:proofErr w:type="spellEnd"/>
      <w:r w:rsidRPr="001E3D68">
        <w:rPr>
          <w:rStyle w:val="Appelnotedebasdep"/>
          <w:rFonts w:eastAsia="Code2000"/>
        </w:rPr>
        <w:footnoteReference w:id="50"/>
      </w:r>
      <w:r w:rsidRPr="000F266F">
        <w:rPr>
          <w:rFonts w:eastAsia="Code2000"/>
          <w:i/>
        </w:rPr>
        <w:t xml:space="preserve"> </w:t>
      </w:r>
      <w:r>
        <w:rPr>
          <w:rFonts w:eastAsia="Code2000"/>
        </w:rPr>
        <w:t xml:space="preserve">(gestion-exécution). On peut supposer que la création et la gestion-exécution sont étroitement </w:t>
      </w:r>
      <w:proofErr w:type="spellStart"/>
      <w:r>
        <w:rPr>
          <w:rFonts w:eastAsia="Code2000"/>
        </w:rPr>
        <w:t>interreliées</w:t>
      </w:r>
      <w:proofErr w:type="spellEnd"/>
      <w:r>
        <w:rPr>
          <w:rFonts w:eastAsia="Code2000"/>
        </w:rPr>
        <w:t xml:space="preserve">, que l’intensité investie est modulée le long d’un continuum, la gestion-exécution caractérisant davantage la fabrication que la </w:t>
      </w:r>
      <w:proofErr w:type="spellStart"/>
      <w:r w:rsidRPr="000F266F">
        <w:rPr>
          <w:rFonts w:eastAsia="Code2000"/>
          <w:i/>
        </w:rPr>
        <w:t>Gestaltung</w:t>
      </w:r>
      <w:proofErr w:type="spellEnd"/>
      <w:r>
        <w:rPr>
          <w:rFonts w:eastAsia="Code2000"/>
        </w:rPr>
        <w:t xml:space="preserve">. C’est cette hypothèse que nous visons à vérifier maintenant. </w:t>
      </w:r>
    </w:p>
    <w:p w:rsidR="00AD766A" w:rsidRPr="000F266F" w:rsidRDefault="00AD766A" w:rsidP="00AD766A">
      <w:pPr>
        <w:pStyle w:val="NormalWeb"/>
        <w:spacing w:before="0" w:beforeAutospacing="0" w:after="120" w:afterAutospacing="0" w:line="276" w:lineRule="auto"/>
        <w:jc w:val="both"/>
        <w:rPr>
          <w:rFonts w:eastAsia="Code2000"/>
          <w:i/>
        </w:rPr>
      </w:pPr>
      <w:r w:rsidRPr="000F266F">
        <w:rPr>
          <w:rFonts w:eastAsia="Code2000"/>
          <w:i/>
        </w:rPr>
        <w:lastRenderedPageBreak/>
        <w:t xml:space="preserve">Création et gestion-exécution </w:t>
      </w:r>
    </w:p>
    <w:p w:rsidR="00AD766A" w:rsidRDefault="00AD766A" w:rsidP="00AD766A">
      <w:pPr>
        <w:pStyle w:val="NormalWeb"/>
        <w:spacing w:before="0" w:beforeAutospacing="0" w:after="120" w:afterAutospacing="0" w:line="276" w:lineRule="auto"/>
        <w:jc w:val="both"/>
        <w:rPr>
          <w:rFonts w:eastAsia="Code2000"/>
        </w:rPr>
      </w:pPr>
      <w:r>
        <w:rPr>
          <w:rFonts w:eastAsia="Code2000"/>
        </w:rPr>
        <w:t xml:space="preserve">En quoi la distinction entre l’idée créatrice et l’accomplissement ou exécution permet-elle d’approcher le geste sur de nouvelles bases ? La question est délicate. </w:t>
      </w:r>
    </w:p>
    <w:p w:rsidR="00AD766A" w:rsidRDefault="00AD766A" w:rsidP="00AD766A">
      <w:pPr>
        <w:pStyle w:val="NormalWeb"/>
        <w:spacing w:before="0" w:beforeAutospacing="0" w:after="120" w:afterAutospacing="0" w:line="276" w:lineRule="auto"/>
        <w:jc w:val="both"/>
        <w:rPr>
          <w:rFonts w:eastAsia="Code2000"/>
        </w:rPr>
      </w:pPr>
      <w:r>
        <w:rPr>
          <w:rFonts w:eastAsia="Code2000"/>
        </w:rPr>
        <w:t xml:space="preserve">En effet, Étienne Souriau met en garde contre une telle séparation de l’idée créatrice et de l’exécution. Isabelle </w:t>
      </w:r>
      <w:proofErr w:type="spellStart"/>
      <w:r>
        <w:rPr>
          <w:rFonts w:eastAsia="Code2000"/>
        </w:rPr>
        <w:t>Stengers</w:t>
      </w:r>
      <w:proofErr w:type="spellEnd"/>
      <w:r>
        <w:rPr>
          <w:rFonts w:eastAsia="Code2000"/>
        </w:rPr>
        <w:t xml:space="preserve"> et Bruno </w:t>
      </w:r>
      <w:proofErr w:type="spellStart"/>
      <w:r>
        <w:rPr>
          <w:rFonts w:eastAsia="Code2000"/>
        </w:rPr>
        <w:t>Latour</w:t>
      </w:r>
      <w:proofErr w:type="spellEnd"/>
      <w:r>
        <w:rPr>
          <w:rFonts w:eastAsia="Code2000"/>
        </w:rPr>
        <w:t xml:space="preserve"> commentent en ces termes un passage des </w:t>
      </w:r>
      <w:r w:rsidRPr="00D21C85">
        <w:rPr>
          <w:rFonts w:eastAsia="Code2000"/>
          <w:i/>
        </w:rPr>
        <w:t>Différents modes d’existence</w:t>
      </w:r>
      <w:r>
        <w:rPr>
          <w:rFonts w:eastAsia="Code2000"/>
        </w:rPr>
        <w:t>, consacré au bloc de glaise</w:t>
      </w:r>
      <w:r>
        <w:rPr>
          <w:rStyle w:val="Appelnotedebasdep"/>
          <w:rFonts w:ascii="MTimesNewRoman" w:hAnsi="MTimesNewRoman"/>
          <w:sz w:val="22"/>
          <w:szCs w:val="22"/>
        </w:rPr>
        <w:footnoteReference w:id="51"/>
      </w:r>
      <w:r>
        <w:rPr>
          <w:rFonts w:eastAsia="Code2000"/>
        </w:rPr>
        <w:t xml:space="preserve"> : </w:t>
      </w:r>
    </w:p>
    <w:p w:rsidR="00AD766A" w:rsidRPr="00D21C85" w:rsidRDefault="00AD766A" w:rsidP="00AD766A">
      <w:pPr>
        <w:pStyle w:val="NormalWeb"/>
        <w:spacing w:before="0" w:beforeAutospacing="0" w:after="120" w:afterAutospacing="0" w:line="276" w:lineRule="auto"/>
        <w:ind w:left="567"/>
        <w:jc w:val="both"/>
      </w:pPr>
      <w:r w:rsidRPr="00D21C85">
        <w:t>L’erreur d’</w:t>
      </w:r>
      <w:proofErr w:type="spellStart"/>
      <w:r w:rsidRPr="00D21C85">
        <w:t>interprétation</w:t>
      </w:r>
      <w:proofErr w:type="spellEnd"/>
      <w:r w:rsidRPr="00D21C85">
        <w:t xml:space="preserve"> serait de croire que Souriau </w:t>
      </w:r>
      <w:proofErr w:type="spellStart"/>
      <w:r w:rsidRPr="00D21C85">
        <w:t>décrit</w:t>
      </w:r>
      <w:proofErr w:type="spellEnd"/>
      <w:r w:rsidRPr="00D21C85">
        <w:t xml:space="preserve"> ici en relation avec le tas de glaise le passage d’une forme à une </w:t>
      </w:r>
      <w:proofErr w:type="spellStart"/>
      <w:r w:rsidRPr="00D21C85">
        <w:t>matière</w:t>
      </w:r>
      <w:proofErr w:type="spellEnd"/>
      <w:r w:rsidRPr="00D21C85">
        <w:t>, l’</w:t>
      </w:r>
      <w:proofErr w:type="spellStart"/>
      <w:r w:rsidRPr="00D21C85">
        <w:t>idéal</w:t>
      </w:r>
      <w:proofErr w:type="spellEnd"/>
      <w:r w:rsidRPr="00D21C85">
        <w:t xml:space="preserve"> de la forme passant progressivement à la </w:t>
      </w:r>
      <w:proofErr w:type="spellStart"/>
      <w:r w:rsidRPr="00D21C85">
        <w:t>réalite</w:t>
      </w:r>
      <w:proofErr w:type="spellEnd"/>
      <w:r w:rsidRPr="00D21C85">
        <w:t xml:space="preserve">́, comme une </w:t>
      </w:r>
      <w:proofErr w:type="spellStart"/>
      <w:r w:rsidRPr="00D21C85">
        <w:t>potentialite</w:t>
      </w:r>
      <w:proofErr w:type="spellEnd"/>
      <w:r w:rsidRPr="00D21C85">
        <w:t xml:space="preserve">́ qui deviendrait simplement </w:t>
      </w:r>
      <w:proofErr w:type="spellStart"/>
      <w:r w:rsidRPr="00D21C85">
        <w:t>réelle</w:t>
      </w:r>
      <w:proofErr w:type="spellEnd"/>
      <w:r w:rsidRPr="00D21C85">
        <w:t xml:space="preserve"> à travers le truchement de l’artiste plus ou moins inspiré. Le trajet dont il nous parle est, de plus, l’exact contraire d’un </w:t>
      </w:r>
      <w:r w:rsidRPr="00D21C85">
        <w:rPr>
          <w:i/>
          <w:iCs/>
        </w:rPr>
        <w:t>projet</w:t>
      </w:r>
      <w:r w:rsidRPr="00D21C85">
        <w:t>. S’il s’agissait d’un projet, l’</w:t>
      </w:r>
      <w:proofErr w:type="spellStart"/>
      <w:r w:rsidRPr="00D21C85">
        <w:t>achèvement</w:t>
      </w:r>
      <w:proofErr w:type="spellEnd"/>
      <w:r w:rsidRPr="00D21C85">
        <w:t xml:space="preserve"> ne serait que la </w:t>
      </w:r>
      <w:proofErr w:type="spellStart"/>
      <w:r w:rsidRPr="00D21C85">
        <w:t>coïncidence</w:t>
      </w:r>
      <w:proofErr w:type="spellEnd"/>
      <w:r w:rsidRPr="00D21C85">
        <w:t xml:space="preserve"> finale entre un plan et une </w:t>
      </w:r>
      <w:proofErr w:type="spellStart"/>
      <w:r w:rsidRPr="00D21C85">
        <w:t>réalite</w:t>
      </w:r>
      <w:proofErr w:type="spellEnd"/>
      <w:r w:rsidRPr="00D21C85">
        <w:t>́ enfin conforme. Or, l’</w:t>
      </w:r>
      <w:proofErr w:type="spellStart"/>
      <w:r w:rsidRPr="00D21C85">
        <w:t>achèvement</w:t>
      </w:r>
      <w:proofErr w:type="spellEnd"/>
      <w:r w:rsidRPr="00D21C85">
        <w:t xml:space="preserve"> n’est pas la soumission de la glaise à l’image de ce qui, en retour, pourrait </w:t>
      </w:r>
      <w:proofErr w:type="spellStart"/>
      <w:r w:rsidRPr="00D21C85">
        <w:t>être</w:t>
      </w:r>
      <w:proofErr w:type="spellEnd"/>
      <w:r w:rsidRPr="00D21C85">
        <w:t xml:space="preserve"> </w:t>
      </w:r>
      <w:proofErr w:type="spellStart"/>
      <w:r w:rsidRPr="00D21C85">
        <w:t>conçu</w:t>
      </w:r>
      <w:proofErr w:type="spellEnd"/>
      <w:r w:rsidRPr="00D21C85">
        <w:t xml:space="preserve"> comme </w:t>
      </w:r>
      <w:proofErr w:type="spellStart"/>
      <w:r w:rsidRPr="00D21C85">
        <w:t>modèle</w:t>
      </w:r>
      <w:proofErr w:type="spellEnd"/>
      <w:r w:rsidRPr="00D21C85">
        <w:t xml:space="preserve"> </w:t>
      </w:r>
      <w:proofErr w:type="spellStart"/>
      <w:r w:rsidRPr="00D21C85">
        <w:t>idéal</w:t>
      </w:r>
      <w:proofErr w:type="spellEnd"/>
      <w:r w:rsidRPr="00D21C85">
        <w:t xml:space="preserve"> ou possible imaginé</w:t>
      </w:r>
      <w:r>
        <w:rPr>
          <w:rStyle w:val="Appelnotedebasdep"/>
        </w:rPr>
        <w:footnoteReference w:id="52"/>
      </w:r>
      <w:r w:rsidRPr="00D21C85">
        <w:t xml:space="preserve">. </w:t>
      </w:r>
    </w:p>
    <w:p w:rsidR="00AD766A" w:rsidRDefault="00AD766A" w:rsidP="00AD766A">
      <w:pPr>
        <w:pStyle w:val="NormalWeb"/>
        <w:spacing w:before="0" w:beforeAutospacing="0" w:after="120" w:afterAutospacing="0" w:line="276" w:lineRule="auto"/>
        <w:jc w:val="both"/>
        <w:rPr>
          <w:rFonts w:eastAsia="Code2000"/>
        </w:rPr>
      </w:pPr>
      <w:r>
        <w:t>N</w:t>
      </w:r>
      <w:r>
        <w:rPr>
          <w:color w:val="000000"/>
          <w:shd w:val="clear" w:color="auto" w:fill="FFFFFF"/>
        </w:rPr>
        <w:t>ous en trouvons</w:t>
      </w:r>
      <w:r w:rsidRPr="00F25ED6">
        <w:rPr>
          <w:color w:val="000000"/>
          <w:shd w:val="clear" w:color="auto" w:fill="FFFFFF"/>
        </w:rPr>
        <w:t xml:space="preserve"> confirmation</w:t>
      </w:r>
      <w:r>
        <w:rPr>
          <w:color w:val="000000"/>
          <w:shd w:val="clear" w:color="auto" w:fill="FFFFFF"/>
        </w:rPr>
        <w:t>, indirectement,</w:t>
      </w:r>
      <w:r w:rsidRPr="00F25ED6">
        <w:rPr>
          <w:color w:val="000000"/>
          <w:shd w:val="clear" w:color="auto" w:fill="FFFFFF"/>
        </w:rPr>
        <w:t xml:space="preserve"> dans le </w:t>
      </w:r>
      <w:r w:rsidRPr="00F25ED6">
        <w:rPr>
          <w:i/>
          <w:color w:val="000000"/>
          <w:shd w:val="clear" w:color="auto" w:fill="FFFFFF"/>
        </w:rPr>
        <w:t>Journal</w:t>
      </w:r>
      <w:r w:rsidRPr="00F25ED6">
        <w:rPr>
          <w:color w:val="000000"/>
          <w:shd w:val="clear" w:color="auto" w:fill="FFFFFF"/>
        </w:rPr>
        <w:t xml:space="preserve"> de Paul Klee</w:t>
      </w:r>
      <w:r>
        <w:rPr>
          <w:color w:val="000000"/>
          <w:shd w:val="clear" w:color="auto" w:fill="FFFFFF"/>
        </w:rPr>
        <w:t xml:space="preserve"> : </w:t>
      </w:r>
      <w:r w:rsidRPr="00F25ED6">
        <w:rPr>
          <w:color w:val="000000"/>
          <w:shd w:val="clear" w:color="auto" w:fill="FFFFFF"/>
        </w:rPr>
        <w:t>« </w:t>
      </w:r>
      <w:r w:rsidRPr="00F25ED6">
        <w:rPr>
          <w:rFonts w:eastAsia="Code2000"/>
        </w:rPr>
        <w:t xml:space="preserve">L'art plastique n'est jamais fondé sur une </w:t>
      </w:r>
      <w:proofErr w:type="spellStart"/>
      <w:r w:rsidRPr="00F25ED6">
        <w:rPr>
          <w:rFonts w:eastAsia="Code2000"/>
        </w:rPr>
        <w:t>atmosphère</w:t>
      </w:r>
      <w:proofErr w:type="spellEnd"/>
      <w:r w:rsidRPr="00F25ED6">
        <w:rPr>
          <w:rFonts w:eastAsia="Code2000"/>
        </w:rPr>
        <w:t xml:space="preserve"> </w:t>
      </w:r>
      <w:proofErr w:type="spellStart"/>
      <w:r w:rsidRPr="00F25ED6">
        <w:rPr>
          <w:rFonts w:eastAsia="Code2000"/>
        </w:rPr>
        <w:t>poétique</w:t>
      </w:r>
      <w:proofErr w:type="spellEnd"/>
      <w:r w:rsidRPr="00F25ED6">
        <w:rPr>
          <w:rFonts w:eastAsia="Code2000"/>
        </w:rPr>
        <w:t xml:space="preserve"> ni sur une </w:t>
      </w:r>
      <w:proofErr w:type="spellStart"/>
      <w:r w:rsidRPr="00F25ED6">
        <w:rPr>
          <w:rFonts w:eastAsia="Code2000"/>
        </w:rPr>
        <w:t>idée</w:t>
      </w:r>
      <w:proofErr w:type="spellEnd"/>
      <w:r w:rsidRPr="00F25ED6">
        <w:rPr>
          <w:rFonts w:eastAsia="Code2000"/>
        </w:rPr>
        <w:t xml:space="preserve"> quelconque, mais sur la construction d'une ou</w:t>
      </w:r>
      <w:r>
        <w:rPr>
          <w:rFonts w:eastAsia="Code2000"/>
        </w:rPr>
        <w:t xml:space="preserve"> </w:t>
      </w:r>
      <w:r w:rsidRPr="00F25ED6">
        <w:rPr>
          <w:rFonts w:eastAsia="Code2000"/>
        </w:rPr>
        <w:t>plusieurs figures, sur l'accord de quelques couleurs et de quelques valeurs</w:t>
      </w:r>
      <w:r>
        <w:rPr>
          <w:rFonts w:eastAsia="Code2000"/>
        </w:rPr>
        <w:t> ». L’idée – du moins l’idée « quelconque » – ne serait donc pas antérieure ou extérieure à la « réalisation » : la « réalisation » est construction, mais aussi germination, « floraison »</w:t>
      </w:r>
      <w:r>
        <w:rPr>
          <w:rStyle w:val="Appelnotedebasdep"/>
          <w:rFonts w:eastAsia="Code2000"/>
        </w:rPr>
        <w:footnoteReference w:id="53"/>
      </w:r>
      <w:r>
        <w:rPr>
          <w:rFonts w:eastAsia="Code2000"/>
        </w:rPr>
        <w:t xml:space="preserve">. À la base, il y a des lois, des rapports mathématiques, qui conduisent à des expérimentations alimentant la réflexion et l’enseignement en retour. Or, l’expérimentation suppose une marge d’imprévu, elle dessine l’espace où l’expressivité peut se déployer. Et il serait hasardeux de dire que peindre revient à </w:t>
      </w:r>
      <w:r w:rsidRPr="001E3D68">
        <w:rPr>
          <w:rFonts w:eastAsia="Code2000"/>
          <w:i/>
        </w:rPr>
        <w:t>mettre en œuvre</w:t>
      </w:r>
      <w:r>
        <w:rPr>
          <w:rFonts w:eastAsia="Code2000"/>
        </w:rPr>
        <w:t xml:space="preserve"> ce qui a été décidé avant, ailleurs. Le calcul et le contrôle ne brident ni l’imagination, ni l’expressivité. </w:t>
      </w:r>
    </w:p>
    <w:p w:rsidR="00AD766A" w:rsidRDefault="00AD766A" w:rsidP="00AD766A">
      <w:pPr>
        <w:pStyle w:val="NormalWeb"/>
        <w:spacing w:before="0" w:beforeAutospacing="0" w:after="120" w:afterAutospacing="0" w:line="276" w:lineRule="auto"/>
        <w:jc w:val="both"/>
        <w:rPr>
          <w:rFonts w:eastAsia="Code2000"/>
        </w:rPr>
      </w:pPr>
      <w:r>
        <w:rPr>
          <w:rFonts w:eastAsia="Code2000"/>
        </w:rPr>
        <w:t>En effet, l’artiste est un sujet perceptivo-cognitif, mais aussi sensible. Le rationnel est aux prises avec l’irrationnel : « Le coloris comporte toujours quelque chose de mystérieux, que l’on saisit mal. Cette curieuse particularité se manifeste dans l’esprit. Les couleurs sont ce qu’il y a de plus irrationnel en peinture »</w:t>
      </w:r>
      <w:r>
        <w:rPr>
          <w:rStyle w:val="Appelnotedebasdep"/>
          <w:rFonts w:eastAsia="Code2000"/>
        </w:rPr>
        <w:footnoteReference w:id="54"/>
      </w:r>
      <w:r>
        <w:rPr>
          <w:rFonts w:eastAsia="Code2000"/>
        </w:rPr>
        <w:t xml:space="preserve">. En témoignent, par exemple, les peintures quadrillées de Paul Klee, telles que les aquarelles tunisiennes de 1914, ou encore, en 1922 et en 1923, toutes ces peintures qui orchestrent les rapports chromatiques entre couleurs primaires et couleurs secondaires, les échelonnements chromatiques grâce à des systèmes rigoureux de bandes superposées horizontales ou verticales, des progressions ou mouvements de clair-obscur et de contraste des couleurs et des températures. Il en va ainsi de </w:t>
      </w:r>
      <w:r w:rsidRPr="00BA3FCC">
        <w:rPr>
          <w:rFonts w:eastAsia="Code2000"/>
          <w:i/>
        </w:rPr>
        <w:t>Tente double</w:t>
      </w:r>
      <w:r>
        <w:rPr>
          <w:rStyle w:val="Appelnotedebasdep"/>
          <w:rFonts w:eastAsia="Code2000"/>
          <w:i/>
        </w:rPr>
        <w:footnoteReference w:id="55"/>
      </w:r>
      <w:r>
        <w:rPr>
          <w:rFonts w:eastAsia="Code2000"/>
        </w:rPr>
        <w:t xml:space="preserve">, où quatre zones </w:t>
      </w:r>
      <w:r>
        <w:rPr>
          <w:rFonts w:eastAsia="Code2000"/>
        </w:rPr>
        <w:lastRenderedPageBreak/>
        <w:t xml:space="preserve">triangulaires inversées et se touchant par la pointe, dans un jeu de forces et de contre-forces, impliquent, d’une part, l’« échauffement », du bleu vers l’orange qui croît en intensité, tendant vers le rouge, décroît et croît encore, et, de l’autre, le « refroidissement », négocié, vers le milieu du tableau, par une résurgence de teintes bleues. Ces dernières instaurent une rime chromatique avec les bandes (d’un bleu saturé vers un bleu </w:t>
      </w:r>
      <w:proofErr w:type="spellStart"/>
      <w:r>
        <w:rPr>
          <w:rFonts w:eastAsia="Code2000"/>
        </w:rPr>
        <w:t>désaturé</w:t>
      </w:r>
      <w:proofErr w:type="spellEnd"/>
      <w:r>
        <w:rPr>
          <w:rFonts w:eastAsia="Code2000"/>
        </w:rPr>
        <w:t xml:space="preserve">)  émergeant d’un fond bleu foncé à la base et dans la partie supérieure du tableau, ainsi qu’avec les moitiés de triangle décalées qui se superposent partiellement aux pyramides inférieures. Ailleurs, notamment dans </w:t>
      </w:r>
      <w:r w:rsidRPr="003145FA">
        <w:rPr>
          <w:rFonts w:eastAsia="Code2000"/>
          <w:i/>
        </w:rPr>
        <w:t>Séparation, le soir</w:t>
      </w:r>
      <w:r w:rsidRPr="00E27DF9">
        <w:rPr>
          <w:rStyle w:val="Appelnotedebasdep"/>
          <w:rFonts w:eastAsia="Code2000"/>
        </w:rPr>
        <w:footnoteReference w:id="56"/>
      </w:r>
      <w:r w:rsidRPr="00E27DF9">
        <w:rPr>
          <w:rFonts w:eastAsia="Code2000"/>
        </w:rPr>
        <w:t xml:space="preserve"> </w:t>
      </w:r>
      <w:r>
        <w:rPr>
          <w:rFonts w:eastAsia="Code2000"/>
        </w:rPr>
        <w:t xml:space="preserve">et dans </w:t>
      </w:r>
      <w:r w:rsidRPr="00C24861">
        <w:rPr>
          <w:rFonts w:eastAsia="Code2000"/>
          <w:i/>
        </w:rPr>
        <w:t>Avant l’éclair</w:t>
      </w:r>
      <w:r>
        <w:rPr>
          <w:rStyle w:val="Appelnotedebasdep"/>
          <w:rFonts w:eastAsia="Code2000"/>
        </w:rPr>
        <w:footnoteReference w:id="57"/>
      </w:r>
      <w:r>
        <w:rPr>
          <w:rFonts w:eastAsia="Code2000"/>
        </w:rPr>
        <w:t xml:space="preserve">, la flèche ajoute à la dynamisation de l’ensemble. Là, deux flèches centrées, l’une chargée de nuances de violet (flèche tombante) et l’autre allégée de teintes jaunâtres (flèche montante, plus petite), se lancent à une rencontre improbable, une bande horizontale violette servant de zone tampon. Ici, des flèches blanchâtres, qui enserrent des flèches plus petites, de taille variable, se touchent </w:t>
      </w:r>
      <w:r w:rsidRPr="00126C07">
        <w:rPr>
          <w:rFonts w:eastAsia="Code2000"/>
          <w:i/>
        </w:rPr>
        <w:t>presque</w:t>
      </w:r>
      <w:r>
        <w:rPr>
          <w:rFonts w:eastAsia="Code2000"/>
        </w:rPr>
        <w:t xml:space="preserve">, éprouvant une séparation ultime, figurée par un mince trait horizontal. L’attente est déçue ; l’événement, l’imprévu, tient dans le ratage, dans le report du jaillissement, dans sa suspension, voire dans son annulation ; la tension vers l’autre, indéfiniment relancée, ne se résout pas. À moins qu’elle ne se concentre dans le disque rouge inséré dans la flèche blanchâtre tombante. L’événement de sens sourd, tel le </w:t>
      </w:r>
      <w:r w:rsidRPr="002B6F3D">
        <w:rPr>
          <w:rFonts w:eastAsia="Code2000"/>
          <w:i/>
        </w:rPr>
        <w:t>punctum</w:t>
      </w:r>
      <w:r>
        <w:rPr>
          <w:rFonts w:eastAsia="Code2000"/>
        </w:rPr>
        <w:t xml:space="preserve"> que Barthes oppose au </w:t>
      </w:r>
      <w:proofErr w:type="spellStart"/>
      <w:r w:rsidRPr="002B6F3D">
        <w:rPr>
          <w:rFonts w:eastAsia="Code2000"/>
          <w:i/>
        </w:rPr>
        <w:t>studium</w:t>
      </w:r>
      <w:proofErr w:type="spellEnd"/>
      <w:r>
        <w:rPr>
          <w:rStyle w:val="Appelnotedebasdep"/>
          <w:rFonts w:eastAsia="Code2000"/>
        </w:rPr>
        <w:footnoteReference w:id="58"/>
      </w:r>
      <w:r>
        <w:rPr>
          <w:rFonts w:eastAsia="Code2000"/>
        </w:rPr>
        <w:t xml:space="preserve">: d’une part, les bandes verticales négocient patiemment, de proche en proche et en partant des bords du tableau, le passage des teintes verdâtres aux teintes jaunâtres, avant un centrage sur les flèches blanchâtres ; d’autre part, le disque rouge s’impose dans son unicité, contre la fragmentation. </w:t>
      </w:r>
    </w:p>
    <w:p w:rsidR="00AD766A" w:rsidRPr="00AE3AED" w:rsidRDefault="00AD766A" w:rsidP="00AD766A">
      <w:pPr>
        <w:spacing w:after="120" w:line="276" w:lineRule="auto"/>
        <w:jc w:val="both"/>
      </w:pPr>
      <w:r>
        <w:rPr>
          <w:color w:val="000000"/>
          <w:shd w:val="clear" w:color="auto" w:fill="FFFFFF"/>
        </w:rPr>
        <w:t xml:space="preserve">La notion de </w:t>
      </w:r>
      <w:proofErr w:type="spellStart"/>
      <w:r w:rsidRPr="003204BA">
        <w:rPr>
          <w:i/>
          <w:color w:val="000000"/>
          <w:shd w:val="clear" w:color="auto" w:fill="FFFFFF"/>
        </w:rPr>
        <w:t>gerere</w:t>
      </w:r>
      <w:proofErr w:type="spellEnd"/>
      <w:r>
        <w:rPr>
          <w:color w:val="000000"/>
          <w:shd w:val="clear" w:color="auto" w:fill="FFFFFF"/>
        </w:rPr>
        <w:t xml:space="preserve"> ou de gestion-exécution s’appliquerait-elle davantage aux peintures de Bernard </w:t>
      </w:r>
      <w:proofErr w:type="spellStart"/>
      <w:r>
        <w:rPr>
          <w:color w:val="000000"/>
          <w:shd w:val="clear" w:color="auto" w:fill="FFFFFF"/>
        </w:rPr>
        <w:t>Frize</w:t>
      </w:r>
      <w:proofErr w:type="spellEnd"/>
      <w:r>
        <w:rPr>
          <w:color w:val="000000"/>
          <w:shd w:val="clear" w:color="auto" w:fill="FFFFFF"/>
        </w:rPr>
        <w:t xml:space="preserve"> ? </w:t>
      </w:r>
      <w:r>
        <w:t>L’artiste répond par l’affirmative (« Tout à fait ») à la question d’Angela Lampe : « Ce qui est important c’est donc l’accomplissement de la tâche et non la signification »</w:t>
      </w:r>
      <w:r>
        <w:rPr>
          <w:rStyle w:val="Appelnotedebasdep"/>
        </w:rPr>
        <w:footnoteReference w:id="59"/>
      </w:r>
      <w:r>
        <w:t xml:space="preserve">. </w:t>
      </w:r>
      <w:r>
        <w:rPr>
          <w:color w:val="000000"/>
          <w:shd w:val="clear" w:color="auto" w:fill="FFFFFF"/>
        </w:rPr>
        <w:t xml:space="preserve">Tel autre commentaire de Bernard </w:t>
      </w:r>
      <w:proofErr w:type="spellStart"/>
      <w:r>
        <w:rPr>
          <w:color w:val="000000"/>
          <w:shd w:val="clear" w:color="auto" w:fill="FFFFFF"/>
        </w:rPr>
        <w:t>Frize</w:t>
      </w:r>
      <w:proofErr w:type="spellEnd"/>
      <w:r>
        <w:rPr>
          <w:color w:val="000000"/>
          <w:shd w:val="clear" w:color="auto" w:fill="FFFFFF"/>
        </w:rPr>
        <w:t xml:space="preserve"> laisse conclure à la séparation dont l’utilité est mise en doute par Souriau : « Je dois laisser les pensées devenir matures jusqu’à ce que le désir de passer à la réalisation soit une évidence »</w:t>
      </w:r>
      <w:r>
        <w:rPr>
          <w:rStyle w:val="Appelnotedebasdep"/>
          <w:color w:val="000000"/>
          <w:shd w:val="clear" w:color="auto" w:fill="FFFFFF"/>
        </w:rPr>
        <w:footnoteReference w:id="60"/>
      </w:r>
      <w:r>
        <w:rPr>
          <w:color w:val="000000"/>
          <w:shd w:val="clear" w:color="auto" w:fill="FFFFFF"/>
        </w:rPr>
        <w:t>. Ou encore : « À chaque fois, l’utilisation des couleurs ou des formes est motivée puisque j’ai une idée ferme, un concept opératoire »</w:t>
      </w:r>
      <w:r>
        <w:rPr>
          <w:rStyle w:val="Appelnotedebasdep"/>
          <w:color w:val="000000"/>
          <w:shd w:val="clear" w:color="auto" w:fill="FFFFFF"/>
        </w:rPr>
        <w:footnoteReference w:id="61"/>
      </w:r>
      <w:r>
        <w:rPr>
          <w:color w:val="000000"/>
          <w:shd w:val="clear" w:color="auto" w:fill="FFFFFF"/>
        </w:rPr>
        <w:t xml:space="preserve">. La réalisation serait donc bien postérieure à la conception. Une réalisation parfaitement planifiée. </w:t>
      </w:r>
      <w:r>
        <w:t>C</w:t>
      </w:r>
      <w:r w:rsidRPr="006775EC">
        <w:t>ette peinture « à contraintes »</w:t>
      </w:r>
      <w:r>
        <w:rPr>
          <w:rStyle w:val="Appelnotedebasdep"/>
        </w:rPr>
        <w:footnoteReference w:id="62"/>
      </w:r>
      <w:r w:rsidRPr="006775EC">
        <w:t xml:space="preserve">, qui donne forme au chaos, repose sur </w:t>
      </w:r>
      <w:r w:rsidRPr="006775EC">
        <w:lastRenderedPageBreak/>
        <w:t xml:space="preserve">des calculs précis, même </w:t>
      </w:r>
      <w:r>
        <w:t>si</w:t>
      </w:r>
      <w:r w:rsidRPr="006775EC">
        <w:t xml:space="preserve"> le système ou le protocole ne sont tels qu’à s’</w:t>
      </w:r>
      <w:proofErr w:type="spellStart"/>
      <w:r w:rsidRPr="006775EC">
        <w:t>auto-détruire</w:t>
      </w:r>
      <w:proofErr w:type="spellEnd"/>
      <w:r w:rsidRPr="006775EC">
        <w:t xml:space="preserve">. La </w:t>
      </w:r>
      <w:proofErr w:type="spellStart"/>
      <w:r w:rsidRPr="006775EC">
        <w:t>re-chaotisation</w:t>
      </w:r>
      <w:proofErr w:type="spellEnd"/>
      <w:r w:rsidRPr="006775EC">
        <w:t xml:space="preserve"> présuppose le système et l’ordre qu’il inscrit en creux. </w:t>
      </w:r>
    </w:p>
    <w:p w:rsidR="00AD766A" w:rsidRDefault="00AD766A" w:rsidP="00AD766A">
      <w:pPr>
        <w:tabs>
          <w:tab w:val="left" w:pos="1000"/>
        </w:tabs>
        <w:spacing w:after="120" w:line="276" w:lineRule="auto"/>
        <w:jc w:val="both"/>
        <w:rPr>
          <w:color w:val="000000"/>
          <w:shd w:val="clear" w:color="auto" w:fill="FFFFFF"/>
        </w:rPr>
      </w:pPr>
      <w:r>
        <w:rPr>
          <w:color w:val="000000"/>
          <w:shd w:val="clear" w:color="auto" w:fill="FFFFFF"/>
        </w:rPr>
        <w:t xml:space="preserve">Pour Bernard </w:t>
      </w:r>
      <w:proofErr w:type="spellStart"/>
      <w:r>
        <w:rPr>
          <w:color w:val="000000"/>
          <w:shd w:val="clear" w:color="auto" w:fill="FFFFFF"/>
        </w:rPr>
        <w:t>Frize</w:t>
      </w:r>
      <w:proofErr w:type="spellEnd"/>
      <w:r>
        <w:rPr>
          <w:color w:val="000000"/>
          <w:shd w:val="clear" w:color="auto" w:fill="FFFFFF"/>
        </w:rPr>
        <w:t>, la conception et la réalisation seraient donc successives, à moins que, « similaires », elles ne soient simultanées :  «  Il me semble qu’il y a une similarité entre le flux de ce qui se fait conscient dans mon esprit et le souffle d’une peinture en train de ses faire »</w:t>
      </w:r>
      <w:r>
        <w:rPr>
          <w:rStyle w:val="Appelnotedebasdep"/>
          <w:color w:val="000000"/>
          <w:shd w:val="clear" w:color="auto" w:fill="FFFFFF"/>
        </w:rPr>
        <w:footnoteReference w:id="63"/>
      </w:r>
      <w:r>
        <w:rPr>
          <w:color w:val="000000"/>
          <w:shd w:val="clear" w:color="auto" w:fill="FFFFFF"/>
        </w:rPr>
        <w:t xml:space="preserve">. Un nouveau paradoxe ? </w:t>
      </w:r>
    </w:p>
    <w:p w:rsidR="00AD766A" w:rsidRPr="009123AA" w:rsidRDefault="00AD766A" w:rsidP="00AD766A">
      <w:pPr>
        <w:tabs>
          <w:tab w:val="left" w:pos="1000"/>
        </w:tabs>
        <w:spacing w:after="120" w:line="276" w:lineRule="auto"/>
        <w:jc w:val="both"/>
        <w:rPr>
          <w:color w:val="000000"/>
          <w:shd w:val="clear" w:color="auto" w:fill="FFFFFF"/>
        </w:rPr>
      </w:pPr>
      <w:r>
        <w:rPr>
          <w:color w:val="000000"/>
          <w:shd w:val="clear" w:color="auto" w:fill="FFFFFF"/>
        </w:rPr>
        <w:t xml:space="preserve">Surtout, la notion de gestion semble s’imposer quand </w:t>
      </w:r>
      <w:r w:rsidRPr="006775EC">
        <w:t xml:space="preserve">le geste créateur </w:t>
      </w:r>
      <w:r>
        <w:t>est</w:t>
      </w:r>
      <w:r w:rsidRPr="006775EC">
        <w:t xml:space="preserve"> collectif, </w:t>
      </w:r>
      <w:r>
        <w:t xml:space="preserve">par exemple dans </w:t>
      </w:r>
      <w:proofErr w:type="spellStart"/>
      <w:r w:rsidRPr="002E1826">
        <w:rPr>
          <w:i/>
        </w:rPr>
        <w:t>Un</w:t>
      </w:r>
      <w:r>
        <w:rPr>
          <w:i/>
        </w:rPr>
        <w:t>i</w:t>
      </w:r>
      <w:r w:rsidRPr="002E1826">
        <w:rPr>
          <w:i/>
        </w:rPr>
        <w:t>mixte</w:t>
      </w:r>
      <w:proofErr w:type="spellEnd"/>
      <w:r w:rsidRPr="002E1826">
        <w:rPr>
          <w:rStyle w:val="Appelnotedebasdep"/>
        </w:rPr>
        <w:footnoteReference w:id="64"/>
      </w:r>
      <w:r>
        <w:t xml:space="preserve">, une peinture dont les volutes et les tressages sont faits à six mains. Bernard </w:t>
      </w:r>
      <w:proofErr w:type="spellStart"/>
      <w:r>
        <w:t>Frize</w:t>
      </w:r>
      <w:proofErr w:type="spellEnd"/>
      <w:r>
        <w:t xml:space="preserve"> commente sa pratique en ces termes : </w:t>
      </w:r>
    </w:p>
    <w:p w:rsidR="00AD766A" w:rsidRDefault="00AD766A" w:rsidP="00AD766A">
      <w:pPr>
        <w:tabs>
          <w:tab w:val="left" w:pos="1000"/>
        </w:tabs>
        <w:spacing w:after="120" w:line="276" w:lineRule="auto"/>
        <w:ind w:left="567"/>
        <w:jc w:val="both"/>
      </w:pPr>
      <w:r>
        <w:t xml:space="preserve">Quand j’ai demandé à d’autres personnes de venir m’aider, je souhaitais que mon travail soit investi de forces humaines et sociales. Le caractère collectif de l’activité intellectuelle et pratique me rapproche de mes préoccupations de débutant. Les peintures faites à plusieurs sont des peintures de nœuds, de tresses, où la synchronisation entre les personnes doit être réglée comme dans une performance. Bien sûr, je décide en amont du but que je nous donne. Coopération ne veut pas dire kolkhoze. Les impératifs souvent pourtant extérieurs à moi lorsque nous réalisons, ils dépendent de la communauté au travail tant nos forces et nos énergies sont intriquées, nos gestes synchronisés.  […] </w:t>
      </w:r>
    </w:p>
    <w:p w:rsidR="00AD766A" w:rsidRDefault="00AD766A" w:rsidP="00AD766A">
      <w:pPr>
        <w:tabs>
          <w:tab w:val="left" w:pos="1000"/>
        </w:tabs>
        <w:spacing w:after="120" w:line="276" w:lineRule="auto"/>
        <w:ind w:left="567"/>
        <w:jc w:val="both"/>
      </w:pPr>
      <w:r>
        <w:t xml:space="preserve">En ce sens, ma tentative de travailler collectivement prolonge ce que j’avais mis en place dans les peintures de longues lignes à un point de plus grande distance avec moi-même, et organise mon effacement (disparition). </w:t>
      </w:r>
    </w:p>
    <w:p w:rsidR="00AD766A" w:rsidRPr="002A6DD8" w:rsidRDefault="00AD766A" w:rsidP="00AD766A">
      <w:pPr>
        <w:tabs>
          <w:tab w:val="left" w:pos="1000"/>
        </w:tabs>
        <w:spacing w:after="120" w:line="276" w:lineRule="auto"/>
        <w:jc w:val="both"/>
      </w:pPr>
      <w:r w:rsidRPr="002A6DD8">
        <w:t xml:space="preserve">Désormais, la frontière est mince entre l’exécution et la création, entre le </w:t>
      </w:r>
      <w:proofErr w:type="spellStart"/>
      <w:r w:rsidRPr="002A6DD8">
        <w:rPr>
          <w:i/>
        </w:rPr>
        <w:t>gerere</w:t>
      </w:r>
      <w:proofErr w:type="spellEnd"/>
      <w:r w:rsidRPr="002A6DD8">
        <w:rPr>
          <w:i/>
        </w:rPr>
        <w:t xml:space="preserve"> </w:t>
      </w:r>
      <w:r w:rsidRPr="002A6DD8">
        <w:t xml:space="preserve">et le </w:t>
      </w:r>
      <w:proofErr w:type="spellStart"/>
      <w:r>
        <w:rPr>
          <w:i/>
        </w:rPr>
        <w:t>facere</w:t>
      </w:r>
      <w:proofErr w:type="spellEnd"/>
      <w:r w:rsidRPr="002A6DD8">
        <w:t>. Ils se soutiennent mutuellement. Dans un certain nombre de toiles</w:t>
      </w:r>
      <w:r>
        <w:t xml:space="preserve"> de Bernard </w:t>
      </w:r>
      <w:proofErr w:type="spellStart"/>
      <w:r>
        <w:t>Frize</w:t>
      </w:r>
      <w:proofErr w:type="spellEnd"/>
      <w:r w:rsidRPr="002A6DD8">
        <w:t>, le geste singulier paraît s’anéantir</w:t>
      </w:r>
      <w:r>
        <w:t xml:space="preserve">. </w:t>
      </w:r>
      <w:r w:rsidRPr="002A6DD8">
        <w:t xml:space="preserve">Dans ce cas, est-il possible de délester le geste poïétique de cette expressivité qui témoigne d’une réflexion esthétique individuelle, de nature herméneutique, </w:t>
      </w:r>
      <w:r>
        <w:t xml:space="preserve">et </w:t>
      </w:r>
      <w:r w:rsidRPr="002A6DD8">
        <w:t xml:space="preserve">de l’objectiver ? Le geste pourrait-il n’être que mouvement, dynamisme « pur », débrayage en acte, coupé de l’instance source ? Ni amont, ni aval, mais la </w:t>
      </w:r>
      <w:r w:rsidRPr="00784067">
        <w:rPr>
          <w:i/>
        </w:rPr>
        <w:t>performance</w:t>
      </w:r>
      <w:r w:rsidRPr="002A6DD8">
        <w:t xml:space="preserve"> en cours qui, certes, atteint une forme de stabilité dans l’œuvre d’art « achevée », mais à condition d’être à chaque fois </w:t>
      </w:r>
      <w:proofErr w:type="spellStart"/>
      <w:r w:rsidRPr="002A6DD8">
        <w:t>re</w:t>
      </w:r>
      <w:proofErr w:type="spellEnd"/>
      <w:r w:rsidRPr="002A6DD8">
        <w:t xml:space="preserve">-performée dans la réception ? Il nous semble que l’œuvre de Bernard </w:t>
      </w:r>
      <w:proofErr w:type="spellStart"/>
      <w:r w:rsidRPr="002A6DD8">
        <w:t>Frize</w:t>
      </w:r>
      <w:proofErr w:type="spellEnd"/>
      <w:r w:rsidRPr="002A6DD8">
        <w:t xml:space="preserve"> témoigne d’un tel abandon d’une instance qui, tout à la fois, et non sans paradoxe, prédéfinit et prédétermine la peinture rigoureusement, en multipliant les règles, les protocoles et les contraintes, et laisse le hasard s’introduire dans l’exécution. </w:t>
      </w:r>
    </w:p>
    <w:p w:rsidR="00AD766A" w:rsidRDefault="00AD766A" w:rsidP="00AD766A">
      <w:pPr>
        <w:tabs>
          <w:tab w:val="left" w:pos="1000"/>
        </w:tabs>
        <w:spacing w:after="120" w:line="276" w:lineRule="auto"/>
        <w:jc w:val="both"/>
      </w:pPr>
      <w:r>
        <w:t>Plus que jamais, c</w:t>
      </w:r>
      <w:r w:rsidRPr="002A6DD8">
        <w:t>ette peinture est construite sur des paradoxes : peinture du « je », qui, selon les dires de l’artiste, distille dans l’œuvre des indices, des traces et appelle l’enquête quasi policière</w:t>
      </w:r>
      <w:r>
        <w:t>. Mais on peut se demander si cette peinture</w:t>
      </w:r>
      <w:r w:rsidRPr="002A6DD8">
        <w:t xml:space="preserve"> se laisse aussi tenter par le « il », non plus seulement marque </w:t>
      </w:r>
      <w:proofErr w:type="spellStart"/>
      <w:r w:rsidRPr="002A6DD8">
        <w:t>textualisée</w:t>
      </w:r>
      <w:proofErr w:type="spellEnd"/>
      <w:r w:rsidRPr="002A6DD8">
        <w:t xml:space="preserve">, mais animant un geste qui est débrayage « pur », projetant l’« effacement » de l’instance sujet. Tout </w:t>
      </w:r>
      <w:r>
        <w:t>serait</w:t>
      </w:r>
      <w:r w:rsidRPr="002A6DD8">
        <w:t xml:space="preserve"> là</w:t>
      </w:r>
      <w:r>
        <w:t>,</w:t>
      </w:r>
      <w:r w:rsidRPr="002A6DD8">
        <w:t xml:space="preserve"> dans la tension entre le « je » et le « il ». Toutefois, le « il » constituerait une solution de facilité à laquelle l’artiste ne cède pas. Une chose est de minimiser le rôle du « je », de s’en affranchir</w:t>
      </w:r>
      <w:r>
        <w:t>,</w:t>
      </w:r>
      <w:r w:rsidRPr="002A6DD8">
        <w:t xml:space="preserve"> une autre de postuler un « il</w:t>
      </w:r>
      <w:r>
        <w:t>(</w:t>
      </w:r>
      <w:r w:rsidRPr="002A6DD8">
        <w:t>s</w:t>
      </w:r>
      <w:r>
        <w:t>)</w:t>
      </w:r>
      <w:r w:rsidRPr="002A6DD8">
        <w:t xml:space="preserve"> », </w:t>
      </w:r>
      <w:r w:rsidRPr="002A6DD8">
        <w:lastRenderedPageBreak/>
        <w:t xml:space="preserve">une délégation du geste entraînant une désappropriation, comme pour Wim </w:t>
      </w:r>
      <w:proofErr w:type="spellStart"/>
      <w:r w:rsidRPr="002A6DD8">
        <w:t>Delvoye</w:t>
      </w:r>
      <w:proofErr w:type="spellEnd"/>
      <w:r w:rsidRPr="002A6DD8">
        <w:rPr>
          <w:rStyle w:val="Appelnotedebasdep"/>
        </w:rPr>
        <w:footnoteReference w:id="65"/>
      </w:r>
      <w:r w:rsidRPr="002A6DD8">
        <w:t xml:space="preserve">, quand ce dernier confie le tatouage des cochons à des </w:t>
      </w:r>
      <w:r>
        <w:t>techniciens.</w:t>
      </w:r>
      <w:r w:rsidRPr="002A6DD8">
        <w:t xml:space="preserve"> Dans les toiles de Bernard </w:t>
      </w:r>
      <w:proofErr w:type="spellStart"/>
      <w:r w:rsidRPr="002A6DD8">
        <w:t>Frize</w:t>
      </w:r>
      <w:proofErr w:type="spellEnd"/>
      <w:r w:rsidRPr="002A6DD8">
        <w:t xml:space="preserve">, on ne verra nul impersonnel, mais, plutôt, l’émergence d’un </w:t>
      </w:r>
      <w:r>
        <w:t xml:space="preserve">« nous » ou, mieux, d’un </w:t>
      </w:r>
      <w:r w:rsidRPr="002A6DD8">
        <w:t xml:space="preserve">« on », qui absorbe le « je » ou le déborde. Cela d’autant plus que le « on » nous renvoie </w:t>
      </w:r>
      <w:r>
        <w:t>à</w:t>
      </w:r>
      <w:r w:rsidRPr="002A6DD8">
        <w:t xml:space="preserve"> la genèse du sens, son affleurement dans un texte, la constitution de la personne, encore balbutiante. </w:t>
      </w:r>
      <w:r>
        <w:t xml:space="preserve">Finalement, le « on » peut contribuer à la singularisation du tableau. </w:t>
      </w:r>
      <w:r w:rsidRPr="002A6DD8">
        <w:t xml:space="preserve">Un « on », qui contraste avec le « il » qui organise l’effacement de l’instance d’énonciation dans les toiles de François Morellet, par exemple, qui sont construites sur des compositions presque mathématiques, mettant en œuvre des principes simples : la juxtaposition, la superposition, la fragmentation, même si chaque toile recèle une part d’imprévisible. </w:t>
      </w:r>
    </w:p>
    <w:p w:rsidR="00AD766A" w:rsidRDefault="00AD766A" w:rsidP="00AD766A">
      <w:pPr>
        <w:tabs>
          <w:tab w:val="left" w:pos="1000"/>
        </w:tabs>
        <w:spacing w:after="120" w:line="276" w:lineRule="auto"/>
        <w:jc w:val="both"/>
      </w:pPr>
      <w:r w:rsidRPr="002A6DD8">
        <w:t xml:space="preserve">Pour caractériser l’œuvre et le geste de Bernard </w:t>
      </w:r>
      <w:proofErr w:type="spellStart"/>
      <w:r w:rsidRPr="002A6DD8">
        <w:t>Frize</w:t>
      </w:r>
      <w:proofErr w:type="spellEnd"/>
      <w:r w:rsidRPr="002A6DD8">
        <w:t xml:space="preserve">, Jessica </w:t>
      </w:r>
      <w:proofErr w:type="spellStart"/>
      <w:r w:rsidRPr="002A6DD8">
        <w:t>Stockholder</w:t>
      </w:r>
      <w:proofErr w:type="spellEnd"/>
      <w:r w:rsidRPr="002A6DD8">
        <w:t xml:space="preserve"> dégage un certain nombre de dichotomies porteuses : « contrôle / hasard, prévisible / imprévisible, émotion / ascétisme, ornementation / schématisme, présence de l’auteur / absence de l’auteur »</w:t>
      </w:r>
      <w:r>
        <w:rPr>
          <w:rStyle w:val="Appelnotedebasdep"/>
        </w:rPr>
        <w:footnoteReference w:id="66"/>
      </w:r>
      <w:r w:rsidRPr="002A6DD8">
        <w:t xml:space="preserve">. </w:t>
      </w:r>
      <w:r>
        <w:t xml:space="preserve">Au vu de ces dichotomies, les commentaires de Bernard </w:t>
      </w:r>
      <w:proofErr w:type="spellStart"/>
      <w:r>
        <w:t>Frize</w:t>
      </w:r>
      <w:proofErr w:type="spellEnd"/>
      <w:r>
        <w:t xml:space="preserve"> en appellent d’autres. On retiendra donc un dernier point : le couple contrôle / hasard, à la base tant de la création, de la gestion-exécution que de l’invention. </w:t>
      </w:r>
    </w:p>
    <w:p w:rsidR="00AD766A" w:rsidRDefault="00AD766A" w:rsidP="00AD766A">
      <w:pPr>
        <w:tabs>
          <w:tab w:val="left" w:pos="1000"/>
        </w:tabs>
        <w:spacing w:after="120" w:line="276" w:lineRule="auto"/>
        <w:jc w:val="both"/>
      </w:pPr>
      <w:r>
        <w:t xml:space="preserve">Repartons des synchronisations et des </w:t>
      </w:r>
      <w:proofErr w:type="spellStart"/>
      <w:r>
        <w:t>dé-synchronisations</w:t>
      </w:r>
      <w:proofErr w:type="spellEnd"/>
      <w:r>
        <w:t>, des ajustements</w:t>
      </w:r>
      <w:r w:rsidR="003304E3">
        <w:t xml:space="preserve">, </w:t>
      </w:r>
      <w:r w:rsidR="003304E3">
        <w:t xml:space="preserve">dirait le sémioticien Éric Landowski, </w:t>
      </w:r>
      <w:r w:rsidR="003304E3">
        <w:t xml:space="preserve">et des </w:t>
      </w:r>
      <w:proofErr w:type="spellStart"/>
      <w:r w:rsidR="003304E3">
        <w:t>dés-ajustements</w:t>
      </w:r>
      <w:proofErr w:type="spellEnd"/>
      <w:r>
        <w:t xml:space="preserve">, qui engagent l’esthésie – le sentir avec –, avant le jugement esthétique. La peinture, telle la danse, est performante, mais aussi performative, en ce qu’elle fait être quelque chose. La chorégraphie prévoit une grammaire des gestes, et pourtant le contrôle, l’exécution de rôles, n’exclut pas l’imprévisible, l’interprétation (au sens théâtral du terme) inédite, qui peut comprendre sa part de spontanéité. En même temps, l’imprévisible n’égale pas l’improvisation, qui est traquée. Il est compatible, plutôt, avec l’expérimentation, dont il a été question plus haut. De la réinterprétation-expérimentation qui prévoit de l’imprévisible au hasard, il n’y a alors qu’un pas. On le sait, le scientifique Claude Bernard lui-même ne l’exclut pas. Et le hasard intervient au niveau de la gestion-exécution, mais il est aussi – peut-être surtout – ce qui permet la création, quand celle-ci est invention. Le geste de création incarne cette tension, entre la maîtrise, le </w:t>
      </w:r>
      <w:proofErr w:type="spellStart"/>
      <w:r w:rsidRPr="002A6DD8">
        <w:rPr>
          <w:i/>
        </w:rPr>
        <w:t>skill</w:t>
      </w:r>
      <w:proofErr w:type="spellEnd"/>
      <w:r>
        <w:t xml:space="preserve">, qui suppose une habileté, l’apprentissage et la répétition – la gestion –, et la (ré)ouverture des possibles. Yves </w:t>
      </w:r>
      <w:proofErr w:type="spellStart"/>
      <w:r>
        <w:t>Citton</w:t>
      </w:r>
      <w:proofErr w:type="spellEnd"/>
      <w:r>
        <w:t xml:space="preserve"> souligne ce point en s’en remettant, d’une part, à Henri Michaux et, d’autre part, à Tim Ingold : d’un côté, la maîtrise du geste ne doit pas empêcher le retour au « pré-geste » et le surgissement d’une « vie impulsive »</w:t>
      </w:r>
      <w:r>
        <w:rPr>
          <w:rStyle w:val="Appelnotedebasdep"/>
        </w:rPr>
        <w:footnoteReference w:id="67"/>
      </w:r>
      <w:r>
        <w:t> ; de l’autre, la « virtuosité opératoire ne sert pas à exécuter un design préexistant, mais à engendrer les formes des artefacts au fil même de l’action »</w:t>
      </w:r>
      <w:r>
        <w:rPr>
          <w:rStyle w:val="Appelnotedebasdep"/>
        </w:rPr>
        <w:footnoteReference w:id="68"/>
      </w:r>
      <w:r>
        <w:t xml:space="preserve">. En l’occurrence, ces références ne sont pas anodines, car tant Michaux qu’Ingold se sont intéressés à la peinture, en particulier à l’œuvre de Paul Klee. </w:t>
      </w:r>
    </w:p>
    <w:p w:rsidR="00AD766A" w:rsidRDefault="00AD766A" w:rsidP="00AD766A">
      <w:pPr>
        <w:tabs>
          <w:tab w:val="left" w:pos="1000"/>
        </w:tabs>
        <w:spacing w:after="120" w:line="276" w:lineRule="auto"/>
        <w:jc w:val="both"/>
      </w:pPr>
      <w:r>
        <w:lastRenderedPageBreak/>
        <w:t xml:space="preserve">Résumons. </w:t>
      </w:r>
      <w:r w:rsidRPr="00037224">
        <w:t xml:space="preserve">Paul Klee et Bernard </w:t>
      </w:r>
      <w:proofErr w:type="spellStart"/>
      <w:r w:rsidRPr="00037224">
        <w:t>Frize</w:t>
      </w:r>
      <w:proofErr w:type="spellEnd"/>
      <w:r w:rsidRPr="00037224">
        <w:t xml:space="preserve"> : beaucoup les sépare, avons-nous dit.</w:t>
      </w:r>
      <w:r>
        <w:t xml:space="preserve"> Notre objectif a été d’approcher des gestes de création très différents en les soumettant à un nombre, réduit, d’oppositions phares. Sans doute le caractère singulier </w:t>
      </w:r>
      <w:r w:rsidRPr="0007357B">
        <w:rPr>
          <w:i/>
        </w:rPr>
        <w:t>vs</w:t>
      </w:r>
      <w:r>
        <w:t xml:space="preserve"> collectif de l’œuvre est-il révélateur de deux desseins qui se rejoignent sur certains points et divergent sur d’autres. Même si les deux artistes ont en partage le souci de la </w:t>
      </w:r>
      <w:proofErr w:type="spellStart"/>
      <w:r w:rsidRPr="00796763">
        <w:rPr>
          <w:i/>
        </w:rPr>
        <w:t>Gestaltung</w:t>
      </w:r>
      <w:proofErr w:type="spellEnd"/>
      <w:r>
        <w:t xml:space="preserve"> / fabrication du tableau, planifiée, contrôlée, expérimentale, qui n’interdit pas l’expressivité. Mais dans les deux cas, la suprématie du « je » – du créateur, dit Klee – a dû être questionnée à nouveaux frais</w:t>
      </w:r>
      <w:r>
        <w:rPr>
          <w:rStyle w:val="Appelnotedebasdep"/>
        </w:rPr>
        <w:footnoteReference w:id="69"/>
      </w:r>
      <w:r>
        <w:t xml:space="preserve">.  </w:t>
      </w:r>
    </w:p>
    <w:p w:rsidR="00AD766A" w:rsidRPr="00037224" w:rsidRDefault="00AD766A" w:rsidP="00AD766A">
      <w:pPr>
        <w:tabs>
          <w:tab w:val="left" w:pos="1000"/>
        </w:tabs>
        <w:spacing w:after="120" w:line="276" w:lineRule="auto"/>
        <w:jc w:val="both"/>
      </w:pPr>
      <w:r>
        <w:t xml:space="preserve">Il s’agira, dans la troisième partie, de creuser davantage la notion de fabrication, en s’interrogeant sur le rôle joué par tous ces éléments – outils prothèses de la main, couleurs, supports… –, qui interviennent dans la fabrication du tableau. Cela peut paraître banal. Toutefois, nous verrons que les enjeux ne sont pas que théoriques. </w:t>
      </w:r>
    </w:p>
    <w:p w:rsidR="00AD766A" w:rsidRPr="005F5629" w:rsidRDefault="00AD766A" w:rsidP="00AD766A">
      <w:pPr>
        <w:tabs>
          <w:tab w:val="left" w:pos="1000"/>
        </w:tabs>
        <w:spacing w:after="120" w:line="276" w:lineRule="auto"/>
        <w:jc w:val="both"/>
        <w:rPr>
          <w:i/>
        </w:rPr>
      </w:pPr>
      <w:r w:rsidRPr="005F5629">
        <w:rPr>
          <w:i/>
        </w:rPr>
        <w:t>Le geste de création et le réseau</w:t>
      </w:r>
    </w:p>
    <w:p w:rsidR="00AD766A" w:rsidRDefault="00AD766A" w:rsidP="00AD766A">
      <w:pPr>
        <w:pStyle w:val="Notedebasdepage"/>
        <w:spacing w:after="120" w:line="276" w:lineRule="auto"/>
        <w:jc w:val="both"/>
      </w:pPr>
      <w:r w:rsidRPr="00C00F54">
        <w:t xml:space="preserve">Les enjeux sont </w:t>
      </w:r>
      <w:r w:rsidRPr="00C00F54">
        <w:rPr>
          <w:i/>
        </w:rPr>
        <w:t>d’abord</w:t>
      </w:r>
      <w:r w:rsidRPr="00C00F54">
        <w:t xml:space="preserve"> théoriques. Comment penser le concours des pinceaux, du rouleau, du pistolet ou de la brosse ronde « </w:t>
      </w:r>
      <w:proofErr w:type="spellStart"/>
      <w:r w:rsidRPr="00C00F54">
        <w:t>toupette</w:t>
      </w:r>
      <w:proofErr w:type="spellEnd"/>
      <w:r w:rsidRPr="00C00F54">
        <w:t> » (</w:t>
      </w:r>
      <w:proofErr w:type="spellStart"/>
      <w:r w:rsidRPr="00C00F54">
        <w:rPr>
          <w:i/>
        </w:rPr>
        <w:t>Wig</w:t>
      </w:r>
      <w:proofErr w:type="spellEnd"/>
      <w:r w:rsidRPr="00C00F54">
        <w:t>)</w:t>
      </w:r>
      <w:r w:rsidRPr="00C00F54">
        <w:rPr>
          <w:rStyle w:val="Appelnotedebasdep"/>
        </w:rPr>
        <w:footnoteReference w:id="70"/>
      </w:r>
      <w:r w:rsidRPr="00C00F54">
        <w:t xml:space="preserve">, qui </w:t>
      </w:r>
      <w:r w:rsidRPr="00796763">
        <w:rPr>
          <w:i/>
        </w:rPr>
        <w:t>font faire</w:t>
      </w:r>
      <w:r w:rsidRPr="00C00F54">
        <w:t xml:space="preserve"> </w:t>
      </w:r>
      <w:r>
        <w:t>(</w:t>
      </w:r>
      <w:r w:rsidRPr="00C00F54">
        <w:t>la main) ? On n’oubliera pas qu’</w:t>
      </w:r>
      <w:r w:rsidRPr="00C00F54">
        <w:rPr>
          <w:i/>
        </w:rPr>
        <w:t>Oma</w:t>
      </w:r>
      <w:r w:rsidRPr="00C00F54">
        <w:rPr>
          <w:rStyle w:val="Appelnotedebasdep"/>
        </w:rPr>
        <w:footnoteReference w:id="71"/>
      </w:r>
      <w:r w:rsidRPr="00C00F54">
        <w:t xml:space="preserve">, qui déçoit la vue soumise à un </w:t>
      </w:r>
      <w:proofErr w:type="spellStart"/>
      <w:r w:rsidRPr="00C00F54">
        <w:t>floutage</w:t>
      </w:r>
      <w:proofErr w:type="spellEnd"/>
      <w:r w:rsidRPr="00C00F54">
        <w:t xml:space="preserve">, fasse dépendre la largeur inégale des traits grillageant la toile de la distance à laquelle se trouve le pistolet chargé de l’exécution. Les instruments transformés en outils-prothèses de la main ne sont pas importants, nous dit Bernard </w:t>
      </w:r>
      <w:proofErr w:type="spellStart"/>
      <w:r w:rsidRPr="00C00F54">
        <w:t>Frize</w:t>
      </w:r>
      <w:proofErr w:type="spellEnd"/>
      <w:r w:rsidRPr="00C00F54">
        <w:t> : ils témoignent juste du moment où un protocole à la fois se réalise et s’effondre. La matérialité de la toile</w:t>
      </w:r>
      <w:r>
        <w:t xml:space="preserve">, </w:t>
      </w:r>
      <w:r w:rsidRPr="00C00F54">
        <w:t xml:space="preserve">celle des couleurs </w:t>
      </w:r>
      <w:r>
        <w:t xml:space="preserve">et des « accessoires » </w:t>
      </w:r>
      <w:r w:rsidRPr="00C00F54">
        <w:t xml:space="preserve">n’en jouent pas moins un rôle essentiel : ainsi, par exemple, il arrive que les pinceaux passent de main en main, sans que le contact avec la surface soit rompu (par exemple </w:t>
      </w:r>
      <w:r w:rsidRPr="00C00F54">
        <w:rPr>
          <w:i/>
        </w:rPr>
        <w:t>Rassemblement</w:t>
      </w:r>
      <w:r w:rsidRPr="00C00F54">
        <w:t>)</w:t>
      </w:r>
      <w:r w:rsidRPr="00C00F54">
        <w:rPr>
          <w:rStyle w:val="Appelnotedebasdep"/>
        </w:rPr>
        <w:footnoteReference w:id="72"/>
      </w:r>
      <w:r w:rsidRPr="00C00F54">
        <w:t xml:space="preserve">. Ainsi encore, dans </w:t>
      </w:r>
      <w:r w:rsidRPr="00C00F54">
        <w:rPr>
          <w:i/>
        </w:rPr>
        <w:t xml:space="preserve">Suite </w:t>
      </w:r>
      <w:proofErr w:type="spellStart"/>
      <w:r w:rsidRPr="00C00F54">
        <w:rPr>
          <w:i/>
        </w:rPr>
        <w:t>Segond</w:t>
      </w:r>
      <w:proofErr w:type="spellEnd"/>
      <w:r w:rsidRPr="00C00F54">
        <w:t xml:space="preserve"> </w:t>
      </w:r>
      <w:r w:rsidRPr="00CB3435">
        <w:rPr>
          <w:i/>
        </w:rPr>
        <w:t>120F</w:t>
      </w:r>
      <w:r w:rsidRPr="00C00F54">
        <w:rPr>
          <w:rStyle w:val="Appelnotedebasdep"/>
        </w:rPr>
        <w:footnoteReference w:id="73"/>
      </w:r>
      <w:r w:rsidRPr="00C00F54">
        <w:t>, les pellicules séchées qui se forment à la surface des pots de couleurs que l’artiste a oublié de fermer confèrent, une fois déposées sur la toile, à l’œuvre sa stratification. Les altérations accidentelles de la matière, craquelée, pliée, s’affranchissent du calcul, au profit d’une espèce d’auto-génération. Même si le procédé est ensuite répété volontairement, le hasard déjoue le calcul. Là se situent l’excès – la peinture trop liquide qui dégouline sur le plan incliné d’une certaine façon et s’étale en taches (</w:t>
      </w:r>
      <w:proofErr w:type="spellStart"/>
      <w:r w:rsidRPr="00C00F54">
        <w:rPr>
          <w:i/>
        </w:rPr>
        <w:t>Oude</w:t>
      </w:r>
      <w:proofErr w:type="spellEnd"/>
      <w:r w:rsidRPr="00C00F54">
        <w:t>)</w:t>
      </w:r>
      <w:r w:rsidRPr="00C00F54">
        <w:rPr>
          <w:rStyle w:val="Appelnotedebasdep"/>
        </w:rPr>
        <w:footnoteReference w:id="74"/>
      </w:r>
      <w:r w:rsidRPr="00C00F54">
        <w:t xml:space="preserve"> ou dessine d’improbables motifs figuratifs, une forêt, des lacs, des montagnes… (</w:t>
      </w:r>
      <w:r w:rsidRPr="00C00F54">
        <w:rPr>
          <w:i/>
        </w:rPr>
        <w:t>Rami</w:t>
      </w:r>
      <w:r w:rsidRPr="00C00F54">
        <w:t>)</w:t>
      </w:r>
      <w:r w:rsidRPr="00C00F54">
        <w:rPr>
          <w:rStyle w:val="Appelnotedebasdep"/>
        </w:rPr>
        <w:footnoteReference w:id="75"/>
      </w:r>
      <w:r w:rsidRPr="00C00F54">
        <w:t xml:space="preserve"> –, l’indiscipliné – les artistes de l’œuvre collaborative qui se marchent sur les pieds en cherchant à effectuer simultanément un trajet </w:t>
      </w:r>
      <w:proofErr w:type="spellStart"/>
      <w:r w:rsidRPr="00C00F54">
        <w:t>prétracé</w:t>
      </w:r>
      <w:proofErr w:type="spellEnd"/>
      <w:r w:rsidRPr="00C00F54">
        <w:t xml:space="preserve"> (</w:t>
      </w:r>
      <w:proofErr w:type="spellStart"/>
      <w:r w:rsidRPr="00C00F54">
        <w:rPr>
          <w:i/>
        </w:rPr>
        <w:t>Unimixte</w:t>
      </w:r>
      <w:proofErr w:type="spellEnd"/>
      <w:r w:rsidRPr="00C00F54">
        <w:rPr>
          <w:i/>
        </w:rPr>
        <w:t>)</w:t>
      </w:r>
      <w:r w:rsidRPr="00C00F54">
        <w:t xml:space="preserve"> –, le hasard voulu ou imprévisible, quand l’image émerge du marc de café </w:t>
      </w:r>
      <w:r w:rsidRPr="00C00F54">
        <w:lastRenderedPageBreak/>
        <w:t>(</w:t>
      </w:r>
      <w:r w:rsidRPr="00C00F54">
        <w:rPr>
          <w:i/>
        </w:rPr>
        <w:t>Quelques causes accidentelles et d’autres causes naturelles</w:t>
      </w:r>
      <w:r w:rsidRPr="00C00F54">
        <w:t>)</w:t>
      </w:r>
      <w:r w:rsidRPr="00C00F54">
        <w:rPr>
          <w:rStyle w:val="Appelnotedebasdep"/>
        </w:rPr>
        <w:footnoteReference w:id="76"/>
      </w:r>
      <w:r w:rsidRPr="00C00F54">
        <w:t>,</w:t>
      </w:r>
      <w:r w:rsidRPr="00C00F54">
        <w:rPr>
          <w:sz w:val="20"/>
          <w:szCs w:val="20"/>
        </w:rPr>
        <w:t xml:space="preserve"> </w:t>
      </w:r>
      <w:r w:rsidRPr="00C00F54">
        <w:t xml:space="preserve">jusqu’à sa dissolution, jusqu’au raté quand le motif figuratif doit montrer une inadéquation fondamentale. Il s’agit de trahir la règle, en cédant l’initiative à la fluidité et à la quantité de peinture ou encore à l’angle de la surface sur laquelle elle peut s’étaler. </w:t>
      </w:r>
    </w:p>
    <w:p w:rsidR="00AD766A" w:rsidRPr="005E727F" w:rsidRDefault="00AD766A" w:rsidP="00AD766A">
      <w:pPr>
        <w:pStyle w:val="Notedebasdepage"/>
        <w:spacing w:after="120" w:line="276" w:lineRule="auto"/>
        <w:jc w:val="both"/>
      </w:pPr>
      <w:r w:rsidRPr="005E727F">
        <w:t xml:space="preserve">Et parfois, l’esthétique </w:t>
      </w:r>
      <w:r>
        <w:t>est</w:t>
      </w:r>
      <w:r w:rsidRPr="005E727F">
        <w:t xml:space="preserve"> une esthétique de la laideur. À propos d’</w:t>
      </w:r>
      <w:proofErr w:type="spellStart"/>
      <w:r w:rsidRPr="005E727F">
        <w:rPr>
          <w:i/>
        </w:rPr>
        <w:t>Unimixte</w:t>
      </w:r>
      <w:proofErr w:type="spellEnd"/>
      <w:r w:rsidRPr="005E727F">
        <w:rPr>
          <w:rStyle w:val="Appelnotedebasdep"/>
        </w:rPr>
        <w:footnoteReference w:id="77"/>
      </w:r>
      <w:r w:rsidRPr="005E727F">
        <w:t>, une peinture qui donne à voir des tressages multicolores, Michel Gauthier parle de résultat « esthétiquement embarrassant, formellement ingrat »</w:t>
      </w:r>
      <w:r w:rsidRPr="005E727F">
        <w:rPr>
          <w:rStyle w:val="Appelnotedebasdep"/>
        </w:rPr>
        <w:footnoteReference w:id="78"/>
      </w:r>
      <w:r w:rsidRPr="005E727F">
        <w:t xml:space="preserve">. En dira-t-on autant de </w:t>
      </w:r>
      <w:proofErr w:type="spellStart"/>
      <w:r w:rsidRPr="005E727F">
        <w:rPr>
          <w:i/>
        </w:rPr>
        <w:t>Aikogi</w:t>
      </w:r>
      <w:proofErr w:type="spellEnd"/>
      <w:r w:rsidRPr="005E727F">
        <w:rPr>
          <w:rStyle w:val="Appelnotedebasdep"/>
        </w:rPr>
        <w:footnoteReference w:id="79"/>
      </w:r>
      <w:r w:rsidRPr="005E727F">
        <w:t>, ensemble de volutes et d’enchevêtrements dans les tons brunâtres auxquels se mêlent les teintes bleue, verte et orange qui émergent d’abord dans la partie gauche du tableau, s’assombrissant par la suite ?</w:t>
      </w:r>
      <w:r w:rsidRPr="005E727F">
        <w:rPr>
          <w:rStyle w:val="Appelnotedebasdep"/>
        </w:rPr>
        <w:footnoteReference w:id="80"/>
      </w:r>
      <w:r w:rsidRPr="005E727F">
        <w:t xml:space="preserve"> Cette toile est qualifiée de « gribouillis polychrome »</w:t>
      </w:r>
      <w:r>
        <w:rPr>
          <w:rStyle w:val="Appelnotedebasdep"/>
        </w:rPr>
        <w:footnoteReference w:id="81"/>
      </w:r>
      <w:r w:rsidRPr="005E727F">
        <w:t>.</w:t>
      </w:r>
    </w:p>
    <w:p w:rsidR="00AD766A" w:rsidRDefault="00AD766A" w:rsidP="00AD766A">
      <w:pPr>
        <w:pStyle w:val="Notedebasdepage"/>
        <w:spacing w:after="120" w:line="276" w:lineRule="auto"/>
        <w:jc w:val="both"/>
      </w:pPr>
      <w:r w:rsidRPr="00C00F54">
        <w:t xml:space="preserve">Nous avons suggéré que le « je » est dépossédé de lui-même. Le hasard, dit Bernard </w:t>
      </w:r>
      <w:proofErr w:type="spellStart"/>
      <w:r w:rsidRPr="00C00F54">
        <w:t>Frize</w:t>
      </w:r>
      <w:proofErr w:type="spellEnd"/>
      <w:r w:rsidRPr="00C00F54">
        <w:t xml:space="preserve">, se produit par chance, à moins que </w:t>
      </w:r>
      <w:r>
        <w:t xml:space="preserve">la chance </w:t>
      </w:r>
      <w:r w:rsidRPr="00C00F54">
        <w:t xml:space="preserve">ne soit provoquée. </w:t>
      </w:r>
      <w:r>
        <w:t>Retrouve-t-on l</w:t>
      </w:r>
      <w:r w:rsidRPr="00C00F54">
        <w:t>e geste de création, toujours le geste, qui agit secrètement ? On pourrait avancer que, dans certaines toiles, l’artiste crée les conditions de possibilité de sa démission (toute relative) et celle</w:t>
      </w:r>
      <w:r>
        <w:t>s</w:t>
      </w:r>
      <w:r w:rsidRPr="00C00F54">
        <w:t xml:space="preserve"> de l’accident. Au point que l’artiste parle de peintures « loufoques, absurdes ». Sans doute la délégation à la peinture, </w:t>
      </w:r>
      <w:r>
        <w:t>au matériau</w:t>
      </w:r>
      <w:r w:rsidRPr="00C00F54">
        <w:t>, à la technique n’est-elle jamais exempte de calculs. En même temps, le protocole a besoin du hasard pour se défaire</w:t>
      </w:r>
      <w:r>
        <w:rPr>
          <w:rStyle w:val="Appelnotedebasdep"/>
        </w:rPr>
        <w:footnoteReference w:id="82"/>
      </w:r>
      <w:r w:rsidRPr="00C00F54">
        <w:t xml:space="preserve">. Le geste de création n’est tel qu’à condition de faire / faire faire tout en laissant (ad)venir, de précipiter les choses mais aussi de les laisser </w:t>
      </w:r>
      <w:r w:rsidRPr="00C00F54">
        <w:rPr>
          <w:i/>
        </w:rPr>
        <w:t>se</w:t>
      </w:r>
      <w:r w:rsidRPr="00C00F54">
        <w:t xml:space="preserve"> faire : « Contrôler et laisser… laisser aller par exemple, oui »</w:t>
      </w:r>
      <w:r w:rsidRPr="00C00F54">
        <w:rPr>
          <w:rStyle w:val="Appelnotedebasdep"/>
        </w:rPr>
        <w:footnoteReference w:id="83"/>
      </w:r>
      <w:r w:rsidRPr="00C00F54">
        <w:t xml:space="preserve">. </w:t>
      </w:r>
    </w:p>
    <w:p w:rsidR="00AD766A" w:rsidRDefault="00AD766A" w:rsidP="00AD766A">
      <w:pPr>
        <w:pStyle w:val="Notedebasdepage"/>
        <w:spacing w:after="120" w:line="276" w:lineRule="auto"/>
        <w:jc w:val="both"/>
      </w:pPr>
      <w:r w:rsidRPr="00C00F54">
        <w:rPr>
          <w:i/>
        </w:rPr>
        <w:t>Faire faire</w:t>
      </w:r>
      <w:r>
        <w:t xml:space="preserve"> : s’inspirant librement des travaux de Bruno </w:t>
      </w:r>
      <w:proofErr w:type="spellStart"/>
      <w:r>
        <w:t>Latour</w:t>
      </w:r>
      <w:proofErr w:type="spellEnd"/>
      <w:r>
        <w:t>, on peut caractériser en ces termes le passage d’une modélisation narrative</w:t>
      </w:r>
      <w:r>
        <w:rPr>
          <w:rStyle w:val="Appelnotedebasdep"/>
        </w:rPr>
        <w:footnoteReference w:id="84"/>
      </w:r>
      <w:r>
        <w:t xml:space="preserve">, construite sur l’idée de la liberté (un sujet compétent, modalisé selon le devoir-, le vouloir-, le pouvoir- et le savoir-faire, se met en quête d’un objet), à cette autre, qui rend compte des </w:t>
      </w:r>
      <w:r w:rsidRPr="00186C4D">
        <w:rPr>
          <w:i/>
        </w:rPr>
        <w:t>passages</w:t>
      </w:r>
      <w:r>
        <w:t xml:space="preserve"> : </w:t>
      </w:r>
    </w:p>
    <w:p w:rsidR="00AD766A" w:rsidRPr="00F844FE" w:rsidRDefault="00AD766A" w:rsidP="00AD766A">
      <w:pPr>
        <w:spacing w:before="100" w:beforeAutospacing="1" w:after="100" w:afterAutospacing="1" w:line="276" w:lineRule="auto"/>
        <w:ind w:left="567"/>
        <w:jc w:val="both"/>
      </w:pPr>
      <w:r w:rsidRPr="00F844FE">
        <w:t xml:space="preserve">Le redoublement de l’action retire aux « transferts d’agissements » le poison de la </w:t>
      </w:r>
      <w:proofErr w:type="spellStart"/>
      <w:r w:rsidRPr="00F844FE">
        <w:t>maîtrise</w:t>
      </w:r>
      <w:proofErr w:type="spellEnd"/>
      <w:r w:rsidRPr="00F844FE">
        <w:t xml:space="preserve">, de la </w:t>
      </w:r>
      <w:proofErr w:type="spellStart"/>
      <w:r w:rsidRPr="00F844FE">
        <w:t>détermination</w:t>
      </w:r>
      <w:proofErr w:type="spellEnd"/>
      <w:r w:rsidRPr="00F844FE">
        <w:t xml:space="preserve">, de la </w:t>
      </w:r>
      <w:proofErr w:type="spellStart"/>
      <w:r w:rsidRPr="00F844FE">
        <w:t>causalite</w:t>
      </w:r>
      <w:proofErr w:type="spellEnd"/>
      <w:r w:rsidRPr="00F844FE">
        <w:t xml:space="preserve">́, sans obliger pour autant </w:t>
      </w:r>
      <w:proofErr w:type="spellStart"/>
      <w:r w:rsidRPr="00F844FE">
        <w:t>a</w:t>
      </w:r>
      <w:proofErr w:type="spellEnd"/>
      <w:r w:rsidRPr="00F844FE">
        <w:t xml:space="preserve">̀ y insinuer en un point </w:t>
      </w:r>
      <w:proofErr w:type="spellStart"/>
      <w:r w:rsidRPr="00F844FE">
        <w:t>précis</w:t>
      </w:r>
      <w:proofErr w:type="spellEnd"/>
      <w:r w:rsidRPr="00F844FE">
        <w:t xml:space="preserve"> le miel de la </w:t>
      </w:r>
      <w:proofErr w:type="spellStart"/>
      <w:r w:rsidRPr="00F844FE">
        <w:t>liberte</w:t>
      </w:r>
      <w:proofErr w:type="spellEnd"/>
      <w:r w:rsidRPr="00F844FE">
        <w:t xml:space="preserve">́. C’est partout, tout au long de la </w:t>
      </w:r>
      <w:proofErr w:type="spellStart"/>
      <w:r w:rsidRPr="00F844FE">
        <w:t>chaîne</w:t>
      </w:r>
      <w:proofErr w:type="spellEnd"/>
      <w:r w:rsidRPr="00F844FE">
        <w:t xml:space="preserve"> de </w:t>
      </w:r>
      <w:proofErr w:type="spellStart"/>
      <w:r w:rsidRPr="00F844FE">
        <w:t>médiateurs</w:t>
      </w:r>
      <w:proofErr w:type="spellEnd"/>
      <w:r w:rsidRPr="00F844FE">
        <w:t xml:space="preserve">, </w:t>
      </w:r>
      <w:r w:rsidRPr="00F844FE">
        <w:lastRenderedPageBreak/>
        <w:t xml:space="preserve">que se </w:t>
      </w:r>
      <w:proofErr w:type="spellStart"/>
      <w:r w:rsidRPr="00F844FE">
        <w:t>répartissent</w:t>
      </w:r>
      <w:proofErr w:type="spellEnd"/>
      <w:r w:rsidRPr="00F844FE">
        <w:t xml:space="preserve"> l’ancienne </w:t>
      </w:r>
      <w:proofErr w:type="spellStart"/>
      <w:r w:rsidRPr="00F844FE">
        <w:t>causalite</w:t>
      </w:r>
      <w:proofErr w:type="spellEnd"/>
      <w:r w:rsidRPr="00F844FE">
        <w:t xml:space="preserve">́ et l’ancienne </w:t>
      </w:r>
      <w:proofErr w:type="spellStart"/>
      <w:r w:rsidRPr="00F844FE">
        <w:t>liberte</w:t>
      </w:r>
      <w:proofErr w:type="spellEnd"/>
      <w:r w:rsidRPr="00F844FE">
        <w:t xml:space="preserve">́, simple marques, mal </w:t>
      </w:r>
      <w:proofErr w:type="spellStart"/>
      <w:r w:rsidRPr="00F844FE">
        <w:t>interprétées</w:t>
      </w:r>
      <w:proofErr w:type="spellEnd"/>
      <w:r w:rsidRPr="00F844FE">
        <w:t>, de l’agile faire-faire</w:t>
      </w:r>
      <w:r>
        <w:rPr>
          <w:rStyle w:val="Appelnotedebasdep"/>
        </w:rPr>
        <w:footnoteReference w:id="85"/>
      </w:r>
      <w:r w:rsidRPr="00F844FE">
        <w:t xml:space="preserve">. </w:t>
      </w:r>
    </w:p>
    <w:p w:rsidR="00AD766A" w:rsidRPr="00005FFD" w:rsidRDefault="00AD766A" w:rsidP="00AD766A">
      <w:pPr>
        <w:pStyle w:val="Notedebasdepage"/>
        <w:spacing w:after="120" w:line="276" w:lineRule="auto"/>
        <w:jc w:val="both"/>
      </w:pPr>
      <w:r w:rsidRPr="00005FFD">
        <w:t xml:space="preserve">Il faut alors </w:t>
      </w:r>
      <w:r>
        <w:t>préférer</w:t>
      </w:r>
      <w:r w:rsidRPr="00005FFD">
        <w:t xml:space="preserve"> les attachements</w:t>
      </w:r>
      <w:r>
        <w:t xml:space="preserve"> à</w:t>
      </w:r>
      <w:r w:rsidRPr="00005FFD">
        <w:t xml:space="preserve"> la « </w:t>
      </w:r>
      <w:proofErr w:type="spellStart"/>
      <w:r w:rsidRPr="00005FFD">
        <w:t>détermination</w:t>
      </w:r>
      <w:proofErr w:type="spellEnd"/>
      <w:r w:rsidRPr="00005FFD">
        <w:t xml:space="preserve"> », </w:t>
      </w:r>
      <w:r>
        <w:t>à</w:t>
      </w:r>
      <w:r w:rsidRPr="00005FFD">
        <w:t xml:space="preserve"> la « </w:t>
      </w:r>
      <w:proofErr w:type="spellStart"/>
      <w:r w:rsidRPr="00005FFD">
        <w:t>liberte</w:t>
      </w:r>
      <w:proofErr w:type="spellEnd"/>
      <w:r w:rsidRPr="00005FFD">
        <w:t xml:space="preserve">́ », </w:t>
      </w:r>
      <w:r>
        <w:t xml:space="preserve">à </w:t>
      </w:r>
      <w:r w:rsidRPr="00005FFD">
        <w:t>l’« action des structures », à l’« action individuelle » qui, au lieu d’être des « </w:t>
      </w:r>
      <w:proofErr w:type="spellStart"/>
      <w:r w:rsidRPr="00005FFD">
        <w:t>ingrédients</w:t>
      </w:r>
      <w:proofErr w:type="spellEnd"/>
      <w:r w:rsidRPr="00005FFD">
        <w:t xml:space="preserve"> du monde », constituent des « artefacts (au sens d’artifice superflu) ». Et Michel </w:t>
      </w:r>
      <w:proofErr w:type="spellStart"/>
      <w:r w:rsidRPr="00005FFD">
        <w:t>Callon</w:t>
      </w:r>
      <w:proofErr w:type="spellEnd"/>
      <w:r w:rsidRPr="00005FFD">
        <w:t xml:space="preserve"> de noter</w:t>
      </w:r>
      <w:r>
        <w:t> </w:t>
      </w:r>
      <w:r w:rsidRPr="00005FFD">
        <w:t>: « Agir et être agi sont les deux faces d’une même réalité. […] Agir, ce n’est pas nécessairement former des intentions et les suivre, agir, c’est fabriquer des différences inattendues ». L’action est « composée, dispersée, reprise, déviée, relancée »</w:t>
      </w:r>
      <w:r w:rsidRPr="00BC3989">
        <w:rPr>
          <w:rStyle w:val="Appelnotedebasdep"/>
        </w:rPr>
        <w:t xml:space="preserve"> </w:t>
      </w:r>
      <w:r>
        <w:rPr>
          <w:rStyle w:val="Appelnotedebasdep"/>
        </w:rPr>
        <w:footnoteReference w:id="86"/>
      </w:r>
      <w:r w:rsidRPr="00005FFD">
        <w:t xml:space="preserve">. Tel serait donc l’horizon d’une peinture-fabrication qui ne revendique pas tant la liberté du créateur s’affranchissant de toutes sortes de déterminations que l’insertion </w:t>
      </w:r>
      <w:r>
        <w:t xml:space="preserve">– par-delà la contrainte – </w:t>
      </w:r>
      <w:r w:rsidRPr="00005FFD">
        <w:t>dans un « réseau d’attachements », auquel appartiennent l’instance productrice, les outils-prothèses, le support</w:t>
      </w:r>
      <w:r>
        <w:t>, l’outil</w:t>
      </w:r>
      <w:r w:rsidRPr="00005FFD">
        <w:t xml:space="preserve"> ou la couleur</w:t>
      </w:r>
      <w:r>
        <w:t>, les normes, les représentations sociales…</w:t>
      </w:r>
      <w:r w:rsidRPr="00005FFD">
        <w:t xml:space="preserve"> : </w:t>
      </w:r>
    </w:p>
    <w:p w:rsidR="00AD766A" w:rsidRDefault="00AD766A" w:rsidP="00AD766A">
      <w:pPr>
        <w:pStyle w:val="Notedebasdepage"/>
        <w:spacing w:after="120" w:line="276" w:lineRule="auto"/>
        <w:ind w:left="567"/>
        <w:jc w:val="both"/>
      </w:pPr>
      <w:r w:rsidRPr="00005FFD">
        <w:t>Passer aux réseaux d’attachements devrait permettre de conserver du réseau son effet de distribution mais de refondre entièrement la nature et la source de l’action. L’attachement désigne à la fois ce qui émeut, ce qui met en mouvement, et l’impossibilité de définir ce faire faire par l’ancien couplage de la détermination et de la liberté</w:t>
      </w:r>
      <w:r>
        <w:rPr>
          <w:rStyle w:val="Appelnotedebasdep"/>
        </w:rPr>
        <w:footnoteReference w:id="87"/>
      </w:r>
      <w:r>
        <w:t>.</w:t>
      </w:r>
    </w:p>
    <w:p w:rsidR="00AD766A" w:rsidRDefault="00AD766A" w:rsidP="00AD766A">
      <w:pPr>
        <w:pStyle w:val="NormalWeb"/>
        <w:spacing w:before="0" w:beforeAutospacing="0" w:after="120" w:afterAutospacing="0" w:line="276" w:lineRule="auto"/>
        <w:jc w:val="both"/>
        <w:rPr>
          <w:color w:val="000000" w:themeColor="text1"/>
        </w:rPr>
      </w:pPr>
      <w:r w:rsidRPr="00EE2F23">
        <w:t xml:space="preserve">Peindre comme Bernard </w:t>
      </w:r>
      <w:proofErr w:type="spellStart"/>
      <w:r w:rsidRPr="00EE2F23">
        <w:t>Frize</w:t>
      </w:r>
      <w:proofErr w:type="spellEnd"/>
      <w:r w:rsidRPr="00EE2F23">
        <w:t>, c’est alors produire de la différence en entretenant un faisceau de liens, c’est faire en sorte que l’instrument (au sens large) fasse connaître ses schèmes d’usages, mais aussi qu’une instance l’</w:t>
      </w:r>
      <w:r w:rsidRPr="00EE2F23">
        <w:rPr>
          <w:i/>
        </w:rPr>
        <w:t>approprie</w:t>
      </w:r>
      <w:r w:rsidRPr="00EE2F23">
        <w:t xml:space="preserve"> à la situation sémiotique, en le réinventant. Désormais, peindre, c’</w:t>
      </w:r>
      <w:proofErr w:type="spellStart"/>
      <w:r w:rsidRPr="00EE2F23">
        <w:t>est</w:t>
      </w:r>
      <w:proofErr w:type="spellEnd"/>
      <w:r w:rsidRPr="00EE2F23">
        <w:t xml:space="preserve"> s’insérer dans un tissu social, mieux, c’est </w:t>
      </w:r>
      <w:r w:rsidRPr="00EE2F23">
        <w:rPr>
          <w:i/>
        </w:rPr>
        <w:t>habiter</w:t>
      </w:r>
      <w:r w:rsidRPr="00EE2F23">
        <w:t xml:space="preserve"> un monde socio-culturel, historique ou politique, en agissant sur lui et en étant agi en retour. </w:t>
      </w:r>
      <w:r>
        <w:t>À</w:t>
      </w:r>
      <w:r w:rsidRPr="00EE2F23">
        <w:t xml:space="preserve"> moins qu’il ne faille aller au-delà </w:t>
      </w:r>
      <w:r w:rsidRPr="00EE2F23">
        <w:rPr>
          <w:color w:val="000000" w:themeColor="text1"/>
        </w:rPr>
        <w:t>: « </w:t>
      </w:r>
      <w:r>
        <w:rPr>
          <w:color w:val="000000" w:themeColor="text1"/>
        </w:rPr>
        <w:t>E</w:t>
      </w:r>
      <w:r w:rsidRPr="00EE2F23">
        <w:rPr>
          <w:color w:val="000000" w:themeColor="text1"/>
        </w:rPr>
        <w:t xml:space="preserve">n renouant les fils de l’action, écrit Bruno </w:t>
      </w:r>
      <w:proofErr w:type="spellStart"/>
      <w:r w:rsidRPr="00EE2F23">
        <w:rPr>
          <w:color w:val="000000" w:themeColor="text1"/>
        </w:rPr>
        <w:t>Latour</w:t>
      </w:r>
      <w:proofErr w:type="spellEnd"/>
      <w:r w:rsidRPr="00EE2F23">
        <w:rPr>
          <w:color w:val="000000" w:themeColor="text1"/>
        </w:rPr>
        <w:t xml:space="preserve">, la notion d’attachement permet de se passer tout à fait de la notion de </w:t>
      </w:r>
      <w:proofErr w:type="spellStart"/>
      <w:r w:rsidRPr="00EE2F23">
        <w:rPr>
          <w:color w:val="000000" w:themeColor="text1"/>
        </w:rPr>
        <w:t>sociéte</w:t>
      </w:r>
      <w:proofErr w:type="spellEnd"/>
      <w:r w:rsidRPr="00EE2F23">
        <w:rPr>
          <w:color w:val="000000" w:themeColor="text1"/>
        </w:rPr>
        <w:t>́ et de celle, concomitante, d’acteur »</w:t>
      </w:r>
      <w:r>
        <w:rPr>
          <w:rStyle w:val="Appelnotedebasdep"/>
          <w:color w:val="000000" w:themeColor="text1"/>
        </w:rPr>
        <w:footnoteReference w:id="88"/>
      </w:r>
      <w:r w:rsidRPr="00EE2F23">
        <w:rPr>
          <w:color w:val="000000" w:themeColor="text1"/>
        </w:rPr>
        <w:t xml:space="preserve">. </w:t>
      </w:r>
      <w:r>
        <w:rPr>
          <w:color w:val="000000" w:themeColor="text1"/>
        </w:rPr>
        <w:t xml:space="preserve">Il reste que Bernard </w:t>
      </w:r>
      <w:proofErr w:type="spellStart"/>
      <w:r>
        <w:rPr>
          <w:color w:val="000000" w:themeColor="text1"/>
        </w:rPr>
        <w:t>Frize</w:t>
      </w:r>
      <w:proofErr w:type="spellEnd"/>
      <w:r>
        <w:rPr>
          <w:color w:val="000000" w:themeColor="text1"/>
        </w:rPr>
        <w:t xml:space="preserve"> souhaite « habiter un modèle cohérent du monde et [..] en communiquer une lecture »</w:t>
      </w:r>
      <w:r>
        <w:rPr>
          <w:rStyle w:val="Appelnotedebasdep"/>
          <w:color w:val="000000" w:themeColor="text1"/>
        </w:rPr>
        <w:footnoteReference w:id="89"/>
      </w:r>
      <w:r>
        <w:rPr>
          <w:color w:val="000000" w:themeColor="text1"/>
        </w:rPr>
        <w:t xml:space="preserve">. </w:t>
      </w:r>
    </w:p>
    <w:p w:rsidR="00AD766A" w:rsidRPr="00710DB9" w:rsidRDefault="00AD766A" w:rsidP="00AD766A">
      <w:pPr>
        <w:pStyle w:val="NormalWeb"/>
        <w:spacing w:before="0" w:beforeAutospacing="0" w:after="120" w:afterAutospacing="0" w:line="276" w:lineRule="auto"/>
        <w:jc w:val="both"/>
        <w:rPr>
          <w:color w:val="000000" w:themeColor="text1"/>
        </w:rPr>
      </w:pPr>
      <w:r>
        <w:rPr>
          <w:i/>
        </w:rPr>
        <w:t>Le trajet et le récit</w:t>
      </w:r>
      <w:r>
        <w:rPr>
          <w:color w:val="000000" w:themeColor="text1"/>
        </w:rPr>
        <w:t> </w:t>
      </w:r>
      <w:r w:rsidRPr="004D1FB9">
        <w:rPr>
          <w:i/>
          <w:color w:val="000000" w:themeColor="text1"/>
        </w:rPr>
        <w:t>:</w:t>
      </w:r>
      <w:r>
        <w:rPr>
          <w:color w:val="000000" w:themeColor="text1"/>
        </w:rPr>
        <w:t xml:space="preserve"> </w:t>
      </w:r>
      <w:r>
        <w:rPr>
          <w:i/>
        </w:rPr>
        <w:t xml:space="preserve">comment temporaliser l’image fixe ? </w:t>
      </w:r>
    </w:p>
    <w:p w:rsidR="00AD766A" w:rsidRPr="006775EC" w:rsidRDefault="00AD766A" w:rsidP="00AD766A">
      <w:pPr>
        <w:tabs>
          <w:tab w:val="left" w:pos="1000"/>
        </w:tabs>
        <w:spacing w:after="120" w:line="276" w:lineRule="auto"/>
        <w:jc w:val="both"/>
      </w:pPr>
      <w:r>
        <w:t xml:space="preserve">La notion d’habitation nous renvoie, invariablement, à Tim Ingold, dont Bernard </w:t>
      </w:r>
      <w:proofErr w:type="spellStart"/>
      <w:r>
        <w:t>Frize</w:t>
      </w:r>
      <w:proofErr w:type="spellEnd"/>
      <w:r>
        <w:t xml:space="preserve"> pourrait sans doute se dire proche. Habiter un monde, c’est alors tracer sa route, imaginer des trajets, plutôt que de relier entre eux des points déjà donnés. La grille de </w:t>
      </w:r>
      <w:r w:rsidRPr="008028B4">
        <w:rPr>
          <w:i/>
        </w:rPr>
        <w:t>Sans titre</w:t>
      </w:r>
      <w:r w:rsidRPr="00B47194">
        <w:rPr>
          <w:rStyle w:val="Appelnotedebasdep"/>
        </w:rPr>
        <w:footnoteReference w:id="90"/>
      </w:r>
      <w:r>
        <w:t xml:space="preserve">, à l’instar de beaucoup d’autres toiles, est tracée d’un seul coup, le geste ne s’interrompant pas, pas même à la limite de la toile. Il est reconduit, relancé, indéfiniment, semblerait-il, la superposition des barres verticales qui viennent s’ajouter aux barres horizontales produisant un effet de profondeur illusoire. Le parcours tracé par l’artiste avant l’exécution, et qui reste souvent </w:t>
      </w:r>
      <w:r>
        <w:lastRenderedPageBreak/>
        <w:t xml:space="preserve">visible, se mue alors en </w:t>
      </w:r>
      <w:r w:rsidRPr="00BA452C">
        <w:rPr>
          <w:i/>
        </w:rPr>
        <w:t>trajet</w:t>
      </w:r>
      <w:r>
        <w:rPr>
          <w:rStyle w:val="Appelnotedebasdep"/>
        </w:rPr>
        <w:footnoteReference w:id="91"/>
      </w:r>
      <w:r>
        <w:t xml:space="preserve">. Le trajet devient le lieu où s’exerce le </w:t>
      </w:r>
      <w:proofErr w:type="spellStart"/>
      <w:r w:rsidRPr="00AF7435">
        <w:rPr>
          <w:i/>
        </w:rPr>
        <w:t>poïe</w:t>
      </w:r>
      <w:r>
        <w:rPr>
          <w:i/>
        </w:rPr>
        <w:t>i</w:t>
      </w:r>
      <w:r w:rsidRPr="00AF7435">
        <w:rPr>
          <w:i/>
        </w:rPr>
        <w:t>n</w:t>
      </w:r>
      <w:proofErr w:type="spellEnd"/>
      <w:r>
        <w:t xml:space="preserve">, au-delà de ou à travers l’exécution, le </w:t>
      </w:r>
      <w:proofErr w:type="spellStart"/>
      <w:r w:rsidRPr="00AF7435">
        <w:rPr>
          <w:i/>
        </w:rPr>
        <w:t>gerere</w:t>
      </w:r>
      <w:proofErr w:type="spellEnd"/>
      <w:r>
        <w:t xml:space="preserve">, qui est toujours </w:t>
      </w:r>
      <w:r w:rsidRPr="006775EC">
        <w:t>revendiqué et défié.</w:t>
      </w:r>
    </w:p>
    <w:p w:rsidR="00AD766A" w:rsidRDefault="00AD766A" w:rsidP="00AD766A">
      <w:pPr>
        <w:tabs>
          <w:tab w:val="left" w:pos="1000"/>
        </w:tabs>
        <w:spacing w:after="120" w:line="276" w:lineRule="auto"/>
        <w:jc w:val="both"/>
      </w:pPr>
      <w:r>
        <w:t xml:space="preserve">En ce sens, c’est déclarer la faillite même du modèle du réseau </w:t>
      </w:r>
      <w:proofErr w:type="spellStart"/>
      <w:r>
        <w:t>connectionniste</w:t>
      </w:r>
      <w:proofErr w:type="spellEnd"/>
      <w:r>
        <w:t xml:space="preserve">, ou du moins nourrir la suspicion. Cédons la parole à Tim Ingold. Il plaide pour le « maillage de pistes entrecroisées », au détriment du « réseau de routes qui se croisent » : </w:t>
      </w:r>
    </w:p>
    <w:p w:rsidR="00AD766A" w:rsidRDefault="00AD766A" w:rsidP="00AD766A">
      <w:pPr>
        <w:tabs>
          <w:tab w:val="left" w:pos="1000"/>
        </w:tabs>
        <w:spacing w:after="120" w:line="276" w:lineRule="auto"/>
        <w:ind w:left="567"/>
        <w:jc w:val="both"/>
      </w:pPr>
      <w:r>
        <w:t>Suivre un trajet est, je crois, le mode fondamental que les êtres vivants humains et non humains, adoptent pour habiter la terre. L’habitation ne signifie pas selon moi le fait d’occuper un lieu dans un monde prédéfini pour que les populations qui arrivent puissent y résider. L’habitant est plutôt quelqu’un qui, de l’intérieur, participe au monde en train de se faire et qui, en traçant un chemin de vie, contribue à son tissage et à son maillage. Même si ces lignes sont généralement sinueuses et irrégulières, leur entrecroisement forme un tissu uni aux liens serrés</w:t>
      </w:r>
      <w:r>
        <w:rPr>
          <w:rStyle w:val="Appelnotedebasdep"/>
        </w:rPr>
        <w:footnoteReference w:id="92"/>
      </w:r>
      <w:r>
        <w:t xml:space="preserve">. </w:t>
      </w:r>
    </w:p>
    <w:p w:rsidR="00AD766A" w:rsidRDefault="00AD766A" w:rsidP="00AD766A">
      <w:pPr>
        <w:tabs>
          <w:tab w:val="left" w:pos="1000"/>
        </w:tabs>
        <w:spacing w:after="120" w:line="276" w:lineRule="auto"/>
        <w:jc w:val="both"/>
      </w:pPr>
      <w:r>
        <w:t xml:space="preserve">Bien qu’il y ait un tracé préalable, les toiles de Bernard </w:t>
      </w:r>
      <w:proofErr w:type="spellStart"/>
      <w:r>
        <w:t>Frize</w:t>
      </w:r>
      <w:proofErr w:type="spellEnd"/>
      <w:r>
        <w:t xml:space="preserve"> permettent, nous semble-t-il, d’« habiter le monde ». Grâce aux contraintes, au système, et grâce à leur faillite. Le trajet est nécessairement complexe. En effet, c’est la complexité qui intéresse l’artiste, tout comme le nœud qui se dénoue / se renoue en accaparant la toile. Cette complexité est inhérente aux </w:t>
      </w:r>
      <w:proofErr w:type="spellStart"/>
      <w:r>
        <w:t>oeuvres</w:t>
      </w:r>
      <w:proofErr w:type="spellEnd"/>
      <w:r>
        <w:t xml:space="preserve">, comme Bernard </w:t>
      </w:r>
      <w:proofErr w:type="spellStart"/>
      <w:r>
        <w:t>Frize</w:t>
      </w:r>
      <w:proofErr w:type="spellEnd"/>
      <w:r>
        <w:t xml:space="preserve"> le souligne lui-même : </w:t>
      </w:r>
    </w:p>
    <w:p w:rsidR="00AD766A" w:rsidRDefault="00AD766A" w:rsidP="00AD766A">
      <w:pPr>
        <w:tabs>
          <w:tab w:val="left" w:pos="1000"/>
        </w:tabs>
        <w:spacing w:after="120" w:line="276" w:lineRule="auto"/>
        <w:ind w:left="567"/>
        <w:jc w:val="both"/>
      </w:pPr>
      <w:r>
        <w:t>J’essaye toujours d’arriver à ce qu’il n’y ait pas qu’une seule chose sur le tableau, une seule chose montrée, mais qu’il y ait un paradoxe, un antagonisme, une difficulté qui soient à l’œuvre. Je crois que c’est plutôt ça. J’essaie qu’il y ait une confrontation qui travaille entre les choses</w:t>
      </w:r>
      <w:r>
        <w:rPr>
          <w:rStyle w:val="Appelnotedebasdep"/>
        </w:rPr>
        <w:footnoteReference w:id="93"/>
      </w:r>
      <w:r>
        <w:t xml:space="preserve">. </w:t>
      </w:r>
    </w:p>
    <w:p w:rsidR="00AD766A" w:rsidRDefault="00AD766A" w:rsidP="00AD766A">
      <w:pPr>
        <w:tabs>
          <w:tab w:val="left" w:pos="1000"/>
        </w:tabs>
        <w:spacing w:after="120" w:line="276" w:lineRule="auto"/>
        <w:jc w:val="both"/>
      </w:pPr>
      <w:r>
        <w:t xml:space="preserve">Du paradoxe au désaccord interne aux peintures, il n’y a qu’un pas. Ou, plus exactement, le désaccord consensuel comprend une part d’accord, de la même manière que l’accord </w:t>
      </w:r>
      <w:proofErr w:type="spellStart"/>
      <w:r>
        <w:t>dissensuel</w:t>
      </w:r>
      <w:proofErr w:type="spellEnd"/>
      <w:r>
        <w:t xml:space="preserve"> intègre une part de désaccord. Le dynamisme inhérent aux tableaux est à ce prix. Il y a bien, en effet, une tension entre les couleurs multiples déposées sur la toile par un ou parfois une bonne dizaine de pinceaux simultanément. Il y bien des différences d’intensité entre les couleurs qui tendent à s’estomper et à s’épuiser ou, grâce à la pression exercée sur la brosse ou sur le pinceau, à gagner en charge pigmentaire. Il y a bien une forme de désaccord entre les lignes, qui peuvent se chevaucher, au point de donner à voir une profondeur illusoire, mais aussi se contredire. </w:t>
      </w:r>
      <w:r w:rsidRPr="006775EC">
        <w:t xml:space="preserve">Singulier ou pluriel, sans doute le geste en vient-il moins à pourvoir la toile d’énergie qu’à signifier à travers l’énergie que l’œuvre développe en elle-même, à travers les tensions qui l’habitent. </w:t>
      </w:r>
    </w:p>
    <w:p w:rsidR="00AD766A" w:rsidRPr="006B341B" w:rsidRDefault="00AD766A" w:rsidP="00AD766A">
      <w:pPr>
        <w:tabs>
          <w:tab w:val="left" w:pos="1000"/>
        </w:tabs>
        <w:spacing w:after="120" w:line="276" w:lineRule="auto"/>
        <w:jc w:val="both"/>
      </w:pPr>
      <w:r w:rsidRPr="006775EC">
        <w:lastRenderedPageBreak/>
        <w:t xml:space="preserve">Dans le détail, c’est avant tout une </w:t>
      </w:r>
      <w:r>
        <w:t>aventure</w:t>
      </w:r>
      <w:r w:rsidRPr="006775EC">
        <w:t xml:space="preserve"> de lignes. De lignes non point vagabondes et déliées, mais de « lignes-lieux », selon l’expression de Francis </w:t>
      </w:r>
      <w:proofErr w:type="spellStart"/>
      <w:r w:rsidRPr="006775EC">
        <w:t>Edeline</w:t>
      </w:r>
      <w:proofErr w:type="spellEnd"/>
      <w:r>
        <w:rPr>
          <w:rStyle w:val="Appelnotedebasdep"/>
        </w:rPr>
        <w:footnoteReference w:id="94"/>
      </w:r>
      <w:r w:rsidRPr="006775EC">
        <w:t xml:space="preserve">, au départ de l’inscription de figures géométriques : ici à multiples embranchements qui organisent la surface, la quadrillent, par exemple dans </w:t>
      </w:r>
      <w:r w:rsidRPr="002E3CF9">
        <w:rPr>
          <w:i/>
        </w:rPr>
        <w:t>Damier</w:t>
      </w:r>
      <w:r w:rsidRPr="00E43BCD">
        <w:rPr>
          <w:rStyle w:val="Appelnotedebasdep"/>
        </w:rPr>
        <w:footnoteReference w:id="95"/>
      </w:r>
      <w:r w:rsidR="003304E3">
        <w:t xml:space="preserve">. Comme le note Bernard </w:t>
      </w:r>
      <w:proofErr w:type="spellStart"/>
      <w:r w:rsidR="003304E3">
        <w:t>Frize</w:t>
      </w:r>
      <w:proofErr w:type="spellEnd"/>
      <w:r w:rsidR="003304E3">
        <w:t xml:space="preserve">, dans </w:t>
      </w:r>
      <w:r>
        <w:t>cette peinture à plusieurs mains, les traits, qui se recoupent à angles droits, deviennent dépositaires d’une mémoire, celle de gestes synchrones qui laissent des traces. C’est une histoire d</w:t>
      </w:r>
      <w:r w:rsidRPr="006775EC">
        <w:t>e lignes droites ou courbes, tressées, multipliées, quand les pinceaux d’une brosse sont induits de plusieurs couleurs simultanément, enchevêtrées, de lignes réunies en méandres, en volutes, en labyrinthes sans début ni fin, qui retardent indéfiniment l’achèvement, la totalisation du sens</w:t>
      </w:r>
      <w:r>
        <w:t>. L</w:t>
      </w:r>
      <w:r w:rsidRPr="006775EC">
        <w:t>’attaque du geste n’est pas visible, ni sa fin</w:t>
      </w:r>
      <w:r>
        <w:t xml:space="preserve"> ; elle est </w:t>
      </w:r>
      <w:proofErr w:type="spellStart"/>
      <w:r>
        <w:t>anonymisée</w:t>
      </w:r>
      <w:proofErr w:type="spellEnd"/>
      <w:r>
        <w:t>.</w:t>
      </w:r>
      <w:r w:rsidRPr="006775EC">
        <w:t xml:space="preserve"> Pourtant, l’</w:t>
      </w:r>
      <w:proofErr w:type="spellStart"/>
      <w:r w:rsidRPr="006775EC">
        <w:t>aspectualité</w:t>
      </w:r>
      <w:proofErr w:type="spellEnd"/>
      <w:r w:rsidRPr="006775EC">
        <w:t xml:space="preserve"> est là, mais elle caractérise le devenir de la couleur : l’œuvre étant peinte d’un seul jet, à main levée, le geste étant unique, la couleur nécessairement se dégrade progressivement, perd ses pigments, avant de renaîtr</w:t>
      </w:r>
      <w:r>
        <w:t>e éventuellement</w:t>
      </w:r>
      <w:r w:rsidRPr="006775EC">
        <w:t xml:space="preserve">, </w:t>
      </w:r>
      <w:r>
        <w:t xml:space="preserve">ou de céder la place à une couleur monochrome, </w:t>
      </w:r>
      <w:r w:rsidRPr="006775EC">
        <w:t>au point que la ligne continue donne à voir la performance.</w:t>
      </w:r>
      <w:r>
        <w:t xml:space="preserve"> </w:t>
      </w:r>
    </w:p>
    <w:p w:rsidR="00AD766A" w:rsidRDefault="00AD766A" w:rsidP="00AD766A">
      <w:pPr>
        <w:spacing w:after="120" w:line="276" w:lineRule="auto"/>
        <w:jc w:val="both"/>
      </w:pPr>
      <w:r>
        <w:t xml:space="preserve">Nous venons de réinterpréter la notion de </w:t>
      </w:r>
      <w:r>
        <w:rPr>
          <w:i/>
        </w:rPr>
        <w:t>fabrication</w:t>
      </w:r>
      <w:r>
        <w:t xml:space="preserve"> en termes de trajet(s). Mais, de ce point de vue, la </w:t>
      </w:r>
      <w:proofErr w:type="spellStart"/>
      <w:r w:rsidRPr="00F8751A">
        <w:rPr>
          <w:i/>
        </w:rPr>
        <w:t>Gestaltung</w:t>
      </w:r>
      <w:proofErr w:type="spellEnd"/>
      <w:r>
        <w:t xml:space="preserve"> n’est pas en reste. À moins que le modèle du trajet ne soit relayé par celui de la narrativité qui, projeté sur la toile, organise et stabilise davantage les rapports polémiques entre actants et acteurs. Nous le verrons maintenant. </w:t>
      </w:r>
    </w:p>
    <w:p w:rsidR="00AD766A" w:rsidRDefault="00AD766A" w:rsidP="00AD766A">
      <w:pPr>
        <w:spacing w:after="120" w:line="276" w:lineRule="auto"/>
        <w:jc w:val="both"/>
      </w:pPr>
      <w:r>
        <w:t xml:space="preserve">D’une part, nous savons que Paul Klee, dans ses écrits, met en avant le mouvement, le processus, la </w:t>
      </w:r>
      <w:proofErr w:type="spellStart"/>
      <w:r>
        <w:t>form</w:t>
      </w:r>
      <w:proofErr w:type="spellEnd"/>
      <w:r>
        <w:t>(</w:t>
      </w:r>
      <w:proofErr w:type="spellStart"/>
      <w:r>
        <w:t>ation</w:t>
      </w:r>
      <w:proofErr w:type="spellEnd"/>
      <w:r>
        <w:t>) en acte. C’est bien dans « Aventure de lignes »</w:t>
      </w:r>
      <w:r>
        <w:rPr>
          <w:rStyle w:val="Appelnotedebasdep"/>
        </w:rPr>
        <w:footnoteReference w:id="96"/>
      </w:r>
      <w:r>
        <w:t xml:space="preserve"> qu’Henri Michaux rend hommage à Paul Klee : </w:t>
      </w:r>
    </w:p>
    <w:p w:rsidR="00AD766A" w:rsidRPr="001A2D8C" w:rsidRDefault="00AD766A" w:rsidP="00AD766A">
      <w:pPr>
        <w:spacing w:line="276" w:lineRule="auto"/>
        <w:ind w:left="567"/>
        <w:jc w:val="both"/>
      </w:pPr>
      <w:r w:rsidRPr="00F8751A">
        <w:rPr>
          <w:color w:val="000000"/>
          <w:shd w:val="clear" w:color="auto" w:fill="FFFFFF"/>
        </w:rPr>
        <w:br/>
      </w:r>
      <w:r w:rsidRPr="001A2D8C">
        <w:t xml:space="preserve">Une ligne rencontre une ligne. Une ligne </w:t>
      </w:r>
      <w:proofErr w:type="spellStart"/>
      <w:r w:rsidRPr="001A2D8C">
        <w:t>évite</w:t>
      </w:r>
      <w:proofErr w:type="spellEnd"/>
      <w:r w:rsidRPr="001A2D8C">
        <w:t xml:space="preserve"> une ligne. Aventures de lignes. </w:t>
      </w:r>
    </w:p>
    <w:p w:rsidR="00AD766A" w:rsidRPr="001A2D8C" w:rsidRDefault="00AD766A" w:rsidP="00AD766A">
      <w:pPr>
        <w:pStyle w:val="NormalWeb"/>
        <w:spacing w:before="0" w:beforeAutospacing="0" w:after="0" w:afterAutospacing="0" w:line="276" w:lineRule="auto"/>
        <w:ind w:left="567"/>
        <w:jc w:val="both"/>
      </w:pPr>
      <w:r w:rsidRPr="001A2D8C">
        <w:t>Une ligne pour le plaisir d'</w:t>
      </w:r>
      <w:proofErr w:type="spellStart"/>
      <w:r w:rsidRPr="001A2D8C">
        <w:t>être</w:t>
      </w:r>
      <w:proofErr w:type="spellEnd"/>
      <w:r w:rsidRPr="001A2D8C">
        <w:t xml:space="preserve"> ligne, d'aller, ligne. Points. Poudre de points. </w:t>
      </w:r>
    </w:p>
    <w:p w:rsidR="00AD766A" w:rsidRPr="001A2D8C" w:rsidRDefault="00AD766A" w:rsidP="00AD766A">
      <w:pPr>
        <w:pStyle w:val="NormalWeb"/>
        <w:spacing w:before="0" w:beforeAutospacing="0" w:after="0" w:afterAutospacing="0" w:line="276" w:lineRule="auto"/>
        <w:ind w:left="567"/>
        <w:jc w:val="both"/>
      </w:pPr>
      <w:r w:rsidRPr="001A2D8C">
        <w:t xml:space="preserve">Une ligne </w:t>
      </w:r>
      <w:proofErr w:type="spellStart"/>
      <w:r w:rsidRPr="001A2D8C">
        <w:t>rêve</w:t>
      </w:r>
      <w:proofErr w:type="spellEnd"/>
      <w:r w:rsidRPr="001A2D8C">
        <w:t xml:space="preserve">. On n'avait </w:t>
      </w:r>
      <w:proofErr w:type="spellStart"/>
      <w:r w:rsidRPr="001A2D8C">
        <w:t>jusque-la</w:t>
      </w:r>
      <w:proofErr w:type="spellEnd"/>
      <w:r w:rsidRPr="001A2D8C">
        <w:t xml:space="preserve">̀ jamais laissé </w:t>
      </w:r>
      <w:proofErr w:type="spellStart"/>
      <w:r w:rsidRPr="001A2D8C">
        <w:t>rêver</w:t>
      </w:r>
      <w:proofErr w:type="spellEnd"/>
      <w:r w:rsidRPr="001A2D8C">
        <w:t xml:space="preserve"> une ligne. </w:t>
      </w:r>
    </w:p>
    <w:p w:rsidR="00AD766A" w:rsidRPr="001A2D8C" w:rsidRDefault="00AD766A" w:rsidP="00AD766A">
      <w:pPr>
        <w:pStyle w:val="NormalWeb"/>
        <w:spacing w:before="0" w:beforeAutospacing="0" w:after="0" w:afterAutospacing="0" w:line="276" w:lineRule="auto"/>
        <w:ind w:left="567"/>
        <w:jc w:val="both"/>
      </w:pPr>
      <w:r w:rsidRPr="001A2D8C">
        <w:t xml:space="preserve">Une ligne attend. Une ligne </w:t>
      </w:r>
      <w:proofErr w:type="spellStart"/>
      <w:r w:rsidRPr="001A2D8C">
        <w:t>espère</w:t>
      </w:r>
      <w:proofErr w:type="spellEnd"/>
      <w:r w:rsidRPr="001A2D8C">
        <w:t xml:space="preserve">. Une ligne repense un visage. [...] </w:t>
      </w:r>
    </w:p>
    <w:p w:rsidR="00AD766A" w:rsidRDefault="00AD766A" w:rsidP="00AD766A">
      <w:pPr>
        <w:pStyle w:val="NormalWeb"/>
        <w:spacing w:before="0" w:beforeAutospacing="0" w:after="0" w:afterAutospacing="0" w:line="276" w:lineRule="auto"/>
        <w:ind w:left="567"/>
        <w:jc w:val="both"/>
      </w:pPr>
      <w:proofErr w:type="spellStart"/>
      <w:r w:rsidRPr="001A2D8C">
        <w:t>Temps,Temps</w:t>
      </w:r>
      <w:proofErr w:type="spellEnd"/>
      <w:r w:rsidRPr="001A2D8C">
        <w:t>...</w:t>
      </w:r>
      <w:r w:rsidRPr="001A2D8C">
        <w:br/>
        <w:t xml:space="preserve">Une ligne de conscience s'est </w:t>
      </w:r>
      <w:proofErr w:type="spellStart"/>
      <w:r w:rsidRPr="001A2D8C">
        <w:t>reformée</w:t>
      </w:r>
      <w:proofErr w:type="spellEnd"/>
      <w:r w:rsidRPr="001A2D8C">
        <w:t>.</w:t>
      </w:r>
    </w:p>
    <w:p w:rsidR="00AD766A" w:rsidRPr="001A2D8C" w:rsidRDefault="00AD766A" w:rsidP="00AD766A">
      <w:pPr>
        <w:pStyle w:val="NormalWeb"/>
        <w:spacing w:before="0" w:beforeAutospacing="0" w:after="0" w:afterAutospacing="0" w:line="276" w:lineRule="auto"/>
        <w:ind w:left="567"/>
        <w:jc w:val="both"/>
      </w:pPr>
    </w:p>
    <w:p w:rsidR="00AD766A" w:rsidRDefault="00AD766A" w:rsidP="00AD766A">
      <w:pPr>
        <w:spacing w:after="120" w:line="276" w:lineRule="auto"/>
        <w:jc w:val="both"/>
      </w:pPr>
      <w:r>
        <w:t>D’autre part, l</w:t>
      </w:r>
      <w:r w:rsidRPr="00E41448">
        <w:t xml:space="preserve">e tableau </w:t>
      </w:r>
      <w:r>
        <w:t xml:space="preserve">peut devenir </w:t>
      </w:r>
      <w:r w:rsidRPr="00E41448">
        <w:t>l’espace où entrent en conflit et</w:t>
      </w:r>
      <w:r>
        <w:t xml:space="preserve"> où</w:t>
      </w:r>
      <w:r w:rsidRPr="00E41448">
        <w:t xml:space="preserve"> se mesurent les forces et les contre-forces. Inscrivant le geste énonciatif dans l’image, les échelles chromatiques cinétiques se déploient non seulement dans des séquences événementielles</w:t>
      </w:r>
      <w:r>
        <w:t xml:space="preserve"> pourvues d’une base </w:t>
      </w:r>
      <w:proofErr w:type="spellStart"/>
      <w:r>
        <w:t>tensive</w:t>
      </w:r>
      <w:proofErr w:type="spellEnd"/>
      <w:r>
        <w:t xml:space="preserve">, qui font </w:t>
      </w:r>
      <w:r w:rsidRPr="00E41448">
        <w:t>éclater l’énergie accumulée, mais encore dans des séquences proprement actantielles, où les mouvements appellent des contre-mouvements. Des tensions se nouent et se dénouent</w:t>
      </w:r>
      <w:r>
        <w:t xml:space="preserve">, des actants suscitent des </w:t>
      </w:r>
      <w:proofErr w:type="spellStart"/>
      <w:r>
        <w:t>antactants</w:t>
      </w:r>
      <w:proofErr w:type="spellEnd"/>
      <w:r>
        <w:t xml:space="preserve"> </w:t>
      </w:r>
      <w:r w:rsidRPr="00E41448">
        <w:t xml:space="preserve"> : « Comment la flèche va-t-elle vaincre </w:t>
      </w:r>
      <w:r w:rsidRPr="00E41448">
        <w:lastRenderedPageBreak/>
        <w:t xml:space="preserve">résistances et frictions ? », se demande Klee dans </w:t>
      </w:r>
      <w:proofErr w:type="spellStart"/>
      <w:r w:rsidRPr="00E41448">
        <w:rPr>
          <w:i/>
        </w:rPr>
        <w:t>Das</w:t>
      </w:r>
      <w:proofErr w:type="spellEnd"/>
      <w:r w:rsidRPr="00E41448">
        <w:rPr>
          <w:i/>
        </w:rPr>
        <w:t xml:space="preserve"> </w:t>
      </w:r>
      <w:proofErr w:type="spellStart"/>
      <w:r w:rsidRPr="00E41448">
        <w:rPr>
          <w:i/>
        </w:rPr>
        <w:t>bildnerische</w:t>
      </w:r>
      <w:proofErr w:type="spellEnd"/>
      <w:r w:rsidRPr="00E41448">
        <w:rPr>
          <w:i/>
        </w:rPr>
        <w:t xml:space="preserve"> </w:t>
      </w:r>
      <w:proofErr w:type="spellStart"/>
      <w:r w:rsidRPr="00E41448">
        <w:rPr>
          <w:i/>
        </w:rPr>
        <w:t>Denken</w:t>
      </w:r>
      <w:proofErr w:type="spellEnd"/>
      <w:r w:rsidRPr="00E41448">
        <w:rPr>
          <w:i/>
        </w:rPr>
        <w:t xml:space="preserve">. </w:t>
      </w:r>
      <w:proofErr w:type="spellStart"/>
      <w:r w:rsidRPr="00E41448">
        <w:rPr>
          <w:i/>
        </w:rPr>
        <w:t>Schriften</w:t>
      </w:r>
      <w:proofErr w:type="spellEnd"/>
      <w:r w:rsidRPr="00E41448">
        <w:rPr>
          <w:i/>
        </w:rPr>
        <w:t xml:space="preserve"> </w:t>
      </w:r>
      <w:proofErr w:type="spellStart"/>
      <w:r w:rsidRPr="00E41448">
        <w:rPr>
          <w:i/>
        </w:rPr>
        <w:t>zur</w:t>
      </w:r>
      <w:proofErr w:type="spellEnd"/>
      <w:r w:rsidRPr="00E41448">
        <w:rPr>
          <w:i/>
        </w:rPr>
        <w:t xml:space="preserve"> </w:t>
      </w:r>
      <w:proofErr w:type="spellStart"/>
      <w:r w:rsidRPr="00E41448">
        <w:rPr>
          <w:i/>
        </w:rPr>
        <w:t>Form</w:t>
      </w:r>
      <w:proofErr w:type="spellEnd"/>
      <w:r w:rsidRPr="00E41448">
        <w:rPr>
          <w:i/>
        </w:rPr>
        <w:t xml:space="preserve">- </w:t>
      </w:r>
      <w:proofErr w:type="spellStart"/>
      <w:r w:rsidRPr="00E41448">
        <w:rPr>
          <w:i/>
        </w:rPr>
        <w:t>und</w:t>
      </w:r>
      <w:proofErr w:type="spellEnd"/>
      <w:r w:rsidRPr="00E41448">
        <w:rPr>
          <w:i/>
        </w:rPr>
        <w:t xml:space="preserve"> </w:t>
      </w:r>
      <w:proofErr w:type="spellStart"/>
      <w:r w:rsidRPr="00E41448">
        <w:rPr>
          <w:i/>
        </w:rPr>
        <w:t>Gestaltungslehre</w:t>
      </w:r>
      <w:proofErr w:type="spellEnd"/>
      <w:r w:rsidRPr="003553F9">
        <w:rPr>
          <w:rStyle w:val="Appelnotedebasdep"/>
        </w:rPr>
        <w:footnoteReference w:id="97"/>
      </w:r>
      <w:r>
        <w:rPr>
          <w:i/>
        </w:rPr>
        <w:t>.</w:t>
      </w:r>
      <w:r>
        <w:t xml:space="preserve"> Désormais, le récit fournit un modèle d’explication. </w:t>
      </w:r>
    </w:p>
    <w:p w:rsidR="00AD766A" w:rsidRDefault="00AD766A" w:rsidP="00AD766A">
      <w:pPr>
        <w:spacing w:after="120" w:line="276" w:lineRule="auto"/>
        <w:jc w:val="both"/>
      </w:pPr>
      <w:r>
        <w:t xml:space="preserve">Sans doute les œuvres polyphoniques poussent-elles la réflexion le plus loin. En témoigne par exemple </w:t>
      </w:r>
      <w:r w:rsidRPr="00D07FF8">
        <w:rPr>
          <w:i/>
        </w:rPr>
        <w:t>Fugue en rouge</w:t>
      </w:r>
      <w:r>
        <w:rPr>
          <w:rStyle w:val="Appelnotedebasdep"/>
        </w:rPr>
        <w:footnoteReference w:id="98"/>
      </w:r>
      <w:r>
        <w:rPr>
          <w:i/>
        </w:rPr>
        <w:t xml:space="preserve"> </w:t>
      </w:r>
      <w:r w:rsidRPr="00D07FF8">
        <w:t>où</w:t>
      </w:r>
      <w:r>
        <w:t xml:space="preserve">, sur un fond noir, des ensembles de formes effilées sur les bords, bulbeuses, carrées, rectangulaires, triangulaires ou rondes, se prêtent à l’échelonnement des couleurs du vert au blanc en passant par le rouge, et se répartissent dans trois bandes majeures, superposées à la manière des lignes d’une partition. Il incombe à la technique de la « gradation » de mesurer le temps : il faut, pour cela, que des couches de pigment soient appliquées à intervalles réguliers sur des parties de plus en plus étroites de la zone peinte, l’effet produit étant celui d’une progression, comme à rebours, du foncé vers le clair.  Mais le titre du tableau ajoute une information, capitale : il oriente </w:t>
      </w:r>
      <w:r w:rsidRPr="009F3F61">
        <w:t xml:space="preserve">vers une lecture </w:t>
      </w:r>
      <w:proofErr w:type="spellStart"/>
      <w:r w:rsidRPr="009F3F61">
        <w:t>synesthésique</w:t>
      </w:r>
      <w:proofErr w:type="spellEnd"/>
      <w:r w:rsidRPr="009F3F61">
        <w:t xml:space="preserve"> </w:t>
      </w:r>
      <w:r>
        <w:t xml:space="preserve">(la collaboration de la vue et de l’ouïe) </w:t>
      </w:r>
      <w:r w:rsidRPr="009F3F61">
        <w:t>et valide l’importation</w:t>
      </w:r>
      <w:r>
        <w:t xml:space="preserve"> </w:t>
      </w:r>
      <w:r w:rsidRPr="009F3F61">
        <w:t xml:space="preserve">de la notion de contrepoint. Distinguant le sujet du contre-sujet et des développements (strettes), </w:t>
      </w:r>
      <w:r>
        <w:t xml:space="preserve">Yves </w:t>
      </w:r>
      <w:r w:rsidRPr="009F3F61">
        <w:t>Bosseur</w:t>
      </w:r>
      <w:r>
        <w:rPr>
          <w:rStyle w:val="Appelnotedebasdep"/>
        </w:rPr>
        <w:footnoteReference w:id="99"/>
      </w:r>
      <w:r w:rsidRPr="009F3F61">
        <w:t xml:space="preserve"> (2006 [1998] : 99-100) </w:t>
      </w:r>
      <w:r>
        <w:t xml:space="preserve">commente </w:t>
      </w:r>
      <w:r w:rsidRPr="009F3F61">
        <w:rPr>
          <w:i/>
        </w:rPr>
        <w:t>Fugue en rouge</w:t>
      </w:r>
      <w:r>
        <w:t xml:space="preserve"> en ces termes : </w:t>
      </w:r>
      <w:r w:rsidRPr="009F3F61">
        <w:t>« […] le contre-sujet est constitué de formes rectilignes géométriques qui s’opposent aux courbures du sujet »</w:t>
      </w:r>
      <w:r>
        <w:rPr>
          <w:rStyle w:val="Appelnotedebasdep"/>
        </w:rPr>
        <w:footnoteReference w:id="100"/>
      </w:r>
      <w:r w:rsidRPr="009F3F61">
        <w:t>.</w:t>
      </w:r>
    </w:p>
    <w:p w:rsidR="00AD766A" w:rsidRDefault="00AD766A" w:rsidP="00AD766A">
      <w:pPr>
        <w:spacing w:after="120" w:line="276" w:lineRule="auto"/>
        <w:jc w:val="both"/>
        <w:rPr>
          <w:rFonts w:cs="Arial"/>
          <w:iCs/>
        </w:rPr>
      </w:pPr>
      <w:r>
        <w:rPr>
          <w:rFonts w:cs="Arial"/>
          <w:iCs/>
        </w:rPr>
        <w:t xml:space="preserve">Bernard </w:t>
      </w:r>
      <w:proofErr w:type="spellStart"/>
      <w:r>
        <w:rPr>
          <w:rFonts w:cs="Arial"/>
          <w:iCs/>
        </w:rPr>
        <w:t>Frize</w:t>
      </w:r>
      <w:proofErr w:type="spellEnd"/>
      <w:r>
        <w:rPr>
          <w:rFonts w:cs="Arial"/>
          <w:iCs/>
        </w:rPr>
        <w:t xml:space="preserve"> et Paul Klee : dira-t-on, désormais, que des deux, Paul Klee pousse le plus loin le souci du débrayage textuel objectivant à travers la projection du modèle narratif, de la structuration / structure signifiante, des échelonnements et des contrastes chromatiques, de la tension dramatique : du conflit à jamais relancé, mais aussi de la stabilisation du sens ? La question est celle, cruciale, des modélisations les plus aptes à rendre compte du geste de création. Peut-être gagne-t-on à rappeler la différence entre les modèles réticulaires et le récit, entre le vivant, la proposition de sens, toujours provisoire, les formes qui s’ébauchent, toujours en devenir, et la projection d’un ordre (et d’un contre-ordre). Cédons la parole à Bruno </w:t>
      </w:r>
      <w:proofErr w:type="spellStart"/>
      <w:r>
        <w:rPr>
          <w:rFonts w:cs="Arial"/>
          <w:iCs/>
        </w:rPr>
        <w:t>Latour</w:t>
      </w:r>
      <w:proofErr w:type="spellEnd"/>
      <w:r>
        <w:rPr>
          <w:rStyle w:val="Appelnotedebasdep"/>
          <w:rFonts w:cs="Arial"/>
          <w:iCs/>
        </w:rPr>
        <w:footnoteReference w:id="101"/>
      </w:r>
      <w:r>
        <w:rPr>
          <w:rFonts w:cs="Arial"/>
          <w:iCs/>
        </w:rPr>
        <w:t xml:space="preserve"> : </w:t>
      </w:r>
    </w:p>
    <w:p w:rsidR="00AD766A" w:rsidRPr="005004EE" w:rsidRDefault="00AD766A" w:rsidP="00AD766A">
      <w:pPr>
        <w:pStyle w:val="NormalWeb"/>
        <w:spacing w:before="0" w:beforeAutospacing="0" w:after="120" w:afterAutospacing="0" w:line="276" w:lineRule="auto"/>
        <w:ind w:left="567"/>
        <w:jc w:val="both"/>
      </w:pPr>
      <w:r w:rsidRPr="005004EE">
        <w:t xml:space="preserve">L’argument (philosophique, mais peu importe ici) est qu’il ne faut pas confondre la projection avec la </w:t>
      </w:r>
      <w:proofErr w:type="spellStart"/>
      <w:r w:rsidRPr="005004EE">
        <w:t>connectivite</w:t>
      </w:r>
      <w:proofErr w:type="spellEnd"/>
      <w:r w:rsidRPr="005004EE">
        <w:t xml:space="preserve">́ : les </w:t>
      </w:r>
      <w:proofErr w:type="spellStart"/>
      <w:r w:rsidRPr="005004EE">
        <w:t>données</w:t>
      </w:r>
      <w:proofErr w:type="spellEnd"/>
      <w:r w:rsidRPr="005004EE">
        <w:t xml:space="preserve"> sont plus riches en connectivité que les projections (</w:t>
      </w:r>
      <w:proofErr w:type="spellStart"/>
      <w:r w:rsidRPr="005004EE">
        <w:t>forcément</w:t>
      </w:r>
      <w:proofErr w:type="spellEnd"/>
      <w:r w:rsidRPr="005004EE">
        <w:t xml:space="preserve"> </w:t>
      </w:r>
      <w:proofErr w:type="spellStart"/>
      <w:r w:rsidRPr="005004EE">
        <w:t>limitées</w:t>
      </w:r>
      <w:proofErr w:type="spellEnd"/>
      <w:r w:rsidRPr="005004EE">
        <w:t xml:space="preserve">) par lesquelles on les ordonne. C’est une autre </w:t>
      </w:r>
      <w:proofErr w:type="spellStart"/>
      <w:r w:rsidRPr="005004EE">
        <w:t>façon</w:t>
      </w:r>
      <w:proofErr w:type="spellEnd"/>
      <w:r w:rsidRPr="005004EE">
        <w:t xml:space="preserve"> de dire qu’il ne faut pas confondre la carte (les projections) avec ce que l’on a obtenu du territoire, ou, qu’il ne faut pas confondre le </w:t>
      </w:r>
      <w:proofErr w:type="spellStart"/>
      <w:r w:rsidRPr="005004EE">
        <w:t>récit</w:t>
      </w:r>
      <w:proofErr w:type="spellEnd"/>
      <w:r w:rsidRPr="005004EE">
        <w:t xml:space="preserve"> (qui n’est jamais qu’un autre format de projection) avec la trajectoire. Pour faire simple, la projection n’est pas le trajet par lequel on a </w:t>
      </w:r>
      <w:proofErr w:type="spellStart"/>
      <w:r w:rsidRPr="005004EE">
        <w:t>rassemble</w:t>
      </w:r>
      <w:proofErr w:type="spellEnd"/>
      <w:r w:rsidRPr="005004EE">
        <w:t xml:space="preserve">́ les connexions. </w:t>
      </w:r>
    </w:p>
    <w:p w:rsidR="00AD766A" w:rsidRDefault="00AD766A" w:rsidP="00AD766A">
      <w:pPr>
        <w:spacing w:after="120" w:line="276" w:lineRule="auto"/>
        <w:jc w:val="both"/>
        <w:rPr>
          <w:rFonts w:cs="Arial"/>
          <w:iCs/>
        </w:rPr>
      </w:pPr>
      <w:r>
        <w:rPr>
          <w:rFonts w:cs="Arial"/>
          <w:iCs/>
        </w:rPr>
        <w:t xml:space="preserve">Sans doute les « trajets » qu’expérimente Bernard </w:t>
      </w:r>
      <w:proofErr w:type="spellStart"/>
      <w:r>
        <w:rPr>
          <w:rFonts w:cs="Arial"/>
          <w:iCs/>
        </w:rPr>
        <w:t>Frize</w:t>
      </w:r>
      <w:proofErr w:type="spellEnd"/>
      <w:r>
        <w:rPr>
          <w:rFonts w:cs="Arial"/>
          <w:iCs/>
        </w:rPr>
        <w:t xml:space="preserve"> résistent-ils davantage à l’emprise du modèle narratif. On peut ainsi supposer des degrés dans le débrayage objectivant, même si, sur ce point, toute opposition stricte entre les deux artistes serait malvenue. Tout au plus pouvons-</w:t>
      </w:r>
      <w:r>
        <w:rPr>
          <w:rFonts w:cs="Arial"/>
          <w:iCs/>
        </w:rPr>
        <w:lastRenderedPageBreak/>
        <w:t xml:space="preserve">nous rendre compte des tendances qui s’esquissent, des choix opérés de part et d’autre, en postulant un substrat de base partagé. </w:t>
      </w:r>
    </w:p>
    <w:p w:rsidR="00AD766A" w:rsidRDefault="00AD766A" w:rsidP="00AD766A">
      <w:pPr>
        <w:spacing w:after="120" w:line="276" w:lineRule="auto"/>
        <w:jc w:val="both"/>
      </w:pPr>
      <w:r>
        <w:t>Pour terminer, ouvrons sur une question plus générale, posée par le trajet comme par le récit : celle de la temporalisation de l’image fixe.</w:t>
      </w:r>
    </w:p>
    <w:p w:rsidR="00AD766A" w:rsidRDefault="00AD766A" w:rsidP="00AD766A">
      <w:pPr>
        <w:spacing w:after="120" w:line="276" w:lineRule="auto"/>
        <w:jc w:val="both"/>
        <w:rPr>
          <w:iCs/>
        </w:rPr>
      </w:pPr>
      <w:r>
        <w:t xml:space="preserve">En effet, toutes ces considérations sur le trajet et sur la ligne, sur le cheminement et sur la confrontation polémique, nous mettent au défi de poser à nouveau l’épineuse question de la temporalisation de le peinture. </w:t>
      </w:r>
      <w:r w:rsidRPr="00E41448">
        <w:rPr>
          <w:iCs/>
        </w:rPr>
        <w:t xml:space="preserve">Paul Klee permet de franchir un pas, en mettant en avant la notion de </w:t>
      </w:r>
      <w:proofErr w:type="spellStart"/>
      <w:r w:rsidRPr="00E41448">
        <w:rPr>
          <w:i/>
          <w:iCs/>
        </w:rPr>
        <w:t>Zeitmessverfahren</w:t>
      </w:r>
      <w:proofErr w:type="spellEnd"/>
      <w:r w:rsidRPr="00E41448">
        <w:rPr>
          <w:iCs/>
        </w:rPr>
        <w:t xml:space="preserve">, dont il confie le soin aux tonalités, en particulier au passage du blanc au noir, en passant par le gris. </w:t>
      </w:r>
      <w:r>
        <w:rPr>
          <w:iCs/>
        </w:rPr>
        <w:t>C’est donc par lui que nous allons terminer ces investigations.</w:t>
      </w:r>
    </w:p>
    <w:p w:rsidR="00AD766A" w:rsidRDefault="00AD766A" w:rsidP="00AD766A">
      <w:pPr>
        <w:spacing w:after="120" w:line="276" w:lineRule="auto"/>
        <w:jc w:val="both"/>
      </w:pPr>
      <w:r>
        <w:t xml:space="preserve">Penser la </w:t>
      </w:r>
      <w:proofErr w:type="spellStart"/>
      <w:r w:rsidRPr="0010569C">
        <w:rPr>
          <w:i/>
        </w:rPr>
        <w:t>Gestaltung</w:t>
      </w:r>
      <w:proofErr w:type="spellEnd"/>
      <w:r>
        <w:t>, c’est introduire le facteur temps, alors même que la peinture est considérée, traditionnellement, comme un art de l’espace</w:t>
      </w:r>
      <w:r>
        <w:rPr>
          <w:rStyle w:val="Appelnotedebasdep"/>
        </w:rPr>
        <w:footnoteReference w:id="102"/>
      </w:r>
      <w:r>
        <w:t xml:space="preserve">. Une première solution consiste à envisager </w:t>
      </w:r>
      <w:r>
        <w:rPr>
          <w:rFonts w:cs="Arial"/>
        </w:rPr>
        <w:t>la temporalisation et la narrativisation liées à l’acte de production. Il en a été beaucoup question. Une deuxième est liée à la temporalisation et à la narrativisation actualisées ou réalisées par le spectateur en réception. Il s’agit de déplier la séquence événementielle contenue, sous forme de résumé, dans l’« état ponctuel » ou l’« instantanéité » représentés dans un tableau, c’est-à-dire dans une image fixe</w:t>
      </w:r>
      <w:r>
        <w:rPr>
          <w:rStyle w:val="Appelnotedebasdep"/>
          <w:rFonts w:cs="Arial"/>
        </w:rPr>
        <w:footnoteReference w:id="103"/>
      </w:r>
      <w:r>
        <w:t xml:space="preserve">. Selon </w:t>
      </w:r>
      <w:r>
        <w:rPr>
          <w:rFonts w:cs="Arial"/>
        </w:rPr>
        <w:t>Jean-Marie Schaeffer</w:t>
      </w:r>
      <w:r>
        <w:rPr>
          <w:rStyle w:val="Appelnotedebasdep"/>
          <w:rFonts w:cs="Arial"/>
        </w:rPr>
        <w:footnoteReference w:id="104"/>
      </w:r>
      <w:r>
        <w:rPr>
          <w:rFonts w:cs="Arial"/>
        </w:rPr>
        <w:t xml:space="preserve">, l’« induction » d’une activité de narrativisation est voulue par une </w:t>
      </w:r>
      <w:r w:rsidRPr="00A0030F">
        <w:rPr>
          <w:rFonts w:cs="Arial"/>
        </w:rPr>
        <w:t>non-saturation perceptuelle et herméneutique de l’image. Ainsi, même si les mouvements du gr</w:t>
      </w:r>
      <w:r>
        <w:rPr>
          <w:rFonts w:cs="Arial"/>
        </w:rPr>
        <w:t xml:space="preserve">oupe Laocoon sont captés dans un moment temporel unique, il est possible de rétablir, à partir du </w:t>
      </w:r>
      <w:r w:rsidRPr="003553F9">
        <w:rPr>
          <w:rFonts w:cs="Arial"/>
          <w:i/>
        </w:rPr>
        <w:t xml:space="preserve">punctum </w:t>
      </w:r>
      <w:proofErr w:type="spellStart"/>
      <w:r w:rsidRPr="003553F9">
        <w:rPr>
          <w:rFonts w:cs="Arial"/>
          <w:i/>
        </w:rPr>
        <w:t>temporis</w:t>
      </w:r>
      <w:proofErr w:type="spellEnd"/>
      <w:r>
        <w:rPr>
          <w:rFonts w:cs="Arial"/>
        </w:rPr>
        <w:t>, un passé et un futur : la lutte contre le monstre marin, d’abord victorieuse, et la mort, prochaine. Le spectateur doit faire appel à sa compétence encyclopédique, par exemple pour associer</w:t>
      </w:r>
      <w:r>
        <w:t xml:space="preserve"> une balle au roulement, un escalier à l’acte de descendre ou de montrer ou pour induire l’idée de la chute à partir de la combinaison des traits « corps humain » et « oblique »</w:t>
      </w:r>
      <w:r>
        <w:rPr>
          <w:rStyle w:val="Appelnotedebasdep"/>
        </w:rPr>
        <w:footnoteReference w:id="105"/>
      </w:r>
      <w:r>
        <w:t xml:space="preserve">.  </w:t>
      </w:r>
    </w:p>
    <w:p w:rsidR="00AD766A" w:rsidRDefault="00AD766A" w:rsidP="00AD766A">
      <w:pPr>
        <w:spacing w:after="120" w:line="276" w:lineRule="auto"/>
        <w:jc w:val="both"/>
      </w:pPr>
      <w:r>
        <w:rPr>
          <w:rFonts w:cs="Arial"/>
          <w:iCs/>
        </w:rPr>
        <w:t xml:space="preserve">Nous retenons ici une troisième solution, qui nous place devant un problème à résoudre : en quoi l’image fixe comprend-elle des traces d’une temporalité </w:t>
      </w:r>
      <w:r w:rsidRPr="0060474C">
        <w:rPr>
          <w:rFonts w:cs="Arial"/>
          <w:i/>
          <w:iCs/>
        </w:rPr>
        <w:t>interne</w:t>
      </w:r>
      <w:r>
        <w:rPr>
          <w:rFonts w:cs="Arial"/>
          <w:iCs/>
        </w:rPr>
        <w:t xml:space="preserve"> au tableau ?</w:t>
      </w:r>
      <w:r>
        <w:rPr>
          <w:rStyle w:val="Appelnotedebasdep"/>
          <w:rFonts w:cs="Arial"/>
        </w:rPr>
        <w:footnoteReference w:id="106"/>
      </w:r>
      <w:r>
        <w:rPr>
          <w:rFonts w:cs="Arial"/>
        </w:rPr>
        <w:t xml:space="preserve"> Du point de vue du développement d’une sémiotique visuelle naissante, on notera </w:t>
      </w:r>
      <w:r>
        <w:rPr>
          <w:rFonts w:cs="Arial"/>
          <w:iCs/>
        </w:rPr>
        <w:t xml:space="preserve">que </w:t>
      </w:r>
      <w:r>
        <w:rPr>
          <w:rFonts w:cs="Arial"/>
        </w:rPr>
        <w:t>Greimas, qui projette des discontinuités en procédant à des repérages dans l’image, à des discrétisations, des segmentations et des regroupements en touts de sens signifiants</w:t>
      </w:r>
      <w:r>
        <w:rPr>
          <w:rStyle w:val="Appelnotedebasdep"/>
          <w:rFonts w:cs="Arial"/>
        </w:rPr>
        <w:footnoteReference w:id="107"/>
      </w:r>
      <w:r>
        <w:rPr>
          <w:rFonts w:cs="Arial"/>
        </w:rPr>
        <w:t xml:space="preserve">, prend en considération non seulement la « linéarité de la lecture, identifiable au parcours qu’emprunte le regard lors du processus de la perception », mais encore l’orientation liée, par exemple, à des figures telles que la plante, qui pousse verticalement. Greimas </w:t>
      </w:r>
      <w:r w:rsidRPr="00D75C71">
        <w:rPr>
          <w:rFonts w:cs="Arial"/>
        </w:rPr>
        <w:t xml:space="preserve">reprend l’exemple étudié par Félix </w:t>
      </w:r>
      <w:proofErr w:type="spellStart"/>
      <w:r w:rsidRPr="00D75C71">
        <w:rPr>
          <w:rFonts w:cs="Arial"/>
        </w:rPr>
        <w:t>Thürlemann</w:t>
      </w:r>
      <w:proofErr w:type="spellEnd"/>
      <w:r w:rsidRPr="00D75C71">
        <w:rPr>
          <w:rFonts w:cs="Arial"/>
        </w:rPr>
        <w:t xml:space="preserve"> dans </w:t>
      </w:r>
      <w:r w:rsidRPr="00402067">
        <w:rPr>
          <w:i/>
        </w:rPr>
        <w:t>Paul Klee</w:t>
      </w:r>
      <w:r w:rsidRPr="00A02DE3">
        <w:rPr>
          <w:rStyle w:val="Appelnotedebasdep"/>
        </w:rPr>
        <w:footnoteReference w:id="108"/>
      </w:r>
      <w:r>
        <w:t xml:space="preserve"> </w:t>
      </w:r>
      <w:r w:rsidRPr="00D75C71">
        <w:t xml:space="preserve">: selon </w:t>
      </w:r>
      <w:r>
        <w:t>ce dernier,</w:t>
      </w:r>
      <w:r w:rsidRPr="00D75C71">
        <w:t xml:space="preserve"> un des types de dynamisation </w:t>
      </w:r>
      <w:r>
        <w:t xml:space="preserve">de l’image </w:t>
      </w:r>
      <w:r w:rsidRPr="00D75C71">
        <w:t xml:space="preserve">est </w:t>
      </w:r>
      <w:r w:rsidRPr="00D75C71">
        <w:lastRenderedPageBreak/>
        <w:t xml:space="preserve">lié au figuratif </w:t>
      </w:r>
      <w:r>
        <w:t>par le biais</w:t>
      </w:r>
      <w:r w:rsidRPr="00D75C71">
        <w:t xml:space="preserve"> d’un </w:t>
      </w:r>
      <w:r>
        <w:t>« </w:t>
      </w:r>
      <w:r w:rsidRPr="00D75C71">
        <w:t>savoir culturel sur la “nature” des objets</w:t>
      </w:r>
      <w:r>
        <w:t> »</w:t>
      </w:r>
      <w:r w:rsidRPr="00D75C71">
        <w:t>. Ainsi, on</w:t>
      </w:r>
      <w:r>
        <w:t xml:space="preserve"> sait qu’un oiseau « </w:t>
      </w:r>
      <w:r w:rsidRPr="00D75C71">
        <w:t>vole</w:t>
      </w:r>
      <w:r>
        <w:t xml:space="preserve"> dans la direction de son bec »</w:t>
      </w:r>
      <w:r w:rsidRPr="00D75C71">
        <w:t xml:space="preserve">. </w:t>
      </w:r>
      <w:r>
        <w:t>Mais aussi</w:t>
      </w:r>
      <w:r w:rsidRPr="00D75C71">
        <w:t xml:space="preserve">, </w:t>
      </w:r>
      <w:r>
        <w:t>« </w:t>
      </w:r>
      <w:r w:rsidRPr="00D75C71">
        <w:t>l’alignement sur l’axe vertical des sous-objets de la “fleur” (“oignon”, “tige”, “feuilles”, “corolle”) correspond […] aux stades succes</w:t>
      </w:r>
      <w:r>
        <w:t>sifs de croissance de la plante »</w:t>
      </w:r>
      <w:r>
        <w:rPr>
          <w:rStyle w:val="Appelnotedebasdep"/>
        </w:rPr>
        <w:footnoteReference w:id="109"/>
      </w:r>
      <w:r>
        <w:t xml:space="preserve">. On peut aller plus loin et être sensible, avec </w:t>
      </w:r>
      <w:r>
        <w:rPr>
          <w:rFonts w:cs="Arial"/>
        </w:rPr>
        <w:t xml:space="preserve">Anne </w:t>
      </w:r>
      <w:proofErr w:type="spellStart"/>
      <w:r>
        <w:rPr>
          <w:rFonts w:cs="Arial"/>
        </w:rPr>
        <w:t>Beyaert-Geslin</w:t>
      </w:r>
      <w:proofErr w:type="spellEnd"/>
      <w:r>
        <w:rPr>
          <w:rStyle w:val="Appelnotedebasdep"/>
          <w:rFonts w:cs="Arial"/>
        </w:rPr>
        <w:footnoteReference w:id="110"/>
      </w:r>
      <w:r>
        <w:rPr>
          <w:rFonts w:cs="Arial"/>
        </w:rPr>
        <w:t>, aux lignes de conflit dans la nature morte : « </w:t>
      </w:r>
      <w:r w:rsidRPr="00B358B0">
        <w:t xml:space="preserve">La nature morte thématise la temporalité en mettant en relation des actants aux propriétés contraires sous la forme d’un système semi-symbolique </w:t>
      </w:r>
      <w:r w:rsidRPr="00CC4676">
        <w:t xml:space="preserve">dont le contenu est axiologique ». </w:t>
      </w:r>
      <w:r>
        <w:t xml:space="preserve">Au-delà d’un semi-symbolisme de base, l’attention est retenue par le mouvement des objets qui tombent en direction de l’observateur, comme l’a montré Louis Marin. Une dernière étape consiste à considérer la temporalité et la narrativité impliquées dans la plasticité du tableau abstrait, c’est-à-dire au-delà de la </w:t>
      </w:r>
      <w:proofErr w:type="spellStart"/>
      <w:r w:rsidRPr="00AD3A1A">
        <w:rPr>
          <w:i/>
        </w:rPr>
        <w:t>storia</w:t>
      </w:r>
      <w:proofErr w:type="spellEnd"/>
      <w:r>
        <w:t xml:space="preserve">.  </w:t>
      </w:r>
    </w:p>
    <w:p w:rsidR="00AD766A" w:rsidRPr="00DC0C0A" w:rsidRDefault="00AD766A" w:rsidP="00AD766A">
      <w:pPr>
        <w:spacing w:after="120" w:line="276" w:lineRule="auto"/>
        <w:jc w:val="both"/>
        <w:rPr>
          <w:iCs/>
        </w:rPr>
      </w:pPr>
      <w:r>
        <w:rPr>
          <w:iCs/>
        </w:rPr>
        <w:t>L</w:t>
      </w:r>
      <w:r w:rsidRPr="00E41448">
        <w:rPr>
          <w:iCs/>
        </w:rPr>
        <w:t>e</w:t>
      </w:r>
      <w:r>
        <w:rPr>
          <w:iCs/>
        </w:rPr>
        <w:t>s</w:t>
      </w:r>
      <w:r w:rsidRPr="00E41448">
        <w:rPr>
          <w:iCs/>
        </w:rPr>
        <w:t xml:space="preserve"> tableau</w:t>
      </w:r>
      <w:r>
        <w:rPr>
          <w:iCs/>
        </w:rPr>
        <w:t>x</w:t>
      </w:r>
      <w:r w:rsidRPr="00E41448">
        <w:rPr>
          <w:iCs/>
        </w:rPr>
        <w:t xml:space="preserve"> </w:t>
      </w:r>
      <w:r>
        <w:rPr>
          <w:iCs/>
        </w:rPr>
        <w:t xml:space="preserve">de Paul Klee </w:t>
      </w:r>
      <w:r w:rsidRPr="00E41448">
        <w:rPr>
          <w:iCs/>
        </w:rPr>
        <w:t>donne</w:t>
      </w:r>
      <w:r>
        <w:rPr>
          <w:iCs/>
        </w:rPr>
        <w:t>nt</w:t>
      </w:r>
      <w:r w:rsidRPr="00E41448">
        <w:rPr>
          <w:iCs/>
        </w:rPr>
        <w:t xml:space="preserve"> à voir le </w:t>
      </w:r>
      <w:r w:rsidRPr="00E41448">
        <w:t>mouvement dans lequel sont pris le point, la ligne mobile et la surface active, le faisceau, la convergence</w:t>
      </w:r>
      <w:r>
        <w:t xml:space="preserve"> ou la divergence</w:t>
      </w:r>
      <w:r w:rsidRPr="00E41448">
        <w:t>, le tracé séparé de deux lignes, l’énergie linéaire pouvant être la cause et le résultat l’effet</w:t>
      </w:r>
      <w:r>
        <w:rPr>
          <w:rStyle w:val="Appelnotedebasdep"/>
        </w:rPr>
        <w:footnoteReference w:id="111"/>
      </w:r>
      <w:r w:rsidRPr="00E41448">
        <w:t>, le devenir de la forme et le « mouvement échelonné »</w:t>
      </w:r>
      <w:r>
        <w:t xml:space="preserve"> (1921-1922)</w:t>
      </w:r>
      <w:r>
        <w:rPr>
          <w:rStyle w:val="Appelnotedebasdep"/>
        </w:rPr>
        <w:footnoteReference w:id="112"/>
      </w:r>
      <w:r w:rsidRPr="00E41448">
        <w:t xml:space="preserve"> caractéristique des gradations chromatiques. </w:t>
      </w:r>
    </w:p>
    <w:p w:rsidR="00AD766A" w:rsidRDefault="00AD766A" w:rsidP="00AD766A">
      <w:pPr>
        <w:spacing w:after="120" w:line="276" w:lineRule="auto"/>
        <w:jc w:val="both"/>
      </w:pPr>
      <w:r w:rsidRPr="00E41448">
        <w:t xml:space="preserve">L’irrégularité est significative, comme par contrecoup, par exemple celle des quadrilatères dans </w:t>
      </w:r>
      <w:r w:rsidRPr="00F70157">
        <w:rPr>
          <w:i/>
        </w:rPr>
        <w:t>Qui plane</w:t>
      </w:r>
      <w:r w:rsidRPr="00E41448">
        <w:t xml:space="preserve">, qui mettent en avant leurs différences </w:t>
      </w:r>
      <w:r>
        <w:t>et</w:t>
      </w:r>
      <w:r w:rsidRPr="00E41448">
        <w:t xml:space="preserve"> matérialis</w:t>
      </w:r>
      <w:r>
        <w:t>e</w:t>
      </w:r>
      <w:r w:rsidRPr="00E41448">
        <w:t>nt l’instabilité qui appelle une suite</w:t>
      </w:r>
      <w:r>
        <w:t xml:space="preserve">. Le tableau </w:t>
      </w:r>
      <w:r w:rsidRPr="00A0030F">
        <w:rPr>
          <w:i/>
        </w:rPr>
        <w:t>Blanc polyphonique</w:t>
      </w:r>
      <w:r w:rsidRPr="00F1228A">
        <w:rPr>
          <w:rStyle w:val="Appelnotedebasdep"/>
        </w:rPr>
        <w:footnoteReference w:id="113"/>
      </w:r>
      <w:r>
        <w:t xml:space="preserve"> </w:t>
      </w:r>
      <w:r w:rsidRPr="00F1228A">
        <w:t xml:space="preserve">produit une impression de statisme, à travers une surface soigneusement quadrillée. </w:t>
      </w:r>
      <w:r>
        <w:t>Pourtant</w:t>
      </w:r>
      <w:r w:rsidRPr="00F1228A">
        <w:t>, entr</w:t>
      </w:r>
      <w:r>
        <w:t xml:space="preserve">e les formes rectangulaires – carrées ou non, étirées en longueur ou en largeur, assemblées en L </w:t>
      </w:r>
      <w:r w:rsidRPr="00E41448">
        <w:t>–</w:t>
      </w:r>
      <w:r>
        <w:t>, qui se disposent sur un fond passant du brun à différentes teintes de rouge, d’orangé et de rose, en s’approchant progressivement du rectangle blanc serti au centre de la toile, se nouent des tensions, qui parcourent la toile. Elles sont liées à des asymétries, des déséquilibres, au conflit entre surface et chromatisme, quand l’autonomie des surfaces délimitées par des droites orthogonales est immédiatement contestée par des enjambements, des gradations, des rimes chromatiques. D’où une dynamisation de la toile qui dément la première impression de stabilité</w:t>
      </w:r>
      <w:r>
        <w:rPr>
          <w:rStyle w:val="Appelnotedebasdep"/>
        </w:rPr>
        <w:footnoteReference w:id="114"/>
      </w:r>
      <w:r>
        <w:t xml:space="preserve">. </w:t>
      </w:r>
    </w:p>
    <w:p w:rsidR="00AD766A" w:rsidRPr="00F70157" w:rsidRDefault="00AD766A" w:rsidP="00AD766A">
      <w:pPr>
        <w:spacing w:after="120" w:line="276" w:lineRule="auto"/>
        <w:jc w:val="both"/>
      </w:pPr>
      <w:r w:rsidRPr="00E41448">
        <w:t>Ailleurs,</w:t>
      </w:r>
      <w:r>
        <w:t xml:space="preserve"> dans</w:t>
      </w:r>
      <w:r w:rsidRPr="00E41448">
        <w:t xml:space="preserve"> </w:t>
      </w:r>
      <w:r w:rsidRPr="00C976FC">
        <w:rPr>
          <w:i/>
        </w:rPr>
        <w:t>Avant l’éclair</w:t>
      </w:r>
      <w:r>
        <w:t xml:space="preserve">, </w:t>
      </w:r>
      <w:r w:rsidRPr="00E41448">
        <w:t>des « accidents » plastiques correspondent à un événement de sens, l’intensité atteignant un pic</w:t>
      </w:r>
      <w:r w:rsidR="003304E3">
        <w:t xml:space="preserve"> </w:t>
      </w:r>
      <w:r w:rsidRPr="00E41448">
        <w:t>quand</w:t>
      </w:r>
      <w:r>
        <w:t>,</w:t>
      </w:r>
      <w:r w:rsidRPr="00C976FC">
        <w:t xml:space="preserve"> </w:t>
      </w:r>
      <w:r w:rsidRPr="00E41448">
        <w:t xml:space="preserve">entre discontinuité et continuum, </w:t>
      </w:r>
      <w:r>
        <w:t xml:space="preserve">une ligne fine séparant des formes qui expérimentent une rencontre improbable </w:t>
      </w:r>
      <w:r w:rsidRPr="00E41448">
        <w:t>proclame</w:t>
      </w:r>
      <w:r>
        <w:t xml:space="preserve"> </w:t>
      </w:r>
      <w:r w:rsidRPr="00E41448">
        <w:t>la suprématie du vide</w:t>
      </w:r>
      <w:r>
        <w:t xml:space="preserve">. </w:t>
      </w:r>
      <w:r w:rsidR="003304E3">
        <w:t>L</w:t>
      </w:r>
      <w:r>
        <w:t xml:space="preserve">’événement, anticipé, </w:t>
      </w:r>
      <w:r w:rsidRPr="00E41448">
        <w:rPr>
          <w:i/>
        </w:rPr>
        <w:t>n’a pas lieu</w:t>
      </w:r>
      <w:r>
        <w:t>.</w:t>
      </w:r>
      <w:r w:rsidRPr="00E41448">
        <w:t xml:space="preserve"> </w:t>
      </w:r>
      <w:r>
        <w:t xml:space="preserve">Ou, plus exactement, il a lieu à travers son absence même. L’ordre projeté, instauré, est immédiatement concurrencé par le désordre. </w:t>
      </w:r>
    </w:p>
    <w:p w:rsidR="00AD766A" w:rsidRDefault="00AD766A" w:rsidP="00AD766A">
      <w:pPr>
        <w:spacing w:after="120" w:line="276" w:lineRule="auto"/>
        <w:jc w:val="both"/>
      </w:pPr>
    </w:p>
    <w:p w:rsidR="00AD766A" w:rsidRDefault="00AD766A" w:rsidP="00AD766A">
      <w:pPr>
        <w:spacing w:after="120" w:line="276" w:lineRule="auto"/>
        <w:jc w:val="both"/>
        <w:rPr>
          <w:rFonts w:cs="Arial"/>
          <w:iCs/>
        </w:rPr>
      </w:pPr>
      <w:r w:rsidRPr="00AE3AED">
        <w:rPr>
          <w:rFonts w:cs="Arial"/>
          <w:iCs/>
        </w:rPr>
        <w:lastRenderedPageBreak/>
        <w:t xml:space="preserve">Paul Klee et Bernard </w:t>
      </w:r>
      <w:proofErr w:type="spellStart"/>
      <w:r w:rsidRPr="00AE3AED">
        <w:rPr>
          <w:rFonts w:cs="Arial"/>
          <w:iCs/>
        </w:rPr>
        <w:t>Frize</w:t>
      </w:r>
      <w:proofErr w:type="spellEnd"/>
      <w:r w:rsidRPr="00AE3AED">
        <w:rPr>
          <w:rFonts w:cs="Arial"/>
          <w:iCs/>
        </w:rPr>
        <w:t xml:space="preserve">. </w:t>
      </w:r>
      <w:r>
        <w:rPr>
          <w:rFonts w:cs="Arial"/>
          <w:iCs/>
        </w:rPr>
        <w:t xml:space="preserve">Pour conclure en quelques mots, nous dirons, au terme de ces investigations, que la question du geste de création, incarné, processuel et matériel, nous place devant un défi : celui de restituer l’acte d’énonciation, dont les structuralistes se contentent de postuler l’existence abstraite, à une réalité vivante, traversée de tensions, toujours en mouvement. Le geste est création, mais aussi gestion-exécution. Il est de l’ordre de la </w:t>
      </w:r>
      <w:proofErr w:type="spellStart"/>
      <w:r w:rsidRPr="00DC0C0A">
        <w:rPr>
          <w:rFonts w:cs="Arial"/>
          <w:i/>
          <w:iCs/>
        </w:rPr>
        <w:t>Gestaltung</w:t>
      </w:r>
      <w:proofErr w:type="spellEnd"/>
      <w:r>
        <w:rPr>
          <w:rFonts w:cs="Arial"/>
          <w:iCs/>
        </w:rPr>
        <w:t>, mais aussi de la fabrication, quand la matière pré-structurée se mue en matériau.</w:t>
      </w:r>
    </w:p>
    <w:p w:rsidR="00AD766A" w:rsidRDefault="00AD766A" w:rsidP="00AD766A">
      <w:pPr>
        <w:spacing w:after="120" w:line="276" w:lineRule="auto"/>
        <w:jc w:val="both"/>
        <w:rPr>
          <w:rFonts w:cs="Arial"/>
          <w:iCs/>
        </w:rPr>
      </w:pPr>
      <w:r>
        <w:rPr>
          <w:rFonts w:cs="Arial"/>
          <w:iCs/>
        </w:rPr>
        <w:t xml:space="preserve">Plus que jamais, que ce soit du point de vue des transversalités des formes en gestation ou des contraintes matérielles, cette réalité fait courir au sens un </w:t>
      </w:r>
      <w:r w:rsidRPr="00390FD2">
        <w:rPr>
          <w:rFonts w:cs="Arial"/>
          <w:i/>
          <w:iCs/>
        </w:rPr>
        <w:t>risque</w:t>
      </w:r>
      <w:r>
        <w:rPr>
          <w:rFonts w:cs="Arial"/>
          <w:iCs/>
        </w:rPr>
        <w:t> : celui que comportent les ajustements à l’environnement, aux pratiques, aux supports et médiums, aux (</w:t>
      </w:r>
      <w:proofErr w:type="spellStart"/>
      <w:r>
        <w:rPr>
          <w:rFonts w:cs="Arial"/>
          <w:iCs/>
        </w:rPr>
        <w:t>re</w:t>
      </w:r>
      <w:proofErr w:type="spellEnd"/>
      <w:r>
        <w:rPr>
          <w:rFonts w:cs="Arial"/>
          <w:iCs/>
        </w:rPr>
        <w:t xml:space="preserve">)compositions textuelles. Finalement, si le geste de création est signifiant, c’est parce qu’il est risqué, nécessairement. Produire un tableau, c’est confronter des déterminations et des potentialités. La production prend appui sur de l’existant pour mieux le réinventer. Le risque est alors inhérent à la </w:t>
      </w:r>
      <w:r w:rsidRPr="004E3153">
        <w:rPr>
          <w:rFonts w:cs="Arial"/>
          <w:iCs/>
        </w:rPr>
        <w:t>prise de forme</w:t>
      </w:r>
      <w:r w:rsidR="003304E3">
        <w:rPr>
          <w:rFonts w:cs="Arial"/>
          <w:iCs/>
        </w:rPr>
        <w:t xml:space="preserve"> et à la formation,</w:t>
      </w:r>
      <w:r>
        <w:rPr>
          <w:rFonts w:cs="Arial"/>
          <w:iCs/>
        </w:rPr>
        <w:t xml:space="preserve"> à la conception et à la matérialisation, comprises, ici et là, comme autant d’expérimentations.  </w:t>
      </w:r>
    </w:p>
    <w:p w:rsidR="00AD766A" w:rsidRDefault="00AD766A" w:rsidP="00AD766A">
      <w:pPr>
        <w:spacing w:after="120" w:line="276" w:lineRule="auto"/>
        <w:jc w:val="both"/>
        <w:rPr>
          <w:rFonts w:cs="Arial"/>
          <w:iCs/>
        </w:rPr>
      </w:pPr>
    </w:p>
    <w:p w:rsidR="00AD766A" w:rsidRPr="004E3153" w:rsidRDefault="00AD766A" w:rsidP="00AD766A">
      <w:pPr>
        <w:spacing w:after="120"/>
        <w:jc w:val="both"/>
        <w:rPr>
          <w:rFonts w:cs="Arial"/>
          <w:i/>
          <w:iCs/>
        </w:rPr>
      </w:pPr>
      <w:r>
        <w:rPr>
          <w:rFonts w:cs="Arial"/>
          <w:iCs/>
        </w:rPr>
        <w:t>Bibliographie</w:t>
      </w:r>
    </w:p>
    <w:p w:rsidR="00AD766A" w:rsidRPr="004E3153" w:rsidRDefault="00AD766A" w:rsidP="00AD766A">
      <w:pPr>
        <w:spacing w:after="120"/>
        <w:jc w:val="both"/>
        <w:rPr>
          <w:lang w:val="fr-FR"/>
        </w:rPr>
      </w:pPr>
      <w:r w:rsidRPr="004E3153">
        <w:t xml:space="preserve">Barthes, Roland, </w:t>
      </w:r>
      <w:r w:rsidRPr="004E3153">
        <w:rPr>
          <w:i/>
        </w:rPr>
        <w:t>La chambre claire. Note sur la photographie</w:t>
      </w:r>
      <w:r w:rsidRPr="004E3153">
        <w:t>, Paris, Cahiers du Cinéma-Gallimard-Le Seuil, 1980.</w:t>
      </w:r>
    </w:p>
    <w:p w:rsidR="00AD766A" w:rsidRPr="004E3153" w:rsidRDefault="00AD766A" w:rsidP="00AD766A">
      <w:pPr>
        <w:pStyle w:val="NormalWeb"/>
        <w:spacing w:before="0" w:beforeAutospacing="0" w:after="120" w:afterAutospacing="0"/>
        <w:jc w:val="both"/>
      </w:pPr>
      <w:proofErr w:type="spellStart"/>
      <w:r w:rsidRPr="004E3153">
        <w:rPr>
          <w:lang w:val="fr-FR"/>
        </w:rPr>
        <w:t>Basso</w:t>
      </w:r>
      <w:proofErr w:type="spellEnd"/>
      <w:r w:rsidRPr="004E3153">
        <w:rPr>
          <w:lang w:val="fr-FR"/>
        </w:rPr>
        <w:t xml:space="preserve"> </w:t>
      </w:r>
      <w:proofErr w:type="spellStart"/>
      <w:r w:rsidRPr="004E3153">
        <w:rPr>
          <w:lang w:val="fr-FR"/>
        </w:rPr>
        <w:t>Fossali</w:t>
      </w:r>
      <w:proofErr w:type="spellEnd"/>
      <w:r w:rsidRPr="004E3153">
        <w:rPr>
          <w:lang w:val="fr-FR"/>
        </w:rPr>
        <w:t xml:space="preserve">, Pierluigi, </w:t>
      </w:r>
      <w:r w:rsidRPr="004E3153">
        <w:t>« Le geste et sa niche : gestion du sens “hors technique” »</w:t>
      </w:r>
      <w:r>
        <w:t>,</w:t>
      </w:r>
      <w:r w:rsidRPr="004E3153">
        <w:t xml:space="preserve"> </w:t>
      </w:r>
      <w:r w:rsidRPr="004E3153">
        <w:rPr>
          <w:i/>
        </w:rPr>
        <w:t>Texto ! Textes et cultures</w:t>
      </w:r>
      <w:r w:rsidRPr="004E3153">
        <w:t>, vol. XXII, n</w:t>
      </w:r>
      <w:r w:rsidRPr="004E3153">
        <w:rPr>
          <w:vertAlign w:val="superscript"/>
        </w:rPr>
        <w:t>o</w:t>
      </w:r>
      <w:r w:rsidRPr="004E3153">
        <w:t xml:space="preserve"> 2, 2017</w:t>
      </w:r>
      <w:r>
        <w:t xml:space="preserve"> (consulté le 23/08/2019).</w:t>
      </w:r>
    </w:p>
    <w:p w:rsidR="00AD766A" w:rsidRPr="004E3153" w:rsidRDefault="00AD766A" w:rsidP="00AD766A">
      <w:pPr>
        <w:pStyle w:val="Notedebasdepage"/>
        <w:spacing w:after="120"/>
        <w:jc w:val="both"/>
      </w:pPr>
      <w:proofErr w:type="spellStart"/>
      <w:r w:rsidRPr="004E3153">
        <w:t>Basso</w:t>
      </w:r>
      <w:proofErr w:type="spellEnd"/>
      <w:r w:rsidRPr="004E3153">
        <w:t xml:space="preserve"> </w:t>
      </w:r>
      <w:proofErr w:type="spellStart"/>
      <w:r w:rsidRPr="004E3153">
        <w:t>Fossali</w:t>
      </w:r>
      <w:proofErr w:type="spellEnd"/>
      <w:r w:rsidRPr="004E3153">
        <w:t>, Pierluigi, Colas-Blais</w:t>
      </w:r>
      <w:r>
        <w:t>e</w:t>
      </w:r>
      <w:r w:rsidRPr="004E3153">
        <w:t xml:space="preserve">, Marion &amp; </w:t>
      </w:r>
      <w:proofErr w:type="spellStart"/>
      <w:r w:rsidRPr="004E3153">
        <w:t>Dondero</w:t>
      </w:r>
      <w:proofErr w:type="spellEnd"/>
      <w:r w:rsidRPr="004E3153">
        <w:t xml:space="preserve">, Maria </w:t>
      </w:r>
      <w:proofErr w:type="spellStart"/>
      <w:r w:rsidRPr="004E3153">
        <w:t>Gulia</w:t>
      </w:r>
      <w:proofErr w:type="spellEnd"/>
      <w:r w:rsidRPr="004E3153">
        <w:t xml:space="preserve"> (</w:t>
      </w:r>
      <w:proofErr w:type="spellStart"/>
      <w:r w:rsidRPr="004E3153">
        <w:t>dirs</w:t>
      </w:r>
      <w:proofErr w:type="spellEnd"/>
      <w:r w:rsidRPr="004E3153">
        <w:t xml:space="preserve">), « La communication à l’épreuve du geste numérique », </w:t>
      </w:r>
      <w:r w:rsidRPr="004E3153">
        <w:rPr>
          <w:i/>
        </w:rPr>
        <w:t>MEI</w:t>
      </w:r>
      <w:r w:rsidRPr="004E3153">
        <w:t>, n</w:t>
      </w:r>
      <w:r w:rsidRPr="004E3153">
        <w:rPr>
          <w:vertAlign w:val="superscript"/>
        </w:rPr>
        <w:t>o</w:t>
      </w:r>
      <w:r w:rsidRPr="004E3153">
        <w:t xml:space="preserve"> 47, 2019. </w:t>
      </w:r>
    </w:p>
    <w:p w:rsidR="00AD766A" w:rsidRDefault="00AD766A" w:rsidP="00AD766A">
      <w:pPr>
        <w:pStyle w:val="Notedebasdepage"/>
        <w:spacing w:after="120"/>
      </w:pPr>
      <w:proofErr w:type="spellStart"/>
      <w:r w:rsidRPr="004E3153">
        <w:t>Beyaert-Geslin</w:t>
      </w:r>
      <w:proofErr w:type="spellEnd"/>
      <w:r w:rsidRPr="004E3153">
        <w:t xml:space="preserve">, Anne, « De la texture à la matière », </w:t>
      </w:r>
      <w:r w:rsidRPr="004E3153">
        <w:rPr>
          <w:i/>
        </w:rPr>
        <w:t>Protée</w:t>
      </w:r>
      <w:r w:rsidRPr="004E3153">
        <w:t>, vol. 36, n</w:t>
      </w:r>
      <w:r w:rsidRPr="004E3153">
        <w:rPr>
          <w:vertAlign w:val="superscript"/>
        </w:rPr>
        <w:t>o</w:t>
      </w:r>
      <w:r w:rsidRPr="004E3153">
        <w:t xml:space="preserve"> 2, 2008, p</w:t>
      </w:r>
      <w:r w:rsidR="009B247B">
        <w:t>p</w:t>
      </w:r>
      <w:r w:rsidRPr="004E3153">
        <w:t>. 101-110.</w:t>
      </w:r>
    </w:p>
    <w:p w:rsidR="00AD766A" w:rsidRPr="00A02DE3" w:rsidRDefault="00AD766A" w:rsidP="00AD766A">
      <w:pPr>
        <w:widowControl w:val="0"/>
        <w:autoSpaceDE w:val="0"/>
        <w:autoSpaceDN w:val="0"/>
        <w:adjustRightInd w:val="0"/>
        <w:spacing w:after="120" w:line="276" w:lineRule="auto"/>
        <w:jc w:val="both"/>
        <w:rPr>
          <w:i/>
          <w:iCs/>
        </w:rPr>
      </w:pPr>
      <w:proofErr w:type="spellStart"/>
      <w:r w:rsidRPr="00A02DE3">
        <w:t>Beyaert-Geslin</w:t>
      </w:r>
      <w:proofErr w:type="spellEnd"/>
      <w:r w:rsidRPr="00A02DE3">
        <w:t xml:space="preserve">, Anne, « Espace du tableau, temps de la peinture », </w:t>
      </w:r>
      <w:r w:rsidRPr="00A02DE3">
        <w:rPr>
          <w:i/>
        </w:rPr>
        <w:t>Actes sémiotiques</w:t>
      </w:r>
      <w:r w:rsidRPr="00A02DE3">
        <w:t>, n</w:t>
      </w:r>
      <w:r w:rsidRPr="00A02DE3">
        <w:rPr>
          <w:vertAlign w:val="superscript"/>
        </w:rPr>
        <w:t>o</w:t>
      </w:r>
      <w:r w:rsidRPr="00A02DE3">
        <w:t xml:space="preserve"> 113, 2010. En ligne : &lt;</w:t>
      </w:r>
      <w:hyperlink r:id="rId6" w:history="1">
        <w:r w:rsidRPr="00A02DE3">
          <w:rPr>
            <w:color w:val="00000A"/>
          </w:rPr>
          <w:t>http://epublications.unilim.fr/revues/as/2513</w:t>
        </w:r>
      </w:hyperlink>
      <w:r w:rsidRPr="00A02DE3">
        <w:t>&gt; (consulté le 023/08/2019).</w:t>
      </w:r>
    </w:p>
    <w:p w:rsidR="00AD766A" w:rsidRPr="00A02DE3" w:rsidRDefault="00AD766A" w:rsidP="00AD766A">
      <w:pPr>
        <w:pStyle w:val="Notedebasdepage"/>
        <w:spacing w:after="120" w:line="276" w:lineRule="auto"/>
        <w:jc w:val="both"/>
      </w:pPr>
      <w:proofErr w:type="spellStart"/>
      <w:r w:rsidRPr="00A02DE3">
        <w:t>Bordron</w:t>
      </w:r>
      <w:proofErr w:type="spellEnd"/>
      <w:r w:rsidRPr="00A02DE3">
        <w:t xml:space="preserve">, Jean-François, </w:t>
      </w:r>
      <w:r w:rsidRPr="00A02DE3">
        <w:rPr>
          <w:i/>
        </w:rPr>
        <w:t>L’iconicité et ses images</w:t>
      </w:r>
      <w:r w:rsidRPr="00A02DE3">
        <w:t>, Paris, PUF, 2011.</w:t>
      </w:r>
    </w:p>
    <w:p w:rsidR="00AD766A" w:rsidRPr="004E3153" w:rsidRDefault="00AD766A" w:rsidP="00AD766A">
      <w:pPr>
        <w:spacing w:after="120"/>
        <w:jc w:val="both"/>
      </w:pPr>
      <w:r>
        <w:t xml:space="preserve">Bosseur, Yves, </w:t>
      </w:r>
      <w:r w:rsidRPr="001E6FEC">
        <w:rPr>
          <w:i/>
        </w:rPr>
        <w:t>Musique et arts plastiques : interactions au XXe siècle</w:t>
      </w:r>
      <w:r>
        <w:t xml:space="preserve">, Paris, Minerve, 2006 [1998]. </w:t>
      </w:r>
    </w:p>
    <w:p w:rsidR="00AD766A" w:rsidRPr="004E3153" w:rsidRDefault="00AD766A" w:rsidP="00AD766A">
      <w:pPr>
        <w:spacing w:after="120"/>
        <w:jc w:val="both"/>
      </w:pPr>
      <w:proofErr w:type="spellStart"/>
      <w:r w:rsidRPr="004E3153">
        <w:rPr>
          <w:lang w:val="fr-CH"/>
        </w:rPr>
        <w:t>Callon</w:t>
      </w:r>
      <w:proofErr w:type="spellEnd"/>
      <w:r w:rsidRPr="004E3153">
        <w:rPr>
          <w:lang w:val="fr-CH"/>
        </w:rPr>
        <w:t xml:space="preserve">, Michel, </w:t>
      </w:r>
      <w:r w:rsidRPr="004E3153">
        <w:t xml:space="preserve">« Les réseaux sociaux à l’aune de la théorie de l’acteur-réseau », </w:t>
      </w:r>
      <w:r w:rsidRPr="004E3153">
        <w:rPr>
          <w:i/>
        </w:rPr>
        <w:t>Sociologies pratiques</w:t>
      </w:r>
      <w:r w:rsidRPr="004E3153">
        <w:t>, n</w:t>
      </w:r>
      <w:r w:rsidRPr="004E3153">
        <w:rPr>
          <w:vertAlign w:val="superscript"/>
        </w:rPr>
        <w:t>o</w:t>
      </w:r>
      <w:r w:rsidRPr="004E3153">
        <w:t xml:space="preserve"> 13, 2006/2.</w:t>
      </w:r>
    </w:p>
    <w:p w:rsidR="00AD766A" w:rsidRPr="004E3153" w:rsidRDefault="00AD766A" w:rsidP="00AD766A">
      <w:pPr>
        <w:pStyle w:val="Notedebasdepage"/>
        <w:spacing w:after="120"/>
        <w:jc w:val="both"/>
      </w:pPr>
      <w:proofErr w:type="spellStart"/>
      <w:r w:rsidRPr="004E3153">
        <w:t>Citton</w:t>
      </w:r>
      <w:proofErr w:type="spellEnd"/>
      <w:r w:rsidRPr="004E3153">
        <w:t xml:space="preserve">, </w:t>
      </w:r>
      <w:r>
        <w:t xml:space="preserve">Yves, </w:t>
      </w:r>
      <w:r w:rsidRPr="004E3153">
        <w:rPr>
          <w:i/>
        </w:rPr>
        <w:t>Gestes d’humanité</w:t>
      </w:r>
      <w:r>
        <w:rPr>
          <w:i/>
        </w:rPr>
        <w:t>s</w:t>
      </w:r>
      <w:r w:rsidRPr="004E3153">
        <w:rPr>
          <w:i/>
        </w:rPr>
        <w:t>. Anthropologie sauvage de nos expériences esthétiques</w:t>
      </w:r>
      <w:r w:rsidRPr="004E3153">
        <w:t>, Paris, Armand Colin, 2012.</w:t>
      </w:r>
    </w:p>
    <w:p w:rsidR="00AD766A" w:rsidRDefault="00AD766A" w:rsidP="00AD766A">
      <w:pPr>
        <w:spacing w:after="120"/>
        <w:jc w:val="both"/>
        <w:rPr>
          <w:color w:val="000000" w:themeColor="text1"/>
          <w:shd w:val="clear" w:color="auto" w:fill="FFFFFF"/>
        </w:rPr>
      </w:pPr>
      <w:r w:rsidRPr="004E3153">
        <w:t xml:space="preserve">Colas-Blaise, Marion, </w:t>
      </w:r>
      <w:r w:rsidRPr="004E3153">
        <w:rPr>
          <w:color w:val="000000" w:themeColor="text1"/>
          <w:shd w:val="clear" w:color="auto" w:fill="FFFFFF"/>
        </w:rPr>
        <w:t>« Forme de vie et formes de vie », </w:t>
      </w:r>
      <w:r w:rsidRPr="004E3153">
        <w:rPr>
          <w:i/>
          <w:iCs/>
          <w:color w:val="000000" w:themeColor="text1"/>
        </w:rPr>
        <w:t>Actes Sémiotiques</w:t>
      </w:r>
      <w:r w:rsidRPr="004E3153">
        <w:rPr>
          <w:color w:val="000000" w:themeColor="text1"/>
          <w:shd w:val="clear" w:color="auto" w:fill="FFFFFF"/>
        </w:rPr>
        <w:t> [En ligne], n</w:t>
      </w:r>
      <w:r w:rsidRPr="004E3153">
        <w:rPr>
          <w:color w:val="000000" w:themeColor="text1"/>
          <w:shd w:val="clear" w:color="auto" w:fill="FFFFFF"/>
          <w:vertAlign w:val="superscript"/>
        </w:rPr>
        <w:t xml:space="preserve">o </w:t>
      </w:r>
      <w:r w:rsidRPr="004E3153">
        <w:rPr>
          <w:color w:val="000000" w:themeColor="text1"/>
          <w:shd w:val="clear" w:color="auto" w:fill="FFFFFF"/>
        </w:rPr>
        <w:t>115, 2012</w:t>
      </w:r>
      <w:r w:rsidR="009B247B">
        <w:rPr>
          <w:color w:val="000000" w:themeColor="text1"/>
          <w:shd w:val="clear" w:color="auto" w:fill="FFFFFF"/>
        </w:rPr>
        <w:t xml:space="preserve">, </w:t>
      </w:r>
      <w:r w:rsidRPr="004E3153">
        <w:rPr>
          <w:color w:val="000000" w:themeColor="text1"/>
          <w:shd w:val="clear" w:color="auto" w:fill="FFFFFF"/>
        </w:rPr>
        <w:t xml:space="preserve">URL : </w:t>
      </w:r>
      <w:r w:rsidRPr="009B247B">
        <w:rPr>
          <w:color w:val="000000" w:themeColor="text1"/>
          <w:shd w:val="clear" w:color="auto" w:fill="FFFFFF"/>
        </w:rPr>
        <w:t>&lt;</w:t>
      </w:r>
      <w:hyperlink r:id="rId7" w:history="1">
        <w:r w:rsidRPr="009B247B">
          <w:rPr>
            <w:rStyle w:val="Lienhypertexte"/>
            <w:color w:val="000000" w:themeColor="text1"/>
            <w:u w:val="none"/>
            <w:shd w:val="clear" w:color="auto" w:fill="FFFFFF"/>
          </w:rPr>
          <w:t>https://www.unilim.fr/actes-semiotiques/2631</w:t>
        </w:r>
      </w:hyperlink>
      <w:r w:rsidRPr="004E3153">
        <w:rPr>
          <w:color w:val="000000" w:themeColor="text1"/>
          <w:shd w:val="clear" w:color="auto" w:fill="FFFFFF"/>
        </w:rPr>
        <w:t>&gt; (consulté le 23/08/2019).</w:t>
      </w:r>
    </w:p>
    <w:p w:rsidR="00AD766A" w:rsidRPr="00C7784B" w:rsidRDefault="00AD766A" w:rsidP="00AD766A">
      <w:pPr>
        <w:pStyle w:val="Notedebasdepage"/>
        <w:spacing w:after="120"/>
        <w:jc w:val="both"/>
        <w:rPr>
          <w:lang w:val="fr-CH"/>
        </w:rPr>
      </w:pPr>
      <w:r w:rsidRPr="00C7784B">
        <w:rPr>
          <w:color w:val="000000" w:themeColor="text1"/>
          <w:shd w:val="clear" w:color="auto" w:fill="FFFFFF"/>
        </w:rPr>
        <w:t xml:space="preserve">Colas-Blaise, Marion, </w:t>
      </w:r>
      <w:r w:rsidRPr="00C7784B">
        <w:rPr>
          <w:lang w:val="fr-CH"/>
        </w:rPr>
        <w:t xml:space="preserve">« Questions de sémiotique visuelle : énonciation énoncée et expérience de l’œuvre d’art », </w:t>
      </w:r>
      <w:r w:rsidRPr="007A0BF2">
        <w:rPr>
          <w:i/>
          <w:lang w:val="fr-CH"/>
        </w:rPr>
        <w:t xml:space="preserve">in </w:t>
      </w:r>
      <w:r w:rsidRPr="00C7784B">
        <w:rPr>
          <w:lang w:val="fr-CH"/>
        </w:rPr>
        <w:t xml:space="preserve">M. G. </w:t>
      </w:r>
      <w:proofErr w:type="spellStart"/>
      <w:r w:rsidRPr="00C7784B">
        <w:rPr>
          <w:lang w:val="fr-CH"/>
        </w:rPr>
        <w:t>Dondero</w:t>
      </w:r>
      <w:proofErr w:type="spellEnd"/>
      <w:r w:rsidRPr="00C7784B">
        <w:rPr>
          <w:lang w:val="fr-CH"/>
        </w:rPr>
        <w:t xml:space="preserve">, A. </w:t>
      </w:r>
      <w:proofErr w:type="spellStart"/>
      <w:r w:rsidRPr="00C7784B">
        <w:rPr>
          <w:lang w:val="fr-CH"/>
        </w:rPr>
        <w:t>Beyaert-Geslin</w:t>
      </w:r>
      <w:proofErr w:type="spellEnd"/>
      <w:r w:rsidRPr="00C7784B">
        <w:rPr>
          <w:lang w:val="fr-CH"/>
        </w:rPr>
        <w:t xml:space="preserve"> &amp; A. </w:t>
      </w:r>
      <w:proofErr w:type="spellStart"/>
      <w:r w:rsidRPr="00C7784B">
        <w:rPr>
          <w:lang w:val="fr-CH"/>
        </w:rPr>
        <w:t>Moutat</w:t>
      </w:r>
      <w:proofErr w:type="spellEnd"/>
      <w:r w:rsidRPr="00C7784B">
        <w:rPr>
          <w:lang w:val="fr-CH"/>
        </w:rPr>
        <w:t xml:space="preserve"> (</w:t>
      </w:r>
      <w:proofErr w:type="spellStart"/>
      <w:r w:rsidRPr="00C7784B">
        <w:rPr>
          <w:lang w:val="fr-CH"/>
        </w:rPr>
        <w:t>éds</w:t>
      </w:r>
      <w:proofErr w:type="spellEnd"/>
      <w:r w:rsidRPr="00C7784B">
        <w:rPr>
          <w:lang w:val="fr-CH"/>
        </w:rPr>
        <w:t xml:space="preserve">), </w:t>
      </w:r>
      <w:r w:rsidRPr="00C7784B">
        <w:rPr>
          <w:i/>
          <w:lang w:val="fr-CH"/>
        </w:rPr>
        <w:t>Les plis du visuel, Réflexivité et énonciation dans l’image</w:t>
      </w:r>
      <w:r w:rsidRPr="00C7784B">
        <w:rPr>
          <w:lang w:val="fr-CH"/>
        </w:rPr>
        <w:t xml:space="preserve">, Limoges, Lambert-Lucas, 2017, pp. 85-99. </w:t>
      </w:r>
    </w:p>
    <w:p w:rsidR="00AD766A" w:rsidRPr="00C7784B" w:rsidRDefault="00AD766A" w:rsidP="00AD766A">
      <w:pPr>
        <w:spacing w:after="120"/>
        <w:jc w:val="both"/>
        <w:rPr>
          <w:color w:val="000000" w:themeColor="text1"/>
        </w:rPr>
      </w:pPr>
      <w:r w:rsidRPr="00C7784B">
        <w:rPr>
          <w:color w:val="000000" w:themeColor="text1"/>
          <w:shd w:val="clear" w:color="auto" w:fill="FFFFFF"/>
        </w:rPr>
        <w:t xml:space="preserve">Colas-Blaise, Marion, « La sémiotique des formes de vie, un nouveau tournant ? », </w:t>
      </w:r>
      <w:proofErr w:type="spellStart"/>
      <w:r w:rsidRPr="00C7784B">
        <w:rPr>
          <w:i/>
          <w:color w:val="000000" w:themeColor="text1"/>
          <w:shd w:val="clear" w:color="auto" w:fill="FFFFFF"/>
        </w:rPr>
        <w:t>Semiotica</w:t>
      </w:r>
      <w:proofErr w:type="spellEnd"/>
      <w:r w:rsidRPr="00C7784B">
        <w:rPr>
          <w:color w:val="000000" w:themeColor="text1"/>
          <w:shd w:val="clear" w:color="auto" w:fill="FFFFFF"/>
        </w:rPr>
        <w:t>, n</w:t>
      </w:r>
      <w:r w:rsidRPr="00C7784B">
        <w:rPr>
          <w:color w:val="000000" w:themeColor="text1"/>
          <w:shd w:val="clear" w:color="auto" w:fill="FFFFFF"/>
          <w:vertAlign w:val="superscript"/>
        </w:rPr>
        <w:t>o</w:t>
      </w:r>
      <w:r w:rsidRPr="00C7784B">
        <w:rPr>
          <w:color w:val="000000" w:themeColor="text1"/>
          <w:shd w:val="clear" w:color="auto" w:fill="FFFFFF"/>
        </w:rPr>
        <w:t xml:space="preserve"> 221, 2018</w:t>
      </w:r>
      <w:r w:rsidR="009B247B">
        <w:rPr>
          <w:color w:val="000000" w:themeColor="text1"/>
          <w:shd w:val="clear" w:color="auto" w:fill="FFFFFF"/>
        </w:rPr>
        <w:t>a</w:t>
      </w:r>
      <w:r w:rsidRPr="00C7784B">
        <w:rPr>
          <w:color w:val="000000" w:themeColor="text1"/>
          <w:shd w:val="clear" w:color="auto" w:fill="FFFFFF"/>
        </w:rPr>
        <w:t xml:space="preserve">, pp. 301-313. </w:t>
      </w:r>
    </w:p>
    <w:p w:rsidR="00AD766A" w:rsidRDefault="00AD766A" w:rsidP="00AD766A">
      <w:pPr>
        <w:pStyle w:val="Notedebasdepage"/>
        <w:spacing w:after="120"/>
        <w:jc w:val="both"/>
      </w:pPr>
      <w:r w:rsidRPr="004E3153">
        <w:lastRenderedPageBreak/>
        <w:t xml:space="preserve">Colas-Blaise, Marion, « Appropriation et (ré)énonciation vivante », </w:t>
      </w:r>
      <w:r w:rsidRPr="004E3153">
        <w:rPr>
          <w:i/>
        </w:rPr>
        <w:t>in</w:t>
      </w:r>
      <w:r w:rsidRPr="004E3153">
        <w:t xml:space="preserve"> P. </w:t>
      </w:r>
      <w:proofErr w:type="spellStart"/>
      <w:r w:rsidRPr="004E3153">
        <w:t>Basso</w:t>
      </w:r>
      <w:proofErr w:type="spellEnd"/>
      <w:r w:rsidRPr="004E3153">
        <w:t xml:space="preserve"> </w:t>
      </w:r>
      <w:proofErr w:type="spellStart"/>
      <w:r w:rsidRPr="004E3153">
        <w:t>Fossali</w:t>
      </w:r>
      <w:proofErr w:type="spellEnd"/>
      <w:r w:rsidRPr="004E3153">
        <w:t xml:space="preserve"> &amp; O. Le </w:t>
      </w:r>
      <w:proofErr w:type="spellStart"/>
      <w:r w:rsidRPr="004E3153">
        <w:t>Guern</w:t>
      </w:r>
      <w:proofErr w:type="spellEnd"/>
      <w:r w:rsidRPr="004E3153">
        <w:t xml:space="preserve"> (</w:t>
      </w:r>
      <w:proofErr w:type="spellStart"/>
      <w:r w:rsidRPr="004E3153">
        <w:t>dirs</w:t>
      </w:r>
      <w:proofErr w:type="spellEnd"/>
      <w:r w:rsidRPr="004E3153">
        <w:t xml:space="preserve">), </w:t>
      </w:r>
      <w:r w:rsidRPr="004E3153">
        <w:rPr>
          <w:i/>
        </w:rPr>
        <w:t>L’appropriation. L’interprétation de l’altérité et l’inscription du soi</w:t>
      </w:r>
      <w:r w:rsidRPr="004E3153">
        <w:t>, Limoges, Lambert-Lucas, 2018</w:t>
      </w:r>
      <w:r w:rsidR="009B247B">
        <w:t>b</w:t>
      </w:r>
      <w:r w:rsidRPr="004E3153">
        <w:t xml:space="preserve">, pp. 143-158. </w:t>
      </w:r>
    </w:p>
    <w:p w:rsidR="00AD766A" w:rsidRDefault="00AD766A" w:rsidP="00AD766A">
      <w:pPr>
        <w:pStyle w:val="Notedebasdepage"/>
        <w:spacing w:after="120"/>
        <w:jc w:val="both"/>
      </w:pPr>
      <w:r w:rsidRPr="00C7784B">
        <w:rPr>
          <w:lang w:val="fr-CH"/>
        </w:rPr>
        <w:t xml:space="preserve">Colas-Blaise, Marion, </w:t>
      </w:r>
      <w:r w:rsidRPr="00C7784B">
        <w:t xml:space="preserve">« La sémiotique visuelle naissante : Greimas et sa postérité », </w:t>
      </w:r>
      <w:r w:rsidRPr="00C7784B">
        <w:rPr>
          <w:i/>
        </w:rPr>
        <w:t>La Part de l’Œil</w:t>
      </w:r>
      <w:r w:rsidRPr="00C7784B">
        <w:t>, « L’œuvre d’art entre structure et histoire. Greimas et a sémiotique de l’image », n</w:t>
      </w:r>
      <w:r w:rsidRPr="00C7784B">
        <w:rPr>
          <w:vertAlign w:val="superscript"/>
        </w:rPr>
        <w:t>o</w:t>
      </w:r>
      <w:r w:rsidR="009B247B">
        <w:rPr>
          <w:vertAlign w:val="superscript"/>
        </w:rPr>
        <w:t> </w:t>
      </w:r>
      <w:r w:rsidRPr="00C7784B">
        <w:t xml:space="preserve">13, 2018-2019, pp. 275-295. </w:t>
      </w:r>
    </w:p>
    <w:p w:rsidR="00AD766A" w:rsidRPr="00C7784B" w:rsidRDefault="00AD766A" w:rsidP="00AD766A">
      <w:pPr>
        <w:pStyle w:val="NormalWeb"/>
        <w:spacing w:before="0" w:beforeAutospacing="0" w:after="120" w:afterAutospacing="0"/>
        <w:jc w:val="both"/>
      </w:pPr>
      <w:r w:rsidRPr="002E0183">
        <w:rPr>
          <w:rStyle w:val="familyname"/>
        </w:rPr>
        <w:t>Colas-Blaise</w:t>
      </w:r>
      <w:r w:rsidRPr="002E0183">
        <w:t>, Marion, « Comment penser la narrativité dans l’image fixe ? »,</w:t>
      </w:r>
      <w:r w:rsidRPr="002E0183">
        <w:rPr>
          <w:rStyle w:val="apple-converted-space"/>
        </w:rPr>
        <w:t> </w:t>
      </w:r>
      <w:r w:rsidRPr="002E0183">
        <w:rPr>
          <w:rStyle w:val="Accentuation"/>
        </w:rPr>
        <w:t>Pratiques</w:t>
      </w:r>
      <w:r w:rsidRPr="002E0183">
        <w:t>[</w:t>
      </w:r>
      <w:r w:rsidR="009B247B">
        <w:t> </w:t>
      </w:r>
      <w:r w:rsidRPr="002E0183">
        <w:t>En ligne], n</w:t>
      </w:r>
      <w:r w:rsidRPr="002E0183">
        <w:rPr>
          <w:vertAlign w:val="superscript"/>
        </w:rPr>
        <w:t>os</w:t>
      </w:r>
      <w:r w:rsidRPr="002E0183">
        <w:t xml:space="preserve"> 181-182, 2019, URL : &lt;http://journals.openedition.org/pratiques/6097&gt; ; DOI : 10.4000/pratiques.6097 (consulté le </w:t>
      </w:r>
      <w:r>
        <w:t>23</w:t>
      </w:r>
      <w:r w:rsidRPr="002E0183">
        <w:t>/0</w:t>
      </w:r>
      <w:r>
        <w:t>8</w:t>
      </w:r>
      <w:r w:rsidRPr="002E0183">
        <w:t xml:space="preserve">/2019).  </w:t>
      </w:r>
    </w:p>
    <w:p w:rsidR="00AD766A" w:rsidRPr="00C7784B" w:rsidRDefault="00AD766A" w:rsidP="00AD766A">
      <w:pPr>
        <w:pStyle w:val="Notedebasdepage"/>
        <w:spacing w:after="120"/>
        <w:jc w:val="both"/>
      </w:pPr>
      <w:r w:rsidRPr="00C7784B">
        <w:t xml:space="preserve">Colas-Blaise, Marion, </w:t>
      </w:r>
      <w:proofErr w:type="spellStart"/>
      <w:r w:rsidRPr="00C7784B">
        <w:t>Dondero</w:t>
      </w:r>
      <w:proofErr w:type="spellEnd"/>
      <w:r w:rsidRPr="00C7784B">
        <w:t xml:space="preserve">, Maria </w:t>
      </w:r>
      <w:proofErr w:type="spellStart"/>
      <w:r w:rsidRPr="00C7784B">
        <w:t>Giulia</w:t>
      </w:r>
      <w:proofErr w:type="spellEnd"/>
      <w:r w:rsidRPr="00C7784B">
        <w:t xml:space="preserve">, « L’événement énonciatif en sémiotique de l’image : de Roland Barthes à la sémiotique </w:t>
      </w:r>
      <w:proofErr w:type="spellStart"/>
      <w:r w:rsidRPr="00C7784B">
        <w:t>tensive</w:t>
      </w:r>
      <w:proofErr w:type="spellEnd"/>
      <w:r w:rsidRPr="00C7784B">
        <w:t xml:space="preserve"> », </w:t>
      </w:r>
      <w:r w:rsidRPr="00C7784B">
        <w:rPr>
          <w:i/>
        </w:rPr>
        <w:t>La Part de l’Œil</w:t>
      </w:r>
      <w:r w:rsidRPr="00C7784B">
        <w:t>, n</w:t>
      </w:r>
      <w:r w:rsidRPr="00C7784B">
        <w:rPr>
          <w:vertAlign w:val="superscript"/>
        </w:rPr>
        <w:t>o</w:t>
      </w:r>
      <w:r w:rsidRPr="00C7784B">
        <w:t xml:space="preserve"> 31, 2017-2018, pp. 207-217. </w:t>
      </w:r>
    </w:p>
    <w:p w:rsidR="00AD766A" w:rsidRPr="004E3153" w:rsidRDefault="00AD766A" w:rsidP="00AD766A">
      <w:pPr>
        <w:pStyle w:val="Notedebasdepage"/>
        <w:spacing w:after="120"/>
        <w:jc w:val="both"/>
      </w:pPr>
      <w:r w:rsidRPr="00C7784B">
        <w:t xml:space="preserve">Coquet, Jean-Claude, </w:t>
      </w:r>
      <w:proofErr w:type="spellStart"/>
      <w:r w:rsidRPr="00C7784B">
        <w:t>Phusis</w:t>
      </w:r>
      <w:proofErr w:type="spellEnd"/>
      <w:r w:rsidRPr="00C7784B">
        <w:t xml:space="preserve"> </w:t>
      </w:r>
      <w:r w:rsidRPr="00C7784B">
        <w:rPr>
          <w:i/>
        </w:rPr>
        <w:t xml:space="preserve">et </w:t>
      </w:r>
      <w:r w:rsidRPr="00C7784B">
        <w:t xml:space="preserve">logos. </w:t>
      </w:r>
      <w:r w:rsidRPr="00C7784B">
        <w:rPr>
          <w:i/>
        </w:rPr>
        <w:t>Une phénoménologie du langage</w:t>
      </w:r>
      <w:r w:rsidRPr="00C7784B">
        <w:t>, Paris, Presses</w:t>
      </w:r>
      <w:r w:rsidRPr="004E3153">
        <w:t xml:space="preserve"> universitaires de Vincennes, 2007. </w:t>
      </w:r>
    </w:p>
    <w:p w:rsidR="00AD766A" w:rsidRPr="004E3153" w:rsidRDefault="00AD766A" w:rsidP="00AD766A">
      <w:pPr>
        <w:pStyle w:val="Notedebasdepage"/>
        <w:spacing w:after="120"/>
      </w:pPr>
      <w:r w:rsidRPr="004E3153">
        <w:t xml:space="preserve">Deleuze, Gilles, </w:t>
      </w:r>
      <w:r w:rsidRPr="004E3153">
        <w:rPr>
          <w:i/>
        </w:rPr>
        <w:t>Différence et répétition</w:t>
      </w:r>
      <w:r w:rsidRPr="004E3153">
        <w:t>, Paris, PUF, 1968.</w:t>
      </w:r>
    </w:p>
    <w:p w:rsidR="00AD766A" w:rsidRPr="004E3153" w:rsidRDefault="00AD766A" w:rsidP="00AD766A">
      <w:pPr>
        <w:spacing w:after="120"/>
        <w:jc w:val="both"/>
      </w:pPr>
      <w:r w:rsidRPr="004E3153">
        <w:rPr>
          <w:lang w:val="fr-CH"/>
        </w:rPr>
        <w:t xml:space="preserve">Deleuze, Gilles, </w:t>
      </w:r>
      <w:r w:rsidRPr="004E3153">
        <w:rPr>
          <w:color w:val="323232"/>
          <w:shd w:val="clear" w:color="auto" w:fill="FAFAFA"/>
        </w:rPr>
        <w:t xml:space="preserve">« Qu’est-ce qu’un dispositif ? », </w:t>
      </w:r>
      <w:r w:rsidRPr="004E3153">
        <w:rPr>
          <w:i/>
          <w:color w:val="323232"/>
          <w:shd w:val="clear" w:color="auto" w:fill="FAFAFA"/>
        </w:rPr>
        <w:t>in</w:t>
      </w:r>
      <w:r w:rsidRPr="004E3153">
        <w:rPr>
          <w:rStyle w:val="apple-converted-space"/>
          <w:rFonts w:eastAsiaTheme="minorEastAsia"/>
          <w:color w:val="323232"/>
          <w:shd w:val="clear" w:color="auto" w:fill="FAFAFA"/>
        </w:rPr>
        <w:t> </w:t>
      </w:r>
      <w:r w:rsidRPr="004E3153">
        <w:rPr>
          <w:rStyle w:val="Accentuation"/>
          <w:color w:val="323232"/>
        </w:rPr>
        <w:t>Michel Foucault philosophe</w:t>
      </w:r>
      <w:r w:rsidRPr="004E3153">
        <w:rPr>
          <w:color w:val="323232"/>
          <w:shd w:val="clear" w:color="auto" w:fill="FAFAFA"/>
        </w:rPr>
        <w:t>,</w:t>
      </w:r>
      <w:r w:rsidRPr="004E3153">
        <w:rPr>
          <w:rStyle w:val="apple-converted-space"/>
          <w:rFonts w:eastAsiaTheme="minorEastAsia"/>
          <w:color w:val="323232"/>
          <w:shd w:val="clear" w:color="auto" w:fill="FAFAFA"/>
        </w:rPr>
        <w:t> </w:t>
      </w:r>
      <w:r w:rsidRPr="004E3153">
        <w:rPr>
          <w:rStyle w:val="Accentuation"/>
          <w:color w:val="323232"/>
        </w:rPr>
        <w:t>Rencontre internationale Paris, 9, 10, 11 janvier 1988</w:t>
      </w:r>
      <w:r w:rsidRPr="004E3153">
        <w:rPr>
          <w:color w:val="323232"/>
          <w:shd w:val="clear" w:color="auto" w:fill="FAFAFA"/>
        </w:rPr>
        <w:t>, Paris, Seuil, 1988.</w:t>
      </w:r>
    </w:p>
    <w:p w:rsidR="00AD766A" w:rsidRPr="004E3153" w:rsidRDefault="00AD766A" w:rsidP="00AD766A">
      <w:pPr>
        <w:spacing w:after="120"/>
        <w:jc w:val="both"/>
      </w:pPr>
      <w:r w:rsidRPr="004E3153">
        <w:t xml:space="preserve">Deleuze, Gilles, </w:t>
      </w:r>
      <w:proofErr w:type="spellStart"/>
      <w:r w:rsidRPr="004E3153">
        <w:t>Parnet</w:t>
      </w:r>
      <w:proofErr w:type="spellEnd"/>
      <w:r w:rsidRPr="004E3153">
        <w:t xml:space="preserve">, Claire, </w:t>
      </w:r>
      <w:r w:rsidRPr="004E3153">
        <w:rPr>
          <w:i/>
        </w:rPr>
        <w:t>Dialogues</w:t>
      </w:r>
      <w:r w:rsidRPr="004E3153">
        <w:t xml:space="preserve">, Paris, Flammarion, 1996. </w:t>
      </w:r>
    </w:p>
    <w:p w:rsidR="00AD766A" w:rsidRDefault="00AD766A" w:rsidP="00AD766A">
      <w:pPr>
        <w:pStyle w:val="NormalWeb"/>
        <w:spacing w:before="0" w:beforeAutospacing="0" w:after="120" w:afterAutospacing="0"/>
        <w:jc w:val="both"/>
      </w:pPr>
      <w:r w:rsidRPr="004E3153">
        <w:rPr>
          <w:smallCaps/>
        </w:rPr>
        <w:t>E</w:t>
      </w:r>
      <w:r w:rsidRPr="004E3153">
        <w:t xml:space="preserve">co, Umberto, </w:t>
      </w:r>
      <w:r w:rsidRPr="004E3153">
        <w:rPr>
          <w:i/>
        </w:rPr>
        <w:t>Kant et l’ornithorynque,</w:t>
      </w:r>
      <w:r w:rsidRPr="004E3153">
        <w:t xml:space="preserve"> Paris, Éditions Grasset &amp; </w:t>
      </w:r>
      <w:proofErr w:type="spellStart"/>
      <w:r w:rsidRPr="004E3153">
        <w:t>Fasquelle</w:t>
      </w:r>
      <w:proofErr w:type="spellEnd"/>
      <w:r w:rsidRPr="004E3153">
        <w:t>, 1999 [1997].</w:t>
      </w:r>
    </w:p>
    <w:p w:rsidR="00AD766A" w:rsidRDefault="00AD766A" w:rsidP="00AD766A">
      <w:pPr>
        <w:pStyle w:val="NormalWeb"/>
        <w:spacing w:before="0" w:beforeAutospacing="0" w:after="120" w:afterAutospacing="0" w:line="276" w:lineRule="auto"/>
        <w:jc w:val="both"/>
      </w:pPr>
      <w:proofErr w:type="spellStart"/>
      <w:r>
        <w:t>Edeline</w:t>
      </w:r>
      <w:proofErr w:type="spellEnd"/>
      <w:r>
        <w:t xml:space="preserve">, Francis, « Sémiotique de la ligne », </w:t>
      </w:r>
      <w:proofErr w:type="spellStart"/>
      <w:r w:rsidRPr="00CA328B">
        <w:rPr>
          <w:i/>
        </w:rPr>
        <w:t>Studies</w:t>
      </w:r>
      <w:proofErr w:type="spellEnd"/>
      <w:r w:rsidRPr="00CA328B">
        <w:rPr>
          <w:i/>
        </w:rPr>
        <w:t xml:space="preserve"> in Communication Sciences</w:t>
      </w:r>
      <w:r>
        <w:t>, n</w:t>
      </w:r>
      <w:r w:rsidRPr="00CA328B">
        <w:rPr>
          <w:vertAlign w:val="superscript"/>
        </w:rPr>
        <w:t>o</w:t>
      </w:r>
      <w:r>
        <w:t xml:space="preserve"> 8/1, Lugano, </w:t>
      </w:r>
      <w:proofErr w:type="spellStart"/>
      <w:r>
        <w:t>Swiss</w:t>
      </w:r>
      <w:proofErr w:type="spellEnd"/>
      <w:r>
        <w:t xml:space="preserve"> Association of </w:t>
      </w:r>
      <w:proofErr w:type="spellStart"/>
      <w:r>
        <w:t>Cmmunication</w:t>
      </w:r>
      <w:proofErr w:type="spellEnd"/>
      <w:r>
        <w:t xml:space="preserve"> and Media </w:t>
      </w:r>
      <w:proofErr w:type="spellStart"/>
      <w:r>
        <w:t>Studies</w:t>
      </w:r>
      <w:proofErr w:type="spellEnd"/>
      <w:r>
        <w:t xml:space="preserve"> et </w:t>
      </w:r>
      <w:proofErr w:type="spellStart"/>
      <w:r>
        <w:t>Faculty</w:t>
      </w:r>
      <w:proofErr w:type="spellEnd"/>
      <w:r>
        <w:t xml:space="preserve"> of Communication Sciences of the </w:t>
      </w:r>
      <w:proofErr w:type="spellStart"/>
      <w:r>
        <w:t>Università</w:t>
      </w:r>
      <w:proofErr w:type="spellEnd"/>
      <w:r>
        <w:t xml:space="preserve"> </w:t>
      </w:r>
      <w:proofErr w:type="spellStart"/>
      <w:r>
        <w:t>della</w:t>
      </w:r>
      <w:proofErr w:type="spellEnd"/>
      <w:r>
        <w:t xml:space="preserve"> Svizzera </w:t>
      </w:r>
      <w:proofErr w:type="spellStart"/>
      <w:r>
        <w:t>italiana</w:t>
      </w:r>
      <w:proofErr w:type="spellEnd"/>
      <w:r>
        <w:t xml:space="preserve">, 2008, pp. 189-213.  </w:t>
      </w:r>
    </w:p>
    <w:p w:rsidR="00AD766A" w:rsidRPr="004E3153" w:rsidRDefault="00AD766A" w:rsidP="00AD766A">
      <w:pPr>
        <w:pStyle w:val="NormalWeb"/>
        <w:spacing w:before="0" w:beforeAutospacing="0" w:after="120" w:afterAutospacing="0"/>
        <w:jc w:val="both"/>
      </w:pPr>
      <w:r>
        <w:t xml:space="preserve">Focillon, Henri, </w:t>
      </w:r>
      <w:r w:rsidRPr="00CA328B">
        <w:rPr>
          <w:i/>
        </w:rPr>
        <w:t>Vie des formes</w:t>
      </w:r>
      <w:r>
        <w:t xml:space="preserve">, Paris, PUF, 2010 [1943|]. </w:t>
      </w:r>
    </w:p>
    <w:p w:rsidR="00AD766A" w:rsidRPr="004E3153" w:rsidRDefault="00AD766A" w:rsidP="00AD766A">
      <w:pPr>
        <w:spacing w:after="120"/>
        <w:jc w:val="both"/>
      </w:pPr>
      <w:proofErr w:type="spellStart"/>
      <w:r w:rsidRPr="004E3153">
        <w:t>Fontanille</w:t>
      </w:r>
      <w:proofErr w:type="spellEnd"/>
      <w:r w:rsidRPr="004E3153">
        <w:t xml:space="preserve">, Jacques, </w:t>
      </w:r>
      <w:r w:rsidRPr="004E3153">
        <w:rPr>
          <w:i/>
        </w:rPr>
        <w:t>Sémiotique du discours</w:t>
      </w:r>
      <w:r w:rsidRPr="004E3153">
        <w:t xml:space="preserve">, Limoges, </w:t>
      </w:r>
      <w:proofErr w:type="spellStart"/>
      <w:r w:rsidRPr="004E3153">
        <w:t>Pulim</w:t>
      </w:r>
      <w:proofErr w:type="spellEnd"/>
      <w:r w:rsidRPr="004E3153">
        <w:t xml:space="preserve">, 2003a [1998],. </w:t>
      </w:r>
    </w:p>
    <w:p w:rsidR="00AD766A" w:rsidRPr="004E3153" w:rsidRDefault="00AD766A" w:rsidP="00AD766A">
      <w:pPr>
        <w:spacing w:after="120"/>
        <w:jc w:val="both"/>
      </w:pPr>
      <w:proofErr w:type="spellStart"/>
      <w:r w:rsidRPr="004E3153">
        <w:t>Fontanille</w:t>
      </w:r>
      <w:proofErr w:type="spellEnd"/>
      <w:r w:rsidRPr="004E3153">
        <w:t xml:space="preserve">, Jacques, « Énonciation et modélisation », </w:t>
      </w:r>
      <w:r w:rsidRPr="004E3153">
        <w:rPr>
          <w:i/>
        </w:rPr>
        <w:t>Modèles linguistiques</w:t>
      </w:r>
      <w:r w:rsidRPr="004E3153">
        <w:t>, t. XXIV, n</w:t>
      </w:r>
      <w:r w:rsidRPr="004E3153">
        <w:rPr>
          <w:vertAlign w:val="superscript"/>
        </w:rPr>
        <w:t>o</w:t>
      </w:r>
      <w:r w:rsidRPr="004E3153">
        <w:t xml:space="preserve"> 1, 2003b, pp. 109-133.</w:t>
      </w:r>
    </w:p>
    <w:p w:rsidR="00AD766A" w:rsidRPr="004E3153" w:rsidRDefault="00AD766A" w:rsidP="00AD766A">
      <w:pPr>
        <w:pStyle w:val="Notedebasdepage"/>
        <w:spacing w:after="120"/>
      </w:pPr>
      <w:proofErr w:type="spellStart"/>
      <w:r w:rsidRPr="004E3153">
        <w:t>Fontanille</w:t>
      </w:r>
      <w:proofErr w:type="spellEnd"/>
      <w:r w:rsidRPr="004E3153">
        <w:t xml:space="preserve">, Jacques, « Lumières, matières et paysage », </w:t>
      </w:r>
      <w:r w:rsidRPr="004E3153">
        <w:rPr>
          <w:i/>
        </w:rPr>
        <w:t>Protée</w:t>
      </w:r>
      <w:r w:rsidRPr="004E3153">
        <w:t>, n</w:t>
      </w:r>
      <w:r w:rsidRPr="004E3153">
        <w:rPr>
          <w:vertAlign w:val="superscript"/>
        </w:rPr>
        <w:t>o</w:t>
      </w:r>
      <w:r w:rsidRPr="004E3153">
        <w:t xml:space="preserve"> 31-3, 2003c, pp. 17-30. </w:t>
      </w:r>
    </w:p>
    <w:p w:rsidR="00AD766A" w:rsidRPr="004E3153" w:rsidRDefault="00AD766A" w:rsidP="00AD766A">
      <w:pPr>
        <w:pStyle w:val="Notedebasdepage"/>
        <w:spacing w:after="120"/>
        <w:jc w:val="both"/>
      </w:pPr>
      <w:proofErr w:type="spellStart"/>
      <w:r w:rsidRPr="004E3153">
        <w:t>Fontanille</w:t>
      </w:r>
      <w:proofErr w:type="spellEnd"/>
      <w:r w:rsidRPr="004E3153">
        <w:t xml:space="preserve">, Jacques, « Du support matériel au support formel », </w:t>
      </w:r>
      <w:r w:rsidRPr="004E3153">
        <w:rPr>
          <w:i/>
        </w:rPr>
        <w:t xml:space="preserve">in </w:t>
      </w:r>
      <w:r w:rsidRPr="004E3153">
        <w:t xml:space="preserve">M. </w:t>
      </w:r>
      <w:proofErr w:type="spellStart"/>
      <w:r w:rsidRPr="004E3153">
        <w:t>Arabyan</w:t>
      </w:r>
      <w:proofErr w:type="spellEnd"/>
      <w:r w:rsidRPr="004E3153">
        <w:t xml:space="preserve">, I. </w:t>
      </w:r>
      <w:proofErr w:type="spellStart"/>
      <w:r w:rsidRPr="004E3153">
        <w:t>Klock-Fontanille</w:t>
      </w:r>
      <w:proofErr w:type="spellEnd"/>
      <w:r w:rsidRPr="004E3153">
        <w:t xml:space="preserve"> (</w:t>
      </w:r>
      <w:proofErr w:type="spellStart"/>
      <w:r w:rsidRPr="004E3153">
        <w:t>dirs</w:t>
      </w:r>
      <w:proofErr w:type="spellEnd"/>
      <w:r w:rsidRPr="004E3153">
        <w:t xml:space="preserve">), </w:t>
      </w:r>
      <w:r w:rsidRPr="004E3153">
        <w:rPr>
          <w:i/>
        </w:rPr>
        <w:t>L’écriture entre support et surface</w:t>
      </w:r>
      <w:r w:rsidRPr="004E3153">
        <w:t xml:space="preserve">, Paris, </w:t>
      </w:r>
      <w:proofErr w:type="spellStart"/>
      <w:r w:rsidRPr="004E3153">
        <w:t>L’Harmattan</w:t>
      </w:r>
      <w:proofErr w:type="spellEnd"/>
      <w:r w:rsidRPr="004E3153">
        <w:t xml:space="preserve">, 2005, pp. 183-200. </w:t>
      </w:r>
    </w:p>
    <w:p w:rsidR="00AD766A" w:rsidRPr="004E3153" w:rsidRDefault="00AD766A" w:rsidP="00AD766A">
      <w:pPr>
        <w:spacing w:after="120"/>
        <w:jc w:val="both"/>
      </w:pPr>
      <w:proofErr w:type="spellStart"/>
      <w:r w:rsidRPr="004E3153">
        <w:t>Fontanille</w:t>
      </w:r>
      <w:proofErr w:type="spellEnd"/>
      <w:r w:rsidRPr="004E3153">
        <w:t xml:space="preserve">, Jacques, </w:t>
      </w:r>
      <w:r w:rsidRPr="004E3153">
        <w:rPr>
          <w:i/>
        </w:rPr>
        <w:t>Pratiques sémiotiques</w:t>
      </w:r>
      <w:r w:rsidRPr="004E3153">
        <w:t xml:space="preserve">, Paris, PUF, 2008. </w:t>
      </w:r>
    </w:p>
    <w:p w:rsidR="00AD766A" w:rsidRPr="004E3153" w:rsidRDefault="00AD766A" w:rsidP="00AD766A">
      <w:pPr>
        <w:spacing w:after="120"/>
        <w:jc w:val="both"/>
      </w:pPr>
      <w:proofErr w:type="spellStart"/>
      <w:r w:rsidRPr="004E3153">
        <w:t>Fontanille</w:t>
      </w:r>
      <w:proofErr w:type="spellEnd"/>
      <w:r w:rsidRPr="004E3153">
        <w:t xml:space="preserve">, Jacques, « L’analyse des pratiques : le cours du sens », </w:t>
      </w:r>
      <w:r w:rsidRPr="004E3153">
        <w:rPr>
          <w:i/>
        </w:rPr>
        <w:t>Protée</w:t>
      </w:r>
      <w:r w:rsidRPr="004E3153">
        <w:t>, vol. 38, n</w:t>
      </w:r>
      <w:r w:rsidRPr="004E3153">
        <w:rPr>
          <w:vertAlign w:val="superscript"/>
        </w:rPr>
        <w:t>o</w:t>
      </w:r>
      <w:r w:rsidRPr="004E3153">
        <w:t xml:space="preserve"> 2, 2010, pp. 9-19.</w:t>
      </w:r>
    </w:p>
    <w:p w:rsidR="00AD766A" w:rsidRPr="004E3153" w:rsidRDefault="00AD766A" w:rsidP="00AD766A">
      <w:pPr>
        <w:pStyle w:val="Notedebasdepage"/>
        <w:spacing w:after="120"/>
      </w:pPr>
      <w:proofErr w:type="spellStart"/>
      <w:r w:rsidRPr="004E3153">
        <w:t>Fontanille</w:t>
      </w:r>
      <w:proofErr w:type="spellEnd"/>
      <w:r w:rsidRPr="004E3153">
        <w:t xml:space="preserve">, Jacques, </w:t>
      </w:r>
      <w:r w:rsidRPr="004E3153">
        <w:rPr>
          <w:i/>
        </w:rPr>
        <w:t>Corps et sens</w:t>
      </w:r>
      <w:r w:rsidRPr="004E3153">
        <w:t xml:space="preserve">, Paris, PUF, 2011. </w:t>
      </w:r>
    </w:p>
    <w:p w:rsidR="00AD766A" w:rsidRPr="004E3153" w:rsidRDefault="00AD766A" w:rsidP="00AD766A">
      <w:pPr>
        <w:spacing w:after="120"/>
        <w:jc w:val="both"/>
      </w:pPr>
      <w:proofErr w:type="spellStart"/>
      <w:r w:rsidRPr="004E3153">
        <w:t>Fontanille</w:t>
      </w:r>
      <w:proofErr w:type="spellEnd"/>
      <w:r w:rsidRPr="004E3153">
        <w:t>, Jacques</w:t>
      </w:r>
      <w:r w:rsidRPr="004E3153">
        <w:rPr>
          <w:i/>
        </w:rPr>
        <w:t>, Formes de vie,</w:t>
      </w:r>
      <w:r w:rsidRPr="004E3153">
        <w:t xml:space="preserve"> Liège, Presses universitaires de Liège, 2015.</w:t>
      </w:r>
    </w:p>
    <w:p w:rsidR="00AD766A" w:rsidRPr="004E3153" w:rsidRDefault="00AD766A" w:rsidP="00AD766A">
      <w:pPr>
        <w:pStyle w:val="Notedebasdepage"/>
        <w:spacing w:after="120"/>
        <w:jc w:val="both"/>
      </w:pPr>
      <w:proofErr w:type="spellStart"/>
      <w:r w:rsidRPr="004E3153">
        <w:t>Fontanille</w:t>
      </w:r>
      <w:proofErr w:type="spellEnd"/>
      <w:r w:rsidRPr="004E3153">
        <w:t xml:space="preserve">, Jacques, </w:t>
      </w:r>
      <w:proofErr w:type="spellStart"/>
      <w:r w:rsidRPr="004E3153">
        <w:t>Couégnas</w:t>
      </w:r>
      <w:proofErr w:type="spellEnd"/>
      <w:r w:rsidRPr="004E3153">
        <w:t xml:space="preserve">, Nicolas, </w:t>
      </w:r>
      <w:r w:rsidRPr="004E3153">
        <w:rPr>
          <w:i/>
        </w:rPr>
        <w:t>Terres de sens. Essai d’</w:t>
      </w:r>
      <w:proofErr w:type="spellStart"/>
      <w:r w:rsidRPr="004E3153">
        <w:rPr>
          <w:i/>
        </w:rPr>
        <w:t>anthroposémiotique</w:t>
      </w:r>
      <w:proofErr w:type="spellEnd"/>
      <w:r w:rsidRPr="004E3153">
        <w:t xml:space="preserve">, Limoges, </w:t>
      </w:r>
      <w:proofErr w:type="spellStart"/>
      <w:r w:rsidRPr="004E3153">
        <w:t>Pulim</w:t>
      </w:r>
      <w:proofErr w:type="spellEnd"/>
      <w:r w:rsidRPr="004E3153">
        <w:t>, 2018.</w:t>
      </w:r>
      <w:r w:rsidRPr="004E3153">
        <w:rPr>
          <w:rStyle w:val="Appelnotedebasdep"/>
        </w:rPr>
        <w:t xml:space="preserve"> </w:t>
      </w:r>
    </w:p>
    <w:p w:rsidR="00AD766A" w:rsidRPr="004E3153" w:rsidRDefault="00AD766A" w:rsidP="00AD766A">
      <w:pPr>
        <w:spacing w:after="120"/>
        <w:jc w:val="both"/>
      </w:pPr>
      <w:r w:rsidRPr="004E3153">
        <w:t xml:space="preserve">Foucault, Michel, 1976, </w:t>
      </w:r>
      <w:r w:rsidRPr="004E3153">
        <w:rPr>
          <w:i/>
        </w:rPr>
        <w:t>Histoire de la sexualité. La volonté de savoir</w:t>
      </w:r>
      <w:r w:rsidRPr="004E3153">
        <w:t xml:space="preserve">, Paris, Gallimard. </w:t>
      </w:r>
    </w:p>
    <w:p w:rsidR="00AD766A" w:rsidRDefault="00AD766A" w:rsidP="00AD766A">
      <w:pPr>
        <w:spacing w:after="120"/>
        <w:jc w:val="both"/>
        <w:rPr>
          <w:color w:val="343434"/>
        </w:rPr>
      </w:pPr>
      <w:r w:rsidRPr="004E3153">
        <w:t xml:space="preserve">Foucault, Michel, </w:t>
      </w:r>
      <w:r w:rsidRPr="004E3153">
        <w:rPr>
          <w:color w:val="343434"/>
        </w:rPr>
        <w:t xml:space="preserve">« Le jeu de Michel Foucault », entretien avec D. Colas, A. </w:t>
      </w:r>
      <w:proofErr w:type="spellStart"/>
      <w:r w:rsidRPr="004E3153">
        <w:rPr>
          <w:color w:val="343434"/>
        </w:rPr>
        <w:t>Grosrichard</w:t>
      </w:r>
      <w:proofErr w:type="spellEnd"/>
      <w:r w:rsidRPr="004E3153">
        <w:rPr>
          <w:color w:val="343434"/>
        </w:rPr>
        <w:t xml:space="preserve">, H. Le </w:t>
      </w:r>
      <w:proofErr w:type="spellStart"/>
      <w:r w:rsidRPr="004E3153">
        <w:rPr>
          <w:color w:val="343434"/>
        </w:rPr>
        <w:t>Gaufey</w:t>
      </w:r>
      <w:proofErr w:type="spellEnd"/>
      <w:r w:rsidRPr="004E3153">
        <w:rPr>
          <w:color w:val="343434"/>
        </w:rPr>
        <w:t xml:space="preserve">, J. </w:t>
      </w:r>
      <w:proofErr w:type="spellStart"/>
      <w:r w:rsidRPr="004E3153">
        <w:rPr>
          <w:color w:val="343434"/>
        </w:rPr>
        <w:t>Livi</w:t>
      </w:r>
      <w:proofErr w:type="spellEnd"/>
      <w:r w:rsidRPr="004E3153">
        <w:rPr>
          <w:color w:val="343434"/>
        </w:rPr>
        <w:t xml:space="preserve">, G. Miller, J. Miller, J.-A. Miller, C. </w:t>
      </w:r>
      <w:proofErr w:type="spellStart"/>
      <w:r w:rsidRPr="004E3153">
        <w:rPr>
          <w:color w:val="343434"/>
        </w:rPr>
        <w:t>Millot</w:t>
      </w:r>
      <w:proofErr w:type="spellEnd"/>
      <w:r w:rsidRPr="004E3153">
        <w:rPr>
          <w:color w:val="343434"/>
        </w:rPr>
        <w:t xml:space="preserve">, G. </w:t>
      </w:r>
      <w:proofErr w:type="spellStart"/>
      <w:r w:rsidRPr="004E3153">
        <w:rPr>
          <w:color w:val="343434"/>
        </w:rPr>
        <w:t>Wajeman</w:t>
      </w:r>
      <w:proofErr w:type="spellEnd"/>
      <w:r w:rsidRPr="004E3153">
        <w:rPr>
          <w:color w:val="343434"/>
        </w:rPr>
        <w:t xml:space="preserve">, </w:t>
      </w:r>
      <w:proofErr w:type="spellStart"/>
      <w:r w:rsidRPr="004E3153">
        <w:rPr>
          <w:i/>
          <w:iCs/>
          <w:color w:val="343434"/>
        </w:rPr>
        <w:t>Ornicar</w:t>
      </w:r>
      <w:proofErr w:type="spellEnd"/>
      <w:r w:rsidRPr="004E3153">
        <w:rPr>
          <w:i/>
          <w:iCs/>
          <w:color w:val="343434"/>
        </w:rPr>
        <w:t>, Bulletin périodique du champ freudien</w:t>
      </w:r>
      <w:r w:rsidRPr="004E3153">
        <w:rPr>
          <w:color w:val="343434"/>
        </w:rPr>
        <w:t>, n</w:t>
      </w:r>
      <w:r w:rsidRPr="004E3153">
        <w:rPr>
          <w:color w:val="343434"/>
          <w:vertAlign w:val="superscript"/>
        </w:rPr>
        <w:t>o</w:t>
      </w:r>
      <w:r w:rsidRPr="004E3153">
        <w:rPr>
          <w:color w:val="343434"/>
        </w:rPr>
        <w:t xml:space="preserve"> 10, 1977, pp. 62-93. (Repris in </w:t>
      </w:r>
      <w:r w:rsidRPr="004E3153">
        <w:rPr>
          <w:i/>
          <w:iCs/>
          <w:color w:val="343434"/>
        </w:rPr>
        <w:t>Dits et Écrits</w:t>
      </w:r>
      <w:r w:rsidRPr="004E3153">
        <w:rPr>
          <w:color w:val="343434"/>
        </w:rPr>
        <w:t> </w:t>
      </w:r>
      <w:r w:rsidRPr="004E3153">
        <w:rPr>
          <w:iCs/>
          <w:color w:val="343434"/>
        </w:rPr>
        <w:t xml:space="preserve">II, </w:t>
      </w:r>
      <w:r w:rsidRPr="004E3153">
        <w:rPr>
          <w:color w:val="343434"/>
        </w:rPr>
        <w:t xml:space="preserve">Paris, Gallimard, </w:t>
      </w:r>
      <w:r w:rsidRPr="004E3153">
        <w:rPr>
          <w:iCs/>
          <w:color w:val="343434"/>
        </w:rPr>
        <w:t>1976-</w:t>
      </w:r>
      <w:r w:rsidRPr="004E3153">
        <w:rPr>
          <w:color w:val="343434"/>
        </w:rPr>
        <w:t xml:space="preserve">1988). </w:t>
      </w:r>
    </w:p>
    <w:p w:rsidR="00AD766A" w:rsidRDefault="00AD766A" w:rsidP="00AD766A">
      <w:pPr>
        <w:spacing w:after="120" w:line="276" w:lineRule="auto"/>
        <w:jc w:val="both"/>
      </w:pPr>
      <w:proofErr w:type="spellStart"/>
      <w:r w:rsidRPr="00D556EB">
        <w:rPr>
          <w:color w:val="343434"/>
        </w:rPr>
        <w:lastRenderedPageBreak/>
        <w:t>Frize</w:t>
      </w:r>
      <w:proofErr w:type="spellEnd"/>
      <w:r w:rsidRPr="00D556EB">
        <w:rPr>
          <w:color w:val="343434"/>
        </w:rPr>
        <w:t xml:space="preserve">, Bernard, </w:t>
      </w:r>
      <w:r w:rsidRPr="00D556EB">
        <w:t xml:space="preserve">« I </w:t>
      </w:r>
      <w:proofErr w:type="spellStart"/>
      <w:r w:rsidRPr="00D556EB">
        <w:t>buy</w:t>
      </w:r>
      <w:proofErr w:type="spellEnd"/>
      <w:r w:rsidRPr="00D556EB">
        <w:t xml:space="preserve"> a </w:t>
      </w:r>
      <w:proofErr w:type="spellStart"/>
      <w:r w:rsidRPr="00D556EB">
        <w:t>brush</w:t>
      </w:r>
      <w:proofErr w:type="spellEnd"/>
      <w:r w:rsidRPr="00D556EB">
        <w:t xml:space="preserve"> 40 cm </w:t>
      </w:r>
      <w:proofErr w:type="spellStart"/>
      <w:r w:rsidRPr="00D556EB">
        <w:t>wide</w:t>
      </w:r>
      <w:proofErr w:type="spellEnd"/>
      <w:r w:rsidRPr="00D556EB">
        <w:t xml:space="preserve"> », </w:t>
      </w:r>
      <w:r>
        <w:t>I</w:t>
      </w:r>
      <w:r w:rsidRPr="00D556EB">
        <w:t xml:space="preserve">nterview avec </w:t>
      </w:r>
      <w:proofErr w:type="spellStart"/>
      <w:r w:rsidRPr="00D556EB">
        <w:t>Irmeline</w:t>
      </w:r>
      <w:proofErr w:type="spellEnd"/>
      <w:r w:rsidRPr="00D556EB">
        <w:t xml:space="preserve"> </w:t>
      </w:r>
      <w:proofErr w:type="spellStart"/>
      <w:r w:rsidRPr="00D556EB">
        <w:t>Lebeer</w:t>
      </w:r>
      <w:proofErr w:type="spellEnd"/>
      <w:r w:rsidRPr="00D556EB">
        <w:t xml:space="preserve">, </w:t>
      </w:r>
      <w:r w:rsidRPr="00D556EB">
        <w:rPr>
          <w:i/>
        </w:rPr>
        <w:t>in</w:t>
      </w:r>
      <w:r w:rsidRPr="00D556EB">
        <w:t xml:space="preserve"> S. </w:t>
      </w:r>
      <w:proofErr w:type="spellStart"/>
      <w:r w:rsidRPr="00D556EB">
        <w:t>Pagé</w:t>
      </w:r>
      <w:proofErr w:type="spellEnd"/>
      <w:r w:rsidRPr="00D556EB">
        <w:t xml:space="preserve">, B. Parent, P. </w:t>
      </w:r>
      <w:proofErr w:type="spellStart"/>
      <w:r w:rsidRPr="00D556EB">
        <w:t>Falguières</w:t>
      </w:r>
      <w:proofErr w:type="spellEnd"/>
      <w:r w:rsidRPr="00D556EB">
        <w:t xml:space="preserve"> </w:t>
      </w:r>
      <w:r w:rsidRPr="00D556EB">
        <w:rPr>
          <w:i/>
        </w:rPr>
        <w:t>et al</w:t>
      </w:r>
      <w:r w:rsidRPr="00D556EB">
        <w:t>. (</w:t>
      </w:r>
      <w:proofErr w:type="spellStart"/>
      <w:r w:rsidRPr="00D556EB">
        <w:t>dirs</w:t>
      </w:r>
      <w:proofErr w:type="spellEnd"/>
      <w:r w:rsidRPr="00D556EB">
        <w:t xml:space="preserve">), </w:t>
      </w:r>
      <w:r w:rsidRPr="00D556EB">
        <w:rPr>
          <w:i/>
        </w:rPr>
        <w:t xml:space="preserve">Aplat, Bernard </w:t>
      </w:r>
      <w:proofErr w:type="spellStart"/>
      <w:r w:rsidRPr="00D556EB">
        <w:rPr>
          <w:i/>
        </w:rPr>
        <w:t>Frize</w:t>
      </w:r>
      <w:proofErr w:type="spellEnd"/>
      <w:r w:rsidRPr="00D556EB">
        <w:t xml:space="preserve">, </w:t>
      </w:r>
      <w:proofErr w:type="spellStart"/>
      <w:r w:rsidRPr="00D556EB">
        <w:t>exh</w:t>
      </w:r>
      <w:proofErr w:type="spellEnd"/>
      <w:r w:rsidRPr="00D556EB">
        <w:t>. cat. Musée d’Art Moderne de la Ville de Paris, Paris, Paris Musées, 2003.</w:t>
      </w:r>
    </w:p>
    <w:p w:rsidR="00AD766A" w:rsidRDefault="00AD766A" w:rsidP="00AD766A">
      <w:pPr>
        <w:spacing w:after="120" w:line="276" w:lineRule="auto"/>
        <w:jc w:val="both"/>
      </w:pPr>
      <w:proofErr w:type="spellStart"/>
      <w:r w:rsidRPr="00D556EB">
        <w:t>Frize</w:t>
      </w:r>
      <w:proofErr w:type="spellEnd"/>
      <w:r w:rsidRPr="00D556EB">
        <w:t xml:space="preserve">, Bernard, « Quoi, Pourquoi, Quand, Comment, Où et Qui » (2009), </w:t>
      </w:r>
      <w:r w:rsidRPr="00D556EB">
        <w:rPr>
          <w:i/>
        </w:rPr>
        <w:t>in</w:t>
      </w:r>
      <w:r w:rsidRPr="00D556EB">
        <w:t xml:space="preserve"> A. Lampe (éd.),</w:t>
      </w:r>
      <w:r w:rsidRPr="004E3153">
        <w:t xml:space="preserve"> </w:t>
      </w:r>
      <w:r w:rsidRPr="004E3153">
        <w:rPr>
          <w:i/>
        </w:rPr>
        <w:t xml:space="preserve">Bernard </w:t>
      </w:r>
      <w:proofErr w:type="spellStart"/>
      <w:r w:rsidRPr="004E3153">
        <w:rPr>
          <w:i/>
        </w:rPr>
        <w:t>Frize</w:t>
      </w:r>
      <w:proofErr w:type="spellEnd"/>
      <w:r w:rsidRPr="004E3153">
        <w:rPr>
          <w:i/>
        </w:rPr>
        <w:t xml:space="preserve"> sans repentir</w:t>
      </w:r>
      <w:r w:rsidRPr="004E3153">
        <w:t xml:space="preserve">, Paris, Centre Pompidou, Éditions </w:t>
      </w:r>
      <w:proofErr w:type="spellStart"/>
      <w:r w:rsidRPr="004E3153">
        <w:t>Dilecta</w:t>
      </w:r>
      <w:proofErr w:type="spellEnd"/>
      <w:r w:rsidRPr="004E3153">
        <w:t xml:space="preserve">, 2019, pp. 183-192. </w:t>
      </w:r>
    </w:p>
    <w:p w:rsidR="00AD766A" w:rsidRDefault="00AD766A" w:rsidP="00AD766A">
      <w:pPr>
        <w:spacing w:after="120" w:line="276" w:lineRule="auto"/>
        <w:jc w:val="both"/>
      </w:pPr>
      <w:proofErr w:type="spellStart"/>
      <w:r w:rsidRPr="00D556EB">
        <w:rPr>
          <w:color w:val="343434"/>
        </w:rPr>
        <w:t>Frize</w:t>
      </w:r>
      <w:proofErr w:type="spellEnd"/>
      <w:r w:rsidRPr="00D556EB">
        <w:rPr>
          <w:color w:val="343434"/>
        </w:rPr>
        <w:t xml:space="preserve"> Bernard, </w:t>
      </w:r>
      <w:r>
        <w:rPr>
          <w:color w:val="343434"/>
        </w:rPr>
        <w:t>« </w:t>
      </w:r>
      <w:r w:rsidRPr="00D556EB">
        <w:rPr>
          <w:color w:val="343434"/>
        </w:rPr>
        <w:t>Interview</w:t>
      </w:r>
      <w:r>
        <w:rPr>
          <w:color w:val="343434"/>
        </w:rPr>
        <w:t> »</w:t>
      </w:r>
      <w:r w:rsidRPr="00D556EB">
        <w:rPr>
          <w:color w:val="343434"/>
        </w:rPr>
        <w:t xml:space="preserve"> avec Angela Lampe, </w:t>
      </w:r>
      <w:r w:rsidRPr="00D556EB">
        <w:rPr>
          <w:i/>
        </w:rPr>
        <w:t>in</w:t>
      </w:r>
      <w:r w:rsidRPr="00D556EB">
        <w:t xml:space="preserve"> A. Lampe (éd.),</w:t>
      </w:r>
      <w:r w:rsidRPr="004E3153">
        <w:t xml:space="preserve"> </w:t>
      </w:r>
      <w:r w:rsidRPr="004E3153">
        <w:rPr>
          <w:i/>
        </w:rPr>
        <w:t xml:space="preserve">Bernard </w:t>
      </w:r>
      <w:proofErr w:type="spellStart"/>
      <w:r w:rsidRPr="004E3153">
        <w:rPr>
          <w:i/>
        </w:rPr>
        <w:t>Frize</w:t>
      </w:r>
      <w:proofErr w:type="spellEnd"/>
      <w:r w:rsidRPr="004E3153">
        <w:rPr>
          <w:i/>
        </w:rPr>
        <w:t xml:space="preserve"> sans repentir</w:t>
      </w:r>
      <w:r w:rsidRPr="004E3153">
        <w:t xml:space="preserve">, Paris, Centre Pompidou, Éditions </w:t>
      </w:r>
      <w:proofErr w:type="spellStart"/>
      <w:r w:rsidRPr="004E3153">
        <w:t>Dilecta</w:t>
      </w:r>
      <w:proofErr w:type="spellEnd"/>
      <w:r w:rsidRPr="004E3153">
        <w:t>, 2019</w:t>
      </w:r>
      <w:r>
        <w:t>.</w:t>
      </w:r>
    </w:p>
    <w:p w:rsidR="00AD766A" w:rsidRPr="00AE3AED" w:rsidRDefault="00AD766A" w:rsidP="00AD766A">
      <w:pPr>
        <w:pStyle w:val="Notedebasdepage"/>
        <w:spacing w:after="120" w:line="276" w:lineRule="auto"/>
        <w:jc w:val="both"/>
      </w:pPr>
      <w:r w:rsidRPr="00AE3AED">
        <w:t xml:space="preserve">Bernard </w:t>
      </w:r>
      <w:proofErr w:type="spellStart"/>
      <w:r w:rsidRPr="00AE3AED">
        <w:t>Frize</w:t>
      </w:r>
      <w:proofErr w:type="spellEnd"/>
      <w:r w:rsidRPr="00AE3AED">
        <w:t xml:space="preserve">, Propos recueillis par Angela Lampe, Centre  Pompidou, </w:t>
      </w:r>
      <w:r w:rsidRPr="00AE3AED">
        <w:rPr>
          <w:i/>
        </w:rPr>
        <w:t>Code couleur</w:t>
      </w:r>
      <w:r w:rsidRPr="00AE3AED">
        <w:t>, n</w:t>
      </w:r>
      <w:r w:rsidRPr="00AE3AED">
        <w:rPr>
          <w:vertAlign w:val="superscript"/>
        </w:rPr>
        <w:t>o</w:t>
      </w:r>
      <w:r w:rsidRPr="00AE3AED">
        <w:t xml:space="preserve"> 34, mai-août 2019, pp. 12-15. </w:t>
      </w:r>
    </w:p>
    <w:p w:rsidR="00AD766A" w:rsidRPr="00AE3AED" w:rsidRDefault="00AD766A" w:rsidP="00AD766A">
      <w:pPr>
        <w:spacing w:after="120" w:line="276" w:lineRule="auto"/>
        <w:jc w:val="both"/>
      </w:pPr>
      <w:r w:rsidRPr="00AE3AED">
        <w:t xml:space="preserve">Gauthier </w:t>
      </w:r>
      <w:r w:rsidR="009B247B">
        <w:t>M</w:t>
      </w:r>
      <w:r w:rsidRPr="00AE3AED">
        <w:t xml:space="preserve">ichel, « Le paradoxe d’Oma »,  </w:t>
      </w:r>
      <w:r w:rsidRPr="00AE3AED">
        <w:rPr>
          <w:i/>
        </w:rPr>
        <w:t>in</w:t>
      </w:r>
      <w:r w:rsidRPr="00AE3AED">
        <w:t xml:space="preserve"> A. Lampe (éd.), </w:t>
      </w:r>
      <w:r w:rsidRPr="00AE3AED">
        <w:rPr>
          <w:i/>
        </w:rPr>
        <w:t xml:space="preserve">Bernard </w:t>
      </w:r>
      <w:proofErr w:type="spellStart"/>
      <w:r w:rsidRPr="00AE3AED">
        <w:rPr>
          <w:i/>
        </w:rPr>
        <w:t>Frize</w:t>
      </w:r>
      <w:proofErr w:type="spellEnd"/>
      <w:r w:rsidRPr="00AE3AED">
        <w:rPr>
          <w:i/>
        </w:rPr>
        <w:t xml:space="preserve"> sans repentir</w:t>
      </w:r>
      <w:r w:rsidRPr="00AE3AED">
        <w:t xml:space="preserve">, Paris, Centre Pompidou, Éditions </w:t>
      </w:r>
      <w:proofErr w:type="spellStart"/>
      <w:r w:rsidRPr="00AE3AED">
        <w:t>Dilecta</w:t>
      </w:r>
      <w:proofErr w:type="spellEnd"/>
      <w:r w:rsidRPr="00AE3AED">
        <w:t>, 2019, pp. 161-168.</w:t>
      </w:r>
    </w:p>
    <w:p w:rsidR="00AD766A" w:rsidRPr="00AE3AED" w:rsidRDefault="00AD766A" w:rsidP="00AD766A">
      <w:pPr>
        <w:pStyle w:val="Notedebasdepage"/>
        <w:spacing w:after="120" w:line="276" w:lineRule="auto"/>
        <w:jc w:val="both"/>
      </w:pPr>
      <w:proofErr w:type="spellStart"/>
      <w:r w:rsidRPr="00AE3AED">
        <w:t>Geelhaar</w:t>
      </w:r>
      <w:proofErr w:type="spellEnd"/>
      <w:r w:rsidRPr="00AE3AED">
        <w:t xml:space="preserve">, Christian, </w:t>
      </w:r>
      <w:r w:rsidRPr="00AE3AED">
        <w:rPr>
          <w:i/>
        </w:rPr>
        <w:t>Paul Klee et le Bauhaus</w:t>
      </w:r>
      <w:r w:rsidRPr="00AE3AED">
        <w:t xml:space="preserve">, Neuchâtel, Éditions Ides et Calendes, 1972. </w:t>
      </w:r>
    </w:p>
    <w:p w:rsidR="00AD766A" w:rsidRPr="004E3153" w:rsidRDefault="00AD766A" w:rsidP="00AD766A">
      <w:pPr>
        <w:spacing w:after="120"/>
        <w:jc w:val="both"/>
      </w:pPr>
      <w:r w:rsidRPr="004E3153">
        <w:t xml:space="preserve">Greimas, </w:t>
      </w:r>
      <w:proofErr w:type="spellStart"/>
      <w:r w:rsidRPr="004E3153">
        <w:t>Algirdas</w:t>
      </w:r>
      <w:proofErr w:type="spellEnd"/>
      <w:r w:rsidRPr="004E3153">
        <w:t xml:space="preserve"> Julien, « Sémiotique figurative et sémiotique plastique », </w:t>
      </w:r>
      <w:r w:rsidRPr="004E3153">
        <w:rPr>
          <w:i/>
        </w:rPr>
        <w:t>Actes sémiotiques, Documents</w:t>
      </w:r>
      <w:r w:rsidRPr="004E3153">
        <w:t>, VI, n</w:t>
      </w:r>
      <w:r w:rsidRPr="004E3153">
        <w:rPr>
          <w:vertAlign w:val="superscript"/>
        </w:rPr>
        <w:t>o</w:t>
      </w:r>
      <w:r w:rsidRPr="004E3153">
        <w:t xml:space="preserve"> 60, 1984.</w:t>
      </w:r>
    </w:p>
    <w:p w:rsidR="00AD766A" w:rsidRPr="004E3153" w:rsidRDefault="00AD766A" w:rsidP="00AD766A">
      <w:pPr>
        <w:pStyle w:val="Notedebasdepage"/>
        <w:spacing w:after="120"/>
        <w:jc w:val="both"/>
        <w:rPr>
          <w:lang w:val="fr-CH"/>
        </w:rPr>
      </w:pPr>
      <w:r w:rsidRPr="004E3153">
        <w:t xml:space="preserve">Greimas, </w:t>
      </w:r>
      <w:proofErr w:type="spellStart"/>
      <w:r w:rsidRPr="004E3153">
        <w:t>Algirdas</w:t>
      </w:r>
      <w:proofErr w:type="spellEnd"/>
      <w:r w:rsidRPr="004E3153">
        <w:t xml:space="preserve"> Julien, Courtés, Joseph, </w:t>
      </w:r>
      <w:r w:rsidRPr="004E3153">
        <w:rPr>
          <w:i/>
          <w:lang w:val="fr-CH"/>
        </w:rPr>
        <w:t>Sémiotique. Dictionnaire raisonné de la théorie du langage</w:t>
      </w:r>
      <w:r w:rsidRPr="004E3153">
        <w:rPr>
          <w:lang w:val="fr-CH"/>
        </w:rPr>
        <w:t>, Paris, Hachette, 1979.</w:t>
      </w:r>
    </w:p>
    <w:p w:rsidR="00AD766A" w:rsidRPr="004E3153" w:rsidRDefault="00AD766A" w:rsidP="00AD766A">
      <w:pPr>
        <w:pStyle w:val="Notedebasdepage"/>
        <w:spacing w:after="120"/>
      </w:pPr>
      <w:r w:rsidRPr="004E3153">
        <w:t xml:space="preserve">Groupe µ, </w:t>
      </w:r>
      <w:r w:rsidRPr="004E3153">
        <w:rPr>
          <w:i/>
        </w:rPr>
        <w:t>Traité du signe visuel</w:t>
      </w:r>
      <w:r w:rsidRPr="004E3153">
        <w:t>.</w:t>
      </w:r>
      <w:r w:rsidRPr="004E3153">
        <w:rPr>
          <w:i/>
        </w:rPr>
        <w:t xml:space="preserve"> Pour une rhétorique de l’image</w:t>
      </w:r>
      <w:r w:rsidRPr="004E3153">
        <w:t xml:space="preserve">, Paris, Seuil, 1992. </w:t>
      </w:r>
    </w:p>
    <w:p w:rsidR="00AD766A" w:rsidRPr="004E3153" w:rsidRDefault="00AD766A" w:rsidP="00AD766A">
      <w:pPr>
        <w:pStyle w:val="bibliographie"/>
        <w:spacing w:before="0" w:beforeAutospacing="0" w:after="120" w:afterAutospacing="0"/>
        <w:rPr>
          <w:color w:val="000000" w:themeColor="text1"/>
        </w:rPr>
      </w:pPr>
      <w:r w:rsidRPr="004E3153">
        <w:rPr>
          <w:color w:val="000000" w:themeColor="text1"/>
        </w:rPr>
        <w:t xml:space="preserve">Groupe µ, « L’effet de temporalité dans les images fixes », </w:t>
      </w:r>
      <w:r w:rsidRPr="004E3153">
        <w:rPr>
          <w:i/>
          <w:color w:val="000000" w:themeColor="text1"/>
        </w:rPr>
        <w:t>Texte</w:t>
      </w:r>
      <w:r w:rsidRPr="004E3153">
        <w:rPr>
          <w:color w:val="000000" w:themeColor="text1"/>
        </w:rPr>
        <w:t>, numéro spécial</w:t>
      </w:r>
      <w:r w:rsidRPr="004E3153">
        <w:rPr>
          <w:rStyle w:val="apple-converted-space"/>
          <w:i/>
          <w:iCs/>
          <w:color w:val="000000" w:themeColor="text1"/>
        </w:rPr>
        <w:t> </w:t>
      </w:r>
      <w:r w:rsidRPr="004E3153">
        <w:rPr>
          <w:rStyle w:val="Accentuation"/>
          <w:color w:val="000000" w:themeColor="text1"/>
        </w:rPr>
        <w:t>Iconicité et narrativité</w:t>
      </w:r>
      <w:r w:rsidRPr="004E3153">
        <w:rPr>
          <w:color w:val="000000" w:themeColor="text1"/>
        </w:rPr>
        <w:t xml:space="preserve"> 1998, n</w:t>
      </w:r>
      <w:r w:rsidRPr="004E3153">
        <w:rPr>
          <w:color w:val="000000" w:themeColor="text1"/>
          <w:vertAlign w:val="superscript"/>
        </w:rPr>
        <w:t>os</w:t>
      </w:r>
      <w:r w:rsidRPr="004E3153">
        <w:rPr>
          <w:color w:val="000000" w:themeColor="text1"/>
        </w:rPr>
        <w:t xml:space="preserve"> 21-22, pp. 41-69. </w:t>
      </w:r>
    </w:p>
    <w:p w:rsidR="00AD766A" w:rsidRPr="004E3153" w:rsidRDefault="00AD766A" w:rsidP="00AD766A">
      <w:pPr>
        <w:pStyle w:val="Notedebasdepage"/>
        <w:spacing w:after="120"/>
        <w:jc w:val="both"/>
        <w:rPr>
          <w:lang w:val="en-US"/>
        </w:rPr>
      </w:pPr>
      <w:r w:rsidRPr="004E3153">
        <w:rPr>
          <w:lang w:val="en-US"/>
        </w:rPr>
        <w:t xml:space="preserve">Ingold, Tim, </w:t>
      </w:r>
      <w:r w:rsidRPr="004E3153">
        <w:rPr>
          <w:i/>
          <w:lang w:val="en-US"/>
        </w:rPr>
        <w:t>The Perception of the Environment. Essays on Livelihood, Dwelling and Skill</w:t>
      </w:r>
      <w:r w:rsidRPr="004E3153">
        <w:rPr>
          <w:lang w:val="en-US"/>
        </w:rPr>
        <w:t xml:space="preserve">, </w:t>
      </w:r>
      <w:proofErr w:type="spellStart"/>
      <w:r w:rsidRPr="004E3153">
        <w:rPr>
          <w:lang w:val="en-US"/>
        </w:rPr>
        <w:t>Londres</w:t>
      </w:r>
      <w:proofErr w:type="spellEnd"/>
      <w:r w:rsidRPr="004E3153">
        <w:rPr>
          <w:lang w:val="en-US"/>
        </w:rPr>
        <w:t xml:space="preserve">, Routledge, 2011. </w:t>
      </w:r>
    </w:p>
    <w:p w:rsidR="00AD766A" w:rsidRPr="004E3153" w:rsidRDefault="00AD766A" w:rsidP="00AD766A">
      <w:pPr>
        <w:pStyle w:val="Notedebasdepage"/>
        <w:spacing w:after="120"/>
        <w:jc w:val="both"/>
      </w:pPr>
      <w:r w:rsidRPr="004E3153">
        <w:rPr>
          <w:lang w:val="fr-CH"/>
        </w:rPr>
        <w:t xml:space="preserve">Ingold, Tim, </w:t>
      </w:r>
      <w:r w:rsidRPr="004E3153">
        <w:rPr>
          <w:i/>
          <w:lang w:val="fr-CH"/>
        </w:rPr>
        <w:t>Une brève histoire des lignes</w:t>
      </w:r>
      <w:r w:rsidRPr="004E3153">
        <w:rPr>
          <w:lang w:val="fr-CH"/>
        </w:rPr>
        <w:t xml:space="preserve">, Le </w:t>
      </w:r>
      <w:proofErr w:type="spellStart"/>
      <w:r w:rsidRPr="004E3153">
        <w:rPr>
          <w:lang w:val="fr-CH"/>
        </w:rPr>
        <w:t>Kremlin-Bicetre</w:t>
      </w:r>
      <w:proofErr w:type="spellEnd"/>
      <w:r w:rsidRPr="004E3153">
        <w:rPr>
          <w:lang w:val="fr-CH"/>
        </w:rPr>
        <w:t>, Éditions Zones sensibles, 2011-2013.</w:t>
      </w:r>
    </w:p>
    <w:p w:rsidR="00AD766A" w:rsidRPr="004E3153" w:rsidRDefault="00AD766A" w:rsidP="00AD766A">
      <w:pPr>
        <w:spacing w:after="120"/>
        <w:jc w:val="both"/>
      </w:pPr>
      <w:r w:rsidRPr="004E3153">
        <w:rPr>
          <w:lang w:val="fr-CH"/>
        </w:rPr>
        <w:t xml:space="preserve">Ingold, Tim, </w:t>
      </w:r>
      <w:r w:rsidRPr="004E3153">
        <w:rPr>
          <w:i/>
        </w:rPr>
        <w:t xml:space="preserve">Faire : anthropologie, archéologie, art et architecture, </w:t>
      </w:r>
      <w:proofErr w:type="spellStart"/>
      <w:r w:rsidRPr="004E3153">
        <w:t>Bellevaux</w:t>
      </w:r>
      <w:proofErr w:type="spellEnd"/>
      <w:r w:rsidRPr="004E3153">
        <w:t>,</w:t>
      </w:r>
      <w:r w:rsidRPr="004E3153">
        <w:rPr>
          <w:i/>
        </w:rPr>
        <w:t xml:space="preserve"> </w:t>
      </w:r>
      <w:r w:rsidRPr="004E3153">
        <w:rPr>
          <w:lang w:val="fr-CH"/>
        </w:rPr>
        <w:t>É</w:t>
      </w:r>
      <w:proofErr w:type="spellStart"/>
      <w:r w:rsidRPr="004E3153">
        <w:t>ditions</w:t>
      </w:r>
      <w:proofErr w:type="spellEnd"/>
      <w:r w:rsidRPr="004E3153">
        <w:t xml:space="preserve"> Dehors, 2017.</w:t>
      </w:r>
    </w:p>
    <w:p w:rsidR="00AD766A" w:rsidRPr="004E3153" w:rsidRDefault="00AD766A" w:rsidP="00AD766A">
      <w:pPr>
        <w:spacing w:after="120"/>
        <w:jc w:val="both"/>
        <w:rPr>
          <w:color w:val="262626"/>
        </w:rPr>
      </w:pPr>
      <w:r w:rsidRPr="004E3153">
        <w:rPr>
          <w:color w:val="262626"/>
        </w:rPr>
        <w:t xml:space="preserve">Klee, Paul, </w:t>
      </w:r>
      <w:proofErr w:type="spellStart"/>
      <w:r w:rsidRPr="004E3153">
        <w:rPr>
          <w:i/>
        </w:rPr>
        <w:t>Das</w:t>
      </w:r>
      <w:proofErr w:type="spellEnd"/>
      <w:r w:rsidRPr="004E3153">
        <w:rPr>
          <w:i/>
        </w:rPr>
        <w:t xml:space="preserve"> </w:t>
      </w:r>
      <w:proofErr w:type="spellStart"/>
      <w:r w:rsidRPr="004E3153">
        <w:rPr>
          <w:i/>
        </w:rPr>
        <w:t>bildnerische</w:t>
      </w:r>
      <w:proofErr w:type="spellEnd"/>
      <w:r w:rsidRPr="004E3153">
        <w:rPr>
          <w:i/>
        </w:rPr>
        <w:t xml:space="preserve"> </w:t>
      </w:r>
      <w:proofErr w:type="spellStart"/>
      <w:r w:rsidRPr="004E3153">
        <w:rPr>
          <w:i/>
        </w:rPr>
        <w:t>Denken</w:t>
      </w:r>
      <w:proofErr w:type="spellEnd"/>
      <w:r w:rsidRPr="004E3153">
        <w:t xml:space="preserve">, écrits posthumes sur la doctrine de la forme et de la composition, éd. établie par Jürg </w:t>
      </w:r>
      <w:proofErr w:type="spellStart"/>
      <w:r w:rsidRPr="004E3153">
        <w:t>Spiller</w:t>
      </w:r>
      <w:proofErr w:type="spellEnd"/>
      <w:r w:rsidRPr="004E3153">
        <w:t xml:space="preserve">, Bâle-Stuttgart, Benno </w:t>
      </w:r>
      <w:proofErr w:type="spellStart"/>
      <w:r w:rsidRPr="004E3153">
        <w:t>Schwabe</w:t>
      </w:r>
      <w:proofErr w:type="spellEnd"/>
      <w:r w:rsidRPr="004E3153">
        <w:t xml:space="preserve">, </w:t>
      </w:r>
      <w:r w:rsidRPr="004E3153">
        <w:rPr>
          <w:color w:val="262626"/>
        </w:rPr>
        <w:t xml:space="preserve">1964 [1956]. </w:t>
      </w:r>
      <w:r w:rsidRPr="004E3153">
        <w:rPr>
          <w:i/>
          <w:color w:val="262626"/>
        </w:rPr>
        <w:t>Écrits sur l’art,</w:t>
      </w:r>
      <w:r w:rsidRPr="004E3153">
        <w:rPr>
          <w:color w:val="262626"/>
        </w:rPr>
        <w:t xml:space="preserve"> t.1. : </w:t>
      </w:r>
      <w:r w:rsidRPr="004E3153">
        <w:rPr>
          <w:i/>
          <w:color w:val="262626"/>
        </w:rPr>
        <w:t>La pensée créatrice</w:t>
      </w:r>
      <w:r w:rsidRPr="004E3153">
        <w:rPr>
          <w:color w:val="262626"/>
        </w:rPr>
        <w:t xml:space="preserve">, trad. S. Girard, Paris, </w:t>
      </w:r>
      <w:proofErr w:type="spellStart"/>
      <w:r w:rsidRPr="004E3153">
        <w:rPr>
          <w:color w:val="262626"/>
        </w:rPr>
        <w:t>Dessain</w:t>
      </w:r>
      <w:proofErr w:type="spellEnd"/>
      <w:r w:rsidRPr="004E3153">
        <w:rPr>
          <w:color w:val="262626"/>
        </w:rPr>
        <w:t xml:space="preserve"> et </w:t>
      </w:r>
      <w:proofErr w:type="spellStart"/>
      <w:r w:rsidRPr="004E3153">
        <w:rPr>
          <w:color w:val="262626"/>
        </w:rPr>
        <w:t>Tolra</w:t>
      </w:r>
      <w:proofErr w:type="spellEnd"/>
      <w:r w:rsidRPr="004E3153">
        <w:rPr>
          <w:color w:val="262626"/>
        </w:rPr>
        <w:t>, 1973.</w:t>
      </w:r>
    </w:p>
    <w:p w:rsidR="00AD766A" w:rsidRPr="004E3153" w:rsidRDefault="00AD766A" w:rsidP="00AD766A">
      <w:pPr>
        <w:spacing w:after="120"/>
        <w:jc w:val="both"/>
      </w:pPr>
      <w:r w:rsidRPr="004E3153">
        <w:t xml:space="preserve">Klee, Paul, </w:t>
      </w:r>
      <w:r w:rsidRPr="004E3153">
        <w:rPr>
          <w:i/>
        </w:rPr>
        <w:t>Théorie de l’art moderne</w:t>
      </w:r>
      <w:r w:rsidRPr="004E3153">
        <w:t>, trad. P.-H. Gonthier, Paris, Éditions Denoël, 1985 [1964]</w:t>
      </w:r>
      <w:r>
        <w:t xml:space="preserve">. </w:t>
      </w:r>
    </w:p>
    <w:p w:rsidR="00AD766A" w:rsidRPr="004E3153" w:rsidRDefault="00AD766A" w:rsidP="00AD766A">
      <w:pPr>
        <w:spacing w:after="120"/>
        <w:jc w:val="both"/>
      </w:pPr>
      <w:r w:rsidRPr="004E3153">
        <w:t xml:space="preserve">Klee, Paul, </w:t>
      </w:r>
      <w:r w:rsidRPr="004E3153">
        <w:rPr>
          <w:i/>
        </w:rPr>
        <w:t>Cours du Bauhaus. Contributions à la théorie de la forme picturale, Weimar 1921-1922</w:t>
      </w:r>
      <w:r w:rsidRPr="004E3153">
        <w:t>, Paris, Éditions Hazan, 2004.</w:t>
      </w:r>
    </w:p>
    <w:p w:rsidR="00AD766A" w:rsidRDefault="00AD766A" w:rsidP="00AD766A">
      <w:pPr>
        <w:spacing w:after="120"/>
        <w:jc w:val="both"/>
      </w:pPr>
      <w:r w:rsidRPr="004E3153">
        <w:t>Lampe, Angela (</w:t>
      </w:r>
      <w:proofErr w:type="spellStart"/>
      <w:r w:rsidRPr="004E3153">
        <w:t>dir</w:t>
      </w:r>
      <w:proofErr w:type="spellEnd"/>
      <w:r w:rsidRPr="004E3153">
        <w:t xml:space="preserve">.), </w:t>
      </w:r>
      <w:r w:rsidRPr="004E3153">
        <w:rPr>
          <w:i/>
        </w:rPr>
        <w:t xml:space="preserve">Bernard </w:t>
      </w:r>
      <w:proofErr w:type="spellStart"/>
      <w:r w:rsidRPr="004E3153">
        <w:rPr>
          <w:i/>
        </w:rPr>
        <w:t>Frize</w:t>
      </w:r>
      <w:proofErr w:type="spellEnd"/>
      <w:r>
        <w:rPr>
          <w:i/>
        </w:rPr>
        <w:t xml:space="preserve"> </w:t>
      </w:r>
      <w:r w:rsidRPr="004E3153">
        <w:rPr>
          <w:i/>
        </w:rPr>
        <w:t>sans repentir</w:t>
      </w:r>
      <w:r w:rsidRPr="004E3153">
        <w:t xml:space="preserve">, Paris, Centre Pompidou, Éditions </w:t>
      </w:r>
      <w:proofErr w:type="spellStart"/>
      <w:r w:rsidRPr="004E3153">
        <w:t>Dilecta</w:t>
      </w:r>
      <w:proofErr w:type="spellEnd"/>
      <w:r w:rsidRPr="004E3153">
        <w:t xml:space="preserve">, 2019. </w:t>
      </w:r>
    </w:p>
    <w:p w:rsidR="00AD766A" w:rsidRPr="009B247B" w:rsidRDefault="00AD766A" w:rsidP="00AD766A">
      <w:pPr>
        <w:pStyle w:val="NormalWeb"/>
        <w:spacing w:before="0" w:beforeAutospacing="0" w:after="120" w:afterAutospacing="0" w:line="276" w:lineRule="auto"/>
        <w:jc w:val="both"/>
        <w:rPr>
          <w:color w:val="000000" w:themeColor="text1"/>
        </w:rPr>
      </w:pPr>
      <w:r w:rsidRPr="009B247B">
        <w:rPr>
          <w:rStyle w:val="Lienhypertexte"/>
          <w:smallCaps/>
          <w:color w:val="000000" w:themeColor="text1"/>
          <w:u w:val="none"/>
        </w:rPr>
        <w:t>L</w:t>
      </w:r>
      <w:r w:rsidRPr="009B247B">
        <w:rPr>
          <w:rStyle w:val="Lienhypertexte"/>
          <w:color w:val="000000" w:themeColor="text1"/>
          <w:u w:val="none"/>
        </w:rPr>
        <w:t xml:space="preserve">eroi-Gourhan, André, </w:t>
      </w:r>
      <w:r w:rsidRPr="009B247B">
        <w:rPr>
          <w:rStyle w:val="Lienhypertexte"/>
          <w:i/>
          <w:color w:val="000000" w:themeColor="text1"/>
          <w:u w:val="none"/>
        </w:rPr>
        <w:t>Le geste et la parole</w:t>
      </w:r>
      <w:r w:rsidRPr="009B247B">
        <w:rPr>
          <w:rStyle w:val="Lienhypertexte"/>
          <w:color w:val="000000" w:themeColor="text1"/>
          <w:u w:val="none"/>
        </w:rPr>
        <w:t xml:space="preserve">, Paris, Albin Michel, 1965. </w:t>
      </w:r>
    </w:p>
    <w:p w:rsidR="00AD766A" w:rsidRPr="00F52974" w:rsidRDefault="00AD766A" w:rsidP="00AD766A">
      <w:pPr>
        <w:widowControl w:val="0"/>
        <w:autoSpaceDE w:val="0"/>
        <w:autoSpaceDN w:val="0"/>
        <w:adjustRightInd w:val="0"/>
        <w:spacing w:after="120" w:line="276" w:lineRule="auto"/>
        <w:jc w:val="both"/>
        <w:rPr>
          <w:i/>
        </w:rPr>
      </w:pPr>
      <w:r w:rsidRPr="00F52974">
        <w:t xml:space="preserve">Lessing, Gotthold </w:t>
      </w:r>
      <w:proofErr w:type="spellStart"/>
      <w:r w:rsidRPr="00F52974">
        <w:t>Ephraim</w:t>
      </w:r>
      <w:proofErr w:type="spellEnd"/>
      <w:r w:rsidRPr="00F52974">
        <w:t xml:space="preserve">, </w:t>
      </w:r>
      <w:r w:rsidRPr="00F52974">
        <w:rPr>
          <w:i/>
        </w:rPr>
        <w:t>Laocoon ou Des frontières de la peinture et de la poésie</w:t>
      </w:r>
      <w:r w:rsidRPr="00F52974">
        <w:t xml:space="preserve">, Paris, Herman, 1990 ; trad. </w:t>
      </w:r>
      <w:proofErr w:type="spellStart"/>
      <w:r w:rsidRPr="00F52974">
        <w:t>fr.</w:t>
      </w:r>
      <w:proofErr w:type="spellEnd"/>
      <w:r w:rsidRPr="00F52974">
        <w:t xml:space="preserve"> de </w:t>
      </w:r>
      <w:r w:rsidRPr="00F52974">
        <w:rPr>
          <w:i/>
        </w:rPr>
        <w:t xml:space="preserve">Laocoon, </w:t>
      </w:r>
      <w:proofErr w:type="spellStart"/>
      <w:r w:rsidRPr="00F52974">
        <w:rPr>
          <w:i/>
        </w:rPr>
        <w:t>oder</w:t>
      </w:r>
      <w:proofErr w:type="spellEnd"/>
      <w:r w:rsidRPr="00F52974">
        <w:rPr>
          <w:i/>
        </w:rPr>
        <w:t xml:space="preserve"> </w:t>
      </w:r>
      <w:proofErr w:type="spellStart"/>
      <w:r w:rsidRPr="00F52974">
        <w:rPr>
          <w:i/>
        </w:rPr>
        <w:t>Über</w:t>
      </w:r>
      <w:proofErr w:type="spellEnd"/>
      <w:r w:rsidRPr="00F52974">
        <w:rPr>
          <w:i/>
        </w:rPr>
        <w:t xml:space="preserve"> die </w:t>
      </w:r>
      <w:proofErr w:type="spellStart"/>
      <w:r w:rsidRPr="00F52974">
        <w:rPr>
          <w:i/>
        </w:rPr>
        <w:t>Grenzen</w:t>
      </w:r>
      <w:proofErr w:type="spellEnd"/>
      <w:r w:rsidRPr="00F52974">
        <w:rPr>
          <w:i/>
        </w:rPr>
        <w:t xml:space="preserve"> der </w:t>
      </w:r>
      <w:proofErr w:type="spellStart"/>
      <w:r w:rsidRPr="00F52974">
        <w:rPr>
          <w:i/>
        </w:rPr>
        <w:t>Malerei</w:t>
      </w:r>
      <w:proofErr w:type="spellEnd"/>
      <w:r w:rsidRPr="00F52974">
        <w:rPr>
          <w:i/>
        </w:rPr>
        <w:t xml:space="preserve"> </w:t>
      </w:r>
      <w:proofErr w:type="spellStart"/>
      <w:r w:rsidRPr="00F52974">
        <w:rPr>
          <w:i/>
        </w:rPr>
        <w:t>und</w:t>
      </w:r>
      <w:proofErr w:type="spellEnd"/>
      <w:r w:rsidRPr="00F52974">
        <w:rPr>
          <w:i/>
        </w:rPr>
        <w:t xml:space="preserve"> der </w:t>
      </w:r>
      <w:proofErr w:type="spellStart"/>
      <w:r w:rsidRPr="00F52974">
        <w:rPr>
          <w:i/>
        </w:rPr>
        <w:t>Poesie</w:t>
      </w:r>
      <w:proofErr w:type="spellEnd"/>
      <w:r w:rsidRPr="00F52974">
        <w:t>, 1766.</w:t>
      </w:r>
    </w:p>
    <w:p w:rsidR="00AD766A" w:rsidRPr="004E3153" w:rsidRDefault="00AD766A" w:rsidP="00AD766A">
      <w:pPr>
        <w:pStyle w:val="Notedebasdepage"/>
        <w:spacing w:after="120"/>
        <w:jc w:val="both"/>
      </w:pPr>
      <w:proofErr w:type="spellStart"/>
      <w:r w:rsidRPr="004E3153">
        <w:t>Latour</w:t>
      </w:r>
      <w:proofErr w:type="spellEnd"/>
      <w:r w:rsidRPr="004E3153">
        <w:t xml:space="preserve">, « Factures / Fractures : de la notion de réseau à celle d’attachement », </w:t>
      </w:r>
      <w:r w:rsidRPr="004E3153">
        <w:rPr>
          <w:i/>
        </w:rPr>
        <w:t>in</w:t>
      </w:r>
      <w:r w:rsidRPr="004E3153">
        <w:t xml:space="preserve"> A. </w:t>
      </w:r>
      <w:proofErr w:type="spellStart"/>
      <w:r w:rsidRPr="004E3153">
        <w:t>Micoud</w:t>
      </w:r>
      <w:proofErr w:type="spellEnd"/>
      <w:r w:rsidRPr="004E3153">
        <w:t xml:space="preserve">, M. </w:t>
      </w:r>
      <w:proofErr w:type="spellStart"/>
      <w:r w:rsidRPr="004E3153">
        <w:t>Peroni</w:t>
      </w:r>
      <w:proofErr w:type="spellEnd"/>
      <w:r w:rsidRPr="004E3153">
        <w:t xml:space="preserve"> (</w:t>
      </w:r>
      <w:proofErr w:type="spellStart"/>
      <w:r w:rsidRPr="004E3153">
        <w:t>éds</w:t>
      </w:r>
      <w:proofErr w:type="spellEnd"/>
      <w:r w:rsidRPr="004E3153">
        <w:rPr>
          <w:i/>
        </w:rPr>
        <w:t>), Ce qui nous relie</w:t>
      </w:r>
      <w:r w:rsidRPr="004E3153">
        <w:t xml:space="preserve">, La Tour d’Aigues, L’Aube, 2000, pp. 189-208. </w:t>
      </w:r>
    </w:p>
    <w:p w:rsidR="00AD766A" w:rsidRPr="009B247B" w:rsidRDefault="00AD766A" w:rsidP="00AD766A">
      <w:pPr>
        <w:spacing w:after="120"/>
        <w:jc w:val="both"/>
        <w:rPr>
          <w:color w:val="000000" w:themeColor="text1"/>
        </w:rPr>
      </w:pPr>
      <w:proofErr w:type="spellStart"/>
      <w:r w:rsidRPr="009B247B">
        <w:rPr>
          <w:color w:val="000000" w:themeColor="text1"/>
        </w:rPr>
        <w:lastRenderedPageBreak/>
        <w:t>Latour</w:t>
      </w:r>
      <w:proofErr w:type="spellEnd"/>
      <w:r w:rsidRPr="009B247B">
        <w:rPr>
          <w:color w:val="000000" w:themeColor="text1"/>
        </w:rPr>
        <w:t>, Bruno, « L’anti-zoom », 2014. [En ligne] : &lt;</w:t>
      </w:r>
      <w:hyperlink r:id="rId8" w:history="1">
        <w:r w:rsidRPr="009B247B">
          <w:rPr>
            <w:rStyle w:val="Lienhypertexte"/>
            <w:color w:val="000000" w:themeColor="text1"/>
            <w:u w:val="none"/>
          </w:rPr>
          <w:t>www.bruno-latour.fr/sites/default/.../P-170-ELIASSON-FRpdf.pdf</w:t>
        </w:r>
      </w:hyperlink>
      <w:r w:rsidR="00A03ABC">
        <w:rPr>
          <w:rStyle w:val="Lienhypertexte"/>
          <w:color w:val="000000" w:themeColor="text1"/>
          <w:u w:val="none"/>
        </w:rPr>
        <w:t>&gt;</w:t>
      </w:r>
      <w:bookmarkStart w:id="0" w:name="_GoBack"/>
      <w:bookmarkEnd w:id="0"/>
      <w:r w:rsidRPr="009B247B">
        <w:rPr>
          <w:rStyle w:val="Lienhypertexte"/>
          <w:color w:val="000000" w:themeColor="text1"/>
          <w:u w:val="none"/>
        </w:rPr>
        <w:t xml:space="preserve"> (consulté le 24/08/2019). </w:t>
      </w:r>
    </w:p>
    <w:p w:rsidR="00AD766A" w:rsidRPr="004E3153" w:rsidRDefault="00AD766A" w:rsidP="00AD766A">
      <w:pPr>
        <w:pStyle w:val="Notedebasdepage"/>
        <w:spacing w:after="120"/>
        <w:jc w:val="both"/>
      </w:pPr>
      <w:r w:rsidRPr="004E3153">
        <w:t xml:space="preserve">Michaux, Henri, </w:t>
      </w:r>
      <w:r w:rsidRPr="004E3153">
        <w:rPr>
          <w:i/>
        </w:rPr>
        <w:t>Mouvements</w:t>
      </w:r>
      <w:r w:rsidRPr="004E3153">
        <w:t xml:space="preserve"> (1951), </w:t>
      </w:r>
      <w:r w:rsidRPr="004E3153">
        <w:rPr>
          <w:i/>
        </w:rPr>
        <w:t>in Face aux verrous</w:t>
      </w:r>
      <w:r w:rsidRPr="004E3153">
        <w:t>, Paris, Galimard, 1997.</w:t>
      </w:r>
    </w:p>
    <w:p w:rsidR="00AD766A" w:rsidRDefault="00AD766A" w:rsidP="00AD766A">
      <w:pPr>
        <w:widowControl w:val="0"/>
        <w:autoSpaceDE w:val="0"/>
        <w:autoSpaceDN w:val="0"/>
        <w:adjustRightInd w:val="0"/>
        <w:spacing w:after="120"/>
        <w:jc w:val="both"/>
        <w:rPr>
          <w:iCs/>
        </w:rPr>
      </w:pPr>
      <w:r w:rsidRPr="004E3153">
        <w:rPr>
          <w:lang w:val="fr-CH"/>
        </w:rPr>
        <w:t xml:space="preserve">Michaux, Henri, </w:t>
      </w:r>
      <w:r w:rsidRPr="004E3153">
        <w:rPr>
          <w:i/>
          <w:iCs/>
        </w:rPr>
        <w:t xml:space="preserve">Par des traits, </w:t>
      </w:r>
      <w:r w:rsidRPr="004E3153">
        <w:rPr>
          <w:iCs/>
        </w:rPr>
        <w:t xml:space="preserve">Montpellier, </w:t>
      </w:r>
      <w:proofErr w:type="spellStart"/>
      <w:r w:rsidRPr="004E3153">
        <w:rPr>
          <w:iCs/>
        </w:rPr>
        <w:t>Fata</w:t>
      </w:r>
      <w:proofErr w:type="spellEnd"/>
      <w:r w:rsidRPr="004E3153">
        <w:rPr>
          <w:iCs/>
        </w:rPr>
        <w:t xml:space="preserve"> Morgana, 1984</w:t>
      </w:r>
      <w:r>
        <w:rPr>
          <w:iCs/>
        </w:rPr>
        <w:t>.</w:t>
      </w:r>
    </w:p>
    <w:p w:rsidR="00AD766A" w:rsidRPr="004E3153" w:rsidRDefault="00AD766A" w:rsidP="00AD766A">
      <w:pPr>
        <w:widowControl w:val="0"/>
        <w:autoSpaceDE w:val="0"/>
        <w:autoSpaceDN w:val="0"/>
        <w:adjustRightInd w:val="0"/>
        <w:spacing w:after="120"/>
        <w:jc w:val="both"/>
        <w:rPr>
          <w:iCs/>
        </w:rPr>
      </w:pPr>
      <w:r>
        <w:rPr>
          <w:iCs/>
        </w:rPr>
        <w:t xml:space="preserve">Michaux, Henri, </w:t>
      </w:r>
      <w:r w:rsidRPr="00F52974">
        <w:rPr>
          <w:i/>
          <w:iCs/>
        </w:rPr>
        <w:t>Paul Klee</w:t>
      </w:r>
      <w:r>
        <w:rPr>
          <w:iCs/>
        </w:rPr>
        <w:t xml:space="preserve">, Fontfroide le haut, </w:t>
      </w:r>
      <w:proofErr w:type="spellStart"/>
      <w:r>
        <w:rPr>
          <w:iCs/>
        </w:rPr>
        <w:t>Fata</w:t>
      </w:r>
      <w:proofErr w:type="spellEnd"/>
      <w:r>
        <w:rPr>
          <w:iCs/>
        </w:rPr>
        <w:t xml:space="preserve"> Morgana, 2012. </w:t>
      </w:r>
    </w:p>
    <w:p w:rsidR="00AD766A" w:rsidRPr="004E3153" w:rsidRDefault="00AD766A" w:rsidP="00AD766A">
      <w:pPr>
        <w:spacing w:after="120"/>
        <w:jc w:val="both"/>
        <w:rPr>
          <w:lang w:val="de-DE"/>
        </w:rPr>
      </w:pPr>
      <w:r w:rsidRPr="004E3153">
        <w:rPr>
          <w:lang w:val="de-DE"/>
        </w:rPr>
        <w:t xml:space="preserve">Runge, Phillip Otto, </w:t>
      </w:r>
      <w:r w:rsidRPr="004E3153">
        <w:rPr>
          <w:i/>
          <w:lang w:val="de-DE"/>
        </w:rPr>
        <w:t xml:space="preserve">Farben-Kugel oder </w:t>
      </w:r>
      <w:proofErr w:type="spellStart"/>
      <w:r w:rsidRPr="004E3153">
        <w:rPr>
          <w:i/>
          <w:lang w:val="de-DE"/>
        </w:rPr>
        <w:t>Construction</w:t>
      </w:r>
      <w:proofErr w:type="spellEnd"/>
      <w:r w:rsidRPr="004E3153">
        <w:rPr>
          <w:i/>
          <w:lang w:val="de-DE"/>
        </w:rPr>
        <w:t xml:space="preserve"> des Verhältnisses aller Mischungen der Farben zueinander, und ihrer vollständigen Affinität, </w:t>
      </w:r>
      <w:r w:rsidRPr="004E3153">
        <w:rPr>
          <w:lang w:val="de-DE"/>
        </w:rPr>
        <w:t xml:space="preserve">Hamburg, Friedrich </w:t>
      </w:r>
      <w:proofErr w:type="spellStart"/>
      <w:r w:rsidRPr="004E3153">
        <w:rPr>
          <w:lang w:val="de-DE"/>
        </w:rPr>
        <w:t>Perthes</w:t>
      </w:r>
      <w:proofErr w:type="spellEnd"/>
      <w:r w:rsidRPr="004E3153">
        <w:rPr>
          <w:i/>
          <w:lang w:val="de-DE"/>
        </w:rPr>
        <w:t xml:space="preserve">, </w:t>
      </w:r>
      <w:r w:rsidRPr="004E3153">
        <w:rPr>
          <w:lang w:val="de-DE"/>
        </w:rPr>
        <w:t xml:space="preserve">1810. </w:t>
      </w:r>
    </w:p>
    <w:p w:rsidR="00AD766A" w:rsidRPr="009B247B" w:rsidRDefault="00AD766A" w:rsidP="00AD766A">
      <w:pPr>
        <w:spacing w:after="120"/>
      </w:pPr>
      <w:proofErr w:type="spellStart"/>
      <w:r w:rsidRPr="009B247B">
        <w:t>Parret</w:t>
      </w:r>
      <w:proofErr w:type="spellEnd"/>
      <w:r w:rsidRPr="009B247B">
        <w:t xml:space="preserve">, Herman, </w:t>
      </w:r>
      <w:r w:rsidRPr="009B247B">
        <w:rPr>
          <w:i/>
          <w:color w:val="000000"/>
        </w:rPr>
        <w:t>É</w:t>
      </w:r>
      <w:r w:rsidRPr="009B247B">
        <w:rPr>
          <w:rStyle w:val="Lienhypertexte"/>
          <w:i/>
          <w:color w:val="000000"/>
          <w:u w:val="none"/>
        </w:rPr>
        <w:t>piphanies de la présence</w:t>
      </w:r>
      <w:r w:rsidRPr="009B247B">
        <w:rPr>
          <w:rStyle w:val="Lienhypertexte"/>
          <w:color w:val="000000"/>
          <w:u w:val="none"/>
        </w:rPr>
        <w:t xml:space="preserve">, Limoges, </w:t>
      </w:r>
      <w:proofErr w:type="spellStart"/>
      <w:r w:rsidRPr="009B247B">
        <w:rPr>
          <w:rStyle w:val="Lienhypertexte"/>
          <w:color w:val="000000"/>
          <w:u w:val="none"/>
        </w:rPr>
        <w:t>Pulim</w:t>
      </w:r>
      <w:proofErr w:type="spellEnd"/>
      <w:r w:rsidRPr="009B247B">
        <w:rPr>
          <w:rStyle w:val="Lienhypertexte"/>
          <w:color w:val="000000"/>
          <w:u w:val="none"/>
        </w:rPr>
        <w:t xml:space="preserve">, </w:t>
      </w:r>
      <w:r w:rsidRPr="009B247B">
        <w:t>2006.</w:t>
      </w:r>
    </w:p>
    <w:p w:rsidR="00AD766A" w:rsidRDefault="00AD766A" w:rsidP="00AD766A">
      <w:pPr>
        <w:spacing w:after="120"/>
        <w:rPr>
          <w:lang w:val="de-DE"/>
        </w:rPr>
      </w:pPr>
      <w:r w:rsidRPr="004E3153">
        <w:rPr>
          <w:lang w:val="de-DE"/>
        </w:rPr>
        <w:t>Petitpierre,</w:t>
      </w:r>
      <w:r w:rsidR="009B247B">
        <w:rPr>
          <w:lang w:val="de-DE"/>
        </w:rPr>
        <w:t xml:space="preserve"> </w:t>
      </w:r>
      <w:r w:rsidRPr="004E3153">
        <w:rPr>
          <w:lang w:val="de-DE"/>
        </w:rPr>
        <w:t xml:space="preserve">Petra, </w:t>
      </w:r>
      <w:r w:rsidRPr="004E3153">
        <w:rPr>
          <w:i/>
          <w:lang w:val="de-DE"/>
        </w:rPr>
        <w:t>Aus der Malklasse von Paul Klee</w:t>
      </w:r>
      <w:r w:rsidRPr="004E3153">
        <w:rPr>
          <w:lang w:val="de-DE"/>
        </w:rPr>
        <w:t xml:space="preserve">, </w:t>
      </w:r>
      <w:proofErr w:type="spellStart"/>
      <w:r w:rsidRPr="004E3153">
        <w:rPr>
          <w:lang w:val="de-DE"/>
        </w:rPr>
        <w:t>Berne</w:t>
      </w:r>
      <w:proofErr w:type="spellEnd"/>
      <w:r w:rsidRPr="004E3153">
        <w:rPr>
          <w:lang w:val="de-DE"/>
        </w:rPr>
        <w:t>, 1957.</w:t>
      </w:r>
    </w:p>
    <w:p w:rsidR="00AD766A" w:rsidRPr="000E0189" w:rsidRDefault="00AD766A" w:rsidP="00AD766A">
      <w:pPr>
        <w:spacing w:after="120" w:line="276" w:lineRule="auto"/>
        <w:jc w:val="both"/>
        <w:rPr>
          <w:color w:val="000000"/>
        </w:rPr>
      </w:pPr>
      <w:r w:rsidRPr="000E0189">
        <w:rPr>
          <w:color w:val="000000"/>
        </w:rPr>
        <w:t xml:space="preserve">Saint-Martin, Fernande, </w:t>
      </w:r>
      <w:r w:rsidRPr="000E0189">
        <w:rPr>
          <w:i/>
        </w:rPr>
        <w:t>La théorie de la Gestalt et l’art visuel. Essai sur les fondements de la sémiotique visuelle</w:t>
      </w:r>
      <w:r w:rsidRPr="000E0189">
        <w:t>, Québec, Presses de l’Université du Québec, 1990.</w:t>
      </w:r>
    </w:p>
    <w:p w:rsidR="00AD766A" w:rsidRPr="004E3153" w:rsidRDefault="00AD766A" w:rsidP="00AD766A">
      <w:pPr>
        <w:widowControl w:val="0"/>
        <w:autoSpaceDE w:val="0"/>
        <w:autoSpaceDN w:val="0"/>
        <w:adjustRightInd w:val="0"/>
        <w:spacing w:after="120" w:line="276" w:lineRule="auto"/>
        <w:jc w:val="both"/>
        <w:rPr>
          <w:i/>
          <w:iCs/>
        </w:rPr>
      </w:pPr>
      <w:r w:rsidRPr="000E0189">
        <w:t xml:space="preserve">Schaeffer, Jean-Marie, « Narration visuelle et interprétation », </w:t>
      </w:r>
      <w:r w:rsidRPr="000E0189">
        <w:rPr>
          <w:i/>
        </w:rPr>
        <w:t>in</w:t>
      </w:r>
      <w:r w:rsidRPr="000E0189">
        <w:t xml:space="preserve"> M. Ribière &amp; J. </w:t>
      </w:r>
      <w:proofErr w:type="spellStart"/>
      <w:r w:rsidRPr="000E0189">
        <w:t>Baetens</w:t>
      </w:r>
      <w:proofErr w:type="spellEnd"/>
      <w:r w:rsidRPr="000E0189">
        <w:t>, (</w:t>
      </w:r>
      <w:proofErr w:type="spellStart"/>
      <w:r w:rsidRPr="000E0189">
        <w:t>éds</w:t>
      </w:r>
      <w:proofErr w:type="spellEnd"/>
      <w:r w:rsidRPr="000E0189">
        <w:t xml:space="preserve">), </w:t>
      </w:r>
      <w:r w:rsidRPr="000E0189">
        <w:rPr>
          <w:i/>
        </w:rPr>
        <w:t xml:space="preserve">Time, Narrative &amp; The </w:t>
      </w:r>
      <w:proofErr w:type="spellStart"/>
      <w:r w:rsidRPr="000E0189">
        <w:rPr>
          <w:i/>
        </w:rPr>
        <w:t>Fixed</w:t>
      </w:r>
      <w:proofErr w:type="spellEnd"/>
      <w:r w:rsidRPr="000E0189">
        <w:rPr>
          <w:i/>
        </w:rPr>
        <w:t xml:space="preserve"> Image</w:t>
      </w:r>
      <w:r w:rsidRPr="000E0189">
        <w:t xml:space="preserve"> / </w:t>
      </w:r>
      <w:r w:rsidRPr="000E0189">
        <w:rPr>
          <w:i/>
        </w:rPr>
        <w:t>Temps, narration &amp; image fixe</w:t>
      </w:r>
      <w:r w:rsidRPr="000E0189">
        <w:t>, Amsterdam,</w:t>
      </w:r>
      <w:r w:rsidRPr="004E3153">
        <w:t xml:space="preserve"> </w:t>
      </w:r>
      <w:proofErr w:type="spellStart"/>
      <w:r w:rsidRPr="004E3153">
        <w:t>Rodopi</w:t>
      </w:r>
      <w:proofErr w:type="spellEnd"/>
      <w:r w:rsidRPr="004E3153">
        <w:t>, 2001, pp. 11-27.</w:t>
      </w:r>
    </w:p>
    <w:p w:rsidR="00AD766A" w:rsidRPr="004E3153" w:rsidRDefault="00AD766A" w:rsidP="00AD766A">
      <w:pPr>
        <w:pStyle w:val="Notedebasdepage"/>
        <w:spacing w:after="120"/>
        <w:jc w:val="both"/>
        <w:rPr>
          <w:lang w:val="fr-CH"/>
        </w:rPr>
      </w:pPr>
      <w:proofErr w:type="spellStart"/>
      <w:r w:rsidRPr="004E3153">
        <w:rPr>
          <w:lang w:val="fr-CH"/>
        </w:rPr>
        <w:t>Simondon</w:t>
      </w:r>
      <w:proofErr w:type="spellEnd"/>
      <w:r w:rsidRPr="004E3153">
        <w:rPr>
          <w:lang w:val="fr-CH"/>
        </w:rPr>
        <w:t xml:space="preserve">, Gilbert, </w:t>
      </w:r>
      <w:r w:rsidRPr="004E3153">
        <w:rPr>
          <w:i/>
          <w:lang w:val="fr-CH"/>
        </w:rPr>
        <w:t>Du mode d’existence des objets techniques</w:t>
      </w:r>
      <w:r w:rsidRPr="004E3153">
        <w:rPr>
          <w:lang w:val="fr-CH"/>
        </w:rPr>
        <w:t xml:space="preserve">, Paris, Éditions Aubier, 2001 [1958].  </w:t>
      </w:r>
    </w:p>
    <w:p w:rsidR="00AD766A" w:rsidRPr="004E3153" w:rsidRDefault="00AD766A" w:rsidP="00AD766A">
      <w:pPr>
        <w:pStyle w:val="NormalWeb"/>
        <w:spacing w:before="0" w:beforeAutospacing="0" w:after="120" w:afterAutospacing="0"/>
        <w:jc w:val="both"/>
        <w:rPr>
          <w:color w:val="000000" w:themeColor="text1"/>
        </w:rPr>
      </w:pPr>
      <w:r w:rsidRPr="004E3153">
        <w:t xml:space="preserve">Souriau, </w:t>
      </w:r>
      <w:r w:rsidRPr="004E3153">
        <w:rPr>
          <w:color w:val="000000" w:themeColor="text1"/>
        </w:rPr>
        <w:t>Étienne</w:t>
      </w:r>
      <w:r w:rsidRPr="004E3153">
        <w:t xml:space="preserve">, </w:t>
      </w:r>
      <w:r w:rsidRPr="004E3153">
        <w:rPr>
          <w:i/>
          <w:iCs/>
          <w:color w:val="000000" w:themeColor="text1"/>
        </w:rPr>
        <w:t xml:space="preserve">Avoir une </w:t>
      </w:r>
      <w:proofErr w:type="spellStart"/>
      <w:r w:rsidRPr="004E3153">
        <w:rPr>
          <w:i/>
          <w:iCs/>
          <w:color w:val="000000" w:themeColor="text1"/>
        </w:rPr>
        <w:t>âme</w:t>
      </w:r>
      <w:proofErr w:type="spellEnd"/>
      <w:r w:rsidRPr="004E3153">
        <w:rPr>
          <w:i/>
          <w:iCs/>
          <w:color w:val="000000" w:themeColor="text1"/>
        </w:rPr>
        <w:t xml:space="preserve">, </w:t>
      </w:r>
      <w:r w:rsidRPr="004E3153">
        <w:rPr>
          <w:color w:val="000000" w:themeColor="text1"/>
        </w:rPr>
        <w:t>Annales de l'</w:t>
      </w:r>
      <w:proofErr w:type="spellStart"/>
      <w:r w:rsidRPr="004E3153">
        <w:rPr>
          <w:color w:val="000000" w:themeColor="text1"/>
        </w:rPr>
        <w:t>Universite</w:t>
      </w:r>
      <w:proofErr w:type="spellEnd"/>
      <w:r w:rsidRPr="004E3153">
        <w:rPr>
          <w:color w:val="000000" w:themeColor="text1"/>
        </w:rPr>
        <w:t>́ de Lyon, Lyon, 1939.</w:t>
      </w:r>
    </w:p>
    <w:p w:rsidR="00AD766A" w:rsidRPr="004E3153" w:rsidRDefault="00AD766A" w:rsidP="00AD766A">
      <w:pPr>
        <w:pStyle w:val="NormalWeb"/>
        <w:spacing w:before="0" w:beforeAutospacing="0" w:after="120" w:afterAutospacing="0"/>
        <w:jc w:val="both"/>
        <w:rPr>
          <w:color w:val="000000"/>
          <w:lang w:val="en-US"/>
        </w:rPr>
      </w:pPr>
      <w:proofErr w:type="spellStart"/>
      <w:r w:rsidRPr="004E3153">
        <w:rPr>
          <w:lang w:val="en-US"/>
        </w:rPr>
        <w:t>Souriau</w:t>
      </w:r>
      <w:proofErr w:type="spellEnd"/>
      <w:r w:rsidRPr="004E3153">
        <w:rPr>
          <w:lang w:val="en-US"/>
        </w:rPr>
        <w:t xml:space="preserve">, </w:t>
      </w:r>
      <w:r w:rsidRPr="004E3153">
        <w:rPr>
          <w:color w:val="000000" w:themeColor="text1"/>
          <w:lang w:val="en-US"/>
        </w:rPr>
        <w:t>Étienne</w:t>
      </w:r>
      <w:r w:rsidRPr="004E3153">
        <w:rPr>
          <w:lang w:val="en-US"/>
        </w:rPr>
        <w:t xml:space="preserve">, « Time in Plastic Arts », </w:t>
      </w:r>
      <w:r w:rsidRPr="004E3153">
        <w:rPr>
          <w:i/>
          <w:lang w:val="en-US"/>
        </w:rPr>
        <w:t>The Journal of Aesthetics and Art Criticism,</w:t>
      </w:r>
      <w:r w:rsidRPr="004E3153">
        <w:rPr>
          <w:lang w:val="en-US"/>
        </w:rPr>
        <w:t xml:space="preserve"> 7, 4, 1949, pp. 294-307.</w:t>
      </w:r>
    </w:p>
    <w:p w:rsidR="00AD766A" w:rsidRPr="004E3153" w:rsidRDefault="00AD766A" w:rsidP="00AD766A">
      <w:pPr>
        <w:pStyle w:val="NormalWeb"/>
        <w:spacing w:before="0" w:beforeAutospacing="0" w:after="120" w:afterAutospacing="0"/>
        <w:jc w:val="both"/>
        <w:rPr>
          <w:color w:val="000000" w:themeColor="text1"/>
        </w:rPr>
      </w:pPr>
      <w:r w:rsidRPr="004E3153">
        <w:rPr>
          <w:color w:val="000000" w:themeColor="text1"/>
        </w:rPr>
        <w:t>Souriau, Étienne</w:t>
      </w:r>
      <w:r w:rsidRPr="004E3153">
        <w:rPr>
          <w:i/>
          <w:color w:val="000000" w:themeColor="text1"/>
        </w:rPr>
        <w:t>, Les différents modes d’existence</w:t>
      </w:r>
      <w:r w:rsidRPr="004E3153">
        <w:rPr>
          <w:color w:val="000000" w:themeColor="text1"/>
        </w:rPr>
        <w:t xml:space="preserve"> suivi de </w:t>
      </w:r>
      <w:r w:rsidRPr="004E3153">
        <w:rPr>
          <w:i/>
          <w:color w:val="000000" w:themeColor="text1"/>
        </w:rPr>
        <w:t>De l’œuvre à faire</w:t>
      </w:r>
      <w:r w:rsidRPr="004E3153">
        <w:rPr>
          <w:color w:val="000000" w:themeColor="text1"/>
        </w:rPr>
        <w:t xml:space="preserve">, in I. </w:t>
      </w:r>
      <w:proofErr w:type="spellStart"/>
      <w:r w:rsidRPr="004E3153">
        <w:rPr>
          <w:color w:val="000000" w:themeColor="text1"/>
        </w:rPr>
        <w:t>Stengers</w:t>
      </w:r>
      <w:proofErr w:type="spellEnd"/>
      <w:r w:rsidRPr="004E3153">
        <w:rPr>
          <w:color w:val="000000" w:themeColor="text1"/>
        </w:rPr>
        <w:t xml:space="preserve">, B. </w:t>
      </w:r>
      <w:proofErr w:type="spellStart"/>
      <w:r w:rsidRPr="004E3153">
        <w:rPr>
          <w:color w:val="000000" w:themeColor="text1"/>
        </w:rPr>
        <w:t>Latour</w:t>
      </w:r>
      <w:proofErr w:type="spellEnd"/>
      <w:r w:rsidRPr="004E3153">
        <w:rPr>
          <w:color w:val="000000" w:themeColor="text1"/>
        </w:rPr>
        <w:t xml:space="preserve"> (</w:t>
      </w:r>
      <w:proofErr w:type="spellStart"/>
      <w:r w:rsidRPr="004E3153">
        <w:rPr>
          <w:color w:val="000000" w:themeColor="text1"/>
        </w:rPr>
        <w:t>dirs</w:t>
      </w:r>
      <w:proofErr w:type="spellEnd"/>
      <w:r w:rsidRPr="004E3153">
        <w:rPr>
          <w:color w:val="000000" w:themeColor="text1"/>
        </w:rPr>
        <w:t>), Paris, PUF, 2009 [</w:t>
      </w:r>
      <w:r>
        <w:rPr>
          <w:color w:val="000000" w:themeColor="text1"/>
        </w:rPr>
        <w:t>1</w:t>
      </w:r>
      <w:r w:rsidR="009B247B">
        <w:rPr>
          <w:color w:val="000000" w:themeColor="text1"/>
        </w:rPr>
        <w:t>9</w:t>
      </w:r>
      <w:r>
        <w:rPr>
          <w:color w:val="000000" w:themeColor="text1"/>
        </w:rPr>
        <w:t>43</w:t>
      </w:r>
      <w:r w:rsidRPr="004E3153">
        <w:rPr>
          <w:color w:val="000000" w:themeColor="text1"/>
        </w:rPr>
        <w:t xml:space="preserve">].  </w:t>
      </w:r>
    </w:p>
    <w:p w:rsidR="00AD766A" w:rsidRPr="004E3153" w:rsidRDefault="00AD766A" w:rsidP="009B247B">
      <w:pPr>
        <w:pStyle w:val="Notedebasdepage"/>
        <w:spacing w:after="120"/>
        <w:jc w:val="both"/>
      </w:pPr>
      <w:proofErr w:type="spellStart"/>
      <w:r w:rsidRPr="004E3153">
        <w:t>Spiller</w:t>
      </w:r>
      <w:proofErr w:type="spellEnd"/>
      <w:r w:rsidRPr="004E3153">
        <w:t xml:space="preserve">, Jürg, « Paul Klee, la pensée créatrice », </w:t>
      </w:r>
      <w:r w:rsidRPr="004E3153">
        <w:rPr>
          <w:i/>
        </w:rPr>
        <w:t>Communication &amp; langages</w:t>
      </w:r>
      <w:r w:rsidRPr="004E3153">
        <w:t>, n</w:t>
      </w:r>
      <w:r w:rsidRPr="004E3153">
        <w:rPr>
          <w:vertAlign w:val="superscript"/>
        </w:rPr>
        <w:t>o</w:t>
      </w:r>
      <w:r w:rsidRPr="004E3153">
        <w:t xml:space="preserve"> 21, 1974, pp.</w:t>
      </w:r>
      <w:r w:rsidR="009B247B">
        <w:t> </w:t>
      </w:r>
      <w:r w:rsidRPr="004E3153">
        <w:t>18-34.</w:t>
      </w:r>
    </w:p>
    <w:p w:rsidR="00AD766A" w:rsidRPr="004E3153" w:rsidRDefault="00AD766A" w:rsidP="00AD766A">
      <w:pPr>
        <w:pStyle w:val="NormalWeb"/>
        <w:spacing w:before="0" w:beforeAutospacing="0" w:after="120" w:afterAutospacing="0"/>
        <w:jc w:val="both"/>
        <w:rPr>
          <w:color w:val="000000" w:themeColor="text1"/>
        </w:rPr>
      </w:pPr>
      <w:proofErr w:type="spellStart"/>
      <w:r w:rsidRPr="004E3153">
        <w:rPr>
          <w:color w:val="000000" w:themeColor="text1"/>
        </w:rPr>
        <w:t>Stengers</w:t>
      </w:r>
      <w:proofErr w:type="spellEnd"/>
      <w:r w:rsidRPr="004E3153">
        <w:rPr>
          <w:color w:val="000000" w:themeColor="text1"/>
        </w:rPr>
        <w:t xml:space="preserve">, Isabelle, </w:t>
      </w:r>
      <w:proofErr w:type="spellStart"/>
      <w:r w:rsidRPr="004E3153">
        <w:rPr>
          <w:color w:val="000000" w:themeColor="text1"/>
        </w:rPr>
        <w:t>Latour</w:t>
      </w:r>
      <w:proofErr w:type="spellEnd"/>
      <w:r w:rsidRPr="004E3153">
        <w:rPr>
          <w:color w:val="000000" w:themeColor="text1"/>
        </w:rPr>
        <w:t xml:space="preserve">, Bruno, « Le sphinx de l’œuvre » </w:t>
      </w:r>
      <w:r w:rsidRPr="004E3153">
        <w:rPr>
          <w:i/>
          <w:color w:val="000000" w:themeColor="text1"/>
        </w:rPr>
        <w:t xml:space="preserve">in </w:t>
      </w:r>
      <w:r w:rsidRPr="004E3153">
        <w:rPr>
          <w:color w:val="000000" w:themeColor="text1"/>
        </w:rPr>
        <w:t>Étienne Souriau</w:t>
      </w:r>
      <w:r>
        <w:rPr>
          <w:color w:val="000000" w:themeColor="text1"/>
        </w:rPr>
        <w:t xml:space="preserve"> [1943]</w:t>
      </w:r>
      <w:r w:rsidRPr="004E3153">
        <w:rPr>
          <w:i/>
          <w:color w:val="000000" w:themeColor="text1"/>
        </w:rPr>
        <w:t>, Les différents modes d’existence</w:t>
      </w:r>
      <w:r w:rsidRPr="004E3153">
        <w:rPr>
          <w:color w:val="000000" w:themeColor="text1"/>
        </w:rPr>
        <w:t xml:space="preserve"> suivi de </w:t>
      </w:r>
      <w:r w:rsidRPr="004E3153">
        <w:rPr>
          <w:i/>
          <w:color w:val="000000" w:themeColor="text1"/>
        </w:rPr>
        <w:t>De l’œuvre à faire</w:t>
      </w:r>
      <w:r w:rsidRPr="004E3153">
        <w:rPr>
          <w:color w:val="000000" w:themeColor="text1"/>
        </w:rPr>
        <w:t>, Paris, PUF, 2009</w:t>
      </w:r>
      <w:r>
        <w:rPr>
          <w:color w:val="000000" w:themeColor="text1"/>
        </w:rPr>
        <w:t>, pp. 5-75.</w:t>
      </w:r>
    </w:p>
    <w:p w:rsidR="00AD766A" w:rsidRPr="004E3153" w:rsidRDefault="00AD766A" w:rsidP="00AD766A">
      <w:pPr>
        <w:pStyle w:val="Notedebasdepage"/>
        <w:spacing w:after="120"/>
        <w:jc w:val="both"/>
      </w:pPr>
      <w:proofErr w:type="spellStart"/>
      <w:r w:rsidRPr="004E3153">
        <w:t>Stockholder</w:t>
      </w:r>
      <w:proofErr w:type="spellEnd"/>
      <w:r w:rsidRPr="004E3153">
        <w:t xml:space="preserve">, Jessica, « Faits de la matière. Réflexions sur l’œuvre de Bernard </w:t>
      </w:r>
      <w:proofErr w:type="spellStart"/>
      <w:r w:rsidRPr="004E3153">
        <w:t>Frize</w:t>
      </w:r>
      <w:proofErr w:type="spellEnd"/>
      <w:r w:rsidRPr="004E3153">
        <w:t xml:space="preserve"> », </w:t>
      </w:r>
      <w:r w:rsidRPr="004E3153">
        <w:rPr>
          <w:i/>
        </w:rPr>
        <w:t xml:space="preserve">in </w:t>
      </w:r>
      <w:r w:rsidRPr="004E3153">
        <w:t xml:space="preserve">A. Lampe (éd.), </w:t>
      </w:r>
      <w:r w:rsidRPr="004E3153">
        <w:rPr>
          <w:i/>
        </w:rPr>
        <w:t xml:space="preserve">Bernard </w:t>
      </w:r>
      <w:proofErr w:type="spellStart"/>
      <w:r w:rsidRPr="004E3153">
        <w:rPr>
          <w:i/>
        </w:rPr>
        <w:t>Frize</w:t>
      </w:r>
      <w:proofErr w:type="spellEnd"/>
      <w:r w:rsidRPr="004E3153">
        <w:rPr>
          <w:i/>
        </w:rPr>
        <w:t>, sans repentir,</w:t>
      </w:r>
      <w:r w:rsidRPr="004E3153">
        <w:t xml:space="preserve"> Paris, Centre Pompidou, Éditions </w:t>
      </w:r>
      <w:proofErr w:type="spellStart"/>
      <w:r w:rsidRPr="004E3153">
        <w:t>Dilecta</w:t>
      </w:r>
      <w:proofErr w:type="spellEnd"/>
      <w:r w:rsidRPr="004E3153">
        <w:t xml:space="preserve">, 2019, pp. 21-28. </w:t>
      </w:r>
    </w:p>
    <w:p w:rsidR="00AD766A" w:rsidRPr="004E3153" w:rsidRDefault="00AD766A" w:rsidP="00AD766A">
      <w:pPr>
        <w:pStyle w:val="Notedebasdepage"/>
        <w:spacing w:after="120"/>
        <w:jc w:val="both"/>
        <w:rPr>
          <w:i/>
        </w:rPr>
      </w:pPr>
      <w:proofErr w:type="spellStart"/>
      <w:r w:rsidRPr="004E3153">
        <w:rPr>
          <w:lang w:val="fr-CH"/>
        </w:rPr>
        <w:t>Thürlemann</w:t>
      </w:r>
      <w:proofErr w:type="spellEnd"/>
      <w:r w:rsidRPr="004E3153">
        <w:rPr>
          <w:lang w:val="fr-CH"/>
        </w:rPr>
        <w:t xml:space="preserve">, Félix, </w:t>
      </w:r>
      <w:r w:rsidRPr="004E3153">
        <w:rPr>
          <w:i/>
        </w:rPr>
        <w:t>Paul Klee. Analyse sémiotique de trois peintures</w:t>
      </w:r>
      <w:r w:rsidRPr="004E3153">
        <w:t xml:space="preserve">, Lausanne, L’Âge d’Homme, </w:t>
      </w:r>
      <w:r w:rsidRPr="004E3153">
        <w:rPr>
          <w:lang w:val="fr-CH"/>
        </w:rPr>
        <w:t xml:space="preserve">1982. </w:t>
      </w:r>
    </w:p>
    <w:p w:rsidR="00AD766A" w:rsidRPr="004E3153" w:rsidRDefault="00AD766A" w:rsidP="00AD766A">
      <w:pPr>
        <w:widowControl w:val="0"/>
        <w:autoSpaceDE w:val="0"/>
        <w:autoSpaceDN w:val="0"/>
        <w:adjustRightInd w:val="0"/>
        <w:spacing w:after="120"/>
        <w:jc w:val="both"/>
        <w:rPr>
          <w:i/>
          <w:lang w:val="de-DE"/>
        </w:rPr>
      </w:pPr>
      <w:r w:rsidRPr="004E3153">
        <w:rPr>
          <w:rStyle w:val="ouvrage"/>
          <w:color w:val="222222"/>
          <w:lang w:val="de-DE"/>
        </w:rPr>
        <w:t>Wahl, Volker (</w:t>
      </w:r>
      <w:proofErr w:type="spellStart"/>
      <w:r w:rsidRPr="004E3153">
        <w:rPr>
          <w:rStyle w:val="ouvrage"/>
          <w:color w:val="222222"/>
          <w:lang w:val="de-DE"/>
        </w:rPr>
        <w:t>éd</w:t>
      </w:r>
      <w:proofErr w:type="spellEnd"/>
      <w:r w:rsidRPr="004E3153">
        <w:rPr>
          <w:rStyle w:val="ouvrage"/>
          <w:color w:val="222222"/>
          <w:lang w:val="de-DE"/>
        </w:rPr>
        <w:t xml:space="preserve">.), </w:t>
      </w:r>
      <w:r w:rsidRPr="004E3153">
        <w:rPr>
          <w:rStyle w:val="CitationHTML"/>
          <w:color w:val="222222"/>
          <w:lang w:val="de-DE"/>
        </w:rPr>
        <w:t>Das staatliche Bauhaus in Weimar. Dokumente zur Geschichte des Instituts 1919-1926</w:t>
      </w:r>
      <w:r w:rsidRPr="004E3153">
        <w:rPr>
          <w:rStyle w:val="ouvrage"/>
          <w:color w:val="222222"/>
          <w:lang w:val="de-DE"/>
        </w:rPr>
        <w:t>, Wien, Köln, Weimar, Böhlau Verlag,</w:t>
      </w:r>
      <w:r w:rsidRPr="004E3153">
        <w:rPr>
          <w:rStyle w:val="apple-converted-space"/>
          <w:rFonts w:eastAsiaTheme="minorEastAsia"/>
          <w:color w:val="222222"/>
          <w:lang w:val="de-DE"/>
        </w:rPr>
        <w:t> </w:t>
      </w:r>
      <w:r w:rsidRPr="004E3153">
        <w:rPr>
          <w:rStyle w:val="ouvrage"/>
          <w:color w:val="222222"/>
          <w:lang w:val="de-DE"/>
        </w:rPr>
        <w:t>2009</w:t>
      </w:r>
      <w:r>
        <w:rPr>
          <w:rStyle w:val="ouvrage"/>
          <w:color w:val="222222"/>
          <w:lang w:val="de-DE"/>
        </w:rPr>
        <w:t>.</w:t>
      </w:r>
    </w:p>
    <w:p w:rsidR="00AD766A" w:rsidRPr="004E3153" w:rsidRDefault="00AD766A" w:rsidP="00AD766A">
      <w:pPr>
        <w:spacing w:after="120"/>
        <w:jc w:val="both"/>
        <w:rPr>
          <w:lang w:val="de-DE"/>
        </w:rPr>
      </w:pPr>
    </w:p>
    <w:p w:rsidR="00AD766A" w:rsidRPr="004E3153" w:rsidRDefault="00AD766A" w:rsidP="00AD766A">
      <w:pPr>
        <w:spacing w:after="120"/>
        <w:rPr>
          <w:lang w:val="de-DE"/>
        </w:rPr>
      </w:pPr>
    </w:p>
    <w:p w:rsidR="00AD766A" w:rsidRPr="004278E3" w:rsidRDefault="00AD766A" w:rsidP="00AD766A">
      <w:pPr>
        <w:spacing w:after="120"/>
        <w:rPr>
          <w:lang w:val="de-DE"/>
        </w:rPr>
      </w:pPr>
    </w:p>
    <w:p w:rsidR="00AD766A" w:rsidRPr="004278E3" w:rsidRDefault="00AD766A" w:rsidP="00AD766A">
      <w:pPr>
        <w:spacing w:after="120"/>
        <w:rPr>
          <w:lang w:val="de-DE"/>
        </w:rPr>
      </w:pPr>
    </w:p>
    <w:p w:rsidR="00AD766A" w:rsidRPr="004278E3" w:rsidRDefault="00AD766A" w:rsidP="00AD766A">
      <w:pPr>
        <w:spacing w:after="120"/>
        <w:rPr>
          <w:lang w:val="de-DE"/>
        </w:rPr>
      </w:pPr>
    </w:p>
    <w:p w:rsidR="00AD766A" w:rsidRPr="004278E3" w:rsidRDefault="00AD766A" w:rsidP="00AD766A">
      <w:pPr>
        <w:spacing w:after="120" w:line="276" w:lineRule="auto"/>
        <w:rPr>
          <w:lang w:val="de-DE"/>
        </w:rPr>
      </w:pPr>
    </w:p>
    <w:p w:rsidR="00AD766A" w:rsidRPr="004278E3" w:rsidRDefault="00AD766A" w:rsidP="00AD766A">
      <w:pPr>
        <w:spacing w:after="120" w:line="276" w:lineRule="auto"/>
        <w:rPr>
          <w:lang w:val="de-DE"/>
        </w:rPr>
      </w:pPr>
    </w:p>
    <w:p w:rsidR="00AD766A" w:rsidRPr="004278E3" w:rsidRDefault="00AD766A" w:rsidP="00AD766A">
      <w:pPr>
        <w:spacing w:after="120" w:line="276" w:lineRule="auto"/>
        <w:rPr>
          <w:lang w:val="de-DE"/>
        </w:rPr>
      </w:pPr>
    </w:p>
    <w:p w:rsidR="00AD766A" w:rsidRPr="004278E3" w:rsidRDefault="00AD766A" w:rsidP="00AD766A">
      <w:pPr>
        <w:spacing w:after="120" w:line="276" w:lineRule="auto"/>
        <w:rPr>
          <w:lang w:val="de-DE"/>
        </w:rPr>
      </w:pPr>
    </w:p>
    <w:p w:rsidR="00AD766A" w:rsidRPr="004278E3" w:rsidRDefault="00AD766A" w:rsidP="00AD766A">
      <w:pPr>
        <w:spacing w:after="120" w:line="276" w:lineRule="auto"/>
        <w:rPr>
          <w:lang w:val="de-DE"/>
        </w:rPr>
      </w:pPr>
    </w:p>
    <w:p w:rsidR="008A77B9" w:rsidRDefault="008A77B9"/>
    <w:sectPr w:rsidR="008A77B9"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881" w:rsidRDefault="00906881" w:rsidP="00AD766A">
      <w:r>
        <w:separator/>
      </w:r>
    </w:p>
  </w:endnote>
  <w:endnote w:type="continuationSeparator" w:id="0">
    <w:p w:rsidR="00906881" w:rsidRDefault="00906881" w:rsidP="00AD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imesNewRoman">
    <w:altName w:val="Cambria"/>
    <w:panose1 w:val="020B0604020202020204"/>
    <w:charset w:val="00"/>
    <w:family w:val="roman"/>
    <w:pitch w:val="default"/>
  </w:font>
  <w:font w:name="Code2000">
    <w:altName w:val="Heiti TC Light"/>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881" w:rsidRDefault="00906881" w:rsidP="00AD766A">
      <w:r>
        <w:separator/>
      </w:r>
    </w:p>
  </w:footnote>
  <w:footnote w:type="continuationSeparator" w:id="0">
    <w:p w:rsidR="00906881" w:rsidRDefault="00906881" w:rsidP="00AD766A">
      <w:r>
        <w:continuationSeparator/>
      </w:r>
    </w:p>
  </w:footnote>
  <w:footnote w:id="1">
    <w:p w:rsidR="00AD766A" w:rsidRPr="007A0BF2" w:rsidRDefault="00AD766A" w:rsidP="00AD766A">
      <w:pPr>
        <w:pStyle w:val="Notedebasdepage"/>
        <w:jc w:val="both"/>
        <w:rPr>
          <w:sz w:val="20"/>
          <w:szCs w:val="20"/>
          <w:lang w:val="de-DE"/>
        </w:rPr>
      </w:pPr>
      <w:r w:rsidRPr="007A0BF2">
        <w:rPr>
          <w:rStyle w:val="Appelnotedebasdep"/>
          <w:sz w:val="20"/>
          <w:szCs w:val="20"/>
        </w:rPr>
        <w:footnoteRef/>
      </w:r>
      <w:r w:rsidRPr="007A0BF2">
        <w:rPr>
          <w:sz w:val="20"/>
          <w:szCs w:val="20"/>
        </w:rPr>
        <w:t xml:space="preserve"> Paul Klee, </w:t>
      </w:r>
      <w:r w:rsidRPr="007A0BF2">
        <w:rPr>
          <w:i/>
          <w:sz w:val="20"/>
          <w:szCs w:val="20"/>
        </w:rPr>
        <w:t>Théorie de l’art moderne</w:t>
      </w:r>
      <w:r w:rsidRPr="007A0BF2">
        <w:rPr>
          <w:sz w:val="20"/>
          <w:szCs w:val="20"/>
        </w:rPr>
        <w:t xml:space="preserve">, trad. P.-H. Gonthier, Paris, Éditions Denoël, 1985 [1964], p. 34, p. 39, p. 42. </w:t>
      </w:r>
      <w:proofErr w:type="spellStart"/>
      <w:r>
        <w:rPr>
          <w:sz w:val="20"/>
          <w:szCs w:val="20"/>
          <w:lang w:val="de-DE"/>
        </w:rPr>
        <w:t>Ce</w:t>
      </w:r>
      <w:proofErr w:type="spellEnd"/>
      <w:r>
        <w:rPr>
          <w:sz w:val="20"/>
          <w:szCs w:val="20"/>
          <w:lang w:val="de-DE"/>
        </w:rPr>
        <w:t xml:space="preserve"> texte</w:t>
      </w:r>
      <w:r w:rsidRPr="007A0BF2">
        <w:rPr>
          <w:sz w:val="20"/>
          <w:szCs w:val="20"/>
          <w:lang w:val="de-DE"/>
        </w:rPr>
        <w:t xml:space="preserve"> a </w:t>
      </w:r>
      <w:proofErr w:type="spellStart"/>
      <w:r w:rsidRPr="007A0BF2">
        <w:rPr>
          <w:sz w:val="20"/>
          <w:szCs w:val="20"/>
          <w:lang w:val="de-DE"/>
        </w:rPr>
        <w:t>initialement</w:t>
      </w:r>
      <w:proofErr w:type="spellEnd"/>
      <w:r w:rsidRPr="007A0BF2">
        <w:rPr>
          <w:sz w:val="20"/>
          <w:szCs w:val="20"/>
          <w:lang w:val="de-DE"/>
        </w:rPr>
        <w:t xml:space="preserve"> </w:t>
      </w:r>
      <w:proofErr w:type="spellStart"/>
      <w:r w:rsidRPr="007A0BF2">
        <w:rPr>
          <w:sz w:val="20"/>
          <w:szCs w:val="20"/>
          <w:lang w:val="de-DE"/>
        </w:rPr>
        <w:t>paru</w:t>
      </w:r>
      <w:proofErr w:type="spellEnd"/>
      <w:r w:rsidRPr="007A0BF2">
        <w:rPr>
          <w:sz w:val="20"/>
          <w:szCs w:val="20"/>
          <w:lang w:val="de-DE"/>
        </w:rPr>
        <w:t xml:space="preserve"> </w:t>
      </w:r>
      <w:proofErr w:type="spellStart"/>
      <w:r w:rsidRPr="007A0BF2">
        <w:rPr>
          <w:sz w:val="20"/>
          <w:szCs w:val="20"/>
          <w:lang w:val="de-DE"/>
        </w:rPr>
        <w:t>dans</w:t>
      </w:r>
      <w:proofErr w:type="spellEnd"/>
      <w:r w:rsidRPr="007A0BF2">
        <w:rPr>
          <w:sz w:val="20"/>
          <w:szCs w:val="20"/>
          <w:lang w:val="de-DE"/>
        </w:rPr>
        <w:t xml:space="preserve"> </w:t>
      </w:r>
      <w:r w:rsidRPr="007A0BF2">
        <w:rPr>
          <w:i/>
          <w:sz w:val="20"/>
          <w:szCs w:val="20"/>
          <w:lang w:val="de-DE"/>
        </w:rPr>
        <w:t>Das bildnerische Denken, Schriften zur Form- und Gestaltungslehre</w:t>
      </w:r>
      <w:r w:rsidRPr="007A0BF2">
        <w:rPr>
          <w:sz w:val="20"/>
          <w:szCs w:val="20"/>
          <w:lang w:val="de-DE"/>
        </w:rPr>
        <w:t xml:space="preserve">, </w:t>
      </w:r>
      <w:proofErr w:type="spellStart"/>
      <w:r w:rsidRPr="007A0BF2">
        <w:rPr>
          <w:sz w:val="20"/>
          <w:szCs w:val="20"/>
          <w:lang w:val="de-DE"/>
        </w:rPr>
        <w:t>textes</w:t>
      </w:r>
      <w:proofErr w:type="spellEnd"/>
      <w:r w:rsidRPr="007A0BF2">
        <w:rPr>
          <w:sz w:val="20"/>
          <w:szCs w:val="20"/>
          <w:lang w:val="de-DE"/>
        </w:rPr>
        <w:t xml:space="preserve"> </w:t>
      </w:r>
      <w:proofErr w:type="spellStart"/>
      <w:r w:rsidRPr="007A0BF2">
        <w:rPr>
          <w:sz w:val="20"/>
          <w:szCs w:val="20"/>
          <w:lang w:val="de-DE"/>
        </w:rPr>
        <w:t>réunis</w:t>
      </w:r>
      <w:proofErr w:type="spellEnd"/>
      <w:r w:rsidRPr="007A0BF2">
        <w:rPr>
          <w:sz w:val="20"/>
          <w:szCs w:val="20"/>
          <w:lang w:val="de-DE"/>
        </w:rPr>
        <w:t xml:space="preserve"> et </w:t>
      </w:r>
      <w:proofErr w:type="spellStart"/>
      <w:r w:rsidRPr="007A0BF2">
        <w:rPr>
          <w:sz w:val="20"/>
          <w:szCs w:val="20"/>
          <w:lang w:val="de-DE"/>
        </w:rPr>
        <w:t>édités</w:t>
      </w:r>
      <w:proofErr w:type="spellEnd"/>
      <w:r w:rsidRPr="007A0BF2">
        <w:rPr>
          <w:sz w:val="20"/>
          <w:szCs w:val="20"/>
          <w:lang w:val="de-DE"/>
        </w:rPr>
        <w:t xml:space="preserve"> par Jürg </w:t>
      </w:r>
      <w:proofErr w:type="spellStart"/>
      <w:r w:rsidRPr="007A0BF2">
        <w:rPr>
          <w:sz w:val="20"/>
          <w:szCs w:val="20"/>
          <w:lang w:val="de-DE"/>
        </w:rPr>
        <w:t>Spiller</w:t>
      </w:r>
      <w:proofErr w:type="spellEnd"/>
      <w:r w:rsidRPr="007A0BF2">
        <w:rPr>
          <w:sz w:val="20"/>
          <w:szCs w:val="20"/>
          <w:lang w:val="de-DE"/>
        </w:rPr>
        <w:t xml:space="preserve">, </w:t>
      </w:r>
      <w:proofErr w:type="spellStart"/>
      <w:r w:rsidRPr="007A0BF2">
        <w:rPr>
          <w:sz w:val="20"/>
          <w:szCs w:val="20"/>
          <w:lang w:val="de-DE"/>
        </w:rPr>
        <w:t>Bâle</w:t>
      </w:r>
      <w:proofErr w:type="spellEnd"/>
      <w:r w:rsidRPr="007A0BF2">
        <w:rPr>
          <w:sz w:val="20"/>
          <w:szCs w:val="20"/>
          <w:lang w:val="de-DE"/>
        </w:rPr>
        <w:t xml:space="preserve">-Stuttgart, Benno Schwabe, 1956. </w:t>
      </w:r>
    </w:p>
  </w:footnote>
  <w:footnote w:id="2">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Bernard </w:t>
      </w:r>
      <w:proofErr w:type="spellStart"/>
      <w:r w:rsidRPr="007A0BF2">
        <w:rPr>
          <w:sz w:val="20"/>
          <w:szCs w:val="20"/>
        </w:rPr>
        <w:t>Frize</w:t>
      </w:r>
      <w:proofErr w:type="spellEnd"/>
      <w:r w:rsidRPr="007A0BF2">
        <w:rPr>
          <w:sz w:val="20"/>
          <w:szCs w:val="20"/>
        </w:rPr>
        <w:t xml:space="preserve">, « Quoi, Pourquoi, Quand, Comment, Où et Qui » (2009), </w:t>
      </w:r>
      <w:r w:rsidRPr="007A0BF2">
        <w:rPr>
          <w:i/>
          <w:sz w:val="20"/>
          <w:szCs w:val="20"/>
        </w:rPr>
        <w:t>in</w:t>
      </w:r>
      <w:r w:rsidRPr="007A0BF2">
        <w:rPr>
          <w:sz w:val="20"/>
          <w:szCs w:val="20"/>
        </w:rPr>
        <w:t xml:space="preserve"> A. Lampe (éd.), </w:t>
      </w:r>
      <w:r w:rsidRPr="007A0BF2">
        <w:rPr>
          <w:i/>
          <w:sz w:val="20"/>
          <w:szCs w:val="20"/>
        </w:rPr>
        <w:t xml:space="preserve">Bernard </w:t>
      </w:r>
      <w:proofErr w:type="spellStart"/>
      <w:r w:rsidRPr="007A0BF2">
        <w:rPr>
          <w:i/>
          <w:sz w:val="20"/>
          <w:szCs w:val="20"/>
        </w:rPr>
        <w:t>Frize</w:t>
      </w:r>
      <w:proofErr w:type="spellEnd"/>
      <w:r w:rsidRPr="007A0BF2">
        <w:rPr>
          <w:i/>
          <w:sz w:val="20"/>
          <w:szCs w:val="20"/>
        </w:rPr>
        <w:t xml:space="preserve"> sans repentir</w:t>
      </w:r>
      <w:r w:rsidRPr="007A0BF2">
        <w:rPr>
          <w:sz w:val="20"/>
          <w:szCs w:val="20"/>
        </w:rPr>
        <w:t xml:space="preserve">, Paris, Centre Pompidou, </w:t>
      </w:r>
      <w:proofErr w:type="spellStart"/>
      <w:r w:rsidRPr="007A0BF2">
        <w:rPr>
          <w:sz w:val="20"/>
          <w:szCs w:val="20"/>
        </w:rPr>
        <w:t>Editions</w:t>
      </w:r>
      <w:proofErr w:type="spellEnd"/>
      <w:r w:rsidRPr="007A0BF2">
        <w:rPr>
          <w:sz w:val="20"/>
          <w:szCs w:val="20"/>
        </w:rPr>
        <w:t xml:space="preserve"> </w:t>
      </w:r>
      <w:proofErr w:type="spellStart"/>
      <w:r w:rsidRPr="007A0BF2">
        <w:rPr>
          <w:sz w:val="20"/>
          <w:szCs w:val="20"/>
        </w:rPr>
        <w:t>Dilecta</w:t>
      </w:r>
      <w:proofErr w:type="spellEnd"/>
      <w:r w:rsidRPr="007A0BF2">
        <w:rPr>
          <w:sz w:val="20"/>
          <w:szCs w:val="20"/>
        </w:rPr>
        <w:t xml:space="preserve">, 2019, p. 191. </w:t>
      </w:r>
    </w:p>
  </w:footnote>
  <w:footnote w:id="3">
    <w:p w:rsidR="00AD766A" w:rsidRPr="007A0BF2" w:rsidRDefault="00AD766A" w:rsidP="00AD766A">
      <w:pPr>
        <w:pStyle w:val="Notedebasdepage"/>
        <w:rPr>
          <w:sz w:val="20"/>
          <w:szCs w:val="20"/>
        </w:rPr>
      </w:pPr>
      <w:r w:rsidRPr="007A0BF2">
        <w:rPr>
          <w:rStyle w:val="Appelnotedebasdep"/>
          <w:sz w:val="20"/>
          <w:szCs w:val="20"/>
        </w:rPr>
        <w:footnoteRef/>
      </w:r>
      <w:r w:rsidRPr="007A0BF2">
        <w:rPr>
          <w:sz w:val="20"/>
          <w:szCs w:val="20"/>
        </w:rPr>
        <w:t xml:space="preserve"> </w:t>
      </w:r>
      <w:r w:rsidRPr="007A0BF2">
        <w:rPr>
          <w:i/>
          <w:sz w:val="20"/>
          <w:szCs w:val="20"/>
        </w:rPr>
        <w:t>Ibid</w:t>
      </w:r>
      <w:r w:rsidRPr="007A0BF2">
        <w:rPr>
          <w:sz w:val="20"/>
          <w:szCs w:val="20"/>
        </w:rPr>
        <w:t xml:space="preserve">., p. 185. </w:t>
      </w:r>
    </w:p>
  </w:footnote>
  <w:footnote w:id="4">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Cf. </w:t>
      </w:r>
      <w:r>
        <w:rPr>
          <w:sz w:val="20"/>
          <w:szCs w:val="20"/>
        </w:rPr>
        <w:t xml:space="preserve">Angela Lampe (éd.), </w:t>
      </w:r>
      <w:r w:rsidRPr="007A0BF2">
        <w:rPr>
          <w:i/>
          <w:sz w:val="20"/>
          <w:szCs w:val="20"/>
        </w:rPr>
        <w:t xml:space="preserve">Bernard </w:t>
      </w:r>
      <w:proofErr w:type="spellStart"/>
      <w:r w:rsidRPr="007A0BF2">
        <w:rPr>
          <w:i/>
          <w:sz w:val="20"/>
          <w:szCs w:val="20"/>
        </w:rPr>
        <w:t>Frize</w:t>
      </w:r>
      <w:proofErr w:type="spellEnd"/>
      <w:r w:rsidRPr="007A0BF2">
        <w:rPr>
          <w:i/>
          <w:sz w:val="20"/>
          <w:szCs w:val="20"/>
        </w:rPr>
        <w:t xml:space="preserve"> sans repentir</w:t>
      </w:r>
      <w:r w:rsidRPr="007A0BF2">
        <w:rPr>
          <w:sz w:val="20"/>
          <w:szCs w:val="20"/>
        </w:rPr>
        <w:t xml:space="preserve">, </w:t>
      </w:r>
      <w:r w:rsidRPr="007A0BF2">
        <w:rPr>
          <w:i/>
          <w:sz w:val="20"/>
          <w:szCs w:val="20"/>
        </w:rPr>
        <w:t xml:space="preserve">op. </w:t>
      </w:r>
      <w:proofErr w:type="spellStart"/>
      <w:r w:rsidRPr="007A0BF2">
        <w:rPr>
          <w:i/>
          <w:sz w:val="20"/>
          <w:szCs w:val="20"/>
        </w:rPr>
        <w:t>cit</w:t>
      </w:r>
      <w:proofErr w:type="spellEnd"/>
      <w:r w:rsidRPr="007A0BF2">
        <w:rPr>
          <w:i/>
          <w:sz w:val="20"/>
          <w:szCs w:val="20"/>
        </w:rPr>
        <w:t>.,</w:t>
      </w:r>
      <w:r w:rsidRPr="007A0BF2">
        <w:rPr>
          <w:sz w:val="20"/>
          <w:szCs w:val="20"/>
        </w:rPr>
        <w:t xml:space="preserve"> p. 96, à propos de </w:t>
      </w:r>
      <w:proofErr w:type="spellStart"/>
      <w:r w:rsidRPr="007A0BF2">
        <w:rPr>
          <w:i/>
          <w:sz w:val="20"/>
          <w:szCs w:val="20"/>
        </w:rPr>
        <w:t>Megi</w:t>
      </w:r>
      <w:proofErr w:type="spellEnd"/>
      <w:r w:rsidRPr="007A0BF2">
        <w:rPr>
          <w:sz w:val="20"/>
          <w:szCs w:val="20"/>
        </w:rPr>
        <w:t>, acrylique et résine sur toile, 177 x 220 cm, 2004 : « Le sujet de mon travail n’est pas de créer des processus et des règles, ce sont uniquement des moyens de faire mon travail ou de désirer travailler. La peinture est une manière d’explorer des idées et de leur donner un corps à habiter, afin d’être vues et partagées ».</w:t>
      </w:r>
    </w:p>
  </w:footnote>
  <w:footnote w:id="5">
    <w:p w:rsidR="00AD766A" w:rsidRPr="00AE3AED" w:rsidRDefault="00AD766A" w:rsidP="00AD766A">
      <w:pPr>
        <w:pStyle w:val="Notedebasdepage"/>
        <w:jc w:val="both"/>
        <w:rPr>
          <w:sz w:val="20"/>
          <w:szCs w:val="20"/>
        </w:rPr>
      </w:pPr>
      <w:r w:rsidRPr="00AE3AED">
        <w:rPr>
          <w:rStyle w:val="Appelnotedebasdep"/>
          <w:sz w:val="20"/>
          <w:szCs w:val="20"/>
        </w:rPr>
        <w:footnoteRef/>
      </w:r>
      <w:r w:rsidRPr="00AE3AED">
        <w:rPr>
          <w:sz w:val="20"/>
          <w:szCs w:val="20"/>
        </w:rPr>
        <w:t xml:space="preserve"> </w:t>
      </w:r>
      <w:r w:rsidRPr="00AE3AED">
        <w:rPr>
          <w:sz w:val="20"/>
          <w:szCs w:val="20"/>
        </w:rPr>
        <w:t xml:space="preserve">Bernard </w:t>
      </w:r>
      <w:proofErr w:type="spellStart"/>
      <w:r w:rsidRPr="00AE3AED">
        <w:rPr>
          <w:sz w:val="20"/>
          <w:szCs w:val="20"/>
        </w:rPr>
        <w:t>Frize</w:t>
      </w:r>
      <w:proofErr w:type="spellEnd"/>
      <w:r w:rsidRPr="00AE3AED">
        <w:rPr>
          <w:sz w:val="20"/>
          <w:szCs w:val="20"/>
        </w:rPr>
        <w:t xml:space="preserve">, Propos recueillis par Angela Lampe, Centre  Pompidou, </w:t>
      </w:r>
      <w:r w:rsidRPr="00AE3AED">
        <w:rPr>
          <w:i/>
          <w:sz w:val="20"/>
          <w:szCs w:val="20"/>
        </w:rPr>
        <w:t>Code couleur</w:t>
      </w:r>
      <w:r w:rsidRPr="00AE3AED">
        <w:rPr>
          <w:sz w:val="20"/>
          <w:szCs w:val="20"/>
        </w:rPr>
        <w:t>, n</w:t>
      </w:r>
      <w:r w:rsidRPr="00AE3AED">
        <w:rPr>
          <w:sz w:val="20"/>
          <w:szCs w:val="20"/>
          <w:vertAlign w:val="superscript"/>
        </w:rPr>
        <w:t>o</w:t>
      </w:r>
      <w:r w:rsidRPr="00AE3AED">
        <w:rPr>
          <w:sz w:val="20"/>
          <w:szCs w:val="20"/>
        </w:rPr>
        <w:t xml:space="preserve"> 34, mai-août 2019, pp. 12-15. </w:t>
      </w:r>
    </w:p>
  </w:footnote>
  <w:footnote w:id="6">
    <w:p w:rsidR="00AD766A" w:rsidRPr="007A0BF2" w:rsidRDefault="00AD766A" w:rsidP="00AD766A">
      <w:pPr>
        <w:pStyle w:val="Notedebasdepage"/>
        <w:jc w:val="both"/>
        <w:rPr>
          <w:sz w:val="20"/>
          <w:szCs w:val="20"/>
        </w:rPr>
      </w:pPr>
      <w:r w:rsidRPr="00AE3AED">
        <w:rPr>
          <w:rStyle w:val="Appelnotedebasdep"/>
          <w:sz w:val="20"/>
          <w:szCs w:val="20"/>
        </w:rPr>
        <w:footnoteRef/>
      </w:r>
      <w:r w:rsidRPr="00AE3AED">
        <w:rPr>
          <w:sz w:val="20"/>
          <w:szCs w:val="20"/>
        </w:rPr>
        <w:t xml:space="preserve"> </w:t>
      </w:r>
      <w:r w:rsidRPr="00AE3AED">
        <w:rPr>
          <w:sz w:val="20"/>
          <w:szCs w:val="20"/>
        </w:rPr>
        <w:t xml:space="preserve">Pour Bernard </w:t>
      </w:r>
      <w:proofErr w:type="spellStart"/>
      <w:r w:rsidRPr="00AE3AED">
        <w:rPr>
          <w:sz w:val="20"/>
          <w:szCs w:val="20"/>
        </w:rPr>
        <w:t>Frize</w:t>
      </w:r>
      <w:proofErr w:type="spellEnd"/>
      <w:r w:rsidRPr="00AE3AED">
        <w:rPr>
          <w:sz w:val="20"/>
          <w:szCs w:val="20"/>
        </w:rPr>
        <w:t>, une fois encore, le paradoxe est là, entre la volonté d’afficher un processus et celle de n’en</w:t>
      </w:r>
      <w:r w:rsidRPr="007A0BF2">
        <w:rPr>
          <w:sz w:val="20"/>
          <w:szCs w:val="20"/>
        </w:rPr>
        <w:t xml:space="preserve"> faire qu’un passage obligé : « Il y a l’enregistrement d’un événement et l’indexation de ses règles : c’est un tableau. Ainsi le processus n’est pas un but et si j’ai souvent répété qu’il suffisait de regarder pour voir “comment c’est fait”, c’est qu’il n’y a pas à voir un ornement mais une action, celle de révéler l’ordre et la matérialité dont sont faites les expériences sensibles » (« Quoi, Pourquoi, Quand, Comment, Où et Qui », art. </w:t>
      </w:r>
      <w:proofErr w:type="spellStart"/>
      <w:r w:rsidRPr="007A0BF2">
        <w:rPr>
          <w:sz w:val="20"/>
          <w:szCs w:val="20"/>
        </w:rPr>
        <w:t>cit</w:t>
      </w:r>
      <w:proofErr w:type="spellEnd"/>
      <w:r w:rsidRPr="007A0BF2">
        <w:rPr>
          <w:sz w:val="20"/>
          <w:szCs w:val="20"/>
        </w:rPr>
        <w:t xml:space="preserve">., p. 189). Ce qui ne veut pas dire, nous le verrons, que le cheminement – l’action – n’est pas préparé minutieusement. </w:t>
      </w:r>
    </w:p>
  </w:footnote>
  <w:footnote w:id="7">
    <w:p w:rsidR="00AD766A" w:rsidRPr="001F14D7" w:rsidRDefault="00AD766A" w:rsidP="00AD766A">
      <w:pPr>
        <w:jc w:val="both"/>
        <w:rPr>
          <w:i/>
          <w:color w:val="262626"/>
          <w:sz w:val="20"/>
          <w:szCs w:val="20"/>
        </w:rPr>
      </w:pPr>
      <w:r w:rsidRPr="001F14D7">
        <w:rPr>
          <w:rStyle w:val="Appelnotedebasdep"/>
          <w:sz w:val="20"/>
          <w:szCs w:val="20"/>
        </w:rPr>
        <w:footnoteRef/>
      </w:r>
      <w:r w:rsidRPr="007A0BF2">
        <w:rPr>
          <w:sz w:val="20"/>
          <w:szCs w:val="20"/>
        </w:rPr>
        <w:t xml:space="preserve"> </w:t>
      </w:r>
      <w:r w:rsidRPr="007A0BF2">
        <w:rPr>
          <w:sz w:val="20"/>
          <w:szCs w:val="20"/>
        </w:rPr>
        <w:t xml:space="preserve">Paul </w:t>
      </w:r>
      <w:r w:rsidRPr="007A0BF2">
        <w:rPr>
          <w:color w:val="262626"/>
          <w:sz w:val="20"/>
          <w:szCs w:val="20"/>
        </w:rPr>
        <w:t xml:space="preserve">Klee, </w:t>
      </w:r>
      <w:proofErr w:type="spellStart"/>
      <w:r w:rsidRPr="007A0BF2">
        <w:rPr>
          <w:i/>
          <w:color w:val="262626"/>
          <w:sz w:val="20"/>
          <w:szCs w:val="20"/>
        </w:rPr>
        <w:t>Das</w:t>
      </w:r>
      <w:proofErr w:type="spellEnd"/>
      <w:r w:rsidRPr="007A0BF2">
        <w:rPr>
          <w:i/>
          <w:color w:val="262626"/>
          <w:sz w:val="20"/>
          <w:szCs w:val="20"/>
        </w:rPr>
        <w:t xml:space="preserve"> </w:t>
      </w:r>
      <w:proofErr w:type="spellStart"/>
      <w:r w:rsidRPr="007A0BF2">
        <w:rPr>
          <w:i/>
          <w:color w:val="262626"/>
          <w:sz w:val="20"/>
          <w:szCs w:val="20"/>
        </w:rPr>
        <w:t>bildnerische</w:t>
      </w:r>
      <w:proofErr w:type="spellEnd"/>
      <w:r w:rsidRPr="007A0BF2">
        <w:rPr>
          <w:i/>
          <w:color w:val="262626"/>
          <w:sz w:val="20"/>
          <w:szCs w:val="20"/>
        </w:rPr>
        <w:t xml:space="preserve"> </w:t>
      </w:r>
      <w:proofErr w:type="spellStart"/>
      <w:r w:rsidRPr="007A0BF2">
        <w:rPr>
          <w:i/>
          <w:color w:val="262626"/>
          <w:sz w:val="20"/>
          <w:szCs w:val="20"/>
        </w:rPr>
        <w:t>Denken</w:t>
      </w:r>
      <w:proofErr w:type="spellEnd"/>
      <w:r w:rsidRPr="007A0BF2">
        <w:rPr>
          <w:color w:val="262626"/>
          <w:sz w:val="20"/>
          <w:szCs w:val="20"/>
        </w:rPr>
        <w:t>,</w:t>
      </w:r>
      <w:r w:rsidRPr="007A0BF2">
        <w:rPr>
          <w:sz w:val="20"/>
          <w:szCs w:val="20"/>
        </w:rPr>
        <w:t xml:space="preserve"> </w:t>
      </w:r>
      <w:r w:rsidRPr="007A0BF2">
        <w:rPr>
          <w:i/>
          <w:sz w:val="20"/>
          <w:szCs w:val="20"/>
        </w:rPr>
        <w:t xml:space="preserve">op. </w:t>
      </w:r>
      <w:proofErr w:type="spellStart"/>
      <w:r w:rsidRPr="007A0BF2">
        <w:rPr>
          <w:i/>
          <w:sz w:val="20"/>
          <w:szCs w:val="20"/>
        </w:rPr>
        <w:t>cit</w:t>
      </w:r>
      <w:proofErr w:type="spellEnd"/>
      <w:r w:rsidRPr="007A0BF2">
        <w:rPr>
          <w:sz w:val="20"/>
          <w:szCs w:val="20"/>
        </w:rPr>
        <w:t>. </w:t>
      </w:r>
      <w:r>
        <w:rPr>
          <w:sz w:val="20"/>
          <w:szCs w:val="20"/>
        </w:rPr>
        <w:t xml:space="preserve">; </w:t>
      </w:r>
      <w:r w:rsidRPr="001F14D7">
        <w:rPr>
          <w:i/>
          <w:color w:val="262626"/>
          <w:sz w:val="20"/>
          <w:szCs w:val="20"/>
        </w:rPr>
        <w:t>Écrits sur l’art,</w:t>
      </w:r>
      <w:r w:rsidRPr="001F14D7">
        <w:rPr>
          <w:color w:val="262626"/>
          <w:sz w:val="20"/>
          <w:szCs w:val="20"/>
        </w:rPr>
        <w:t xml:space="preserve"> t.</w:t>
      </w:r>
      <w:r>
        <w:rPr>
          <w:color w:val="262626"/>
          <w:sz w:val="20"/>
          <w:szCs w:val="20"/>
        </w:rPr>
        <w:t xml:space="preserve"> </w:t>
      </w:r>
      <w:r w:rsidRPr="001F14D7">
        <w:rPr>
          <w:color w:val="262626"/>
          <w:sz w:val="20"/>
          <w:szCs w:val="20"/>
        </w:rPr>
        <w:t xml:space="preserve">1. : </w:t>
      </w:r>
      <w:r w:rsidRPr="001F14D7">
        <w:rPr>
          <w:i/>
          <w:color w:val="262626"/>
          <w:sz w:val="20"/>
          <w:szCs w:val="20"/>
        </w:rPr>
        <w:t>La pensée créatrice</w:t>
      </w:r>
      <w:r w:rsidRPr="001F14D7">
        <w:rPr>
          <w:color w:val="262626"/>
          <w:sz w:val="20"/>
          <w:szCs w:val="20"/>
        </w:rPr>
        <w:t xml:space="preserve">, trad. S. Girard, Paris, </w:t>
      </w:r>
      <w:proofErr w:type="spellStart"/>
      <w:r w:rsidRPr="001F14D7">
        <w:rPr>
          <w:color w:val="262626"/>
          <w:sz w:val="20"/>
          <w:szCs w:val="20"/>
        </w:rPr>
        <w:t>Dessain</w:t>
      </w:r>
      <w:proofErr w:type="spellEnd"/>
      <w:r w:rsidRPr="001F14D7">
        <w:rPr>
          <w:color w:val="262626"/>
          <w:sz w:val="20"/>
          <w:szCs w:val="20"/>
        </w:rPr>
        <w:t xml:space="preserve"> et </w:t>
      </w:r>
      <w:proofErr w:type="spellStart"/>
      <w:r w:rsidRPr="001F14D7">
        <w:rPr>
          <w:color w:val="262626"/>
          <w:sz w:val="20"/>
          <w:szCs w:val="20"/>
        </w:rPr>
        <w:t>Tolra</w:t>
      </w:r>
      <w:proofErr w:type="spellEnd"/>
      <w:r w:rsidRPr="001F14D7">
        <w:rPr>
          <w:color w:val="262626"/>
          <w:sz w:val="20"/>
          <w:szCs w:val="20"/>
        </w:rPr>
        <w:t>, 1973</w:t>
      </w:r>
      <w:r>
        <w:rPr>
          <w:color w:val="262626"/>
          <w:sz w:val="20"/>
          <w:szCs w:val="20"/>
        </w:rPr>
        <w:t xml:space="preserve"> [1964]</w:t>
      </w:r>
      <w:r w:rsidRPr="001F14D7">
        <w:rPr>
          <w:color w:val="262626"/>
          <w:sz w:val="20"/>
          <w:szCs w:val="20"/>
        </w:rPr>
        <w:t>, p. 17.</w:t>
      </w:r>
    </w:p>
  </w:footnote>
  <w:footnote w:id="8">
    <w:p w:rsidR="00AD766A" w:rsidRPr="001F14D7" w:rsidRDefault="00AD766A" w:rsidP="00AD766A">
      <w:pPr>
        <w:pStyle w:val="Notedebasdepage"/>
        <w:rPr>
          <w:sz w:val="20"/>
          <w:szCs w:val="20"/>
        </w:rPr>
      </w:pPr>
      <w:r w:rsidRPr="001F14D7">
        <w:rPr>
          <w:rStyle w:val="Appelnotedebasdep"/>
          <w:sz w:val="20"/>
          <w:szCs w:val="20"/>
        </w:rPr>
        <w:footnoteRef/>
      </w:r>
      <w:r w:rsidRPr="001F14D7">
        <w:rPr>
          <w:sz w:val="20"/>
          <w:szCs w:val="20"/>
        </w:rPr>
        <w:t xml:space="preserve"> </w:t>
      </w:r>
      <w:r w:rsidRPr="00F07974">
        <w:rPr>
          <w:i/>
          <w:sz w:val="20"/>
          <w:szCs w:val="20"/>
        </w:rPr>
        <w:t>Idem</w:t>
      </w:r>
      <w:r w:rsidRPr="001F14D7">
        <w:rPr>
          <w:sz w:val="20"/>
          <w:szCs w:val="20"/>
        </w:rPr>
        <w:t xml:space="preserve">. </w:t>
      </w:r>
    </w:p>
  </w:footnote>
  <w:footnote w:id="9">
    <w:p w:rsidR="00AD766A" w:rsidRPr="00FA3AC6" w:rsidRDefault="00AD766A" w:rsidP="00AD766A">
      <w:pPr>
        <w:pStyle w:val="Notedebasdepage"/>
        <w:jc w:val="both"/>
        <w:rPr>
          <w:sz w:val="20"/>
          <w:szCs w:val="20"/>
          <w:lang w:val="fr-CH"/>
        </w:rPr>
      </w:pPr>
      <w:r w:rsidRPr="00FA3AC6">
        <w:rPr>
          <w:rStyle w:val="Appelnotedebasdep"/>
          <w:sz w:val="20"/>
          <w:szCs w:val="20"/>
        </w:rPr>
        <w:footnoteRef/>
      </w:r>
      <w:r w:rsidRPr="00FA3AC6">
        <w:rPr>
          <w:sz w:val="20"/>
          <w:szCs w:val="20"/>
        </w:rPr>
        <w:t xml:space="preserve"> </w:t>
      </w:r>
      <w:r w:rsidRPr="00FA3AC6">
        <w:rPr>
          <w:sz w:val="20"/>
          <w:szCs w:val="20"/>
          <w:lang w:val="fr-CH"/>
        </w:rPr>
        <w:t xml:space="preserve">Au sujet du devenir des formes, cf. aussi Henri Focillon, </w:t>
      </w:r>
      <w:r w:rsidRPr="00FA3AC6">
        <w:rPr>
          <w:i/>
          <w:sz w:val="20"/>
          <w:szCs w:val="20"/>
          <w:lang w:val="fr-CH"/>
        </w:rPr>
        <w:t>Vie des formes</w:t>
      </w:r>
      <w:r w:rsidRPr="00FA3AC6">
        <w:rPr>
          <w:sz w:val="20"/>
          <w:szCs w:val="20"/>
          <w:lang w:val="fr-CH"/>
        </w:rPr>
        <w:t>, Paris, PUF, 2010 [1943]</w:t>
      </w:r>
      <w:r>
        <w:rPr>
          <w:sz w:val="20"/>
          <w:szCs w:val="20"/>
          <w:lang w:val="fr-CH"/>
        </w:rPr>
        <w:t xml:space="preserve"> : « Construite par assises, taillée dans le marbre, coulée dans le bronze, fixée sous le vernis, gravée dans le cuivre ou dans le bois, l’œuvre d’art n’est qu’apparemment immobile. Elle exprime un vœu de fixité, elle est un arrêt, mais comme un moment dans le passé. En réalité elle naît d’un changement et elle en prépare un autre », </w:t>
      </w:r>
      <w:r w:rsidRPr="00FA3AC6">
        <w:rPr>
          <w:i/>
          <w:sz w:val="20"/>
          <w:szCs w:val="20"/>
          <w:lang w:val="fr-CH"/>
        </w:rPr>
        <w:t>ibid</w:t>
      </w:r>
      <w:r>
        <w:rPr>
          <w:sz w:val="20"/>
          <w:szCs w:val="20"/>
          <w:lang w:val="fr-CH"/>
        </w:rPr>
        <w:t xml:space="preserve">. p. 8. </w:t>
      </w:r>
    </w:p>
  </w:footnote>
  <w:footnote w:id="10">
    <w:p w:rsidR="00AD766A" w:rsidRPr="00FA3AC6" w:rsidRDefault="00AD766A" w:rsidP="00AD766A">
      <w:pPr>
        <w:pStyle w:val="Notedebasdepage"/>
        <w:jc w:val="both"/>
        <w:rPr>
          <w:sz w:val="20"/>
          <w:szCs w:val="20"/>
        </w:rPr>
      </w:pPr>
      <w:r w:rsidRPr="00FA3AC6">
        <w:rPr>
          <w:rStyle w:val="Appelnotedebasdep"/>
          <w:sz w:val="20"/>
          <w:szCs w:val="20"/>
        </w:rPr>
        <w:footnoteRef/>
      </w:r>
      <w:r w:rsidRPr="00FA3AC6">
        <w:rPr>
          <w:sz w:val="20"/>
          <w:szCs w:val="20"/>
        </w:rPr>
        <w:t xml:space="preserve"> </w:t>
      </w:r>
      <w:r w:rsidRPr="00FA3AC6">
        <w:rPr>
          <w:sz w:val="20"/>
          <w:szCs w:val="20"/>
        </w:rPr>
        <w:t xml:space="preserve">Bernard </w:t>
      </w:r>
      <w:proofErr w:type="spellStart"/>
      <w:r w:rsidRPr="00FA3AC6">
        <w:rPr>
          <w:sz w:val="20"/>
          <w:szCs w:val="20"/>
        </w:rPr>
        <w:t>Frize</w:t>
      </w:r>
      <w:proofErr w:type="spellEnd"/>
      <w:r w:rsidRPr="00FA3AC6">
        <w:rPr>
          <w:sz w:val="20"/>
          <w:szCs w:val="20"/>
        </w:rPr>
        <w:t xml:space="preserve">, </w:t>
      </w:r>
      <w:r>
        <w:rPr>
          <w:sz w:val="20"/>
          <w:szCs w:val="20"/>
        </w:rPr>
        <w:t>« </w:t>
      </w:r>
      <w:r w:rsidRPr="00FA3AC6">
        <w:rPr>
          <w:sz w:val="20"/>
          <w:szCs w:val="20"/>
        </w:rPr>
        <w:t>Interview</w:t>
      </w:r>
      <w:r>
        <w:rPr>
          <w:sz w:val="20"/>
          <w:szCs w:val="20"/>
        </w:rPr>
        <w:t> »</w:t>
      </w:r>
      <w:r w:rsidRPr="00FA3AC6">
        <w:rPr>
          <w:sz w:val="20"/>
          <w:szCs w:val="20"/>
        </w:rPr>
        <w:t xml:space="preserve"> avec Angela Lampe, </w:t>
      </w:r>
      <w:r w:rsidRPr="00FA3AC6">
        <w:rPr>
          <w:i/>
          <w:sz w:val="20"/>
          <w:szCs w:val="20"/>
        </w:rPr>
        <w:t>in</w:t>
      </w:r>
      <w:r w:rsidRPr="00FA3AC6">
        <w:rPr>
          <w:sz w:val="20"/>
          <w:szCs w:val="20"/>
        </w:rPr>
        <w:t xml:space="preserve"> </w:t>
      </w:r>
      <w:r w:rsidRPr="00FA3AC6">
        <w:rPr>
          <w:i/>
          <w:sz w:val="20"/>
          <w:szCs w:val="20"/>
        </w:rPr>
        <w:t xml:space="preserve">Bernard </w:t>
      </w:r>
      <w:proofErr w:type="spellStart"/>
      <w:r w:rsidRPr="00FA3AC6">
        <w:rPr>
          <w:i/>
          <w:sz w:val="20"/>
          <w:szCs w:val="20"/>
        </w:rPr>
        <w:t>Frize</w:t>
      </w:r>
      <w:proofErr w:type="spellEnd"/>
      <w:r w:rsidRPr="00FA3AC6">
        <w:rPr>
          <w:i/>
          <w:sz w:val="20"/>
          <w:szCs w:val="20"/>
        </w:rPr>
        <w:t xml:space="preserve"> sans repentir</w:t>
      </w:r>
      <w:r w:rsidRPr="00FA3AC6">
        <w:rPr>
          <w:sz w:val="20"/>
          <w:szCs w:val="20"/>
        </w:rPr>
        <w:t xml:space="preserve">, </w:t>
      </w:r>
      <w:r w:rsidRPr="00FA3AC6">
        <w:rPr>
          <w:i/>
          <w:sz w:val="20"/>
          <w:szCs w:val="20"/>
        </w:rPr>
        <w:t xml:space="preserve">op. </w:t>
      </w:r>
      <w:proofErr w:type="spellStart"/>
      <w:r w:rsidRPr="00FA3AC6">
        <w:rPr>
          <w:i/>
          <w:sz w:val="20"/>
          <w:szCs w:val="20"/>
        </w:rPr>
        <w:t>cit</w:t>
      </w:r>
      <w:proofErr w:type="spellEnd"/>
      <w:r w:rsidRPr="00FA3AC6">
        <w:rPr>
          <w:i/>
          <w:sz w:val="20"/>
          <w:szCs w:val="20"/>
        </w:rPr>
        <w:t>.,</w:t>
      </w:r>
      <w:r w:rsidRPr="00FA3AC6">
        <w:rPr>
          <w:sz w:val="20"/>
          <w:szCs w:val="20"/>
        </w:rPr>
        <w:t xml:space="preserve"> p. 64 ; nous soulignons. </w:t>
      </w:r>
    </w:p>
  </w:footnote>
  <w:footnote w:id="11">
    <w:p w:rsidR="00AD766A" w:rsidRPr="00714384" w:rsidRDefault="00AD766A" w:rsidP="00AD766A">
      <w:pPr>
        <w:pStyle w:val="NormalWeb"/>
        <w:spacing w:before="0" w:beforeAutospacing="0" w:after="0" w:afterAutospacing="0"/>
        <w:jc w:val="both"/>
        <w:rPr>
          <w:sz w:val="20"/>
          <w:szCs w:val="20"/>
        </w:rPr>
      </w:pPr>
      <w:r w:rsidRPr="00714384">
        <w:rPr>
          <w:rStyle w:val="Appelnotedebasdep"/>
          <w:sz w:val="20"/>
          <w:szCs w:val="20"/>
        </w:rPr>
        <w:footnoteRef/>
      </w:r>
      <w:r w:rsidRPr="00714384">
        <w:rPr>
          <w:sz w:val="20"/>
          <w:szCs w:val="20"/>
        </w:rPr>
        <w:t xml:space="preserve"> </w:t>
      </w:r>
      <w:r w:rsidRPr="00714384">
        <w:rPr>
          <w:sz w:val="20"/>
          <w:szCs w:val="20"/>
        </w:rPr>
        <w:t>Au sujet de la prothèse, cf. notamment Umberto</w:t>
      </w:r>
      <w:r>
        <w:rPr>
          <w:sz w:val="20"/>
          <w:szCs w:val="20"/>
        </w:rPr>
        <w:t xml:space="preserve"> Eco</w:t>
      </w:r>
      <w:r w:rsidRPr="00714384">
        <w:rPr>
          <w:sz w:val="20"/>
          <w:szCs w:val="20"/>
        </w:rPr>
        <w:t xml:space="preserve">, </w:t>
      </w:r>
      <w:r w:rsidRPr="00714384">
        <w:rPr>
          <w:i/>
          <w:sz w:val="20"/>
          <w:szCs w:val="20"/>
        </w:rPr>
        <w:t>Kant et l’ornithorynque,</w:t>
      </w:r>
      <w:r w:rsidRPr="00714384">
        <w:rPr>
          <w:sz w:val="20"/>
          <w:szCs w:val="20"/>
        </w:rPr>
        <w:t xml:space="preserve"> Paris, Éditions Grasset &amp; </w:t>
      </w:r>
      <w:proofErr w:type="spellStart"/>
      <w:r w:rsidRPr="00714384">
        <w:rPr>
          <w:sz w:val="20"/>
          <w:szCs w:val="20"/>
        </w:rPr>
        <w:t>Fasquelle</w:t>
      </w:r>
      <w:proofErr w:type="spellEnd"/>
      <w:r w:rsidRPr="00714384">
        <w:rPr>
          <w:sz w:val="20"/>
          <w:szCs w:val="20"/>
        </w:rPr>
        <w:t>, 1999 [1997].</w:t>
      </w:r>
    </w:p>
  </w:footnote>
  <w:footnote w:id="12">
    <w:p w:rsidR="00AD766A" w:rsidRPr="00714384" w:rsidRDefault="00AD766A" w:rsidP="00AD766A">
      <w:pPr>
        <w:pStyle w:val="Notedebasdepage"/>
        <w:jc w:val="both"/>
        <w:rPr>
          <w:sz w:val="20"/>
          <w:szCs w:val="20"/>
          <w:lang w:val="fr-CH"/>
        </w:rPr>
      </w:pPr>
      <w:r w:rsidRPr="00714384">
        <w:rPr>
          <w:rStyle w:val="Appelnotedebasdep"/>
          <w:sz w:val="20"/>
          <w:szCs w:val="20"/>
        </w:rPr>
        <w:footnoteRef/>
      </w:r>
      <w:r w:rsidRPr="00714384">
        <w:rPr>
          <w:sz w:val="20"/>
          <w:szCs w:val="20"/>
        </w:rPr>
        <w:t xml:space="preserve"> </w:t>
      </w:r>
      <w:r w:rsidRPr="00714384">
        <w:rPr>
          <w:sz w:val="20"/>
          <w:szCs w:val="20"/>
          <w:lang w:val="fr-CH"/>
        </w:rPr>
        <w:t xml:space="preserve">Pour un survol, cf. </w:t>
      </w:r>
      <w:proofErr w:type="spellStart"/>
      <w:r w:rsidRPr="00714384">
        <w:rPr>
          <w:sz w:val="20"/>
          <w:szCs w:val="20"/>
          <w:lang w:val="fr-CH"/>
        </w:rPr>
        <w:t>Algirdas</w:t>
      </w:r>
      <w:proofErr w:type="spellEnd"/>
      <w:r w:rsidRPr="00714384">
        <w:rPr>
          <w:sz w:val="20"/>
          <w:szCs w:val="20"/>
          <w:lang w:val="fr-CH"/>
        </w:rPr>
        <w:t xml:space="preserve"> Julien Greimas &amp; Joseph Courtés, </w:t>
      </w:r>
      <w:r w:rsidRPr="00714384">
        <w:rPr>
          <w:i/>
          <w:sz w:val="20"/>
          <w:szCs w:val="20"/>
          <w:lang w:val="fr-CH"/>
        </w:rPr>
        <w:t>Sémiotique. Dictionnaire raisonné de la théorie du langage</w:t>
      </w:r>
      <w:r w:rsidRPr="00714384">
        <w:rPr>
          <w:sz w:val="20"/>
          <w:szCs w:val="20"/>
          <w:lang w:val="fr-CH"/>
        </w:rPr>
        <w:t>, Paris, Hachette</w:t>
      </w:r>
      <w:r>
        <w:rPr>
          <w:sz w:val="20"/>
          <w:szCs w:val="20"/>
          <w:lang w:val="fr-CH"/>
        </w:rPr>
        <w:t>, 1979.</w:t>
      </w:r>
    </w:p>
  </w:footnote>
  <w:footnote w:id="13">
    <w:p w:rsidR="00AD766A" w:rsidRPr="00C85190" w:rsidRDefault="00AD766A" w:rsidP="00AD766A">
      <w:pPr>
        <w:pStyle w:val="Notedebasdepage"/>
        <w:rPr>
          <w:sz w:val="20"/>
          <w:szCs w:val="20"/>
        </w:rPr>
      </w:pPr>
      <w:r w:rsidRPr="00C85190">
        <w:rPr>
          <w:rStyle w:val="Appelnotedebasdep"/>
          <w:sz w:val="20"/>
          <w:szCs w:val="20"/>
        </w:rPr>
        <w:footnoteRef/>
      </w:r>
      <w:r w:rsidRPr="00C85190">
        <w:rPr>
          <w:sz w:val="20"/>
          <w:szCs w:val="20"/>
        </w:rPr>
        <w:t xml:space="preserve"> </w:t>
      </w:r>
      <w:r w:rsidRPr="00C85190">
        <w:rPr>
          <w:sz w:val="20"/>
          <w:szCs w:val="20"/>
        </w:rPr>
        <w:t xml:space="preserve">Jacques </w:t>
      </w:r>
      <w:proofErr w:type="spellStart"/>
      <w:r w:rsidRPr="00C85190">
        <w:rPr>
          <w:sz w:val="20"/>
          <w:szCs w:val="20"/>
        </w:rPr>
        <w:t>Fontanille</w:t>
      </w:r>
      <w:proofErr w:type="spellEnd"/>
      <w:r w:rsidRPr="00C85190">
        <w:rPr>
          <w:sz w:val="20"/>
          <w:szCs w:val="20"/>
        </w:rPr>
        <w:t xml:space="preserve">, </w:t>
      </w:r>
      <w:r w:rsidRPr="00C85190">
        <w:rPr>
          <w:i/>
          <w:sz w:val="20"/>
          <w:szCs w:val="20"/>
        </w:rPr>
        <w:t>Pratiques sémiotiques</w:t>
      </w:r>
      <w:r w:rsidRPr="00C85190">
        <w:rPr>
          <w:sz w:val="20"/>
          <w:szCs w:val="20"/>
        </w:rPr>
        <w:t>, Paris,</w:t>
      </w:r>
      <w:r>
        <w:rPr>
          <w:sz w:val="20"/>
          <w:szCs w:val="20"/>
        </w:rPr>
        <w:t xml:space="preserve"> PUF,</w:t>
      </w:r>
      <w:r w:rsidRPr="00C85190">
        <w:rPr>
          <w:sz w:val="20"/>
          <w:szCs w:val="20"/>
        </w:rPr>
        <w:t xml:space="preserve"> </w:t>
      </w:r>
      <w:r>
        <w:rPr>
          <w:sz w:val="20"/>
          <w:szCs w:val="20"/>
        </w:rPr>
        <w:t xml:space="preserve">2008 ; </w:t>
      </w:r>
      <w:r w:rsidRPr="00C85190">
        <w:rPr>
          <w:i/>
          <w:sz w:val="20"/>
          <w:szCs w:val="20"/>
        </w:rPr>
        <w:t>Corps et sens</w:t>
      </w:r>
      <w:r w:rsidRPr="00C85190">
        <w:rPr>
          <w:sz w:val="20"/>
          <w:szCs w:val="20"/>
        </w:rPr>
        <w:t>, Paris, PUF</w:t>
      </w:r>
      <w:r>
        <w:rPr>
          <w:sz w:val="20"/>
          <w:szCs w:val="20"/>
        </w:rPr>
        <w:t xml:space="preserve">, 2011. </w:t>
      </w:r>
    </w:p>
  </w:footnote>
  <w:footnote w:id="14">
    <w:p w:rsidR="00AD766A" w:rsidRPr="00C85190" w:rsidRDefault="00AD766A" w:rsidP="00AD766A">
      <w:pPr>
        <w:pStyle w:val="Notedebasdepage"/>
        <w:jc w:val="both"/>
        <w:rPr>
          <w:sz w:val="20"/>
          <w:szCs w:val="20"/>
        </w:rPr>
      </w:pPr>
      <w:r w:rsidRPr="00C85190">
        <w:rPr>
          <w:rStyle w:val="Appelnotedebasdep"/>
          <w:sz w:val="20"/>
          <w:szCs w:val="20"/>
        </w:rPr>
        <w:footnoteRef/>
      </w:r>
      <w:r w:rsidRPr="00C85190">
        <w:rPr>
          <w:sz w:val="20"/>
          <w:szCs w:val="20"/>
        </w:rPr>
        <w:t xml:space="preserve"> </w:t>
      </w:r>
      <w:r w:rsidRPr="00C85190">
        <w:rPr>
          <w:sz w:val="20"/>
          <w:szCs w:val="20"/>
        </w:rPr>
        <w:t xml:space="preserve">Jean-Claude Coquet, </w:t>
      </w:r>
      <w:proofErr w:type="spellStart"/>
      <w:r w:rsidRPr="00C85190">
        <w:rPr>
          <w:sz w:val="20"/>
          <w:szCs w:val="20"/>
        </w:rPr>
        <w:t>Phusis</w:t>
      </w:r>
      <w:proofErr w:type="spellEnd"/>
      <w:r w:rsidRPr="00C85190">
        <w:rPr>
          <w:sz w:val="20"/>
          <w:szCs w:val="20"/>
        </w:rPr>
        <w:t xml:space="preserve"> </w:t>
      </w:r>
      <w:r w:rsidRPr="00C85190">
        <w:rPr>
          <w:i/>
          <w:sz w:val="20"/>
          <w:szCs w:val="20"/>
        </w:rPr>
        <w:t xml:space="preserve">et </w:t>
      </w:r>
      <w:r w:rsidRPr="00C85190">
        <w:rPr>
          <w:sz w:val="20"/>
          <w:szCs w:val="20"/>
        </w:rPr>
        <w:t xml:space="preserve">logos. </w:t>
      </w:r>
      <w:r w:rsidRPr="00C85190">
        <w:rPr>
          <w:i/>
          <w:sz w:val="20"/>
          <w:szCs w:val="20"/>
        </w:rPr>
        <w:t>Une phénoménologie du langage</w:t>
      </w:r>
      <w:r w:rsidRPr="00C85190">
        <w:rPr>
          <w:sz w:val="20"/>
          <w:szCs w:val="20"/>
        </w:rPr>
        <w:t>, Paris, Presses universitaires de Vincennes</w:t>
      </w:r>
      <w:r>
        <w:rPr>
          <w:sz w:val="20"/>
          <w:szCs w:val="20"/>
        </w:rPr>
        <w:t>, 2007</w:t>
      </w:r>
      <w:r w:rsidRPr="00C85190">
        <w:rPr>
          <w:sz w:val="20"/>
          <w:szCs w:val="20"/>
        </w:rPr>
        <w:t xml:space="preserve">. </w:t>
      </w:r>
    </w:p>
  </w:footnote>
  <w:footnote w:id="15">
    <w:p w:rsidR="00AD766A" w:rsidRPr="00C85190" w:rsidRDefault="00AD766A" w:rsidP="00AD766A">
      <w:pPr>
        <w:pStyle w:val="Notedebasdepage"/>
        <w:rPr>
          <w:sz w:val="20"/>
          <w:szCs w:val="20"/>
        </w:rPr>
      </w:pPr>
      <w:r w:rsidRPr="00C85190">
        <w:rPr>
          <w:rStyle w:val="Appelnotedebasdep"/>
          <w:sz w:val="20"/>
          <w:szCs w:val="20"/>
        </w:rPr>
        <w:footnoteRef/>
      </w:r>
      <w:r w:rsidRPr="00C85190">
        <w:rPr>
          <w:sz w:val="20"/>
          <w:szCs w:val="20"/>
        </w:rPr>
        <w:t xml:space="preserve"> </w:t>
      </w:r>
      <w:r w:rsidRPr="00C85190">
        <w:rPr>
          <w:sz w:val="20"/>
          <w:szCs w:val="20"/>
        </w:rPr>
        <w:t xml:space="preserve">Jean-François </w:t>
      </w:r>
      <w:proofErr w:type="spellStart"/>
      <w:r w:rsidRPr="00C85190">
        <w:rPr>
          <w:sz w:val="20"/>
          <w:szCs w:val="20"/>
        </w:rPr>
        <w:t>Bordron</w:t>
      </w:r>
      <w:proofErr w:type="spellEnd"/>
      <w:r w:rsidRPr="00C85190">
        <w:rPr>
          <w:sz w:val="20"/>
          <w:szCs w:val="20"/>
        </w:rPr>
        <w:t xml:space="preserve">, </w:t>
      </w:r>
      <w:r w:rsidRPr="00C85190">
        <w:rPr>
          <w:i/>
          <w:sz w:val="20"/>
          <w:szCs w:val="20"/>
        </w:rPr>
        <w:t>L’iconicité et ses images</w:t>
      </w:r>
      <w:r w:rsidRPr="00C85190">
        <w:rPr>
          <w:sz w:val="20"/>
          <w:szCs w:val="20"/>
        </w:rPr>
        <w:t>, Paris, PUF</w:t>
      </w:r>
      <w:r>
        <w:rPr>
          <w:sz w:val="20"/>
          <w:szCs w:val="20"/>
        </w:rPr>
        <w:t>, 2011.</w:t>
      </w:r>
    </w:p>
  </w:footnote>
  <w:footnote w:id="16">
    <w:p w:rsidR="00AD766A" w:rsidRPr="00D1355E" w:rsidRDefault="00AD766A" w:rsidP="00AD766A">
      <w:pPr>
        <w:jc w:val="both"/>
        <w:rPr>
          <w:color w:val="343434"/>
          <w:sz w:val="20"/>
          <w:szCs w:val="20"/>
        </w:rPr>
      </w:pPr>
      <w:r w:rsidRPr="00714384">
        <w:rPr>
          <w:rStyle w:val="Appelnotedebasdep"/>
          <w:sz w:val="20"/>
          <w:szCs w:val="20"/>
        </w:rPr>
        <w:footnoteRef/>
      </w:r>
      <w:r>
        <w:rPr>
          <w:sz w:val="20"/>
          <w:szCs w:val="20"/>
        </w:rPr>
        <w:t xml:space="preserve"> </w:t>
      </w:r>
      <w:r w:rsidRPr="00714384">
        <w:rPr>
          <w:sz w:val="20"/>
          <w:szCs w:val="20"/>
        </w:rPr>
        <w:t xml:space="preserve">Michel Foucault, </w:t>
      </w:r>
      <w:r w:rsidRPr="00714384">
        <w:rPr>
          <w:color w:val="343434"/>
          <w:sz w:val="20"/>
          <w:szCs w:val="20"/>
        </w:rPr>
        <w:t xml:space="preserve">« Le jeu de Michel Foucault », entretien avec </w:t>
      </w:r>
      <w:r>
        <w:rPr>
          <w:color w:val="343434"/>
          <w:sz w:val="20"/>
          <w:szCs w:val="20"/>
        </w:rPr>
        <w:t xml:space="preserve">D. Colas, A. </w:t>
      </w:r>
      <w:proofErr w:type="spellStart"/>
      <w:r>
        <w:rPr>
          <w:color w:val="343434"/>
          <w:sz w:val="20"/>
          <w:szCs w:val="20"/>
        </w:rPr>
        <w:t>Grosrichard</w:t>
      </w:r>
      <w:proofErr w:type="spellEnd"/>
      <w:r>
        <w:rPr>
          <w:color w:val="343434"/>
          <w:sz w:val="20"/>
          <w:szCs w:val="20"/>
        </w:rPr>
        <w:t xml:space="preserve">, H. Le </w:t>
      </w:r>
      <w:proofErr w:type="spellStart"/>
      <w:r>
        <w:rPr>
          <w:color w:val="343434"/>
          <w:sz w:val="20"/>
          <w:szCs w:val="20"/>
        </w:rPr>
        <w:t>Gaufey</w:t>
      </w:r>
      <w:proofErr w:type="spellEnd"/>
      <w:r>
        <w:rPr>
          <w:color w:val="343434"/>
          <w:sz w:val="20"/>
          <w:szCs w:val="20"/>
        </w:rPr>
        <w:t xml:space="preserve">, J. </w:t>
      </w:r>
      <w:proofErr w:type="spellStart"/>
      <w:r>
        <w:rPr>
          <w:color w:val="343434"/>
          <w:sz w:val="20"/>
          <w:szCs w:val="20"/>
        </w:rPr>
        <w:t>Livi</w:t>
      </w:r>
      <w:proofErr w:type="spellEnd"/>
      <w:r>
        <w:rPr>
          <w:color w:val="343434"/>
          <w:sz w:val="20"/>
          <w:szCs w:val="20"/>
        </w:rPr>
        <w:t xml:space="preserve">, G. Miller, J. Miller, J.-A. Miller, C. </w:t>
      </w:r>
      <w:proofErr w:type="spellStart"/>
      <w:r>
        <w:rPr>
          <w:color w:val="343434"/>
          <w:sz w:val="20"/>
          <w:szCs w:val="20"/>
        </w:rPr>
        <w:t>Millot</w:t>
      </w:r>
      <w:proofErr w:type="spellEnd"/>
      <w:r>
        <w:rPr>
          <w:color w:val="343434"/>
          <w:sz w:val="20"/>
          <w:szCs w:val="20"/>
        </w:rPr>
        <w:t xml:space="preserve">, G. </w:t>
      </w:r>
      <w:proofErr w:type="spellStart"/>
      <w:r>
        <w:rPr>
          <w:color w:val="343434"/>
          <w:sz w:val="20"/>
          <w:szCs w:val="20"/>
        </w:rPr>
        <w:t>Wajeman</w:t>
      </w:r>
      <w:proofErr w:type="spellEnd"/>
      <w:r>
        <w:rPr>
          <w:color w:val="343434"/>
          <w:sz w:val="20"/>
          <w:szCs w:val="20"/>
        </w:rPr>
        <w:t xml:space="preserve">, </w:t>
      </w:r>
      <w:proofErr w:type="spellStart"/>
      <w:r w:rsidRPr="00714384">
        <w:rPr>
          <w:i/>
          <w:iCs/>
          <w:color w:val="343434"/>
          <w:sz w:val="20"/>
          <w:szCs w:val="20"/>
        </w:rPr>
        <w:t>Ornicar</w:t>
      </w:r>
      <w:proofErr w:type="spellEnd"/>
      <w:r w:rsidRPr="00714384">
        <w:rPr>
          <w:i/>
          <w:iCs/>
          <w:color w:val="343434"/>
          <w:sz w:val="20"/>
          <w:szCs w:val="20"/>
        </w:rPr>
        <w:t>, Bulletin périodique du champ freudien</w:t>
      </w:r>
      <w:r w:rsidRPr="00714384">
        <w:rPr>
          <w:color w:val="343434"/>
          <w:sz w:val="20"/>
          <w:szCs w:val="20"/>
        </w:rPr>
        <w:t xml:space="preserve">, </w:t>
      </w:r>
      <w:r>
        <w:rPr>
          <w:color w:val="343434"/>
          <w:sz w:val="20"/>
          <w:szCs w:val="20"/>
        </w:rPr>
        <w:t>n</w:t>
      </w:r>
      <w:r w:rsidRPr="00096BED">
        <w:rPr>
          <w:color w:val="343434"/>
          <w:sz w:val="20"/>
          <w:szCs w:val="20"/>
          <w:vertAlign w:val="superscript"/>
        </w:rPr>
        <w:t>o</w:t>
      </w:r>
      <w:r>
        <w:rPr>
          <w:color w:val="343434"/>
          <w:sz w:val="20"/>
          <w:szCs w:val="20"/>
        </w:rPr>
        <w:t xml:space="preserve"> </w:t>
      </w:r>
      <w:r w:rsidRPr="00714384">
        <w:rPr>
          <w:color w:val="343434"/>
          <w:sz w:val="20"/>
          <w:szCs w:val="20"/>
        </w:rPr>
        <w:t>10, 1977, pp. 62-93. (Repris in </w:t>
      </w:r>
      <w:r w:rsidRPr="00714384">
        <w:rPr>
          <w:i/>
          <w:iCs/>
          <w:color w:val="343434"/>
          <w:sz w:val="20"/>
          <w:szCs w:val="20"/>
        </w:rPr>
        <w:t>Dits et Écrits</w:t>
      </w:r>
      <w:r w:rsidRPr="00714384">
        <w:rPr>
          <w:color w:val="343434"/>
          <w:sz w:val="20"/>
          <w:szCs w:val="20"/>
        </w:rPr>
        <w:t> </w:t>
      </w:r>
      <w:r w:rsidRPr="00714384">
        <w:rPr>
          <w:iCs/>
          <w:color w:val="343434"/>
          <w:sz w:val="20"/>
          <w:szCs w:val="20"/>
        </w:rPr>
        <w:t xml:space="preserve">II, </w:t>
      </w:r>
      <w:r w:rsidRPr="00714384">
        <w:rPr>
          <w:color w:val="343434"/>
          <w:sz w:val="20"/>
          <w:szCs w:val="20"/>
        </w:rPr>
        <w:t xml:space="preserve">Paris, Gallimard, </w:t>
      </w:r>
      <w:r w:rsidRPr="00714384">
        <w:rPr>
          <w:iCs/>
          <w:color w:val="343434"/>
          <w:sz w:val="20"/>
          <w:szCs w:val="20"/>
        </w:rPr>
        <w:t>1976-</w:t>
      </w:r>
      <w:r w:rsidRPr="00714384">
        <w:rPr>
          <w:color w:val="343434"/>
          <w:sz w:val="20"/>
          <w:szCs w:val="20"/>
        </w:rPr>
        <w:t xml:space="preserve">1988). </w:t>
      </w:r>
    </w:p>
  </w:footnote>
  <w:footnote w:id="17">
    <w:p w:rsidR="00AD766A" w:rsidRPr="00E71B00" w:rsidRDefault="00AD766A" w:rsidP="00AD766A">
      <w:pPr>
        <w:jc w:val="both"/>
        <w:rPr>
          <w:color w:val="000000" w:themeColor="text1"/>
          <w:sz w:val="20"/>
          <w:szCs w:val="20"/>
        </w:rPr>
      </w:pPr>
      <w:r w:rsidRPr="00E71B00">
        <w:rPr>
          <w:rStyle w:val="Appelnotedebasdep"/>
          <w:color w:val="000000" w:themeColor="text1"/>
          <w:sz w:val="20"/>
          <w:szCs w:val="20"/>
        </w:rPr>
        <w:footnoteRef/>
      </w:r>
      <w:r w:rsidRPr="00E71B00">
        <w:rPr>
          <w:color w:val="000000" w:themeColor="text1"/>
          <w:sz w:val="20"/>
          <w:szCs w:val="20"/>
        </w:rPr>
        <w:t xml:space="preserve"> </w:t>
      </w:r>
      <w:r w:rsidRPr="00E71B00">
        <w:rPr>
          <w:color w:val="000000" w:themeColor="text1"/>
          <w:sz w:val="20"/>
          <w:szCs w:val="20"/>
        </w:rPr>
        <w:t xml:space="preserve">Jacques </w:t>
      </w:r>
      <w:proofErr w:type="spellStart"/>
      <w:r w:rsidRPr="00E71B00">
        <w:rPr>
          <w:color w:val="000000" w:themeColor="text1"/>
          <w:sz w:val="20"/>
          <w:szCs w:val="20"/>
        </w:rPr>
        <w:t>Fontanille</w:t>
      </w:r>
      <w:proofErr w:type="spellEnd"/>
      <w:r w:rsidRPr="00E71B00">
        <w:rPr>
          <w:color w:val="000000" w:themeColor="text1"/>
          <w:sz w:val="20"/>
          <w:szCs w:val="20"/>
        </w:rPr>
        <w:t xml:space="preserve">, </w:t>
      </w:r>
      <w:r w:rsidRPr="00C85190">
        <w:rPr>
          <w:i/>
          <w:color w:val="000000" w:themeColor="text1"/>
          <w:sz w:val="20"/>
          <w:szCs w:val="20"/>
        </w:rPr>
        <w:t>Formes de vie</w:t>
      </w:r>
      <w:r w:rsidRPr="00E71B00">
        <w:rPr>
          <w:color w:val="000000" w:themeColor="text1"/>
          <w:sz w:val="20"/>
          <w:szCs w:val="20"/>
        </w:rPr>
        <w:t>, Liège, Presses universitaires de Liège</w:t>
      </w:r>
      <w:r>
        <w:rPr>
          <w:color w:val="000000" w:themeColor="text1"/>
          <w:sz w:val="20"/>
          <w:szCs w:val="20"/>
        </w:rPr>
        <w:t>, 2015</w:t>
      </w:r>
      <w:r w:rsidRPr="00E71B00">
        <w:rPr>
          <w:color w:val="000000" w:themeColor="text1"/>
          <w:sz w:val="20"/>
          <w:szCs w:val="20"/>
        </w:rPr>
        <w:t xml:space="preserve">. La forme de vie selon Jacques </w:t>
      </w:r>
      <w:proofErr w:type="spellStart"/>
      <w:r w:rsidRPr="00E71B00">
        <w:rPr>
          <w:color w:val="000000" w:themeColor="text1"/>
          <w:sz w:val="20"/>
          <w:szCs w:val="20"/>
        </w:rPr>
        <w:t>Fontanille</w:t>
      </w:r>
      <w:proofErr w:type="spellEnd"/>
      <w:r w:rsidRPr="00E71B00">
        <w:rPr>
          <w:color w:val="000000" w:themeColor="text1"/>
          <w:sz w:val="20"/>
          <w:szCs w:val="20"/>
        </w:rPr>
        <w:t xml:space="preserve"> met en congruence un plan de l’expression et des actions, des rôles actantiels, des passions, des valeurs. </w:t>
      </w:r>
      <w:r>
        <w:rPr>
          <w:color w:val="000000" w:themeColor="text1"/>
          <w:sz w:val="20"/>
          <w:szCs w:val="20"/>
        </w:rPr>
        <w:t>Nous nous permettons de renvoyer à</w:t>
      </w:r>
      <w:r w:rsidRPr="00E71B00">
        <w:rPr>
          <w:color w:val="000000" w:themeColor="text1"/>
          <w:sz w:val="20"/>
          <w:szCs w:val="20"/>
        </w:rPr>
        <w:t xml:space="preserve"> Marion Colas-Blaise, </w:t>
      </w:r>
      <w:r w:rsidRPr="00E71B00">
        <w:rPr>
          <w:color w:val="000000" w:themeColor="text1"/>
          <w:sz w:val="20"/>
          <w:szCs w:val="20"/>
          <w:shd w:val="clear" w:color="auto" w:fill="FFFFFF"/>
        </w:rPr>
        <w:t>« Forme de vie et formes de vie », </w:t>
      </w:r>
      <w:r w:rsidRPr="00E71B00">
        <w:rPr>
          <w:i/>
          <w:iCs/>
          <w:color w:val="000000" w:themeColor="text1"/>
          <w:sz w:val="20"/>
          <w:szCs w:val="20"/>
        </w:rPr>
        <w:t>Actes Sémiotiques</w:t>
      </w:r>
      <w:r w:rsidRPr="00E71B00">
        <w:rPr>
          <w:color w:val="000000" w:themeColor="text1"/>
          <w:sz w:val="20"/>
          <w:szCs w:val="20"/>
          <w:shd w:val="clear" w:color="auto" w:fill="FFFFFF"/>
        </w:rPr>
        <w:t> [En ligne], n</w:t>
      </w:r>
      <w:r w:rsidRPr="00C85190">
        <w:rPr>
          <w:color w:val="000000" w:themeColor="text1"/>
          <w:sz w:val="20"/>
          <w:szCs w:val="20"/>
          <w:shd w:val="clear" w:color="auto" w:fill="FFFFFF"/>
          <w:vertAlign w:val="superscript"/>
        </w:rPr>
        <w:t xml:space="preserve">o </w:t>
      </w:r>
      <w:r w:rsidRPr="00E71B00">
        <w:rPr>
          <w:color w:val="000000" w:themeColor="text1"/>
          <w:sz w:val="20"/>
          <w:szCs w:val="20"/>
          <w:shd w:val="clear" w:color="auto" w:fill="FFFFFF"/>
        </w:rPr>
        <w:t>115</w:t>
      </w:r>
      <w:r>
        <w:rPr>
          <w:color w:val="000000" w:themeColor="text1"/>
          <w:sz w:val="20"/>
          <w:szCs w:val="20"/>
          <w:shd w:val="clear" w:color="auto" w:fill="FFFFFF"/>
        </w:rPr>
        <w:t>, 2012.</w:t>
      </w:r>
      <w:r w:rsidRPr="00E71B00">
        <w:rPr>
          <w:color w:val="000000" w:themeColor="text1"/>
          <w:sz w:val="20"/>
          <w:szCs w:val="20"/>
          <w:shd w:val="clear" w:color="auto" w:fill="FFFFFF"/>
        </w:rPr>
        <w:t xml:space="preserve"> URL : </w:t>
      </w:r>
      <w:r w:rsidRPr="003304E3">
        <w:rPr>
          <w:color w:val="000000" w:themeColor="text1"/>
          <w:sz w:val="20"/>
          <w:szCs w:val="20"/>
          <w:shd w:val="clear" w:color="auto" w:fill="FFFFFF"/>
        </w:rPr>
        <w:t>&lt;</w:t>
      </w:r>
      <w:hyperlink r:id="rId1" w:history="1">
        <w:r w:rsidRPr="003304E3">
          <w:rPr>
            <w:rStyle w:val="Lienhypertexte"/>
            <w:color w:val="000000" w:themeColor="text1"/>
            <w:sz w:val="20"/>
            <w:szCs w:val="20"/>
            <w:u w:val="none"/>
            <w:shd w:val="clear" w:color="auto" w:fill="FFFFFF"/>
          </w:rPr>
          <w:t>https://www.unilim.fr/actes-semiotiques/2631</w:t>
        </w:r>
      </w:hyperlink>
      <w:r w:rsidRPr="00C85190">
        <w:rPr>
          <w:color w:val="000000" w:themeColor="text1"/>
          <w:sz w:val="20"/>
          <w:szCs w:val="20"/>
          <w:shd w:val="clear" w:color="auto" w:fill="FFFFFF"/>
        </w:rPr>
        <w:t>&gt;</w:t>
      </w:r>
      <w:r>
        <w:rPr>
          <w:color w:val="000000" w:themeColor="text1"/>
          <w:sz w:val="20"/>
          <w:szCs w:val="20"/>
          <w:shd w:val="clear" w:color="auto" w:fill="FFFFFF"/>
        </w:rPr>
        <w:t xml:space="preserve"> (</w:t>
      </w:r>
      <w:r w:rsidRPr="00E71B00">
        <w:rPr>
          <w:color w:val="000000" w:themeColor="text1"/>
          <w:sz w:val="20"/>
          <w:szCs w:val="20"/>
          <w:shd w:val="clear" w:color="auto" w:fill="FFFFFF"/>
        </w:rPr>
        <w:t>consulté le 2</w:t>
      </w:r>
      <w:r>
        <w:rPr>
          <w:color w:val="000000" w:themeColor="text1"/>
          <w:sz w:val="20"/>
          <w:szCs w:val="20"/>
          <w:shd w:val="clear" w:color="auto" w:fill="FFFFFF"/>
        </w:rPr>
        <w:t>4</w:t>
      </w:r>
      <w:r w:rsidRPr="00E71B00">
        <w:rPr>
          <w:color w:val="000000" w:themeColor="text1"/>
          <w:sz w:val="20"/>
          <w:szCs w:val="20"/>
          <w:shd w:val="clear" w:color="auto" w:fill="FFFFFF"/>
        </w:rPr>
        <w:t>/08/2019</w:t>
      </w:r>
      <w:r>
        <w:rPr>
          <w:color w:val="000000" w:themeColor="text1"/>
          <w:sz w:val="20"/>
          <w:szCs w:val="20"/>
          <w:shd w:val="clear" w:color="auto" w:fill="FFFFFF"/>
        </w:rPr>
        <w:t>),</w:t>
      </w:r>
      <w:r w:rsidRPr="00C85190">
        <w:rPr>
          <w:color w:val="000000" w:themeColor="text1"/>
          <w:sz w:val="20"/>
          <w:szCs w:val="20"/>
          <w:shd w:val="clear" w:color="auto" w:fill="FFFFFF"/>
        </w:rPr>
        <w:t xml:space="preserve"> </w:t>
      </w:r>
      <w:r>
        <w:rPr>
          <w:color w:val="000000" w:themeColor="text1"/>
          <w:sz w:val="20"/>
          <w:szCs w:val="20"/>
          <w:shd w:val="clear" w:color="auto" w:fill="FFFFFF"/>
        </w:rPr>
        <w:t xml:space="preserve">et </w:t>
      </w:r>
      <w:r w:rsidRPr="00E71B00">
        <w:rPr>
          <w:color w:val="000000" w:themeColor="text1"/>
          <w:sz w:val="20"/>
          <w:szCs w:val="20"/>
          <w:shd w:val="clear" w:color="auto" w:fill="FFFFFF"/>
        </w:rPr>
        <w:t xml:space="preserve">« La sémiotique des formes de vie, un nouveau tournant ? », </w:t>
      </w:r>
      <w:proofErr w:type="spellStart"/>
      <w:r w:rsidRPr="00E71B00">
        <w:rPr>
          <w:i/>
          <w:color w:val="000000" w:themeColor="text1"/>
          <w:sz w:val="20"/>
          <w:szCs w:val="20"/>
          <w:shd w:val="clear" w:color="auto" w:fill="FFFFFF"/>
        </w:rPr>
        <w:t>Semiotica</w:t>
      </w:r>
      <w:proofErr w:type="spellEnd"/>
      <w:r w:rsidRPr="00E71B00">
        <w:rPr>
          <w:color w:val="000000" w:themeColor="text1"/>
          <w:sz w:val="20"/>
          <w:szCs w:val="20"/>
          <w:shd w:val="clear" w:color="auto" w:fill="FFFFFF"/>
        </w:rPr>
        <w:t>, n</w:t>
      </w:r>
      <w:r w:rsidRPr="00E71B00">
        <w:rPr>
          <w:color w:val="000000" w:themeColor="text1"/>
          <w:sz w:val="20"/>
          <w:szCs w:val="20"/>
          <w:shd w:val="clear" w:color="auto" w:fill="FFFFFF"/>
          <w:vertAlign w:val="superscript"/>
        </w:rPr>
        <w:t>o</w:t>
      </w:r>
      <w:r w:rsidRPr="00E71B00">
        <w:rPr>
          <w:color w:val="000000" w:themeColor="text1"/>
          <w:sz w:val="20"/>
          <w:szCs w:val="20"/>
          <w:shd w:val="clear" w:color="auto" w:fill="FFFFFF"/>
        </w:rPr>
        <w:t xml:space="preserve"> 221, </w:t>
      </w:r>
      <w:r>
        <w:rPr>
          <w:color w:val="000000" w:themeColor="text1"/>
          <w:sz w:val="20"/>
          <w:szCs w:val="20"/>
          <w:shd w:val="clear" w:color="auto" w:fill="FFFFFF"/>
        </w:rPr>
        <w:t>2018</w:t>
      </w:r>
      <w:r w:rsidR="009B247B">
        <w:rPr>
          <w:color w:val="000000" w:themeColor="text1"/>
          <w:sz w:val="20"/>
          <w:szCs w:val="20"/>
          <w:shd w:val="clear" w:color="auto" w:fill="FFFFFF"/>
        </w:rPr>
        <w:t>a</w:t>
      </w:r>
      <w:r>
        <w:rPr>
          <w:color w:val="000000" w:themeColor="text1"/>
          <w:sz w:val="20"/>
          <w:szCs w:val="20"/>
          <w:shd w:val="clear" w:color="auto" w:fill="FFFFFF"/>
        </w:rPr>
        <w:t xml:space="preserve">, </w:t>
      </w:r>
      <w:r w:rsidRPr="00E71B00">
        <w:rPr>
          <w:color w:val="000000" w:themeColor="text1"/>
          <w:sz w:val="20"/>
          <w:szCs w:val="20"/>
          <w:shd w:val="clear" w:color="auto" w:fill="FFFFFF"/>
        </w:rPr>
        <w:t xml:space="preserve">pp. 301-313. </w:t>
      </w:r>
    </w:p>
  </w:footnote>
  <w:footnote w:id="18">
    <w:p w:rsidR="00AD766A" w:rsidRPr="00C85190" w:rsidRDefault="00AD766A" w:rsidP="00AD766A">
      <w:pPr>
        <w:pStyle w:val="Notedebasdepage"/>
        <w:jc w:val="both"/>
        <w:rPr>
          <w:sz w:val="20"/>
          <w:szCs w:val="20"/>
          <w:lang w:val="fr-CH"/>
        </w:rPr>
      </w:pPr>
      <w:r w:rsidRPr="00C85190">
        <w:rPr>
          <w:rStyle w:val="Appelnotedebasdep"/>
          <w:sz w:val="20"/>
          <w:szCs w:val="20"/>
        </w:rPr>
        <w:footnoteRef/>
      </w:r>
      <w:r w:rsidRPr="00C85190">
        <w:rPr>
          <w:sz w:val="20"/>
          <w:szCs w:val="20"/>
        </w:rPr>
        <w:t xml:space="preserve"> </w:t>
      </w:r>
      <w:r w:rsidRPr="00C85190">
        <w:rPr>
          <w:sz w:val="20"/>
          <w:szCs w:val="20"/>
        </w:rPr>
        <w:t xml:space="preserve">Ainsi l’énonciation, à la base de la production du sens par une instance sensible et perceptivo-cognitive, mérite d’être considérée comme une pratique </w:t>
      </w:r>
      <w:r w:rsidRPr="00C85190">
        <w:rPr>
          <w:i/>
          <w:sz w:val="20"/>
          <w:szCs w:val="20"/>
        </w:rPr>
        <w:t>située</w:t>
      </w:r>
      <w:r w:rsidRPr="00C85190">
        <w:rPr>
          <w:sz w:val="20"/>
          <w:szCs w:val="20"/>
        </w:rPr>
        <w:t xml:space="preserve">, c’est-à-dire ancrée dans un contexte (social, culturel, historique, économique…). </w:t>
      </w:r>
    </w:p>
  </w:footnote>
  <w:footnote w:id="19">
    <w:p w:rsidR="00AD766A" w:rsidRPr="0098081E" w:rsidRDefault="00AD766A" w:rsidP="00AD766A">
      <w:pPr>
        <w:pStyle w:val="Notedebasdepage"/>
        <w:jc w:val="both"/>
        <w:rPr>
          <w:sz w:val="20"/>
          <w:szCs w:val="20"/>
          <w:lang w:val="fr-CH"/>
        </w:rPr>
      </w:pPr>
      <w:r w:rsidRPr="00A16CE6">
        <w:rPr>
          <w:rStyle w:val="Appelnotedebasdep"/>
          <w:sz w:val="20"/>
          <w:szCs w:val="20"/>
        </w:rPr>
        <w:footnoteRef/>
      </w:r>
      <w:r w:rsidRPr="00A16CE6">
        <w:rPr>
          <w:sz w:val="20"/>
          <w:szCs w:val="20"/>
        </w:rPr>
        <w:t xml:space="preserve"> </w:t>
      </w:r>
      <w:r w:rsidRPr="00A16CE6">
        <w:rPr>
          <w:sz w:val="20"/>
          <w:szCs w:val="20"/>
        </w:rPr>
        <w:t xml:space="preserve">Voir Jacques </w:t>
      </w:r>
      <w:proofErr w:type="spellStart"/>
      <w:r w:rsidRPr="00A16CE6">
        <w:rPr>
          <w:sz w:val="20"/>
          <w:szCs w:val="20"/>
        </w:rPr>
        <w:t>Fontanille</w:t>
      </w:r>
      <w:proofErr w:type="spellEnd"/>
      <w:r w:rsidRPr="00A16CE6">
        <w:rPr>
          <w:sz w:val="20"/>
          <w:szCs w:val="20"/>
        </w:rPr>
        <w:t xml:space="preserve"> &amp; Nicolas </w:t>
      </w:r>
      <w:proofErr w:type="spellStart"/>
      <w:r w:rsidRPr="00A16CE6">
        <w:rPr>
          <w:sz w:val="20"/>
          <w:szCs w:val="20"/>
        </w:rPr>
        <w:t>Couégnas</w:t>
      </w:r>
      <w:proofErr w:type="spellEnd"/>
      <w:r w:rsidRPr="00A16CE6">
        <w:rPr>
          <w:sz w:val="20"/>
          <w:szCs w:val="20"/>
        </w:rPr>
        <w:t xml:space="preserve">, </w:t>
      </w:r>
      <w:r w:rsidRPr="00A16CE6">
        <w:rPr>
          <w:i/>
          <w:sz w:val="20"/>
          <w:szCs w:val="20"/>
        </w:rPr>
        <w:t>Terres de sens</w:t>
      </w:r>
      <w:r>
        <w:rPr>
          <w:i/>
          <w:sz w:val="20"/>
          <w:szCs w:val="20"/>
        </w:rPr>
        <w:t>. Essai d’</w:t>
      </w:r>
      <w:proofErr w:type="spellStart"/>
      <w:r>
        <w:rPr>
          <w:i/>
          <w:sz w:val="20"/>
          <w:szCs w:val="20"/>
        </w:rPr>
        <w:t>anthroposémiotique</w:t>
      </w:r>
      <w:proofErr w:type="spellEnd"/>
      <w:r w:rsidRPr="00A16CE6">
        <w:rPr>
          <w:sz w:val="20"/>
          <w:szCs w:val="20"/>
        </w:rPr>
        <w:t xml:space="preserve">, Limoges, </w:t>
      </w:r>
      <w:proofErr w:type="spellStart"/>
      <w:r w:rsidRPr="00A16CE6">
        <w:rPr>
          <w:sz w:val="20"/>
          <w:szCs w:val="20"/>
        </w:rPr>
        <w:t>Pulim</w:t>
      </w:r>
      <w:proofErr w:type="spellEnd"/>
      <w:r>
        <w:rPr>
          <w:sz w:val="20"/>
          <w:szCs w:val="20"/>
        </w:rPr>
        <w:t>, 2018</w:t>
      </w:r>
      <w:r w:rsidRPr="00A16CE6">
        <w:rPr>
          <w:sz w:val="20"/>
          <w:szCs w:val="20"/>
        </w:rPr>
        <w:t xml:space="preserve">. </w:t>
      </w:r>
      <w:r>
        <w:rPr>
          <w:sz w:val="20"/>
          <w:szCs w:val="20"/>
        </w:rPr>
        <w:t xml:space="preserve">Les auteurs visent à la fois le « procès de totalisation du sens », les œuvres (textes, objets) étant assemblés en vue de la médiation par les médias et les institutions, et le « procès de régulation cursive » du flux du sens à </w:t>
      </w:r>
      <w:r w:rsidRPr="0098081E">
        <w:rPr>
          <w:sz w:val="20"/>
          <w:szCs w:val="20"/>
        </w:rPr>
        <w:t xml:space="preserve">travers des processus (des pratiques, des formes de vie) </w:t>
      </w:r>
      <w:r w:rsidRPr="0098081E">
        <w:rPr>
          <w:i/>
          <w:sz w:val="20"/>
          <w:szCs w:val="20"/>
        </w:rPr>
        <w:t>(ibid</w:t>
      </w:r>
      <w:r w:rsidRPr="0098081E">
        <w:rPr>
          <w:sz w:val="20"/>
          <w:szCs w:val="20"/>
        </w:rPr>
        <w:t xml:space="preserve">., p. 237). </w:t>
      </w:r>
    </w:p>
  </w:footnote>
  <w:footnote w:id="20">
    <w:p w:rsidR="00AD766A" w:rsidRPr="0098081E" w:rsidRDefault="00AD766A" w:rsidP="00AD766A">
      <w:pPr>
        <w:pStyle w:val="Notedebasdepage"/>
        <w:jc w:val="both"/>
        <w:rPr>
          <w:sz w:val="20"/>
          <w:szCs w:val="20"/>
        </w:rPr>
      </w:pPr>
      <w:r w:rsidRPr="0098081E">
        <w:rPr>
          <w:rStyle w:val="Appelnotedebasdep"/>
          <w:sz w:val="20"/>
          <w:szCs w:val="20"/>
        </w:rPr>
        <w:footnoteRef/>
      </w:r>
      <w:r w:rsidRPr="0098081E">
        <w:rPr>
          <w:sz w:val="20"/>
          <w:szCs w:val="20"/>
        </w:rPr>
        <w:t xml:space="preserve"> </w:t>
      </w:r>
      <w:r w:rsidRPr="0098081E">
        <w:rPr>
          <w:sz w:val="20"/>
          <w:szCs w:val="20"/>
        </w:rPr>
        <w:t xml:space="preserve">Yves </w:t>
      </w:r>
      <w:proofErr w:type="spellStart"/>
      <w:r w:rsidRPr="0098081E">
        <w:rPr>
          <w:sz w:val="20"/>
          <w:szCs w:val="20"/>
        </w:rPr>
        <w:t>Citton</w:t>
      </w:r>
      <w:proofErr w:type="spellEnd"/>
      <w:r w:rsidRPr="0098081E">
        <w:rPr>
          <w:sz w:val="20"/>
          <w:szCs w:val="20"/>
        </w:rPr>
        <w:t xml:space="preserve">, </w:t>
      </w:r>
      <w:r w:rsidRPr="0098081E">
        <w:rPr>
          <w:i/>
          <w:sz w:val="20"/>
          <w:szCs w:val="20"/>
        </w:rPr>
        <w:t>Gestes d’humanité</w:t>
      </w:r>
      <w:r>
        <w:rPr>
          <w:i/>
          <w:sz w:val="20"/>
          <w:szCs w:val="20"/>
        </w:rPr>
        <w:t>s</w:t>
      </w:r>
      <w:r w:rsidRPr="0098081E">
        <w:rPr>
          <w:i/>
          <w:sz w:val="20"/>
          <w:szCs w:val="20"/>
        </w:rPr>
        <w:t>. Anthropologie sauvage de nos expériences esthétiques</w:t>
      </w:r>
      <w:r w:rsidRPr="0098081E">
        <w:rPr>
          <w:sz w:val="20"/>
          <w:szCs w:val="20"/>
        </w:rPr>
        <w:t>, Paris, Armand Colin, 2012</w:t>
      </w:r>
      <w:r>
        <w:rPr>
          <w:sz w:val="20"/>
          <w:szCs w:val="20"/>
        </w:rPr>
        <w:t>, p. 17.</w:t>
      </w:r>
    </w:p>
  </w:footnote>
  <w:footnote w:id="21">
    <w:p w:rsidR="00AD766A" w:rsidRPr="0098081E" w:rsidRDefault="00AD766A" w:rsidP="00AD766A">
      <w:pPr>
        <w:pStyle w:val="Notedebasdepage"/>
        <w:jc w:val="both"/>
        <w:rPr>
          <w:sz w:val="20"/>
          <w:szCs w:val="20"/>
          <w:lang w:val="fr-CH"/>
        </w:rPr>
      </w:pPr>
      <w:r w:rsidRPr="0098081E">
        <w:rPr>
          <w:rStyle w:val="Appelnotedebasdep"/>
          <w:sz w:val="20"/>
          <w:szCs w:val="20"/>
        </w:rPr>
        <w:footnoteRef/>
      </w:r>
      <w:r w:rsidRPr="0098081E">
        <w:rPr>
          <w:sz w:val="20"/>
          <w:szCs w:val="20"/>
        </w:rPr>
        <w:t xml:space="preserve"> </w:t>
      </w:r>
      <w:r w:rsidRPr="0098081E">
        <w:rPr>
          <w:sz w:val="20"/>
          <w:szCs w:val="20"/>
          <w:lang w:val="fr-CH"/>
        </w:rPr>
        <w:t xml:space="preserve">Tim Ingold, </w:t>
      </w:r>
      <w:r w:rsidRPr="0098081E">
        <w:rPr>
          <w:i/>
          <w:sz w:val="20"/>
          <w:szCs w:val="20"/>
        </w:rPr>
        <w:t xml:space="preserve">Faire : anthropologie, archéologie, art et architecture, </w:t>
      </w:r>
      <w:proofErr w:type="spellStart"/>
      <w:r w:rsidRPr="0098081E">
        <w:rPr>
          <w:sz w:val="20"/>
          <w:szCs w:val="20"/>
        </w:rPr>
        <w:t>Bellevaux</w:t>
      </w:r>
      <w:proofErr w:type="spellEnd"/>
      <w:r w:rsidRPr="0098081E">
        <w:rPr>
          <w:sz w:val="20"/>
          <w:szCs w:val="20"/>
        </w:rPr>
        <w:t>,</w:t>
      </w:r>
      <w:r w:rsidRPr="0098081E">
        <w:rPr>
          <w:i/>
          <w:sz w:val="20"/>
          <w:szCs w:val="20"/>
        </w:rPr>
        <w:t xml:space="preserve"> </w:t>
      </w:r>
      <w:r w:rsidRPr="0098081E">
        <w:rPr>
          <w:sz w:val="20"/>
          <w:szCs w:val="20"/>
          <w:lang w:val="fr-CH"/>
        </w:rPr>
        <w:t>É</w:t>
      </w:r>
      <w:proofErr w:type="spellStart"/>
      <w:r w:rsidRPr="0098081E">
        <w:rPr>
          <w:sz w:val="20"/>
          <w:szCs w:val="20"/>
        </w:rPr>
        <w:t>ditions</w:t>
      </w:r>
      <w:proofErr w:type="spellEnd"/>
      <w:r w:rsidRPr="0098081E">
        <w:rPr>
          <w:sz w:val="20"/>
          <w:szCs w:val="20"/>
        </w:rPr>
        <w:t xml:space="preserve"> Dehors, 2017</w:t>
      </w:r>
      <w:r>
        <w:rPr>
          <w:sz w:val="20"/>
          <w:szCs w:val="20"/>
        </w:rPr>
        <w:t xml:space="preserve"> [2013]. </w:t>
      </w:r>
    </w:p>
  </w:footnote>
  <w:footnote w:id="22">
    <w:p w:rsidR="00AD766A" w:rsidRPr="0098081E" w:rsidRDefault="00AD766A" w:rsidP="00AD766A">
      <w:pPr>
        <w:pStyle w:val="NormalWeb"/>
        <w:spacing w:before="0" w:beforeAutospacing="0" w:after="0" w:afterAutospacing="0"/>
        <w:jc w:val="both"/>
        <w:rPr>
          <w:sz w:val="20"/>
          <w:szCs w:val="20"/>
        </w:rPr>
      </w:pPr>
      <w:r w:rsidRPr="0098081E">
        <w:rPr>
          <w:rStyle w:val="Appelnotedebasdep"/>
          <w:sz w:val="20"/>
          <w:szCs w:val="20"/>
        </w:rPr>
        <w:footnoteRef/>
      </w:r>
      <w:r w:rsidRPr="0098081E">
        <w:rPr>
          <w:sz w:val="20"/>
          <w:szCs w:val="20"/>
        </w:rPr>
        <w:t xml:space="preserve"> </w:t>
      </w:r>
      <w:r w:rsidRPr="0098081E">
        <w:rPr>
          <w:sz w:val="20"/>
          <w:szCs w:val="20"/>
        </w:rPr>
        <w:t xml:space="preserve">Voir, surtout, Pierluigi </w:t>
      </w:r>
      <w:proofErr w:type="spellStart"/>
      <w:r w:rsidRPr="0098081E">
        <w:rPr>
          <w:sz w:val="20"/>
          <w:szCs w:val="20"/>
        </w:rPr>
        <w:t>Basso</w:t>
      </w:r>
      <w:proofErr w:type="spellEnd"/>
      <w:r w:rsidRPr="0098081E">
        <w:rPr>
          <w:sz w:val="20"/>
          <w:szCs w:val="20"/>
        </w:rPr>
        <w:t xml:space="preserve"> </w:t>
      </w:r>
      <w:proofErr w:type="spellStart"/>
      <w:r w:rsidRPr="0098081E">
        <w:rPr>
          <w:sz w:val="20"/>
          <w:szCs w:val="20"/>
        </w:rPr>
        <w:t>Fossali</w:t>
      </w:r>
      <w:proofErr w:type="spellEnd"/>
      <w:r w:rsidRPr="0098081E">
        <w:rPr>
          <w:sz w:val="20"/>
          <w:szCs w:val="20"/>
        </w:rPr>
        <w:t>, « Le geste et sa niche : gestion du sens “hors technique” »</w:t>
      </w:r>
      <w:r>
        <w:rPr>
          <w:sz w:val="20"/>
          <w:szCs w:val="20"/>
        </w:rPr>
        <w:t>,</w:t>
      </w:r>
      <w:r w:rsidRPr="0098081E">
        <w:rPr>
          <w:sz w:val="20"/>
          <w:szCs w:val="20"/>
        </w:rPr>
        <w:t xml:space="preserve"> </w:t>
      </w:r>
      <w:r w:rsidRPr="0098081E">
        <w:rPr>
          <w:i/>
          <w:sz w:val="20"/>
          <w:szCs w:val="20"/>
        </w:rPr>
        <w:t>Texto ! Textes et cultures</w:t>
      </w:r>
      <w:r w:rsidRPr="0098081E">
        <w:rPr>
          <w:sz w:val="20"/>
          <w:szCs w:val="20"/>
        </w:rPr>
        <w:t xml:space="preserve">, vol. XXII, </w:t>
      </w:r>
      <w:r>
        <w:rPr>
          <w:sz w:val="20"/>
          <w:szCs w:val="20"/>
        </w:rPr>
        <w:t>n</w:t>
      </w:r>
      <w:r w:rsidRPr="00096BED">
        <w:rPr>
          <w:sz w:val="20"/>
          <w:szCs w:val="20"/>
          <w:vertAlign w:val="superscript"/>
        </w:rPr>
        <w:t>o</w:t>
      </w:r>
      <w:r>
        <w:rPr>
          <w:sz w:val="20"/>
          <w:szCs w:val="20"/>
        </w:rPr>
        <w:t xml:space="preserve"> </w:t>
      </w:r>
      <w:r w:rsidRPr="0098081E">
        <w:rPr>
          <w:sz w:val="20"/>
          <w:szCs w:val="20"/>
        </w:rPr>
        <w:t xml:space="preserve">2, 2017. </w:t>
      </w:r>
    </w:p>
  </w:footnote>
  <w:footnote w:id="23">
    <w:p w:rsidR="00AD766A" w:rsidRPr="0098081E" w:rsidRDefault="00AD766A" w:rsidP="00AD766A">
      <w:pPr>
        <w:pStyle w:val="Notedebasdepage"/>
        <w:jc w:val="both"/>
        <w:rPr>
          <w:sz w:val="20"/>
          <w:szCs w:val="20"/>
        </w:rPr>
      </w:pPr>
      <w:r w:rsidRPr="0098081E">
        <w:rPr>
          <w:rStyle w:val="Appelnotedebasdep"/>
          <w:sz w:val="20"/>
          <w:szCs w:val="20"/>
        </w:rPr>
        <w:footnoteRef/>
      </w:r>
      <w:r w:rsidRPr="0098081E">
        <w:rPr>
          <w:sz w:val="20"/>
          <w:szCs w:val="20"/>
        </w:rPr>
        <w:t xml:space="preserve"> </w:t>
      </w:r>
      <w:r w:rsidRPr="0098081E">
        <w:rPr>
          <w:sz w:val="20"/>
          <w:szCs w:val="20"/>
        </w:rPr>
        <w:t>Cf. P</w:t>
      </w:r>
      <w:r>
        <w:rPr>
          <w:sz w:val="20"/>
          <w:szCs w:val="20"/>
        </w:rPr>
        <w:t>ie</w:t>
      </w:r>
      <w:r w:rsidRPr="0098081E">
        <w:rPr>
          <w:sz w:val="20"/>
          <w:szCs w:val="20"/>
        </w:rPr>
        <w:t xml:space="preserve">rluigi </w:t>
      </w:r>
      <w:proofErr w:type="spellStart"/>
      <w:r w:rsidRPr="0098081E">
        <w:rPr>
          <w:sz w:val="20"/>
          <w:szCs w:val="20"/>
        </w:rPr>
        <w:t>Basso</w:t>
      </w:r>
      <w:proofErr w:type="spellEnd"/>
      <w:r w:rsidRPr="0098081E">
        <w:rPr>
          <w:sz w:val="20"/>
          <w:szCs w:val="20"/>
        </w:rPr>
        <w:t xml:space="preserve"> </w:t>
      </w:r>
      <w:proofErr w:type="spellStart"/>
      <w:r w:rsidRPr="0098081E">
        <w:rPr>
          <w:sz w:val="20"/>
          <w:szCs w:val="20"/>
        </w:rPr>
        <w:t>Fossali</w:t>
      </w:r>
      <w:proofErr w:type="spellEnd"/>
      <w:r w:rsidRPr="0098081E">
        <w:rPr>
          <w:sz w:val="20"/>
          <w:szCs w:val="20"/>
        </w:rPr>
        <w:t xml:space="preserve">, Marion Colas-Blaise &amp; Maria </w:t>
      </w:r>
      <w:proofErr w:type="spellStart"/>
      <w:r w:rsidRPr="0098081E">
        <w:rPr>
          <w:sz w:val="20"/>
          <w:szCs w:val="20"/>
        </w:rPr>
        <w:t>Giulia</w:t>
      </w:r>
      <w:proofErr w:type="spellEnd"/>
      <w:r w:rsidRPr="0098081E">
        <w:rPr>
          <w:sz w:val="20"/>
          <w:szCs w:val="20"/>
        </w:rPr>
        <w:t xml:space="preserve"> </w:t>
      </w:r>
      <w:proofErr w:type="spellStart"/>
      <w:r w:rsidRPr="0098081E">
        <w:rPr>
          <w:sz w:val="20"/>
          <w:szCs w:val="20"/>
        </w:rPr>
        <w:t>Dondero</w:t>
      </w:r>
      <w:proofErr w:type="spellEnd"/>
      <w:r w:rsidRPr="0098081E">
        <w:rPr>
          <w:sz w:val="20"/>
          <w:szCs w:val="20"/>
        </w:rPr>
        <w:t xml:space="preserve"> (</w:t>
      </w:r>
      <w:proofErr w:type="spellStart"/>
      <w:r w:rsidRPr="0098081E">
        <w:rPr>
          <w:sz w:val="20"/>
          <w:szCs w:val="20"/>
        </w:rPr>
        <w:t>dirs</w:t>
      </w:r>
      <w:proofErr w:type="spellEnd"/>
      <w:r w:rsidRPr="0098081E">
        <w:rPr>
          <w:sz w:val="20"/>
          <w:szCs w:val="20"/>
        </w:rPr>
        <w:t xml:space="preserve">), « La communication à l’épreuve du geste numérique », </w:t>
      </w:r>
      <w:r w:rsidRPr="0098081E">
        <w:rPr>
          <w:i/>
          <w:sz w:val="20"/>
          <w:szCs w:val="20"/>
        </w:rPr>
        <w:t>MEI</w:t>
      </w:r>
      <w:r w:rsidRPr="0098081E">
        <w:rPr>
          <w:sz w:val="20"/>
          <w:szCs w:val="20"/>
        </w:rPr>
        <w:t>, n</w:t>
      </w:r>
      <w:r w:rsidRPr="0098081E">
        <w:rPr>
          <w:sz w:val="20"/>
          <w:szCs w:val="20"/>
          <w:vertAlign w:val="superscript"/>
        </w:rPr>
        <w:t>o</w:t>
      </w:r>
      <w:r w:rsidRPr="0098081E">
        <w:rPr>
          <w:sz w:val="20"/>
          <w:szCs w:val="20"/>
        </w:rPr>
        <w:t xml:space="preserve"> 47, 2019. </w:t>
      </w:r>
    </w:p>
  </w:footnote>
  <w:footnote w:id="24">
    <w:p w:rsidR="00AD766A" w:rsidRPr="00811C52" w:rsidRDefault="00AD766A" w:rsidP="00AD766A">
      <w:pPr>
        <w:jc w:val="both"/>
        <w:rPr>
          <w:sz w:val="20"/>
          <w:szCs w:val="20"/>
        </w:rPr>
      </w:pPr>
      <w:r w:rsidRPr="00811C52">
        <w:rPr>
          <w:rStyle w:val="Appelnotedebasdep"/>
          <w:sz w:val="20"/>
          <w:szCs w:val="20"/>
        </w:rPr>
        <w:footnoteRef/>
      </w:r>
      <w:r w:rsidRPr="00811C52">
        <w:rPr>
          <w:sz w:val="20"/>
          <w:szCs w:val="20"/>
        </w:rPr>
        <w:t xml:space="preserve"> </w:t>
      </w:r>
      <w:r w:rsidRPr="00811C52">
        <w:rPr>
          <w:sz w:val="20"/>
          <w:szCs w:val="20"/>
        </w:rPr>
        <w:t xml:space="preserve">Cf. </w:t>
      </w:r>
      <w:r w:rsidRPr="00811C52">
        <w:rPr>
          <w:sz w:val="20"/>
          <w:szCs w:val="20"/>
          <w:lang w:val="fr-CH"/>
        </w:rPr>
        <w:t xml:space="preserve">Gilles Deleuze, </w:t>
      </w:r>
      <w:r w:rsidRPr="00811C52">
        <w:rPr>
          <w:color w:val="323232"/>
          <w:sz w:val="20"/>
          <w:szCs w:val="20"/>
          <w:shd w:val="clear" w:color="auto" w:fill="FAFAFA"/>
        </w:rPr>
        <w:t>« Qu’est-ce qu’un dispositif ? »</w:t>
      </w:r>
      <w:r>
        <w:rPr>
          <w:color w:val="323232"/>
          <w:sz w:val="20"/>
          <w:szCs w:val="20"/>
          <w:shd w:val="clear" w:color="auto" w:fill="FAFAFA"/>
        </w:rPr>
        <w:t>,</w:t>
      </w:r>
      <w:r w:rsidRPr="00811C52">
        <w:rPr>
          <w:color w:val="323232"/>
          <w:sz w:val="20"/>
          <w:szCs w:val="20"/>
          <w:shd w:val="clear" w:color="auto" w:fill="FAFAFA"/>
        </w:rPr>
        <w:t xml:space="preserve"> </w:t>
      </w:r>
      <w:r w:rsidRPr="00811C52">
        <w:rPr>
          <w:i/>
          <w:color w:val="323232"/>
          <w:sz w:val="20"/>
          <w:szCs w:val="20"/>
          <w:shd w:val="clear" w:color="auto" w:fill="FAFAFA"/>
        </w:rPr>
        <w:t>in</w:t>
      </w:r>
      <w:r w:rsidRPr="00811C52">
        <w:rPr>
          <w:rStyle w:val="apple-converted-space"/>
          <w:rFonts w:eastAsiaTheme="minorEastAsia"/>
          <w:color w:val="323232"/>
          <w:sz w:val="20"/>
          <w:szCs w:val="20"/>
          <w:shd w:val="clear" w:color="auto" w:fill="FAFAFA"/>
        </w:rPr>
        <w:t> </w:t>
      </w:r>
      <w:r w:rsidRPr="00811C52">
        <w:rPr>
          <w:rStyle w:val="Accentuation"/>
          <w:color w:val="323232"/>
          <w:sz w:val="20"/>
          <w:szCs w:val="20"/>
        </w:rPr>
        <w:t>Michel Foucault philosophe</w:t>
      </w:r>
      <w:r w:rsidRPr="00811C52">
        <w:rPr>
          <w:color w:val="323232"/>
          <w:sz w:val="20"/>
          <w:szCs w:val="20"/>
          <w:shd w:val="clear" w:color="auto" w:fill="FAFAFA"/>
        </w:rPr>
        <w:t>,</w:t>
      </w:r>
      <w:r w:rsidRPr="00811C52">
        <w:rPr>
          <w:rStyle w:val="apple-converted-space"/>
          <w:rFonts w:eastAsiaTheme="minorEastAsia"/>
          <w:color w:val="323232"/>
          <w:sz w:val="20"/>
          <w:szCs w:val="20"/>
          <w:shd w:val="clear" w:color="auto" w:fill="FAFAFA"/>
        </w:rPr>
        <w:t> </w:t>
      </w:r>
      <w:r w:rsidRPr="00811C52">
        <w:rPr>
          <w:rStyle w:val="Accentuation"/>
          <w:color w:val="323232"/>
          <w:sz w:val="20"/>
          <w:szCs w:val="20"/>
        </w:rPr>
        <w:t>Rencontre internationale Paris, 9, 10, 11 janvier 1988</w:t>
      </w:r>
      <w:r w:rsidRPr="00811C52">
        <w:rPr>
          <w:color w:val="323232"/>
          <w:sz w:val="20"/>
          <w:szCs w:val="20"/>
          <w:shd w:val="clear" w:color="auto" w:fill="FAFAFA"/>
        </w:rPr>
        <w:t xml:space="preserve">, </w:t>
      </w:r>
      <w:r>
        <w:rPr>
          <w:color w:val="323232"/>
          <w:sz w:val="20"/>
          <w:szCs w:val="20"/>
          <w:shd w:val="clear" w:color="auto" w:fill="FAFAFA"/>
        </w:rPr>
        <w:t xml:space="preserve">Paris, </w:t>
      </w:r>
      <w:r w:rsidRPr="00811C52">
        <w:rPr>
          <w:color w:val="323232"/>
          <w:sz w:val="20"/>
          <w:szCs w:val="20"/>
          <w:shd w:val="clear" w:color="auto" w:fill="FAFAFA"/>
        </w:rPr>
        <w:t>Seuil, 1988,</w:t>
      </w:r>
    </w:p>
  </w:footnote>
  <w:footnote w:id="25">
    <w:p w:rsidR="00AD766A" w:rsidRPr="000F5EF8" w:rsidRDefault="00AD766A" w:rsidP="00AD766A">
      <w:pPr>
        <w:pStyle w:val="Notedebasdepage"/>
        <w:rPr>
          <w:sz w:val="20"/>
          <w:szCs w:val="20"/>
        </w:rPr>
      </w:pPr>
      <w:r w:rsidRPr="000F5EF8">
        <w:rPr>
          <w:rStyle w:val="Appelnotedebasdep"/>
          <w:sz w:val="20"/>
          <w:szCs w:val="20"/>
        </w:rPr>
        <w:footnoteRef/>
      </w:r>
      <w:r w:rsidRPr="000F5EF8">
        <w:rPr>
          <w:sz w:val="20"/>
          <w:szCs w:val="20"/>
        </w:rPr>
        <w:t xml:space="preserve"> </w:t>
      </w:r>
      <w:r w:rsidRPr="000F5EF8">
        <w:rPr>
          <w:sz w:val="20"/>
          <w:szCs w:val="20"/>
        </w:rPr>
        <w:t xml:space="preserve">Gilles Deleuze, </w:t>
      </w:r>
      <w:r w:rsidRPr="000F5EF8">
        <w:rPr>
          <w:i/>
          <w:sz w:val="20"/>
          <w:szCs w:val="20"/>
        </w:rPr>
        <w:t>Différence et répétition</w:t>
      </w:r>
      <w:r w:rsidRPr="000F5EF8">
        <w:rPr>
          <w:sz w:val="20"/>
          <w:szCs w:val="20"/>
        </w:rPr>
        <w:t xml:space="preserve">, </w:t>
      </w:r>
      <w:r>
        <w:rPr>
          <w:sz w:val="20"/>
          <w:szCs w:val="20"/>
        </w:rPr>
        <w:t xml:space="preserve">Paris, PUF, 1968, </w:t>
      </w:r>
      <w:r w:rsidRPr="000F5EF8">
        <w:rPr>
          <w:sz w:val="20"/>
          <w:szCs w:val="20"/>
        </w:rPr>
        <w:t xml:space="preserve">p. 328. </w:t>
      </w:r>
    </w:p>
  </w:footnote>
  <w:footnote w:id="26">
    <w:p w:rsidR="00AD766A" w:rsidRPr="000F5EF8" w:rsidRDefault="00AD766A" w:rsidP="00AD766A">
      <w:pPr>
        <w:pStyle w:val="Notedebasdepage"/>
        <w:rPr>
          <w:i/>
          <w:sz w:val="20"/>
          <w:szCs w:val="20"/>
          <w:lang w:val="fr-CH"/>
        </w:rPr>
      </w:pPr>
      <w:r w:rsidRPr="000F5EF8">
        <w:rPr>
          <w:rStyle w:val="Appelnotedebasdep"/>
          <w:sz w:val="20"/>
          <w:szCs w:val="20"/>
        </w:rPr>
        <w:footnoteRef/>
      </w:r>
      <w:r w:rsidRPr="000F5EF8">
        <w:rPr>
          <w:sz w:val="20"/>
          <w:szCs w:val="20"/>
        </w:rPr>
        <w:t xml:space="preserve"> </w:t>
      </w:r>
      <w:r w:rsidRPr="000F5EF8">
        <w:rPr>
          <w:sz w:val="20"/>
          <w:szCs w:val="20"/>
        </w:rPr>
        <w:t xml:space="preserve">Jean-François </w:t>
      </w:r>
      <w:proofErr w:type="spellStart"/>
      <w:r w:rsidRPr="000F5EF8">
        <w:rPr>
          <w:sz w:val="20"/>
          <w:szCs w:val="20"/>
        </w:rPr>
        <w:t>Bordron</w:t>
      </w:r>
      <w:proofErr w:type="spellEnd"/>
      <w:r w:rsidRPr="000F5EF8">
        <w:rPr>
          <w:sz w:val="20"/>
          <w:szCs w:val="20"/>
        </w:rPr>
        <w:t xml:space="preserve">, </w:t>
      </w:r>
      <w:r w:rsidRPr="000F5EF8">
        <w:rPr>
          <w:i/>
          <w:sz w:val="20"/>
          <w:szCs w:val="20"/>
        </w:rPr>
        <w:t xml:space="preserve">L’iconicité et ses images, op. </w:t>
      </w:r>
      <w:proofErr w:type="spellStart"/>
      <w:r w:rsidRPr="000F5EF8">
        <w:rPr>
          <w:i/>
          <w:sz w:val="20"/>
          <w:szCs w:val="20"/>
        </w:rPr>
        <w:t>cit</w:t>
      </w:r>
      <w:proofErr w:type="spellEnd"/>
      <w:r w:rsidRPr="000F5EF8">
        <w:rPr>
          <w:i/>
          <w:sz w:val="20"/>
          <w:szCs w:val="20"/>
        </w:rPr>
        <w:t xml:space="preserve">. </w:t>
      </w:r>
    </w:p>
  </w:footnote>
  <w:footnote w:id="27">
    <w:p w:rsidR="00AD766A" w:rsidRPr="000F5EF8" w:rsidRDefault="00AD766A" w:rsidP="00AD766A">
      <w:pPr>
        <w:widowControl w:val="0"/>
        <w:autoSpaceDE w:val="0"/>
        <w:autoSpaceDN w:val="0"/>
        <w:adjustRightInd w:val="0"/>
        <w:jc w:val="both"/>
        <w:rPr>
          <w:iCs/>
          <w:sz w:val="20"/>
          <w:szCs w:val="20"/>
        </w:rPr>
      </w:pPr>
      <w:r w:rsidRPr="000F5EF8">
        <w:rPr>
          <w:rStyle w:val="Appelnotedebasdep"/>
          <w:sz w:val="20"/>
          <w:szCs w:val="20"/>
        </w:rPr>
        <w:footnoteRef/>
      </w:r>
      <w:r w:rsidRPr="000F5EF8">
        <w:rPr>
          <w:sz w:val="20"/>
          <w:szCs w:val="20"/>
        </w:rPr>
        <w:t xml:space="preserve"> </w:t>
      </w:r>
      <w:r w:rsidRPr="000F5EF8">
        <w:rPr>
          <w:sz w:val="20"/>
          <w:szCs w:val="20"/>
          <w:lang w:val="fr-CH"/>
        </w:rPr>
        <w:t xml:space="preserve">Henri Michaux, </w:t>
      </w:r>
      <w:r w:rsidRPr="000F5EF8">
        <w:rPr>
          <w:i/>
          <w:iCs/>
          <w:sz w:val="20"/>
          <w:szCs w:val="20"/>
        </w:rPr>
        <w:t xml:space="preserve">Par des traits, </w:t>
      </w:r>
      <w:r w:rsidRPr="000F5EF8">
        <w:rPr>
          <w:iCs/>
          <w:sz w:val="20"/>
          <w:szCs w:val="20"/>
        </w:rPr>
        <w:t xml:space="preserve">Montpellier, </w:t>
      </w:r>
      <w:proofErr w:type="spellStart"/>
      <w:r w:rsidRPr="000F5EF8">
        <w:rPr>
          <w:iCs/>
          <w:sz w:val="20"/>
          <w:szCs w:val="20"/>
        </w:rPr>
        <w:t>Fata</w:t>
      </w:r>
      <w:proofErr w:type="spellEnd"/>
      <w:r w:rsidRPr="000F5EF8">
        <w:rPr>
          <w:iCs/>
          <w:sz w:val="20"/>
          <w:szCs w:val="20"/>
        </w:rPr>
        <w:t xml:space="preserve"> Morgana, 1984 (non paginé).</w:t>
      </w:r>
      <w:r>
        <w:rPr>
          <w:iCs/>
          <w:sz w:val="20"/>
          <w:szCs w:val="20"/>
        </w:rPr>
        <w:t xml:space="preserve"> </w:t>
      </w:r>
      <w:r>
        <w:rPr>
          <w:iCs/>
          <w:sz w:val="20"/>
          <w:szCs w:val="20"/>
        </w:rPr>
        <w:t xml:space="preserve">À propos de l’hommage que Michaux a rendu à la pratique de Paul Klee, cf. Henri Michaux, </w:t>
      </w:r>
      <w:r w:rsidRPr="000F1AA2">
        <w:rPr>
          <w:i/>
          <w:iCs/>
          <w:sz w:val="20"/>
          <w:szCs w:val="20"/>
        </w:rPr>
        <w:t>Paul Klee</w:t>
      </w:r>
      <w:r>
        <w:rPr>
          <w:iCs/>
          <w:sz w:val="20"/>
          <w:szCs w:val="20"/>
        </w:rPr>
        <w:t xml:space="preserve">, Fontfroide le haut, </w:t>
      </w:r>
      <w:proofErr w:type="spellStart"/>
      <w:r>
        <w:rPr>
          <w:iCs/>
          <w:sz w:val="20"/>
          <w:szCs w:val="20"/>
        </w:rPr>
        <w:t>Fata</w:t>
      </w:r>
      <w:proofErr w:type="spellEnd"/>
      <w:r>
        <w:rPr>
          <w:iCs/>
          <w:sz w:val="20"/>
          <w:szCs w:val="20"/>
        </w:rPr>
        <w:t xml:space="preserve"> Morgana, 2012. </w:t>
      </w:r>
    </w:p>
  </w:footnote>
  <w:footnote w:id="28">
    <w:p w:rsidR="00AD766A" w:rsidRPr="000F5EF8" w:rsidRDefault="00AD766A" w:rsidP="00AD766A">
      <w:pPr>
        <w:pStyle w:val="Notedebasdepage"/>
        <w:rPr>
          <w:sz w:val="20"/>
          <w:szCs w:val="20"/>
          <w:lang w:val="fr-CH"/>
        </w:rPr>
      </w:pPr>
      <w:r w:rsidRPr="000F5EF8">
        <w:rPr>
          <w:rStyle w:val="Appelnotedebasdep"/>
          <w:sz w:val="20"/>
          <w:szCs w:val="20"/>
        </w:rPr>
        <w:footnoteRef/>
      </w:r>
      <w:r w:rsidRPr="000F5EF8">
        <w:rPr>
          <w:sz w:val="20"/>
          <w:szCs w:val="20"/>
        </w:rPr>
        <w:t xml:space="preserve"> </w:t>
      </w:r>
      <w:r w:rsidRPr="000F5EF8">
        <w:rPr>
          <w:sz w:val="20"/>
          <w:szCs w:val="20"/>
        </w:rPr>
        <w:t xml:space="preserve">Gilbert </w:t>
      </w:r>
      <w:proofErr w:type="spellStart"/>
      <w:r w:rsidRPr="000F5EF8">
        <w:rPr>
          <w:sz w:val="20"/>
          <w:szCs w:val="20"/>
          <w:lang w:val="fr-CH"/>
        </w:rPr>
        <w:t>Simondon</w:t>
      </w:r>
      <w:proofErr w:type="spellEnd"/>
      <w:r w:rsidRPr="000F5EF8">
        <w:rPr>
          <w:sz w:val="20"/>
          <w:szCs w:val="20"/>
          <w:lang w:val="fr-CH"/>
        </w:rPr>
        <w:t xml:space="preserve">, </w:t>
      </w:r>
      <w:r w:rsidRPr="000F5EF8">
        <w:rPr>
          <w:i/>
          <w:sz w:val="20"/>
          <w:szCs w:val="20"/>
          <w:lang w:val="fr-CH"/>
        </w:rPr>
        <w:t>Du mode d’existence des objets techniques</w:t>
      </w:r>
      <w:r w:rsidRPr="000F5EF8">
        <w:rPr>
          <w:sz w:val="20"/>
          <w:szCs w:val="20"/>
          <w:lang w:val="fr-CH"/>
        </w:rPr>
        <w:t xml:space="preserve">, Paris, Éditions Aubier, 2001 </w:t>
      </w:r>
      <w:r>
        <w:rPr>
          <w:sz w:val="20"/>
          <w:szCs w:val="20"/>
          <w:lang w:val="fr-CH"/>
        </w:rPr>
        <w:t>[</w:t>
      </w:r>
      <w:r w:rsidRPr="000F5EF8">
        <w:rPr>
          <w:sz w:val="20"/>
          <w:szCs w:val="20"/>
          <w:lang w:val="fr-CH"/>
        </w:rPr>
        <w:t xml:space="preserve">1958].  </w:t>
      </w:r>
    </w:p>
  </w:footnote>
  <w:footnote w:id="29">
    <w:p w:rsidR="00AD766A" w:rsidRPr="003304E3" w:rsidRDefault="00AD766A" w:rsidP="00AD766A">
      <w:pPr>
        <w:pStyle w:val="NormalWeb"/>
        <w:spacing w:before="0" w:beforeAutospacing="0" w:after="0" w:afterAutospacing="0"/>
        <w:jc w:val="both"/>
        <w:rPr>
          <w:color w:val="000000" w:themeColor="text1"/>
          <w:sz w:val="20"/>
          <w:szCs w:val="20"/>
        </w:rPr>
      </w:pPr>
      <w:r w:rsidRPr="000F5EF8">
        <w:rPr>
          <w:rStyle w:val="Appelnotedebasdep"/>
          <w:sz w:val="20"/>
          <w:szCs w:val="20"/>
        </w:rPr>
        <w:footnoteRef/>
      </w:r>
      <w:r w:rsidRPr="000F5EF8">
        <w:rPr>
          <w:sz w:val="20"/>
          <w:szCs w:val="20"/>
        </w:rPr>
        <w:t xml:space="preserve"> </w:t>
      </w:r>
      <w:r w:rsidRPr="000F5EF8">
        <w:rPr>
          <w:sz w:val="20"/>
          <w:szCs w:val="20"/>
        </w:rPr>
        <w:t xml:space="preserve">Yves </w:t>
      </w:r>
      <w:proofErr w:type="spellStart"/>
      <w:r w:rsidRPr="000F5EF8">
        <w:rPr>
          <w:sz w:val="20"/>
          <w:szCs w:val="20"/>
        </w:rPr>
        <w:t>Citton</w:t>
      </w:r>
      <w:proofErr w:type="spellEnd"/>
      <w:r w:rsidRPr="000F5EF8">
        <w:rPr>
          <w:sz w:val="20"/>
          <w:szCs w:val="20"/>
        </w:rPr>
        <w:t xml:space="preserve">, </w:t>
      </w:r>
      <w:r w:rsidRPr="000F5EF8">
        <w:rPr>
          <w:i/>
          <w:sz w:val="20"/>
          <w:szCs w:val="20"/>
        </w:rPr>
        <w:t>Gestes d’humanité</w:t>
      </w:r>
      <w:r>
        <w:rPr>
          <w:i/>
          <w:sz w:val="20"/>
          <w:szCs w:val="20"/>
        </w:rPr>
        <w:t>s</w:t>
      </w:r>
      <w:r w:rsidRPr="000F5EF8">
        <w:rPr>
          <w:i/>
          <w:sz w:val="20"/>
          <w:szCs w:val="20"/>
        </w:rPr>
        <w:t xml:space="preserve">. Anthropologie sauvage de nos expériences esthétiques, op </w:t>
      </w:r>
      <w:proofErr w:type="spellStart"/>
      <w:r w:rsidRPr="000F5EF8">
        <w:rPr>
          <w:i/>
          <w:sz w:val="20"/>
          <w:szCs w:val="20"/>
        </w:rPr>
        <w:t>cit</w:t>
      </w:r>
      <w:proofErr w:type="spellEnd"/>
      <w:r w:rsidRPr="000F5EF8">
        <w:rPr>
          <w:i/>
          <w:sz w:val="20"/>
          <w:szCs w:val="20"/>
        </w:rPr>
        <w:t>.</w:t>
      </w:r>
      <w:r w:rsidRPr="000F5EF8">
        <w:rPr>
          <w:sz w:val="20"/>
          <w:szCs w:val="20"/>
        </w:rPr>
        <w:t>, p. 65.</w:t>
      </w:r>
      <w:r>
        <w:rPr>
          <w:sz w:val="20"/>
          <w:szCs w:val="20"/>
        </w:rPr>
        <w:t xml:space="preserve"> À propos d’une extériorisation croissante, cf. </w:t>
      </w:r>
      <w:r w:rsidRPr="003304E3">
        <w:rPr>
          <w:sz w:val="20"/>
          <w:szCs w:val="20"/>
        </w:rPr>
        <w:t xml:space="preserve">aussi André </w:t>
      </w:r>
      <w:r w:rsidRPr="003304E3">
        <w:rPr>
          <w:rStyle w:val="Lienhypertexte"/>
          <w:smallCaps/>
          <w:color w:val="000000" w:themeColor="text1"/>
          <w:sz w:val="20"/>
          <w:szCs w:val="20"/>
          <w:u w:val="none"/>
        </w:rPr>
        <w:t>L</w:t>
      </w:r>
      <w:r w:rsidRPr="003304E3">
        <w:rPr>
          <w:rStyle w:val="Lienhypertexte"/>
          <w:color w:val="000000" w:themeColor="text1"/>
          <w:sz w:val="20"/>
          <w:szCs w:val="20"/>
          <w:u w:val="none"/>
        </w:rPr>
        <w:t xml:space="preserve">eroi-Gourhan, </w:t>
      </w:r>
      <w:r w:rsidRPr="003304E3">
        <w:rPr>
          <w:rStyle w:val="Lienhypertexte"/>
          <w:i/>
          <w:color w:val="000000" w:themeColor="text1"/>
          <w:sz w:val="20"/>
          <w:szCs w:val="20"/>
          <w:u w:val="none"/>
        </w:rPr>
        <w:t>Le geste et la parole</w:t>
      </w:r>
      <w:r w:rsidRPr="003304E3">
        <w:rPr>
          <w:rStyle w:val="Lienhypertexte"/>
          <w:color w:val="000000" w:themeColor="text1"/>
          <w:sz w:val="20"/>
          <w:szCs w:val="20"/>
          <w:u w:val="none"/>
        </w:rPr>
        <w:t xml:space="preserve">, Paris, Albin Michel, 1965. </w:t>
      </w:r>
    </w:p>
  </w:footnote>
  <w:footnote w:id="30">
    <w:p w:rsidR="00AD766A" w:rsidRPr="003304E3" w:rsidRDefault="00AD766A" w:rsidP="00AD766A">
      <w:pPr>
        <w:pStyle w:val="Notedebasdepage"/>
        <w:rPr>
          <w:sz w:val="20"/>
          <w:szCs w:val="20"/>
          <w:lang w:val="fr-CH"/>
        </w:rPr>
      </w:pPr>
      <w:r w:rsidRPr="003304E3">
        <w:rPr>
          <w:rStyle w:val="Appelnotedebasdep"/>
          <w:sz w:val="20"/>
          <w:szCs w:val="20"/>
        </w:rPr>
        <w:footnoteRef/>
      </w:r>
      <w:r w:rsidRPr="003304E3">
        <w:rPr>
          <w:sz w:val="20"/>
          <w:szCs w:val="20"/>
        </w:rPr>
        <w:t xml:space="preserve"> </w:t>
      </w:r>
      <w:r w:rsidRPr="003304E3">
        <w:rPr>
          <w:sz w:val="20"/>
          <w:szCs w:val="20"/>
        </w:rPr>
        <w:t xml:space="preserve">Cf. Jacques </w:t>
      </w:r>
      <w:proofErr w:type="spellStart"/>
      <w:r w:rsidRPr="003304E3">
        <w:rPr>
          <w:sz w:val="20"/>
          <w:szCs w:val="20"/>
        </w:rPr>
        <w:t>Fontanille</w:t>
      </w:r>
      <w:proofErr w:type="spellEnd"/>
      <w:r w:rsidRPr="003304E3">
        <w:rPr>
          <w:sz w:val="20"/>
          <w:szCs w:val="20"/>
        </w:rPr>
        <w:t xml:space="preserve">, </w:t>
      </w:r>
      <w:r w:rsidRPr="003304E3">
        <w:rPr>
          <w:i/>
          <w:sz w:val="20"/>
          <w:szCs w:val="20"/>
        </w:rPr>
        <w:t>Corps et sens</w:t>
      </w:r>
      <w:r w:rsidRPr="003304E3">
        <w:rPr>
          <w:sz w:val="20"/>
          <w:szCs w:val="20"/>
        </w:rPr>
        <w:t xml:space="preserve">, </w:t>
      </w:r>
      <w:r w:rsidRPr="003304E3">
        <w:rPr>
          <w:i/>
          <w:sz w:val="20"/>
          <w:szCs w:val="20"/>
        </w:rPr>
        <w:t xml:space="preserve">op. </w:t>
      </w:r>
      <w:proofErr w:type="spellStart"/>
      <w:r w:rsidRPr="003304E3">
        <w:rPr>
          <w:i/>
          <w:sz w:val="20"/>
          <w:szCs w:val="20"/>
        </w:rPr>
        <w:t>cit</w:t>
      </w:r>
      <w:proofErr w:type="spellEnd"/>
      <w:r w:rsidRPr="003304E3">
        <w:rPr>
          <w:sz w:val="20"/>
          <w:szCs w:val="20"/>
        </w:rPr>
        <w:t xml:space="preserve">. </w:t>
      </w:r>
    </w:p>
  </w:footnote>
  <w:footnote w:id="31">
    <w:p w:rsidR="00AD766A" w:rsidRPr="002E48E5" w:rsidRDefault="00AD766A" w:rsidP="00AD766A">
      <w:pPr>
        <w:pStyle w:val="Notedebasdepage"/>
        <w:rPr>
          <w:sz w:val="20"/>
          <w:szCs w:val="20"/>
          <w:lang w:val="fr-CH"/>
        </w:rPr>
      </w:pPr>
      <w:r w:rsidRPr="002E48E5">
        <w:rPr>
          <w:rStyle w:val="Appelnotedebasdep"/>
          <w:sz w:val="20"/>
          <w:szCs w:val="20"/>
        </w:rPr>
        <w:footnoteRef/>
      </w:r>
      <w:r w:rsidRPr="002E48E5">
        <w:rPr>
          <w:sz w:val="20"/>
          <w:szCs w:val="20"/>
        </w:rPr>
        <w:t xml:space="preserve"> </w:t>
      </w:r>
      <w:r w:rsidRPr="002E48E5">
        <w:rPr>
          <w:sz w:val="20"/>
          <w:szCs w:val="20"/>
        </w:rPr>
        <w:t xml:space="preserve">Pierluigi </w:t>
      </w:r>
      <w:proofErr w:type="spellStart"/>
      <w:r w:rsidRPr="002E48E5">
        <w:rPr>
          <w:sz w:val="20"/>
          <w:szCs w:val="20"/>
        </w:rPr>
        <w:t>Basso</w:t>
      </w:r>
      <w:proofErr w:type="spellEnd"/>
      <w:r w:rsidRPr="002E48E5">
        <w:rPr>
          <w:sz w:val="20"/>
          <w:szCs w:val="20"/>
        </w:rPr>
        <w:t xml:space="preserve"> </w:t>
      </w:r>
      <w:proofErr w:type="spellStart"/>
      <w:r w:rsidRPr="002E48E5">
        <w:rPr>
          <w:sz w:val="20"/>
          <w:szCs w:val="20"/>
        </w:rPr>
        <w:t>Fossali</w:t>
      </w:r>
      <w:proofErr w:type="spellEnd"/>
      <w:r w:rsidRPr="002E48E5">
        <w:rPr>
          <w:sz w:val="20"/>
          <w:szCs w:val="20"/>
        </w:rPr>
        <w:t xml:space="preserve">, « Le geste et sa niche : gestion du sens “hors technique” », art. </w:t>
      </w:r>
      <w:proofErr w:type="spellStart"/>
      <w:r w:rsidRPr="002E48E5">
        <w:rPr>
          <w:sz w:val="20"/>
          <w:szCs w:val="20"/>
        </w:rPr>
        <w:t>cit</w:t>
      </w:r>
      <w:proofErr w:type="spellEnd"/>
      <w:r w:rsidRPr="002E48E5">
        <w:rPr>
          <w:sz w:val="20"/>
          <w:szCs w:val="20"/>
        </w:rPr>
        <w:t>.</w:t>
      </w:r>
    </w:p>
  </w:footnote>
  <w:footnote w:id="32">
    <w:p w:rsidR="00AD766A" w:rsidRPr="002E48E5" w:rsidRDefault="00AD766A" w:rsidP="00AD766A">
      <w:pPr>
        <w:pStyle w:val="NormalWeb"/>
        <w:spacing w:before="0" w:beforeAutospacing="0" w:after="0" w:afterAutospacing="0"/>
        <w:jc w:val="both"/>
        <w:rPr>
          <w:color w:val="000000" w:themeColor="text1"/>
          <w:sz w:val="20"/>
          <w:szCs w:val="20"/>
        </w:rPr>
      </w:pPr>
      <w:r w:rsidRPr="002E48E5">
        <w:rPr>
          <w:rStyle w:val="Appelnotedebasdep"/>
          <w:color w:val="000000" w:themeColor="text1"/>
          <w:sz w:val="20"/>
          <w:szCs w:val="20"/>
        </w:rPr>
        <w:footnoteRef/>
      </w:r>
      <w:r w:rsidRPr="002E48E5">
        <w:rPr>
          <w:color w:val="000000" w:themeColor="text1"/>
          <w:sz w:val="20"/>
          <w:szCs w:val="20"/>
        </w:rPr>
        <w:t xml:space="preserve"> </w:t>
      </w:r>
      <w:r w:rsidRPr="002E48E5">
        <w:rPr>
          <w:color w:val="000000" w:themeColor="text1"/>
          <w:sz w:val="20"/>
          <w:szCs w:val="20"/>
        </w:rPr>
        <w:t xml:space="preserve">Etienne Souriau, </w:t>
      </w:r>
      <w:r w:rsidRPr="002E48E5">
        <w:rPr>
          <w:i/>
          <w:iCs/>
          <w:color w:val="000000" w:themeColor="text1"/>
          <w:sz w:val="20"/>
          <w:szCs w:val="20"/>
        </w:rPr>
        <w:t xml:space="preserve">Avoir une </w:t>
      </w:r>
      <w:proofErr w:type="spellStart"/>
      <w:r w:rsidRPr="002E48E5">
        <w:rPr>
          <w:i/>
          <w:iCs/>
          <w:color w:val="000000" w:themeColor="text1"/>
          <w:sz w:val="20"/>
          <w:szCs w:val="20"/>
        </w:rPr>
        <w:t>âme</w:t>
      </w:r>
      <w:proofErr w:type="spellEnd"/>
      <w:r w:rsidRPr="002E48E5">
        <w:rPr>
          <w:i/>
          <w:iCs/>
          <w:color w:val="000000" w:themeColor="text1"/>
          <w:sz w:val="20"/>
          <w:szCs w:val="20"/>
        </w:rPr>
        <w:t xml:space="preserve">, </w:t>
      </w:r>
      <w:r w:rsidRPr="002E48E5">
        <w:rPr>
          <w:color w:val="000000" w:themeColor="text1"/>
          <w:sz w:val="20"/>
          <w:szCs w:val="20"/>
        </w:rPr>
        <w:t>Annales de l'</w:t>
      </w:r>
      <w:proofErr w:type="spellStart"/>
      <w:r w:rsidRPr="002E48E5">
        <w:rPr>
          <w:color w:val="000000" w:themeColor="text1"/>
          <w:sz w:val="20"/>
          <w:szCs w:val="20"/>
        </w:rPr>
        <w:t>Universite</w:t>
      </w:r>
      <w:proofErr w:type="spellEnd"/>
      <w:r w:rsidRPr="002E48E5">
        <w:rPr>
          <w:color w:val="000000" w:themeColor="text1"/>
          <w:sz w:val="20"/>
          <w:szCs w:val="20"/>
        </w:rPr>
        <w:t xml:space="preserve">́ de Lyon, Lyon, 1939, p. 25 ; cité par </w:t>
      </w:r>
      <w:r>
        <w:rPr>
          <w:color w:val="000000" w:themeColor="text1"/>
          <w:sz w:val="20"/>
          <w:szCs w:val="20"/>
        </w:rPr>
        <w:t xml:space="preserve">Isabelle </w:t>
      </w:r>
      <w:proofErr w:type="spellStart"/>
      <w:r>
        <w:rPr>
          <w:color w:val="000000" w:themeColor="text1"/>
          <w:sz w:val="20"/>
          <w:szCs w:val="20"/>
        </w:rPr>
        <w:t>Stengers</w:t>
      </w:r>
      <w:proofErr w:type="spellEnd"/>
      <w:r>
        <w:rPr>
          <w:color w:val="000000" w:themeColor="text1"/>
          <w:sz w:val="20"/>
          <w:szCs w:val="20"/>
        </w:rPr>
        <w:t xml:space="preserve"> &amp; </w:t>
      </w:r>
      <w:r w:rsidRPr="002E48E5">
        <w:rPr>
          <w:color w:val="000000" w:themeColor="text1"/>
          <w:sz w:val="20"/>
          <w:szCs w:val="20"/>
        </w:rPr>
        <w:t xml:space="preserve">Bruno </w:t>
      </w:r>
      <w:proofErr w:type="spellStart"/>
      <w:r w:rsidRPr="002E48E5">
        <w:rPr>
          <w:color w:val="000000" w:themeColor="text1"/>
          <w:sz w:val="20"/>
          <w:szCs w:val="20"/>
        </w:rPr>
        <w:t>Latour</w:t>
      </w:r>
      <w:proofErr w:type="spellEnd"/>
      <w:r w:rsidRPr="002E48E5">
        <w:rPr>
          <w:color w:val="000000" w:themeColor="text1"/>
          <w:sz w:val="20"/>
          <w:szCs w:val="20"/>
        </w:rPr>
        <w:t xml:space="preserve">, « Le sphinx de l’œuvre » </w:t>
      </w:r>
      <w:r w:rsidRPr="002E48E5">
        <w:rPr>
          <w:i/>
          <w:color w:val="000000" w:themeColor="text1"/>
          <w:sz w:val="20"/>
          <w:szCs w:val="20"/>
        </w:rPr>
        <w:t xml:space="preserve">in </w:t>
      </w:r>
      <w:r w:rsidRPr="002E48E5">
        <w:rPr>
          <w:color w:val="000000" w:themeColor="text1"/>
          <w:sz w:val="20"/>
          <w:szCs w:val="20"/>
        </w:rPr>
        <w:t>Étienne Souriau</w:t>
      </w:r>
      <w:r>
        <w:rPr>
          <w:color w:val="000000" w:themeColor="text1"/>
          <w:sz w:val="20"/>
          <w:szCs w:val="20"/>
        </w:rPr>
        <w:t xml:space="preserve"> </w:t>
      </w:r>
      <w:r w:rsidR="003304E3">
        <w:rPr>
          <w:color w:val="000000" w:themeColor="text1"/>
          <w:sz w:val="20"/>
          <w:szCs w:val="20"/>
        </w:rPr>
        <w:t>[</w:t>
      </w:r>
      <w:r>
        <w:rPr>
          <w:color w:val="000000" w:themeColor="text1"/>
          <w:sz w:val="20"/>
          <w:szCs w:val="20"/>
        </w:rPr>
        <w:t xml:space="preserve">1943] </w:t>
      </w:r>
      <w:r w:rsidRPr="002E48E5">
        <w:rPr>
          <w:i/>
          <w:color w:val="000000" w:themeColor="text1"/>
          <w:sz w:val="20"/>
          <w:szCs w:val="20"/>
        </w:rPr>
        <w:t>Les différents modes d’existence</w:t>
      </w:r>
      <w:r w:rsidRPr="002E48E5">
        <w:rPr>
          <w:color w:val="000000" w:themeColor="text1"/>
          <w:sz w:val="20"/>
          <w:szCs w:val="20"/>
        </w:rPr>
        <w:t xml:space="preserve"> suivi de </w:t>
      </w:r>
      <w:r w:rsidRPr="002E48E5">
        <w:rPr>
          <w:i/>
          <w:color w:val="000000" w:themeColor="text1"/>
          <w:sz w:val="20"/>
          <w:szCs w:val="20"/>
        </w:rPr>
        <w:t>De l’œuvre à faire</w:t>
      </w:r>
      <w:r w:rsidRPr="002E48E5">
        <w:rPr>
          <w:color w:val="000000" w:themeColor="text1"/>
          <w:sz w:val="20"/>
          <w:szCs w:val="20"/>
        </w:rPr>
        <w:t xml:space="preserve">, Paris, PUF, 2009, p. 10. </w:t>
      </w:r>
    </w:p>
  </w:footnote>
  <w:footnote w:id="33">
    <w:p w:rsidR="00AD766A" w:rsidRPr="002E48E5" w:rsidRDefault="00AD766A" w:rsidP="00AD766A">
      <w:pPr>
        <w:pStyle w:val="Notedebasdepage"/>
        <w:rPr>
          <w:sz w:val="20"/>
          <w:szCs w:val="20"/>
        </w:rPr>
      </w:pPr>
      <w:r w:rsidRPr="002E48E5">
        <w:rPr>
          <w:rStyle w:val="Appelnotedebasdep"/>
          <w:sz w:val="20"/>
          <w:szCs w:val="20"/>
        </w:rPr>
        <w:footnoteRef/>
      </w:r>
      <w:r w:rsidRPr="002E48E5">
        <w:rPr>
          <w:sz w:val="20"/>
          <w:szCs w:val="20"/>
        </w:rPr>
        <w:t xml:space="preserve"> </w:t>
      </w:r>
      <w:r w:rsidRPr="002E48E5">
        <w:rPr>
          <w:i/>
          <w:sz w:val="20"/>
          <w:szCs w:val="20"/>
        </w:rPr>
        <w:t>Ibid</w:t>
      </w:r>
      <w:r w:rsidRPr="002E48E5">
        <w:rPr>
          <w:sz w:val="20"/>
          <w:szCs w:val="20"/>
        </w:rPr>
        <w:t xml:space="preserve">., pp. 10-11. </w:t>
      </w:r>
    </w:p>
  </w:footnote>
  <w:footnote w:id="34">
    <w:p w:rsidR="00AD766A" w:rsidRPr="007A0BF2" w:rsidRDefault="00AD766A" w:rsidP="00AD766A">
      <w:pPr>
        <w:pStyle w:val="NormalWeb"/>
        <w:spacing w:before="0" w:beforeAutospacing="0" w:after="0" w:afterAutospacing="0"/>
        <w:jc w:val="both"/>
        <w:rPr>
          <w:color w:val="222222"/>
          <w:sz w:val="20"/>
          <w:szCs w:val="20"/>
          <w:shd w:val="clear" w:color="auto" w:fill="FFFFFF"/>
          <w:lang w:val="de-DE"/>
        </w:rPr>
      </w:pPr>
      <w:r w:rsidRPr="007A0BF2">
        <w:rPr>
          <w:rStyle w:val="Appelnotedebasdep"/>
          <w:sz w:val="20"/>
          <w:szCs w:val="20"/>
        </w:rPr>
        <w:footnoteRef/>
      </w:r>
      <w:r w:rsidRPr="007A0BF2">
        <w:rPr>
          <w:sz w:val="20"/>
          <w:szCs w:val="20"/>
        </w:rPr>
        <w:t xml:space="preserve"> </w:t>
      </w:r>
      <w:r w:rsidRPr="007A0BF2">
        <w:rPr>
          <w:sz w:val="20"/>
          <w:szCs w:val="20"/>
        </w:rPr>
        <w:t>Voir aussi le</w:t>
      </w:r>
      <w:r w:rsidRPr="007A0BF2">
        <w:rPr>
          <w:rStyle w:val="apple-converted-space"/>
          <w:rFonts w:eastAsiaTheme="minorEastAsia"/>
          <w:sz w:val="20"/>
          <w:szCs w:val="20"/>
        </w:rPr>
        <w:t> </w:t>
      </w:r>
      <w:r w:rsidRPr="007A0BF2">
        <w:rPr>
          <w:i/>
          <w:iCs/>
          <w:sz w:val="20"/>
          <w:szCs w:val="20"/>
        </w:rPr>
        <w:t>Manifeste du Bauhaus</w:t>
      </w:r>
      <w:r w:rsidRPr="007A0BF2">
        <w:rPr>
          <w:sz w:val="20"/>
          <w:szCs w:val="20"/>
        </w:rPr>
        <w:t>, Weimar, avril 1919 :</w:t>
      </w:r>
      <w:r w:rsidRPr="007A0BF2">
        <w:rPr>
          <w:rStyle w:val="apple-converted-space"/>
          <w:rFonts w:eastAsiaTheme="minorEastAsia"/>
          <w:sz w:val="20"/>
          <w:szCs w:val="20"/>
        </w:rPr>
        <w:t> </w:t>
      </w:r>
      <w:r w:rsidRPr="007A0BF2">
        <w:rPr>
          <w:rStyle w:val="citation"/>
          <w:sz w:val="20"/>
          <w:szCs w:val="20"/>
        </w:rPr>
        <w:t>« Le but de toute activité plastique est la construction ! […] Architectes, sculpteurs, peintres ; nous devons tous revenir au travail artisanal, parce qu’il n'y a pas d'“art professionnel”. Il n’existe aucune différence essentielle entre l’artiste et l’artisan. […] Voulons, concevons et créons ensemble la</w:t>
      </w:r>
      <w:r w:rsidRPr="007A0BF2">
        <w:rPr>
          <w:rStyle w:val="apple-converted-space"/>
          <w:rFonts w:eastAsiaTheme="minorEastAsia"/>
          <w:sz w:val="20"/>
          <w:szCs w:val="20"/>
        </w:rPr>
        <w:t> </w:t>
      </w:r>
      <w:hyperlink r:id="rId2" w:tooltip="Nouvelle Objectivité (architecture)" w:history="1">
        <w:r w:rsidRPr="003304E3">
          <w:rPr>
            <w:rStyle w:val="Lienhypertexte"/>
            <w:color w:val="000000" w:themeColor="text1"/>
            <w:sz w:val="20"/>
            <w:szCs w:val="20"/>
            <w:u w:val="none"/>
          </w:rPr>
          <w:t>nouvelle construction</w:t>
        </w:r>
      </w:hyperlink>
      <w:r w:rsidRPr="003304E3">
        <w:rPr>
          <w:rStyle w:val="apple-converted-space"/>
          <w:rFonts w:eastAsiaTheme="minorEastAsia"/>
          <w:color w:val="000000" w:themeColor="text1"/>
          <w:sz w:val="20"/>
          <w:szCs w:val="20"/>
        </w:rPr>
        <w:t> </w:t>
      </w:r>
      <w:r w:rsidRPr="003304E3">
        <w:rPr>
          <w:rStyle w:val="citation"/>
          <w:sz w:val="20"/>
          <w:szCs w:val="20"/>
        </w:rPr>
        <w:t>d</w:t>
      </w:r>
      <w:r w:rsidRPr="007A0BF2">
        <w:rPr>
          <w:rStyle w:val="citation"/>
          <w:sz w:val="20"/>
          <w:szCs w:val="20"/>
        </w:rPr>
        <w:t>e l’avenir, qui embrassera tout en une seule forme : architecture, art plastique et peinture […] </w:t>
      </w:r>
      <w:r w:rsidRPr="007A0BF2">
        <w:rPr>
          <w:rStyle w:val="citation"/>
          <w:sz w:val="20"/>
          <w:szCs w:val="20"/>
          <w:lang w:val="de-DE"/>
        </w:rPr>
        <w:t>»</w:t>
      </w:r>
      <w:r w:rsidRPr="007A0BF2">
        <w:rPr>
          <w:sz w:val="20"/>
          <w:szCs w:val="20"/>
          <w:lang w:val="de-DE"/>
        </w:rPr>
        <w:t xml:space="preserve"> (</w:t>
      </w:r>
      <w:r w:rsidRPr="007A0BF2">
        <w:rPr>
          <w:rStyle w:val="citation"/>
          <w:color w:val="222222"/>
          <w:sz w:val="20"/>
          <w:szCs w:val="20"/>
          <w:lang w:val="de-DE"/>
        </w:rPr>
        <w:t>“</w:t>
      </w:r>
      <w:r w:rsidRPr="007A0BF2">
        <w:rPr>
          <w:sz w:val="20"/>
          <w:szCs w:val="20"/>
          <w:lang w:val="de-DE"/>
        </w:rPr>
        <w:t xml:space="preserve">Das Endziel aller bildnerischen </w:t>
      </w:r>
      <w:proofErr w:type="spellStart"/>
      <w:r w:rsidRPr="007A0BF2">
        <w:rPr>
          <w:sz w:val="20"/>
          <w:szCs w:val="20"/>
          <w:lang w:val="de-DE"/>
        </w:rPr>
        <w:t>Tätigkeit</w:t>
      </w:r>
      <w:proofErr w:type="spellEnd"/>
      <w:r w:rsidRPr="007A0BF2">
        <w:rPr>
          <w:sz w:val="20"/>
          <w:szCs w:val="20"/>
          <w:lang w:val="de-DE"/>
        </w:rPr>
        <w:t xml:space="preserve"> ist der Bau! Ihn zu </w:t>
      </w:r>
      <w:proofErr w:type="spellStart"/>
      <w:r w:rsidRPr="007A0BF2">
        <w:rPr>
          <w:sz w:val="20"/>
          <w:szCs w:val="20"/>
          <w:lang w:val="de-DE"/>
        </w:rPr>
        <w:t>schmücken</w:t>
      </w:r>
      <w:proofErr w:type="spellEnd"/>
      <w:r w:rsidRPr="007A0BF2">
        <w:rPr>
          <w:sz w:val="20"/>
          <w:szCs w:val="20"/>
          <w:lang w:val="de-DE"/>
        </w:rPr>
        <w:t xml:space="preserve"> war einst die vornehmste Aufgabe der bildenden </w:t>
      </w:r>
      <w:proofErr w:type="spellStart"/>
      <w:r w:rsidRPr="007A0BF2">
        <w:rPr>
          <w:sz w:val="20"/>
          <w:szCs w:val="20"/>
          <w:lang w:val="de-DE"/>
        </w:rPr>
        <w:t>Künste</w:t>
      </w:r>
      <w:proofErr w:type="spellEnd"/>
      <w:r w:rsidRPr="007A0BF2">
        <w:rPr>
          <w:sz w:val="20"/>
          <w:szCs w:val="20"/>
          <w:lang w:val="de-DE"/>
        </w:rPr>
        <w:t xml:space="preserve">, sie waren </w:t>
      </w:r>
      <w:proofErr w:type="spellStart"/>
      <w:r w:rsidRPr="007A0BF2">
        <w:rPr>
          <w:sz w:val="20"/>
          <w:szCs w:val="20"/>
          <w:lang w:val="de-DE"/>
        </w:rPr>
        <w:t>unablösliche</w:t>
      </w:r>
      <w:proofErr w:type="spellEnd"/>
      <w:r w:rsidRPr="007A0BF2">
        <w:rPr>
          <w:sz w:val="20"/>
          <w:szCs w:val="20"/>
          <w:lang w:val="de-DE"/>
        </w:rPr>
        <w:t xml:space="preserve"> Bestandteile der großen Baukunst. Heute stehen sie in </w:t>
      </w:r>
      <w:proofErr w:type="spellStart"/>
      <w:r w:rsidRPr="007A0BF2">
        <w:rPr>
          <w:sz w:val="20"/>
          <w:szCs w:val="20"/>
          <w:lang w:val="de-DE"/>
        </w:rPr>
        <w:t>selbstgenügsamer</w:t>
      </w:r>
      <w:proofErr w:type="spellEnd"/>
      <w:r w:rsidRPr="007A0BF2">
        <w:rPr>
          <w:sz w:val="20"/>
          <w:szCs w:val="20"/>
          <w:lang w:val="de-DE"/>
        </w:rPr>
        <w:t xml:space="preserve"> Eigenheit, aus der sie erst wieder </w:t>
      </w:r>
      <w:proofErr w:type="spellStart"/>
      <w:r w:rsidRPr="007A0BF2">
        <w:rPr>
          <w:sz w:val="20"/>
          <w:szCs w:val="20"/>
          <w:lang w:val="de-DE"/>
        </w:rPr>
        <w:t>erlöst</w:t>
      </w:r>
      <w:proofErr w:type="spellEnd"/>
      <w:r w:rsidRPr="007A0BF2">
        <w:rPr>
          <w:sz w:val="20"/>
          <w:szCs w:val="20"/>
          <w:lang w:val="de-DE"/>
        </w:rPr>
        <w:t xml:space="preserve"> werden </w:t>
      </w:r>
      <w:proofErr w:type="spellStart"/>
      <w:r w:rsidRPr="007A0BF2">
        <w:rPr>
          <w:sz w:val="20"/>
          <w:szCs w:val="20"/>
          <w:lang w:val="de-DE"/>
        </w:rPr>
        <w:t>können</w:t>
      </w:r>
      <w:proofErr w:type="spellEnd"/>
      <w:r w:rsidRPr="007A0BF2">
        <w:rPr>
          <w:sz w:val="20"/>
          <w:szCs w:val="20"/>
          <w:lang w:val="de-DE"/>
        </w:rPr>
        <w:t xml:space="preserve"> durch </w:t>
      </w:r>
      <w:proofErr w:type="spellStart"/>
      <w:r w:rsidRPr="007A0BF2">
        <w:rPr>
          <w:sz w:val="20"/>
          <w:szCs w:val="20"/>
          <w:lang w:val="de-DE"/>
        </w:rPr>
        <w:t>bewußtes</w:t>
      </w:r>
      <w:proofErr w:type="spellEnd"/>
      <w:r w:rsidRPr="007A0BF2">
        <w:rPr>
          <w:sz w:val="20"/>
          <w:szCs w:val="20"/>
          <w:lang w:val="de-DE"/>
        </w:rPr>
        <w:t xml:space="preserve"> Mit- und Ineinanderwirken aller Werkleute untereinander. Architekten, Maler und Bildhauer </w:t>
      </w:r>
      <w:proofErr w:type="spellStart"/>
      <w:r w:rsidRPr="007A0BF2">
        <w:rPr>
          <w:sz w:val="20"/>
          <w:szCs w:val="20"/>
          <w:lang w:val="de-DE"/>
        </w:rPr>
        <w:t>müssen</w:t>
      </w:r>
      <w:proofErr w:type="spellEnd"/>
      <w:r w:rsidRPr="007A0BF2">
        <w:rPr>
          <w:sz w:val="20"/>
          <w:szCs w:val="20"/>
          <w:lang w:val="de-DE"/>
        </w:rPr>
        <w:t xml:space="preserve"> die vielgliedrige Gestalt des Baues in seiner Gesamtheit und in seinen Teilen </w:t>
      </w:r>
      <w:proofErr w:type="gramStart"/>
      <w:r w:rsidRPr="007A0BF2">
        <w:rPr>
          <w:sz w:val="20"/>
          <w:szCs w:val="20"/>
          <w:lang w:val="de-DE"/>
        </w:rPr>
        <w:t>wieder kennen</w:t>
      </w:r>
      <w:proofErr w:type="gramEnd"/>
      <w:r w:rsidRPr="007A0BF2">
        <w:rPr>
          <w:sz w:val="20"/>
          <w:szCs w:val="20"/>
          <w:lang w:val="de-DE"/>
        </w:rPr>
        <w:t xml:space="preserve"> und begreifen lernen, dann werden sich von selbst ihre Werke wieder mit architektonischem Geiste </w:t>
      </w:r>
      <w:proofErr w:type="spellStart"/>
      <w:r w:rsidRPr="007A0BF2">
        <w:rPr>
          <w:sz w:val="20"/>
          <w:szCs w:val="20"/>
          <w:lang w:val="de-DE"/>
        </w:rPr>
        <w:t>füllen</w:t>
      </w:r>
      <w:proofErr w:type="spellEnd"/>
      <w:r w:rsidRPr="007A0BF2">
        <w:rPr>
          <w:sz w:val="20"/>
          <w:szCs w:val="20"/>
          <w:lang w:val="de-DE"/>
        </w:rPr>
        <w:t xml:space="preserve">, den sie in der Salonkunst verloren. [...] Architekten, Bildhauer, Maler, wir alle </w:t>
      </w:r>
      <w:proofErr w:type="spellStart"/>
      <w:r w:rsidRPr="007A0BF2">
        <w:rPr>
          <w:sz w:val="20"/>
          <w:szCs w:val="20"/>
          <w:lang w:val="de-DE"/>
        </w:rPr>
        <w:t>müssen</w:t>
      </w:r>
      <w:proofErr w:type="spellEnd"/>
      <w:r w:rsidRPr="007A0BF2">
        <w:rPr>
          <w:sz w:val="20"/>
          <w:szCs w:val="20"/>
          <w:lang w:val="de-DE"/>
        </w:rPr>
        <w:t xml:space="preserve"> zum Handwerk </w:t>
      </w:r>
      <w:proofErr w:type="spellStart"/>
      <w:r w:rsidRPr="007A0BF2">
        <w:rPr>
          <w:sz w:val="20"/>
          <w:szCs w:val="20"/>
          <w:lang w:val="de-DE"/>
        </w:rPr>
        <w:t>zurück</w:t>
      </w:r>
      <w:proofErr w:type="spellEnd"/>
      <w:r w:rsidRPr="007A0BF2">
        <w:rPr>
          <w:sz w:val="20"/>
          <w:szCs w:val="20"/>
          <w:lang w:val="de-DE"/>
        </w:rPr>
        <w:t xml:space="preserve">! Denn es gibt keine „Kunst von Beruf“. Es gibt keinen Wesensunterschied zwischen dem </w:t>
      </w:r>
      <w:proofErr w:type="spellStart"/>
      <w:r w:rsidRPr="007A0BF2">
        <w:rPr>
          <w:sz w:val="20"/>
          <w:szCs w:val="20"/>
          <w:lang w:val="de-DE"/>
        </w:rPr>
        <w:t>Künstler</w:t>
      </w:r>
      <w:proofErr w:type="spellEnd"/>
      <w:r w:rsidRPr="007A0BF2">
        <w:rPr>
          <w:sz w:val="20"/>
          <w:szCs w:val="20"/>
          <w:lang w:val="de-DE"/>
        </w:rPr>
        <w:t xml:space="preserve"> und dem Handwerker. Der </w:t>
      </w:r>
      <w:proofErr w:type="spellStart"/>
      <w:r w:rsidRPr="007A0BF2">
        <w:rPr>
          <w:sz w:val="20"/>
          <w:szCs w:val="20"/>
          <w:lang w:val="de-DE"/>
        </w:rPr>
        <w:t>Künstler</w:t>
      </w:r>
      <w:proofErr w:type="spellEnd"/>
      <w:r w:rsidRPr="007A0BF2">
        <w:rPr>
          <w:sz w:val="20"/>
          <w:szCs w:val="20"/>
          <w:lang w:val="de-DE"/>
        </w:rPr>
        <w:t xml:space="preserve"> ist eine Steigerung des Handwerkers. […] Wollen, erdenken, erschaffen wir gemeinsam den neuen Bau der Zukunft, der alles in einer Gestalt sein wird: Architektur und Plastik und Malerei [...]”). Cf. </w:t>
      </w:r>
      <w:r w:rsidRPr="007A0BF2">
        <w:rPr>
          <w:rStyle w:val="ouvrage"/>
          <w:color w:val="222222"/>
          <w:sz w:val="20"/>
          <w:szCs w:val="20"/>
          <w:lang w:val="de-DE"/>
        </w:rPr>
        <w:t>Volker Wahl (</w:t>
      </w:r>
      <w:proofErr w:type="spellStart"/>
      <w:r w:rsidRPr="007A0BF2">
        <w:rPr>
          <w:rStyle w:val="ouvrage"/>
          <w:color w:val="222222"/>
          <w:sz w:val="20"/>
          <w:szCs w:val="20"/>
          <w:lang w:val="de-DE"/>
        </w:rPr>
        <w:t>éd</w:t>
      </w:r>
      <w:proofErr w:type="spellEnd"/>
      <w:r w:rsidRPr="007A0BF2">
        <w:rPr>
          <w:rStyle w:val="ouvrage"/>
          <w:color w:val="222222"/>
          <w:sz w:val="20"/>
          <w:szCs w:val="20"/>
          <w:lang w:val="de-DE"/>
        </w:rPr>
        <w:t xml:space="preserve">.), </w:t>
      </w:r>
      <w:r w:rsidRPr="007A0BF2">
        <w:rPr>
          <w:rStyle w:val="CitationHTML"/>
          <w:color w:val="222222"/>
          <w:sz w:val="20"/>
          <w:szCs w:val="20"/>
          <w:lang w:val="de-DE"/>
        </w:rPr>
        <w:t>Das staatliche Bauhaus in Weimar. Dokumente zur Geschichte des Instituts 1919-1926</w:t>
      </w:r>
      <w:r w:rsidRPr="007A0BF2">
        <w:rPr>
          <w:rStyle w:val="ouvrage"/>
          <w:color w:val="222222"/>
          <w:sz w:val="20"/>
          <w:szCs w:val="20"/>
          <w:lang w:val="de-DE"/>
        </w:rPr>
        <w:t>, Wien, Köln, Weimar, Böhlau Verlag,</w:t>
      </w:r>
      <w:r w:rsidRPr="007A0BF2">
        <w:rPr>
          <w:rStyle w:val="apple-converted-space"/>
          <w:rFonts w:eastAsiaTheme="minorEastAsia"/>
          <w:color w:val="222222"/>
          <w:sz w:val="20"/>
          <w:szCs w:val="20"/>
          <w:lang w:val="de-DE"/>
        </w:rPr>
        <w:t> </w:t>
      </w:r>
      <w:r w:rsidRPr="007A0BF2">
        <w:rPr>
          <w:rStyle w:val="ouvrage"/>
          <w:color w:val="222222"/>
          <w:sz w:val="20"/>
          <w:szCs w:val="20"/>
          <w:lang w:val="de-DE"/>
        </w:rPr>
        <w:t>2009, p. 97</w:t>
      </w:r>
      <w:r w:rsidRPr="007A0BF2">
        <w:rPr>
          <w:color w:val="222222"/>
          <w:sz w:val="20"/>
          <w:szCs w:val="20"/>
          <w:shd w:val="clear" w:color="auto" w:fill="FFFFFF"/>
          <w:lang w:val="de-DE"/>
        </w:rPr>
        <w:t>.</w:t>
      </w:r>
    </w:p>
  </w:footnote>
  <w:footnote w:id="35">
    <w:p w:rsidR="00AD766A" w:rsidRPr="007A0BF2" w:rsidRDefault="00AD766A" w:rsidP="00AD766A">
      <w:pPr>
        <w:pStyle w:val="Notedebasdepage"/>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Paul Klee, </w:t>
      </w:r>
      <w:r w:rsidRPr="007A0BF2">
        <w:rPr>
          <w:i/>
          <w:sz w:val="20"/>
          <w:szCs w:val="20"/>
        </w:rPr>
        <w:t xml:space="preserve">Théorie de l’art moderne, op. </w:t>
      </w:r>
      <w:proofErr w:type="spellStart"/>
      <w:r w:rsidRPr="007A0BF2">
        <w:rPr>
          <w:i/>
          <w:sz w:val="20"/>
          <w:szCs w:val="20"/>
        </w:rPr>
        <w:t>cit</w:t>
      </w:r>
      <w:proofErr w:type="spellEnd"/>
      <w:r w:rsidRPr="007A0BF2">
        <w:rPr>
          <w:i/>
          <w:sz w:val="20"/>
          <w:szCs w:val="20"/>
        </w:rPr>
        <w:t>.,</w:t>
      </w:r>
      <w:r w:rsidRPr="007A0BF2">
        <w:rPr>
          <w:sz w:val="20"/>
          <w:szCs w:val="20"/>
        </w:rPr>
        <w:t xml:space="preserve"> p. 41.</w:t>
      </w:r>
    </w:p>
  </w:footnote>
  <w:footnote w:id="36">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Pr>
          <w:sz w:val="20"/>
          <w:szCs w:val="20"/>
        </w:rPr>
        <w:t xml:space="preserve">Sur tout ceci, cf. </w:t>
      </w:r>
      <w:r w:rsidRPr="007A0BF2">
        <w:rPr>
          <w:sz w:val="20"/>
          <w:szCs w:val="20"/>
        </w:rPr>
        <w:t xml:space="preserve">Jürg </w:t>
      </w:r>
      <w:proofErr w:type="spellStart"/>
      <w:r w:rsidRPr="007A0BF2">
        <w:rPr>
          <w:sz w:val="20"/>
          <w:szCs w:val="20"/>
        </w:rPr>
        <w:t>Spiller</w:t>
      </w:r>
      <w:proofErr w:type="spellEnd"/>
      <w:r w:rsidRPr="007A0BF2">
        <w:rPr>
          <w:sz w:val="20"/>
          <w:szCs w:val="20"/>
        </w:rPr>
        <w:t xml:space="preserve">, « Paul Klee, la pensée créatrice », </w:t>
      </w:r>
      <w:r w:rsidRPr="007A0BF2">
        <w:rPr>
          <w:i/>
          <w:sz w:val="20"/>
          <w:szCs w:val="20"/>
        </w:rPr>
        <w:t>Communication &amp; langages</w:t>
      </w:r>
      <w:r w:rsidRPr="007A0BF2">
        <w:rPr>
          <w:sz w:val="20"/>
          <w:szCs w:val="20"/>
        </w:rPr>
        <w:t>, n</w:t>
      </w:r>
      <w:r w:rsidRPr="007A0BF2">
        <w:rPr>
          <w:sz w:val="20"/>
          <w:szCs w:val="20"/>
          <w:vertAlign w:val="superscript"/>
        </w:rPr>
        <w:t>o</w:t>
      </w:r>
      <w:r w:rsidRPr="007A0BF2">
        <w:rPr>
          <w:sz w:val="20"/>
          <w:szCs w:val="20"/>
        </w:rPr>
        <w:t xml:space="preserve"> 21, 1974, p. 19.</w:t>
      </w:r>
    </w:p>
  </w:footnote>
  <w:footnote w:id="37">
    <w:p w:rsidR="00AD766A" w:rsidRPr="007A0BF2" w:rsidRDefault="00AD766A" w:rsidP="00AD766A">
      <w:pPr>
        <w:pStyle w:val="Notedebasdepage"/>
        <w:jc w:val="both"/>
        <w:rPr>
          <w:sz w:val="20"/>
          <w:szCs w:val="20"/>
        </w:rPr>
      </w:pPr>
      <w:r>
        <w:rPr>
          <w:rStyle w:val="Appelnotedebasdep"/>
          <w:sz w:val="20"/>
          <w:szCs w:val="20"/>
        </w:rPr>
        <w:t>3</w:t>
      </w:r>
      <w:r w:rsidR="003304E3">
        <w:rPr>
          <w:rStyle w:val="Appelnotedebasdep"/>
          <w:sz w:val="20"/>
          <w:szCs w:val="20"/>
        </w:rPr>
        <w:t xml:space="preserve">7 </w:t>
      </w:r>
      <w:r w:rsidRPr="007A0BF2">
        <w:rPr>
          <w:sz w:val="20"/>
          <w:szCs w:val="20"/>
        </w:rPr>
        <w:t xml:space="preserve">Cf. Fernande Saint-Martin, </w:t>
      </w:r>
      <w:r w:rsidRPr="007A0BF2">
        <w:rPr>
          <w:i/>
          <w:sz w:val="20"/>
          <w:szCs w:val="20"/>
        </w:rPr>
        <w:t>La théorie de la Gestalt et l’art visuel. Essai sur les fondements de la sémiotique visuelle</w:t>
      </w:r>
      <w:r w:rsidRPr="007A0BF2">
        <w:rPr>
          <w:sz w:val="20"/>
          <w:szCs w:val="20"/>
        </w:rPr>
        <w:t xml:space="preserve">, Québec, Presses de l’Université du Québec, 1990, p. 24. </w:t>
      </w:r>
    </w:p>
  </w:footnote>
  <w:footnote w:id="38">
    <w:p w:rsidR="00AD766A" w:rsidRPr="007A0BF2" w:rsidRDefault="00AD766A" w:rsidP="00AD766A">
      <w:pPr>
        <w:pStyle w:val="Notedebasdepage"/>
        <w:rPr>
          <w:sz w:val="20"/>
          <w:szCs w:val="20"/>
        </w:rPr>
      </w:pPr>
      <w:r w:rsidRPr="007A0BF2">
        <w:rPr>
          <w:rStyle w:val="Appelnotedebasdep"/>
          <w:sz w:val="20"/>
          <w:szCs w:val="20"/>
        </w:rPr>
        <w:footnoteRef/>
      </w:r>
      <w:r w:rsidRPr="007A0BF2">
        <w:rPr>
          <w:sz w:val="20"/>
          <w:szCs w:val="20"/>
        </w:rPr>
        <w:t xml:space="preserve"> </w:t>
      </w:r>
      <w:r w:rsidRPr="007A0BF2">
        <w:rPr>
          <w:i/>
          <w:sz w:val="20"/>
          <w:szCs w:val="20"/>
        </w:rPr>
        <w:t>Ibid</w:t>
      </w:r>
      <w:r w:rsidRPr="007A0BF2">
        <w:rPr>
          <w:sz w:val="20"/>
          <w:szCs w:val="20"/>
        </w:rPr>
        <w:t xml:space="preserve">., p. 26.  </w:t>
      </w:r>
    </w:p>
  </w:footnote>
  <w:footnote w:id="39">
    <w:p w:rsidR="00AD766A" w:rsidRPr="007A0BF2" w:rsidRDefault="00AD766A" w:rsidP="00AD766A">
      <w:pPr>
        <w:pStyle w:val="Notedebasdepage"/>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Paul Klee, </w:t>
      </w:r>
      <w:r w:rsidR="003304E3" w:rsidRPr="003304E3">
        <w:rPr>
          <w:i/>
          <w:sz w:val="20"/>
          <w:szCs w:val="20"/>
        </w:rPr>
        <w:t>Qui plane</w:t>
      </w:r>
      <w:r w:rsidR="003304E3">
        <w:rPr>
          <w:sz w:val="20"/>
          <w:szCs w:val="20"/>
        </w:rPr>
        <w:t xml:space="preserve"> (</w:t>
      </w:r>
      <w:proofErr w:type="spellStart"/>
      <w:r w:rsidRPr="007A0BF2">
        <w:rPr>
          <w:i/>
          <w:sz w:val="20"/>
          <w:szCs w:val="20"/>
        </w:rPr>
        <w:t>Schwebendes</w:t>
      </w:r>
      <w:proofErr w:type="spellEnd"/>
      <w:r w:rsidR="003304E3">
        <w:rPr>
          <w:i/>
          <w:sz w:val="20"/>
          <w:szCs w:val="20"/>
        </w:rPr>
        <w:t>)</w:t>
      </w:r>
      <w:r w:rsidRPr="007A0BF2">
        <w:rPr>
          <w:sz w:val="20"/>
          <w:szCs w:val="20"/>
        </w:rPr>
        <w:t>, huile sur canevas, 84 x 84</w:t>
      </w:r>
      <w:r>
        <w:rPr>
          <w:sz w:val="20"/>
          <w:szCs w:val="20"/>
        </w:rPr>
        <w:t xml:space="preserve"> cm</w:t>
      </w:r>
      <w:r w:rsidRPr="007A0BF2">
        <w:rPr>
          <w:sz w:val="20"/>
          <w:szCs w:val="20"/>
        </w:rPr>
        <w:t>, Berne, Centre Paul Klee, 1930.</w:t>
      </w:r>
    </w:p>
  </w:footnote>
  <w:footnote w:id="40">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Pour une analyse détaillée, cf. Marion Colas-Blaise, « La sémiotique visuelle naissante : Greimas et sa postérité », </w:t>
      </w:r>
      <w:r w:rsidRPr="007A0BF2">
        <w:rPr>
          <w:i/>
          <w:sz w:val="20"/>
          <w:szCs w:val="20"/>
        </w:rPr>
        <w:t>La Part de l’Œil</w:t>
      </w:r>
      <w:r w:rsidRPr="007A0BF2">
        <w:rPr>
          <w:sz w:val="20"/>
          <w:szCs w:val="20"/>
        </w:rPr>
        <w:t xml:space="preserve">, « L’œuvre d’art entre structure et histoire. Greimas et </w:t>
      </w:r>
      <w:r>
        <w:rPr>
          <w:sz w:val="20"/>
          <w:szCs w:val="20"/>
        </w:rPr>
        <w:t>l</w:t>
      </w:r>
      <w:r w:rsidRPr="007A0BF2">
        <w:rPr>
          <w:sz w:val="20"/>
          <w:szCs w:val="20"/>
        </w:rPr>
        <w:t>a sémiotique de l’image », n</w:t>
      </w:r>
      <w:r w:rsidRPr="007A0BF2">
        <w:rPr>
          <w:sz w:val="20"/>
          <w:szCs w:val="20"/>
          <w:vertAlign w:val="superscript"/>
        </w:rPr>
        <w:t>o</w:t>
      </w:r>
      <w:r>
        <w:rPr>
          <w:sz w:val="20"/>
          <w:szCs w:val="20"/>
          <w:vertAlign w:val="superscript"/>
        </w:rPr>
        <w:t> </w:t>
      </w:r>
      <w:r w:rsidRPr="007A0BF2">
        <w:rPr>
          <w:sz w:val="20"/>
          <w:szCs w:val="20"/>
          <w:vertAlign w:val="superscript"/>
        </w:rPr>
        <w:t xml:space="preserve"> </w:t>
      </w:r>
      <w:r w:rsidRPr="007A0BF2">
        <w:rPr>
          <w:sz w:val="20"/>
          <w:szCs w:val="20"/>
        </w:rPr>
        <w:t xml:space="preserve">13, 2018-2019, pp. 275-295. </w:t>
      </w:r>
    </w:p>
  </w:footnote>
  <w:footnote w:id="41">
    <w:p w:rsidR="00AD766A" w:rsidRPr="007A0BF2" w:rsidRDefault="00AD766A" w:rsidP="00AD766A">
      <w:pPr>
        <w:spacing w:line="276" w:lineRule="auto"/>
        <w:jc w:val="both"/>
        <w:rPr>
          <w:sz w:val="20"/>
          <w:szCs w:val="20"/>
        </w:rPr>
      </w:pPr>
      <w:r w:rsidRPr="007A0BF2">
        <w:rPr>
          <w:rStyle w:val="Appelnotedebasdep"/>
          <w:sz w:val="20"/>
          <w:szCs w:val="20"/>
        </w:rPr>
        <w:footnoteRef/>
      </w:r>
      <w:r w:rsidRPr="007A0BF2">
        <w:rPr>
          <w:sz w:val="20"/>
          <w:szCs w:val="20"/>
        </w:rPr>
        <w:t xml:space="preserve"> </w:t>
      </w:r>
      <w:proofErr w:type="spellStart"/>
      <w:r w:rsidRPr="007A0BF2">
        <w:rPr>
          <w:sz w:val="20"/>
          <w:szCs w:val="20"/>
        </w:rPr>
        <w:t>Algirdas</w:t>
      </w:r>
      <w:proofErr w:type="spellEnd"/>
      <w:r w:rsidRPr="007A0BF2">
        <w:rPr>
          <w:sz w:val="20"/>
          <w:szCs w:val="20"/>
        </w:rPr>
        <w:t xml:space="preserve"> Julien Greimas, « Sémiotique figurative et sémiotique plastique », </w:t>
      </w:r>
      <w:r w:rsidRPr="007A0BF2">
        <w:rPr>
          <w:i/>
          <w:sz w:val="20"/>
          <w:szCs w:val="20"/>
        </w:rPr>
        <w:t>Actes sémiotiques, Documents</w:t>
      </w:r>
      <w:r w:rsidRPr="007A0BF2">
        <w:rPr>
          <w:sz w:val="20"/>
          <w:szCs w:val="20"/>
        </w:rPr>
        <w:t>, VI, n</w:t>
      </w:r>
      <w:r w:rsidRPr="007A0BF2">
        <w:rPr>
          <w:sz w:val="20"/>
          <w:szCs w:val="20"/>
          <w:vertAlign w:val="superscript"/>
        </w:rPr>
        <w:t>o</w:t>
      </w:r>
      <w:r w:rsidRPr="007A0BF2">
        <w:rPr>
          <w:sz w:val="20"/>
          <w:szCs w:val="20"/>
        </w:rPr>
        <w:t xml:space="preserve"> 60, 1984, p. 13.   </w:t>
      </w:r>
    </w:p>
  </w:footnote>
  <w:footnote w:id="42">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Groupe µ, </w:t>
      </w:r>
      <w:r w:rsidRPr="007A0BF2">
        <w:rPr>
          <w:i/>
          <w:sz w:val="20"/>
          <w:szCs w:val="20"/>
        </w:rPr>
        <w:t>Traité du signe visuel</w:t>
      </w:r>
      <w:r w:rsidRPr="007A0BF2">
        <w:rPr>
          <w:sz w:val="20"/>
          <w:szCs w:val="20"/>
        </w:rPr>
        <w:t>.</w:t>
      </w:r>
      <w:r w:rsidRPr="007A0BF2">
        <w:rPr>
          <w:i/>
          <w:sz w:val="20"/>
          <w:szCs w:val="20"/>
        </w:rPr>
        <w:t xml:space="preserve"> Pour une rhétorique de l’image</w:t>
      </w:r>
      <w:r w:rsidRPr="007A0BF2">
        <w:rPr>
          <w:sz w:val="20"/>
          <w:szCs w:val="20"/>
        </w:rPr>
        <w:t xml:space="preserve">, Paris, Seuil, 1992, p. 203. Il associe trois signifiés à la texture : la tridimensionnalité, la </w:t>
      </w:r>
      <w:proofErr w:type="spellStart"/>
      <w:r w:rsidRPr="007A0BF2">
        <w:rPr>
          <w:sz w:val="20"/>
          <w:szCs w:val="20"/>
        </w:rPr>
        <w:t>tactilo</w:t>
      </w:r>
      <w:proofErr w:type="spellEnd"/>
      <w:r w:rsidRPr="007A0BF2">
        <w:rPr>
          <w:sz w:val="20"/>
          <w:szCs w:val="20"/>
        </w:rPr>
        <w:t>-motricité et l’expressivité</w:t>
      </w:r>
      <w:r w:rsidRPr="007A0BF2">
        <w:rPr>
          <w:i/>
          <w:sz w:val="20"/>
          <w:szCs w:val="20"/>
        </w:rPr>
        <w:t>, ibid</w:t>
      </w:r>
      <w:r w:rsidRPr="007A0BF2">
        <w:rPr>
          <w:sz w:val="20"/>
          <w:szCs w:val="20"/>
        </w:rPr>
        <w:t xml:space="preserve">., p. 201.  </w:t>
      </w:r>
    </w:p>
  </w:footnote>
  <w:footnote w:id="43">
    <w:p w:rsidR="00AD766A" w:rsidRPr="007A0BF2" w:rsidRDefault="00AD766A" w:rsidP="00AD766A">
      <w:pPr>
        <w:pStyle w:val="Notedebasdepage"/>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Jacques </w:t>
      </w:r>
      <w:proofErr w:type="spellStart"/>
      <w:r w:rsidRPr="007A0BF2">
        <w:rPr>
          <w:sz w:val="20"/>
          <w:szCs w:val="20"/>
        </w:rPr>
        <w:t>Fontanille</w:t>
      </w:r>
      <w:proofErr w:type="spellEnd"/>
      <w:r w:rsidRPr="007A0BF2">
        <w:rPr>
          <w:sz w:val="20"/>
          <w:szCs w:val="20"/>
        </w:rPr>
        <w:t xml:space="preserve">, « Lumières, matières et paysage », </w:t>
      </w:r>
      <w:r w:rsidRPr="007A0BF2">
        <w:rPr>
          <w:i/>
          <w:sz w:val="20"/>
          <w:szCs w:val="20"/>
        </w:rPr>
        <w:t>Protée</w:t>
      </w:r>
      <w:r w:rsidRPr="007A0BF2">
        <w:rPr>
          <w:sz w:val="20"/>
          <w:szCs w:val="20"/>
        </w:rPr>
        <w:t>, n</w:t>
      </w:r>
      <w:r w:rsidRPr="007A0BF2">
        <w:rPr>
          <w:sz w:val="20"/>
          <w:szCs w:val="20"/>
          <w:vertAlign w:val="superscript"/>
        </w:rPr>
        <w:t>o</w:t>
      </w:r>
      <w:r w:rsidRPr="007A0BF2">
        <w:rPr>
          <w:sz w:val="20"/>
          <w:szCs w:val="20"/>
        </w:rPr>
        <w:t xml:space="preserve"> 31-3, 2003</w:t>
      </w:r>
      <w:r>
        <w:rPr>
          <w:sz w:val="20"/>
          <w:szCs w:val="20"/>
        </w:rPr>
        <w:t>c</w:t>
      </w:r>
      <w:r w:rsidRPr="007A0BF2">
        <w:rPr>
          <w:sz w:val="20"/>
          <w:szCs w:val="20"/>
        </w:rPr>
        <w:t>, p. 1.</w:t>
      </w:r>
    </w:p>
  </w:footnote>
  <w:footnote w:id="44">
    <w:p w:rsidR="00AD766A" w:rsidRPr="007A0BF2" w:rsidRDefault="00AD766A" w:rsidP="00AD766A">
      <w:pPr>
        <w:pStyle w:val="Notedebasdepage"/>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Anne </w:t>
      </w:r>
      <w:proofErr w:type="spellStart"/>
      <w:r w:rsidRPr="007A0BF2">
        <w:rPr>
          <w:sz w:val="20"/>
          <w:szCs w:val="20"/>
        </w:rPr>
        <w:t>Beyaert-Geslin</w:t>
      </w:r>
      <w:proofErr w:type="spellEnd"/>
      <w:r w:rsidRPr="007A0BF2">
        <w:rPr>
          <w:sz w:val="20"/>
          <w:szCs w:val="20"/>
        </w:rPr>
        <w:t xml:space="preserve">, « De la texture à la matière », </w:t>
      </w:r>
      <w:r w:rsidRPr="007A0BF2">
        <w:rPr>
          <w:i/>
          <w:sz w:val="20"/>
          <w:szCs w:val="20"/>
        </w:rPr>
        <w:t>Protée</w:t>
      </w:r>
      <w:r w:rsidRPr="007A0BF2">
        <w:rPr>
          <w:sz w:val="20"/>
          <w:szCs w:val="20"/>
        </w:rPr>
        <w:t>, vol. 36, n</w:t>
      </w:r>
      <w:r w:rsidRPr="007A0BF2">
        <w:rPr>
          <w:sz w:val="20"/>
          <w:szCs w:val="20"/>
          <w:vertAlign w:val="superscript"/>
        </w:rPr>
        <w:t>o</w:t>
      </w:r>
      <w:r w:rsidRPr="007A0BF2">
        <w:rPr>
          <w:sz w:val="20"/>
          <w:szCs w:val="20"/>
        </w:rPr>
        <w:t xml:space="preserve"> 2, 2008, p. 101.</w:t>
      </w:r>
    </w:p>
  </w:footnote>
  <w:footnote w:id="45">
    <w:p w:rsidR="00AD766A" w:rsidRPr="007A0BF2" w:rsidRDefault="00AD766A" w:rsidP="00AD766A">
      <w:pPr>
        <w:pStyle w:val="Notedebasdepage"/>
        <w:rPr>
          <w:sz w:val="20"/>
          <w:szCs w:val="20"/>
        </w:rPr>
      </w:pPr>
      <w:r w:rsidRPr="007A0BF2">
        <w:rPr>
          <w:rStyle w:val="Appelnotedebasdep"/>
          <w:sz w:val="20"/>
          <w:szCs w:val="20"/>
        </w:rPr>
        <w:footnoteRef/>
      </w:r>
      <w:r w:rsidRPr="007A0BF2">
        <w:rPr>
          <w:sz w:val="20"/>
          <w:szCs w:val="20"/>
        </w:rPr>
        <w:t xml:space="preserve"> </w:t>
      </w:r>
      <w:r w:rsidRPr="00E209D2">
        <w:rPr>
          <w:i/>
          <w:sz w:val="20"/>
          <w:szCs w:val="20"/>
        </w:rPr>
        <w:t>Ibid</w:t>
      </w:r>
      <w:r>
        <w:rPr>
          <w:sz w:val="20"/>
          <w:szCs w:val="20"/>
        </w:rPr>
        <w:t xml:space="preserve">., </w:t>
      </w:r>
      <w:r w:rsidRPr="007A0BF2">
        <w:rPr>
          <w:sz w:val="20"/>
          <w:szCs w:val="20"/>
        </w:rPr>
        <w:t xml:space="preserve">p. 102. </w:t>
      </w:r>
    </w:p>
  </w:footnote>
  <w:footnote w:id="46">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Jacques </w:t>
      </w:r>
      <w:proofErr w:type="spellStart"/>
      <w:r w:rsidRPr="007A0BF2">
        <w:rPr>
          <w:sz w:val="20"/>
          <w:szCs w:val="20"/>
        </w:rPr>
        <w:t>Fontanille</w:t>
      </w:r>
      <w:proofErr w:type="spellEnd"/>
      <w:r w:rsidRPr="007A0BF2">
        <w:rPr>
          <w:sz w:val="20"/>
          <w:szCs w:val="20"/>
        </w:rPr>
        <w:t xml:space="preserve">, « Du support matériel au support formel », </w:t>
      </w:r>
      <w:r w:rsidRPr="007A0BF2">
        <w:rPr>
          <w:i/>
          <w:sz w:val="20"/>
          <w:szCs w:val="20"/>
        </w:rPr>
        <w:t xml:space="preserve">in </w:t>
      </w:r>
      <w:r w:rsidRPr="007A0BF2">
        <w:rPr>
          <w:sz w:val="20"/>
          <w:szCs w:val="20"/>
        </w:rPr>
        <w:t xml:space="preserve">M. </w:t>
      </w:r>
      <w:proofErr w:type="spellStart"/>
      <w:r w:rsidRPr="007A0BF2">
        <w:rPr>
          <w:sz w:val="20"/>
          <w:szCs w:val="20"/>
        </w:rPr>
        <w:t>Arabyan</w:t>
      </w:r>
      <w:proofErr w:type="spellEnd"/>
      <w:r w:rsidRPr="007A0BF2">
        <w:rPr>
          <w:sz w:val="20"/>
          <w:szCs w:val="20"/>
        </w:rPr>
        <w:t xml:space="preserve"> et I. </w:t>
      </w:r>
      <w:proofErr w:type="spellStart"/>
      <w:r w:rsidRPr="007A0BF2">
        <w:rPr>
          <w:sz w:val="20"/>
          <w:szCs w:val="20"/>
        </w:rPr>
        <w:t>Klock-Fontanille</w:t>
      </w:r>
      <w:proofErr w:type="spellEnd"/>
      <w:r w:rsidRPr="007A0BF2">
        <w:rPr>
          <w:sz w:val="20"/>
          <w:szCs w:val="20"/>
        </w:rPr>
        <w:t xml:space="preserve"> (</w:t>
      </w:r>
      <w:proofErr w:type="spellStart"/>
      <w:r w:rsidRPr="007A0BF2">
        <w:rPr>
          <w:sz w:val="20"/>
          <w:szCs w:val="20"/>
        </w:rPr>
        <w:t>dirs</w:t>
      </w:r>
      <w:proofErr w:type="spellEnd"/>
      <w:r w:rsidRPr="007A0BF2">
        <w:rPr>
          <w:sz w:val="20"/>
          <w:szCs w:val="20"/>
        </w:rPr>
        <w:t xml:space="preserve">), </w:t>
      </w:r>
      <w:r w:rsidRPr="007A0BF2">
        <w:rPr>
          <w:i/>
          <w:sz w:val="20"/>
          <w:szCs w:val="20"/>
        </w:rPr>
        <w:t>L’écriture entre support et surface</w:t>
      </w:r>
      <w:r w:rsidRPr="007A0BF2">
        <w:rPr>
          <w:sz w:val="20"/>
          <w:szCs w:val="20"/>
        </w:rPr>
        <w:t xml:space="preserve">, Paris, </w:t>
      </w:r>
      <w:proofErr w:type="spellStart"/>
      <w:r w:rsidRPr="007A0BF2">
        <w:rPr>
          <w:sz w:val="20"/>
          <w:szCs w:val="20"/>
        </w:rPr>
        <w:t>L’Harmattan</w:t>
      </w:r>
      <w:proofErr w:type="spellEnd"/>
      <w:r w:rsidRPr="007A0BF2">
        <w:rPr>
          <w:sz w:val="20"/>
          <w:szCs w:val="20"/>
        </w:rPr>
        <w:t xml:space="preserve">, 2005, pp. 183-200. </w:t>
      </w:r>
    </w:p>
  </w:footnote>
  <w:footnote w:id="47">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Sur tout ceci, cf. Marion Colas-Blaise, « La sémiotique visuelle naissante : Greimas et sa postérité », art. </w:t>
      </w:r>
      <w:proofErr w:type="spellStart"/>
      <w:r w:rsidRPr="007A0BF2">
        <w:rPr>
          <w:sz w:val="20"/>
          <w:szCs w:val="20"/>
        </w:rPr>
        <w:t>cit</w:t>
      </w:r>
      <w:proofErr w:type="spellEnd"/>
      <w:r w:rsidRPr="007A0BF2">
        <w:rPr>
          <w:sz w:val="20"/>
          <w:szCs w:val="20"/>
        </w:rPr>
        <w:t xml:space="preserve">. </w:t>
      </w:r>
    </w:p>
  </w:footnote>
  <w:footnote w:id="48">
    <w:p w:rsidR="00AD766A" w:rsidRPr="007A0BF2" w:rsidRDefault="00AD766A" w:rsidP="00AD766A">
      <w:pPr>
        <w:pStyle w:val="Notedebasdepage"/>
        <w:jc w:val="both"/>
        <w:rPr>
          <w:i/>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Cf. Phillip Otto Runge, </w:t>
      </w:r>
      <w:proofErr w:type="spellStart"/>
      <w:r w:rsidRPr="007A0BF2">
        <w:rPr>
          <w:i/>
          <w:sz w:val="20"/>
          <w:szCs w:val="20"/>
        </w:rPr>
        <w:t>Farben-Kugel</w:t>
      </w:r>
      <w:proofErr w:type="spellEnd"/>
      <w:r w:rsidRPr="007A0BF2">
        <w:rPr>
          <w:i/>
          <w:sz w:val="20"/>
          <w:szCs w:val="20"/>
        </w:rPr>
        <w:t xml:space="preserve"> </w:t>
      </w:r>
      <w:proofErr w:type="spellStart"/>
      <w:r w:rsidRPr="007A0BF2">
        <w:rPr>
          <w:i/>
          <w:sz w:val="20"/>
          <w:szCs w:val="20"/>
        </w:rPr>
        <w:t>oder</w:t>
      </w:r>
      <w:proofErr w:type="spellEnd"/>
      <w:r w:rsidRPr="007A0BF2">
        <w:rPr>
          <w:i/>
          <w:sz w:val="20"/>
          <w:szCs w:val="20"/>
        </w:rPr>
        <w:t xml:space="preserve"> Construction des </w:t>
      </w:r>
      <w:proofErr w:type="spellStart"/>
      <w:r w:rsidRPr="007A0BF2">
        <w:rPr>
          <w:i/>
          <w:sz w:val="20"/>
          <w:szCs w:val="20"/>
        </w:rPr>
        <w:t>Verhältnisses</w:t>
      </w:r>
      <w:proofErr w:type="spellEnd"/>
      <w:r w:rsidRPr="007A0BF2">
        <w:rPr>
          <w:i/>
          <w:sz w:val="20"/>
          <w:szCs w:val="20"/>
        </w:rPr>
        <w:t xml:space="preserve"> aller </w:t>
      </w:r>
      <w:proofErr w:type="spellStart"/>
      <w:r w:rsidRPr="007A0BF2">
        <w:rPr>
          <w:i/>
          <w:sz w:val="20"/>
          <w:szCs w:val="20"/>
        </w:rPr>
        <w:t>Mischungen</w:t>
      </w:r>
      <w:proofErr w:type="spellEnd"/>
      <w:r w:rsidRPr="007A0BF2">
        <w:rPr>
          <w:i/>
          <w:sz w:val="20"/>
          <w:szCs w:val="20"/>
        </w:rPr>
        <w:t xml:space="preserve"> der </w:t>
      </w:r>
      <w:proofErr w:type="spellStart"/>
      <w:r w:rsidRPr="007A0BF2">
        <w:rPr>
          <w:i/>
          <w:sz w:val="20"/>
          <w:szCs w:val="20"/>
        </w:rPr>
        <w:t>Farben</w:t>
      </w:r>
      <w:proofErr w:type="spellEnd"/>
      <w:r w:rsidRPr="007A0BF2">
        <w:rPr>
          <w:i/>
          <w:sz w:val="20"/>
          <w:szCs w:val="20"/>
        </w:rPr>
        <w:t xml:space="preserve"> </w:t>
      </w:r>
      <w:proofErr w:type="spellStart"/>
      <w:r w:rsidRPr="007A0BF2">
        <w:rPr>
          <w:i/>
          <w:sz w:val="20"/>
          <w:szCs w:val="20"/>
        </w:rPr>
        <w:t>zueinander</w:t>
      </w:r>
      <w:proofErr w:type="spellEnd"/>
      <w:r w:rsidRPr="007A0BF2">
        <w:rPr>
          <w:i/>
          <w:sz w:val="20"/>
          <w:szCs w:val="20"/>
        </w:rPr>
        <w:t xml:space="preserve">, </w:t>
      </w:r>
      <w:proofErr w:type="spellStart"/>
      <w:r w:rsidRPr="007A0BF2">
        <w:rPr>
          <w:i/>
          <w:sz w:val="20"/>
          <w:szCs w:val="20"/>
        </w:rPr>
        <w:t>und</w:t>
      </w:r>
      <w:proofErr w:type="spellEnd"/>
      <w:r w:rsidRPr="007A0BF2">
        <w:rPr>
          <w:i/>
          <w:sz w:val="20"/>
          <w:szCs w:val="20"/>
        </w:rPr>
        <w:t xml:space="preserve"> </w:t>
      </w:r>
      <w:proofErr w:type="spellStart"/>
      <w:r w:rsidRPr="007A0BF2">
        <w:rPr>
          <w:i/>
          <w:sz w:val="20"/>
          <w:szCs w:val="20"/>
        </w:rPr>
        <w:t>ihrer</w:t>
      </w:r>
      <w:proofErr w:type="spellEnd"/>
      <w:r w:rsidRPr="007A0BF2">
        <w:rPr>
          <w:i/>
          <w:sz w:val="20"/>
          <w:szCs w:val="20"/>
        </w:rPr>
        <w:t xml:space="preserve"> </w:t>
      </w:r>
      <w:proofErr w:type="spellStart"/>
      <w:r w:rsidRPr="007A0BF2">
        <w:rPr>
          <w:i/>
          <w:sz w:val="20"/>
          <w:szCs w:val="20"/>
        </w:rPr>
        <w:t>vollständigen</w:t>
      </w:r>
      <w:proofErr w:type="spellEnd"/>
      <w:r w:rsidRPr="007A0BF2">
        <w:rPr>
          <w:i/>
          <w:sz w:val="20"/>
          <w:szCs w:val="20"/>
        </w:rPr>
        <w:t xml:space="preserve"> </w:t>
      </w:r>
      <w:proofErr w:type="spellStart"/>
      <w:r w:rsidRPr="007A0BF2">
        <w:rPr>
          <w:i/>
          <w:sz w:val="20"/>
          <w:szCs w:val="20"/>
        </w:rPr>
        <w:t>Affinität</w:t>
      </w:r>
      <w:proofErr w:type="spellEnd"/>
      <w:r w:rsidRPr="007A0BF2">
        <w:rPr>
          <w:i/>
          <w:sz w:val="20"/>
          <w:szCs w:val="20"/>
        </w:rPr>
        <w:t xml:space="preserve">, </w:t>
      </w:r>
      <w:proofErr w:type="spellStart"/>
      <w:r w:rsidRPr="007A0BF2">
        <w:rPr>
          <w:sz w:val="20"/>
          <w:szCs w:val="20"/>
        </w:rPr>
        <w:t>Hamburg</w:t>
      </w:r>
      <w:proofErr w:type="spellEnd"/>
      <w:r w:rsidRPr="007A0BF2">
        <w:rPr>
          <w:sz w:val="20"/>
          <w:szCs w:val="20"/>
        </w:rPr>
        <w:t>, Friedrich Perthes,</w:t>
      </w:r>
      <w:r w:rsidRPr="007A0BF2">
        <w:rPr>
          <w:i/>
          <w:sz w:val="20"/>
          <w:szCs w:val="20"/>
        </w:rPr>
        <w:t xml:space="preserve"> </w:t>
      </w:r>
      <w:r w:rsidRPr="007A0BF2">
        <w:rPr>
          <w:sz w:val="20"/>
          <w:szCs w:val="20"/>
        </w:rPr>
        <w:t>1810</w:t>
      </w:r>
      <w:r w:rsidRPr="007A0BF2">
        <w:rPr>
          <w:i/>
          <w:sz w:val="20"/>
          <w:szCs w:val="20"/>
        </w:rPr>
        <w:t xml:space="preserve"> (Sphère des couleurs ou la construction du rapport de tous les mélanges de couleurs les uns avec les autres)</w:t>
      </w:r>
      <w:r w:rsidRPr="007A0BF2">
        <w:rPr>
          <w:sz w:val="20"/>
          <w:szCs w:val="20"/>
        </w:rPr>
        <w:t xml:space="preserve">. Dans </w:t>
      </w:r>
      <w:r w:rsidRPr="007A0BF2">
        <w:rPr>
          <w:i/>
          <w:sz w:val="20"/>
          <w:szCs w:val="20"/>
        </w:rPr>
        <w:t>Théorie de l’art moderne</w:t>
      </w:r>
      <w:r w:rsidRPr="007A0BF2">
        <w:rPr>
          <w:sz w:val="20"/>
          <w:szCs w:val="20"/>
        </w:rPr>
        <w:t xml:space="preserve">, Paul Klee recourt au terme « poids » d’une manière très précise : « Malgré leurs différences fondamentales, ces éléments plastiques [les données formelles d’extension variable, telles que ligne, tonalités du clair-obscur et couleur] ressortant à l’étendue, au poids et à la qualité entretiennent entre eux certains rapports. La nature de cette solidarité apparaît au bref examen que voici : La couleur est premièrement qualité. Elle est ensuite densité, car elle n’a pas seulement une valeur chromatique mais encore une valeur lumineuse. Elle est enfin mesure, car elle a aussi ses limites, son contour, son étendue – tout ce qui est mesurable en elle. Le clair-obscur est prématurément densité, et ensuite mesure dans son étendue et ses limites. La ligne, enfin, est uniquement mesure », </w:t>
      </w:r>
      <w:r w:rsidRPr="007A0BF2">
        <w:rPr>
          <w:i/>
          <w:sz w:val="20"/>
          <w:szCs w:val="20"/>
        </w:rPr>
        <w:t xml:space="preserve">op. </w:t>
      </w:r>
      <w:proofErr w:type="spellStart"/>
      <w:r w:rsidRPr="007A0BF2">
        <w:rPr>
          <w:i/>
          <w:sz w:val="20"/>
          <w:szCs w:val="20"/>
        </w:rPr>
        <w:t>cit</w:t>
      </w:r>
      <w:proofErr w:type="spellEnd"/>
      <w:r w:rsidRPr="007A0BF2">
        <w:rPr>
          <w:sz w:val="20"/>
          <w:szCs w:val="20"/>
        </w:rPr>
        <w:t xml:space="preserve">., p. 20. </w:t>
      </w:r>
    </w:p>
  </w:footnote>
  <w:footnote w:id="49">
    <w:p w:rsidR="00AD766A" w:rsidRPr="00CE6F86" w:rsidRDefault="00AD766A" w:rsidP="00AD766A">
      <w:pPr>
        <w:pStyle w:val="Notedebasdepage"/>
        <w:jc w:val="both"/>
        <w:rPr>
          <w:sz w:val="20"/>
          <w:szCs w:val="20"/>
        </w:rPr>
      </w:pPr>
      <w:r w:rsidRPr="0077092F">
        <w:rPr>
          <w:rStyle w:val="Appelnotedebasdep"/>
          <w:sz w:val="20"/>
          <w:szCs w:val="20"/>
        </w:rPr>
        <w:footnoteRef/>
      </w:r>
      <w:r w:rsidRPr="0077092F">
        <w:rPr>
          <w:sz w:val="20"/>
          <w:szCs w:val="20"/>
        </w:rPr>
        <w:t xml:space="preserve"> </w:t>
      </w:r>
      <w:r w:rsidRPr="0077092F">
        <w:rPr>
          <w:sz w:val="20"/>
          <w:szCs w:val="20"/>
        </w:rPr>
        <w:t xml:space="preserve">Paul Klee, </w:t>
      </w:r>
      <w:proofErr w:type="spellStart"/>
      <w:r w:rsidRPr="0077092F">
        <w:rPr>
          <w:i/>
          <w:color w:val="181818"/>
          <w:sz w:val="20"/>
          <w:szCs w:val="20"/>
        </w:rPr>
        <w:t>Harmonisierte</w:t>
      </w:r>
      <w:proofErr w:type="spellEnd"/>
      <w:r w:rsidRPr="0077092F">
        <w:rPr>
          <w:i/>
          <w:color w:val="181818"/>
          <w:sz w:val="20"/>
          <w:szCs w:val="20"/>
        </w:rPr>
        <w:t xml:space="preserve"> </w:t>
      </w:r>
      <w:proofErr w:type="spellStart"/>
      <w:r w:rsidRPr="0077092F">
        <w:rPr>
          <w:i/>
          <w:color w:val="181818"/>
          <w:sz w:val="20"/>
          <w:szCs w:val="20"/>
        </w:rPr>
        <w:t>Störungen</w:t>
      </w:r>
      <w:proofErr w:type="spellEnd"/>
      <w:r w:rsidRPr="0077092F">
        <w:rPr>
          <w:color w:val="181818"/>
          <w:sz w:val="20"/>
          <w:szCs w:val="20"/>
        </w:rPr>
        <w:t xml:space="preserve">, </w:t>
      </w:r>
      <w:r w:rsidRPr="0077092F">
        <w:rPr>
          <w:sz w:val="20"/>
          <w:szCs w:val="20"/>
        </w:rPr>
        <w:t>fus</w:t>
      </w:r>
      <w:r>
        <w:rPr>
          <w:sz w:val="20"/>
          <w:szCs w:val="20"/>
        </w:rPr>
        <w:t>ain et aquarelle, 50.5 x 31.5 cm, c</w:t>
      </w:r>
      <w:r w:rsidRPr="0077092F">
        <w:rPr>
          <w:sz w:val="20"/>
          <w:szCs w:val="20"/>
        </w:rPr>
        <w:t xml:space="preserve">ollection privée, 1937. Ce tableau a été montré à Londres, à l’occasion de l’exposition The EY Exhibition </w:t>
      </w:r>
      <w:r w:rsidRPr="009D501E">
        <w:rPr>
          <w:sz w:val="20"/>
          <w:szCs w:val="20"/>
        </w:rPr>
        <w:t>–</w:t>
      </w:r>
      <w:r>
        <w:rPr>
          <w:sz w:val="20"/>
          <w:szCs w:val="20"/>
        </w:rPr>
        <w:t xml:space="preserve"> </w:t>
      </w:r>
      <w:r w:rsidRPr="0077092F">
        <w:rPr>
          <w:sz w:val="20"/>
          <w:szCs w:val="20"/>
        </w:rPr>
        <w:t xml:space="preserve">Paul Klee, </w:t>
      </w:r>
      <w:proofErr w:type="spellStart"/>
      <w:r w:rsidRPr="0077092F">
        <w:rPr>
          <w:i/>
          <w:sz w:val="20"/>
          <w:szCs w:val="20"/>
        </w:rPr>
        <w:t>Making</w:t>
      </w:r>
      <w:proofErr w:type="spellEnd"/>
      <w:r w:rsidRPr="0077092F">
        <w:rPr>
          <w:i/>
          <w:sz w:val="20"/>
          <w:szCs w:val="20"/>
        </w:rPr>
        <w:t xml:space="preserve"> visible</w:t>
      </w:r>
      <w:r w:rsidRPr="0077092F">
        <w:rPr>
          <w:sz w:val="20"/>
          <w:szCs w:val="20"/>
        </w:rPr>
        <w:t xml:space="preserve">, </w:t>
      </w:r>
      <w:r>
        <w:rPr>
          <w:sz w:val="20"/>
          <w:szCs w:val="20"/>
        </w:rPr>
        <w:t xml:space="preserve">Londres, </w:t>
      </w:r>
      <w:r w:rsidRPr="0077092F">
        <w:rPr>
          <w:sz w:val="20"/>
          <w:szCs w:val="20"/>
        </w:rPr>
        <w:t>Tate Modern, 16 octobre 2013</w:t>
      </w:r>
      <w:r>
        <w:rPr>
          <w:sz w:val="20"/>
          <w:szCs w:val="20"/>
        </w:rPr>
        <w:t xml:space="preserve"> – </w:t>
      </w:r>
      <w:r w:rsidRPr="0077092F">
        <w:rPr>
          <w:sz w:val="20"/>
          <w:szCs w:val="20"/>
        </w:rPr>
        <w:t xml:space="preserve">mars 2014. Le tableau est reproduit dans le catalogue issu de l’exposition, </w:t>
      </w:r>
      <w:r>
        <w:rPr>
          <w:sz w:val="20"/>
          <w:szCs w:val="20"/>
        </w:rPr>
        <w:t xml:space="preserve">Londres, </w:t>
      </w:r>
      <w:r w:rsidRPr="00CE6F86">
        <w:rPr>
          <w:sz w:val="20"/>
          <w:szCs w:val="20"/>
        </w:rPr>
        <w:t xml:space="preserve">Tate Modern, 2013, p. 218. Chez Paul Klee, les </w:t>
      </w:r>
      <w:r w:rsidRPr="00CE6F86">
        <w:rPr>
          <w:color w:val="181818"/>
          <w:sz w:val="20"/>
          <w:szCs w:val="20"/>
        </w:rPr>
        <w:t xml:space="preserve">préoccupations matérielles sont moins prononcées que chez les peintres </w:t>
      </w:r>
      <w:r>
        <w:rPr>
          <w:color w:val="181818"/>
          <w:sz w:val="20"/>
          <w:szCs w:val="20"/>
        </w:rPr>
        <w:t>« </w:t>
      </w:r>
      <w:r w:rsidRPr="00CE6F86">
        <w:rPr>
          <w:color w:val="181818"/>
          <w:sz w:val="20"/>
          <w:szCs w:val="20"/>
        </w:rPr>
        <w:t>matiéristes</w:t>
      </w:r>
      <w:r>
        <w:rPr>
          <w:color w:val="181818"/>
          <w:sz w:val="20"/>
          <w:szCs w:val="20"/>
        </w:rPr>
        <w:t> », où l’on assiste à une véritable « </w:t>
      </w:r>
      <w:r w:rsidRPr="00CE6F86">
        <w:rPr>
          <w:color w:val="181818"/>
          <w:sz w:val="20"/>
          <w:szCs w:val="20"/>
        </w:rPr>
        <w:t>dramaturgie</w:t>
      </w:r>
      <w:r>
        <w:rPr>
          <w:color w:val="181818"/>
          <w:sz w:val="20"/>
          <w:szCs w:val="20"/>
        </w:rPr>
        <w:t> »</w:t>
      </w:r>
      <w:r w:rsidRPr="00CE6F86">
        <w:rPr>
          <w:color w:val="181818"/>
          <w:sz w:val="20"/>
          <w:szCs w:val="20"/>
        </w:rPr>
        <w:t xml:space="preserve">. </w:t>
      </w:r>
    </w:p>
  </w:footnote>
  <w:footnote w:id="50">
    <w:p w:rsidR="00AD766A" w:rsidRPr="000F266F" w:rsidRDefault="00AD766A" w:rsidP="00AD766A">
      <w:pPr>
        <w:pStyle w:val="Notedebasdepage"/>
        <w:rPr>
          <w:sz w:val="20"/>
          <w:szCs w:val="20"/>
          <w:lang w:val="fr-FR"/>
        </w:rPr>
      </w:pPr>
      <w:r w:rsidRPr="000F266F">
        <w:rPr>
          <w:rStyle w:val="Appelnotedebasdep"/>
          <w:sz w:val="20"/>
          <w:szCs w:val="20"/>
        </w:rPr>
        <w:footnoteRef/>
      </w:r>
      <w:r w:rsidRPr="000F266F">
        <w:rPr>
          <w:sz w:val="20"/>
          <w:szCs w:val="20"/>
        </w:rPr>
        <w:t> </w:t>
      </w:r>
      <w:r w:rsidRPr="000F266F">
        <w:rPr>
          <w:sz w:val="20"/>
          <w:szCs w:val="20"/>
        </w:rPr>
        <w:t xml:space="preserve">À ce sujet, cf. aussi Yves </w:t>
      </w:r>
      <w:proofErr w:type="spellStart"/>
      <w:r w:rsidRPr="000F266F">
        <w:rPr>
          <w:sz w:val="20"/>
          <w:szCs w:val="20"/>
        </w:rPr>
        <w:t>Citton</w:t>
      </w:r>
      <w:proofErr w:type="spellEnd"/>
      <w:r w:rsidRPr="000F266F">
        <w:rPr>
          <w:sz w:val="20"/>
          <w:szCs w:val="20"/>
        </w:rPr>
        <w:t xml:space="preserve">, </w:t>
      </w:r>
      <w:r w:rsidRPr="000F266F">
        <w:rPr>
          <w:i/>
          <w:sz w:val="20"/>
          <w:szCs w:val="20"/>
        </w:rPr>
        <w:t xml:space="preserve">Gestes d’humanités, op. </w:t>
      </w:r>
      <w:proofErr w:type="spellStart"/>
      <w:r w:rsidRPr="000F266F">
        <w:rPr>
          <w:i/>
          <w:sz w:val="20"/>
          <w:szCs w:val="20"/>
        </w:rPr>
        <w:t>cit</w:t>
      </w:r>
      <w:proofErr w:type="spellEnd"/>
      <w:r w:rsidRPr="000F266F">
        <w:rPr>
          <w:i/>
          <w:sz w:val="20"/>
          <w:szCs w:val="20"/>
        </w:rPr>
        <w:t>.</w:t>
      </w:r>
    </w:p>
  </w:footnote>
  <w:footnote w:id="51">
    <w:p w:rsidR="00AD766A" w:rsidRPr="001D1BF8" w:rsidRDefault="00AD766A" w:rsidP="00AD766A">
      <w:pPr>
        <w:pStyle w:val="NormalWeb"/>
        <w:spacing w:before="0" w:beforeAutospacing="0" w:after="0" w:afterAutospacing="0"/>
        <w:jc w:val="both"/>
        <w:rPr>
          <w:sz w:val="20"/>
          <w:szCs w:val="20"/>
        </w:rPr>
      </w:pPr>
      <w:r w:rsidRPr="006B341B">
        <w:rPr>
          <w:rStyle w:val="Appelnotedebasdep"/>
          <w:sz w:val="20"/>
          <w:szCs w:val="20"/>
        </w:rPr>
        <w:footnoteRef/>
      </w:r>
      <w:r w:rsidRPr="006B341B">
        <w:rPr>
          <w:sz w:val="20"/>
          <w:szCs w:val="20"/>
        </w:rPr>
        <w:t xml:space="preserve"> </w:t>
      </w:r>
      <w:r w:rsidRPr="006B341B">
        <w:rPr>
          <w:sz w:val="20"/>
          <w:szCs w:val="20"/>
        </w:rPr>
        <w:t xml:space="preserve">Cf. plus particulièrement ce passage des </w:t>
      </w:r>
      <w:r w:rsidRPr="006B341B">
        <w:rPr>
          <w:i/>
          <w:sz w:val="20"/>
          <w:szCs w:val="20"/>
        </w:rPr>
        <w:t>Différents modes d’existence</w:t>
      </w:r>
      <w:r w:rsidRPr="006B341B">
        <w:rPr>
          <w:sz w:val="20"/>
          <w:szCs w:val="20"/>
        </w:rPr>
        <w:t xml:space="preserve"> d’Étienne Souriau : « La glaise </w:t>
      </w:r>
      <w:proofErr w:type="spellStart"/>
      <w:r w:rsidRPr="006B341B">
        <w:rPr>
          <w:sz w:val="20"/>
          <w:szCs w:val="20"/>
        </w:rPr>
        <w:t>modelée</w:t>
      </w:r>
      <w:proofErr w:type="spellEnd"/>
      <w:r w:rsidRPr="006B341B">
        <w:rPr>
          <w:sz w:val="20"/>
          <w:szCs w:val="20"/>
        </w:rPr>
        <w:t xml:space="preserve"> est comme le miroir </w:t>
      </w:r>
      <w:proofErr w:type="spellStart"/>
      <w:r w:rsidRPr="006B341B">
        <w:rPr>
          <w:sz w:val="20"/>
          <w:szCs w:val="20"/>
        </w:rPr>
        <w:t>fidèle</w:t>
      </w:r>
      <w:proofErr w:type="spellEnd"/>
      <w:r w:rsidRPr="006B341B">
        <w:rPr>
          <w:sz w:val="20"/>
          <w:szCs w:val="20"/>
        </w:rPr>
        <w:t xml:space="preserve"> de l’œuvre à faire, et l’œuvre à faire est comme </w:t>
      </w:r>
      <w:proofErr w:type="spellStart"/>
      <w:r w:rsidRPr="006B341B">
        <w:rPr>
          <w:sz w:val="20"/>
          <w:szCs w:val="20"/>
        </w:rPr>
        <w:t>incarnée</w:t>
      </w:r>
      <w:proofErr w:type="spellEnd"/>
      <w:r w:rsidRPr="006B341B">
        <w:rPr>
          <w:sz w:val="20"/>
          <w:szCs w:val="20"/>
        </w:rPr>
        <w:t xml:space="preserve"> dans le bloc de glaise. Elles ne font plus qu’un seul et </w:t>
      </w:r>
      <w:proofErr w:type="spellStart"/>
      <w:r w:rsidRPr="006B341B">
        <w:rPr>
          <w:sz w:val="20"/>
          <w:szCs w:val="20"/>
        </w:rPr>
        <w:t>même</w:t>
      </w:r>
      <w:proofErr w:type="spellEnd"/>
      <w:r w:rsidRPr="006B341B">
        <w:rPr>
          <w:sz w:val="20"/>
          <w:szCs w:val="20"/>
        </w:rPr>
        <w:t xml:space="preserve"> </w:t>
      </w:r>
      <w:proofErr w:type="spellStart"/>
      <w:r w:rsidRPr="006B341B">
        <w:rPr>
          <w:sz w:val="20"/>
          <w:szCs w:val="20"/>
        </w:rPr>
        <w:t>être</w:t>
      </w:r>
      <w:proofErr w:type="spellEnd"/>
      <w:r w:rsidRPr="006B341B">
        <w:rPr>
          <w:sz w:val="20"/>
          <w:szCs w:val="20"/>
        </w:rPr>
        <w:t xml:space="preserve"> »</w:t>
      </w:r>
      <w:r>
        <w:rPr>
          <w:sz w:val="20"/>
          <w:szCs w:val="20"/>
        </w:rPr>
        <w:t xml:space="preserve">, </w:t>
      </w:r>
      <w:r w:rsidRPr="001711D2">
        <w:rPr>
          <w:i/>
          <w:sz w:val="20"/>
          <w:szCs w:val="20"/>
        </w:rPr>
        <w:t>in</w:t>
      </w:r>
      <w:r>
        <w:rPr>
          <w:sz w:val="20"/>
          <w:szCs w:val="20"/>
        </w:rPr>
        <w:t xml:space="preserve"> </w:t>
      </w:r>
      <w:r w:rsidRPr="002E48E5">
        <w:rPr>
          <w:color w:val="000000" w:themeColor="text1"/>
          <w:sz w:val="20"/>
          <w:szCs w:val="20"/>
        </w:rPr>
        <w:t>Étienne Souriau</w:t>
      </w:r>
      <w:r>
        <w:rPr>
          <w:color w:val="000000" w:themeColor="text1"/>
          <w:sz w:val="20"/>
          <w:szCs w:val="20"/>
        </w:rPr>
        <w:t xml:space="preserve"> [1943], </w:t>
      </w:r>
      <w:r w:rsidRPr="002E48E5">
        <w:rPr>
          <w:i/>
          <w:color w:val="000000" w:themeColor="text1"/>
          <w:sz w:val="20"/>
          <w:szCs w:val="20"/>
        </w:rPr>
        <w:t>Les différents modes d’existence</w:t>
      </w:r>
      <w:r w:rsidRPr="002E48E5">
        <w:rPr>
          <w:color w:val="000000" w:themeColor="text1"/>
          <w:sz w:val="20"/>
          <w:szCs w:val="20"/>
        </w:rPr>
        <w:t xml:space="preserve"> suivi de </w:t>
      </w:r>
      <w:r w:rsidRPr="002E48E5">
        <w:rPr>
          <w:i/>
          <w:color w:val="000000" w:themeColor="text1"/>
          <w:sz w:val="20"/>
          <w:szCs w:val="20"/>
        </w:rPr>
        <w:t>De l’œuvre à faire</w:t>
      </w:r>
      <w:r w:rsidRPr="002E48E5">
        <w:rPr>
          <w:color w:val="000000" w:themeColor="text1"/>
          <w:sz w:val="20"/>
          <w:szCs w:val="20"/>
        </w:rPr>
        <w:t>,</w:t>
      </w:r>
      <w:r>
        <w:rPr>
          <w:color w:val="000000" w:themeColor="text1"/>
          <w:sz w:val="20"/>
          <w:szCs w:val="20"/>
        </w:rPr>
        <w:t xml:space="preserve"> </w:t>
      </w:r>
      <w:r w:rsidRPr="001711D2">
        <w:rPr>
          <w:i/>
          <w:color w:val="000000" w:themeColor="text1"/>
          <w:sz w:val="20"/>
          <w:szCs w:val="20"/>
        </w:rPr>
        <w:t xml:space="preserve">op. </w:t>
      </w:r>
      <w:proofErr w:type="spellStart"/>
      <w:r w:rsidRPr="001711D2">
        <w:rPr>
          <w:i/>
          <w:color w:val="000000" w:themeColor="text1"/>
          <w:sz w:val="20"/>
          <w:szCs w:val="20"/>
        </w:rPr>
        <w:t>cit</w:t>
      </w:r>
      <w:proofErr w:type="spellEnd"/>
      <w:r>
        <w:rPr>
          <w:color w:val="000000" w:themeColor="text1"/>
          <w:sz w:val="20"/>
          <w:szCs w:val="20"/>
        </w:rPr>
        <w:t xml:space="preserve">., </w:t>
      </w:r>
      <w:r w:rsidRPr="006B341B">
        <w:rPr>
          <w:sz w:val="20"/>
          <w:szCs w:val="20"/>
        </w:rPr>
        <w:t xml:space="preserve">p. 212. </w:t>
      </w:r>
    </w:p>
  </w:footnote>
  <w:footnote w:id="52">
    <w:p w:rsidR="00AD766A" w:rsidRPr="001711D2" w:rsidRDefault="00AD766A" w:rsidP="00AD766A">
      <w:pPr>
        <w:pStyle w:val="Notedebasdepage"/>
        <w:jc w:val="both"/>
        <w:rPr>
          <w:sz w:val="20"/>
          <w:szCs w:val="20"/>
        </w:rPr>
      </w:pPr>
      <w:r w:rsidRPr="001711D2">
        <w:rPr>
          <w:rStyle w:val="Appelnotedebasdep"/>
          <w:sz w:val="20"/>
          <w:szCs w:val="20"/>
        </w:rPr>
        <w:footnoteRef/>
      </w:r>
      <w:r w:rsidRPr="001711D2">
        <w:rPr>
          <w:sz w:val="20"/>
          <w:szCs w:val="20"/>
        </w:rPr>
        <w:t xml:space="preserve"> </w:t>
      </w:r>
      <w:r w:rsidRPr="001711D2">
        <w:rPr>
          <w:sz w:val="20"/>
          <w:szCs w:val="20"/>
        </w:rPr>
        <w:t xml:space="preserve">Isabelle </w:t>
      </w:r>
      <w:proofErr w:type="spellStart"/>
      <w:r w:rsidRPr="001711D2">
        <w:rPr>
          <w:sz w:val="20"/>
          <w:szCs w:val="20"/>
        </w:rPr>
        <w:t>Stengers</w:t>
      </w:r>
      <w:proofErr w:type="spellEnd"/>
      <w:r w:rsidRPr="001711D2">
        <w:rPr>
          <w:sz w:val="20"/>
          <w:szCs w:val="20"/>
        </w:rPr>
        <w:t xml:space="preserve"> &amp; Bruno </w:t>
      </w:r>
      <w:proofErr w:type="spellStart"/>
      <w:r w:rsidRPr="001711D2">
        <w:rPr>
          <w:sz w:val="20"/>
          <w:szCs w:val="20"/>
        </w:rPr>
        <w:t>Latour</w:t>
      </w:r>
      <w:proofErr w:type="spellEnd"/>
      <w:r w:rsidRPr="001711D2">
        <w:rPr>
          <w:sz w:val="20"/>
          <w:szCs w:val="20"/>
        </w:rPr>
        <w:t xml:space="preserve">, « Le sphinx de l’œuvre », </w:t>
      </w:r>
      <w:r w:rsidRPr="001711D2">
        <w:rPr>
          <w:i/>
          <w:sz w:val="20"/>
          <w:szCs w:val="20"/>
        </w:rPr>
        <w:t>in</w:t>
      </w:r>
      <w:r w:rsidRPr="001711D2">
        <w:rPr>
          <w:sz w:val="20"/>
          <w:szCs w:val="20"/>
        </w:rPr>
        <w:t xml:space="preserve"> </w:t>
      </w:r>
      <w:r w:rsidRPr="001711D2">
        <w:rPr>
          <w:color w:val="000000" w:themeColor="text1"/>
          <w:sz w:val="20"/>
          <w:szCs w:val="20"/>
        </w:rPr>
        <w:t xml:space="preserve">Étienne Souriau </w:t>
      </w:r>
      <w:r>
        <w:rPr>
          <w:color w:val="000000" w:themeColor="text1"/>
          <w:sz w:val="20"/>
          <w:szCs w:val="20"/>
        </w:rPr>
        <w:t>[</w:t>
      </w:r>
      <w:r w:rsidRPr="001711D2">
        <w:rPr>
          <w:color w:val="000000" w:themeColor="text1"/>
          <w:sz w:val="20"/>
          <w:szCs w:val="20"/>
        </w:rPr>
        <w:t xml:space="preserve">1943], </w:t>
      </w:r>
      <w:r w:rsidRPr="001711D2">
        <w:rPr>
          <w:i/>
          <w:color w:val="000000" w:themeColor="text1"/>
          <w:sz w:val="20"/>
          <w:szCs w:val="20"/>
        </w:rPr>
        <w:t>Les différents modes d’existence</w:t>
      </w:r>
      <w:r w:rsidRPr="001711D2">
        <w:rPr>
          <w:color w:val="000000" w:themeColor="text1"/>
          <w:sz w:val="20"/>
          <w:szCs w:val="20"/>
        </w:rPr>
        <w:t xml:space="preserve"> suivi de </w:t>
      </w:r>
      <w:r w:rsidRPr="001711D2">
        <w:rPr>
          <w:i/>
          <w:color w:val="000000" w:themeColor="text1"/>
          <w:sz w:val="20"/>
          <w:szCs w:val="20"/>
        </w:rPr>
        <w:t>De l’œuvre à faire</w:t>
      </w:r>
      <w:r w:rsidRPr="001711D2">
        <w:rPr>
          <w:color w:val="000000" w:themeColor="text1"/>
          <w:sz w:val="20"/>
          <w:szCs w:val="20"/>
        </w:rPr>
        <w:t xml:space="preserve">, </w:t>
      </w:r>
      <w:r w:rsidRPr="001711D2">
        <w:rPr>
          <w:i/>
          <w:color w:val="000000" w:themeColor="text1"/>
          <w:sz w:val="20"/>
          <w:szCs w:val="20"/>
        </w:rPr>
        <w:t xml:space="preserve">op. </w:t>
      </w:r>
      <w:proofErr w:type="spellStart"/>
      <w:r w:rsidRPr="001711D2">
        <w:rPr>
          <w:i/>
          <w:color w:val="000000" w:themeColor="text1"/>
          <w:sz w:val="20"/>
          <w:szCs w:val="20"/>
        </w:rPr>
        <w:t>cit</w:t>
      </w:r>
      <w:proofErr w:type="spellEnd"/>
      <w:r w:rsidRPr="001711D2">
        <w:rPr>
          <w:color w:val="000000" w:themeColor="text1"/>
          <w:sz w:val="20"/>
          <w:szCs w:val="20"/>
        </w:rPr>
        <w:t xml:space="preserve">., </w:t>
      </w:r>
      <w:r w:rsidRPr="001711D2">
        <w:rPr>
          <w:sz w:val="20"/>
          <w:szCs w:val="20"/>
        </w:rPr>
        <w:t xml:space="preserve">pp. 6-7. </w:t>
      </w:r>
    </w:p>
  </w:footnote>
  <w:footnote w:id="53">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lang w:val="de-DE"/>
        </w:rPr>
        <w:t xml:space="preserve"> Cf. Paul Klee, </w:t>
      </w:r>
      <w:r w:rsidRPr="007A0BF2">
        <w:rPr>
          <w:i/>
          <w:sz w:val="20"/>
          <w:szCs w:val="20"/>
          <w:lang w:val="de-DE"/>
        </w:rPr>
        <w:t>Das bildnerische Denken</w:t>
      </w:r>
      <w:r w:rsidRPr="007A0BF2">
        <w:rPr>
          <w:sz w:val="20"/>
          <w:szCs w:val="20"/>
          <w:lang w:val="de-DE"/>
        </w:rPr>
        <w:t xml:space="preserve">, </w:t>
      </w:r>
      <w:r w:rsidRPr="007A0BF2">
        <w:rPr>
          <w:i/>
          <w:sz w:val="20"/>
          <w:szCs w:val="20"/>
          <w:lang w:val="de-DE"/>
        </w:rPr>
        <w:t xml:space="preserve">op. </w:t>
      </w:r>
      <w:proofErr w:type="spellStart"/>
      <w:r w:rsidRPr="007A0BF2">
        <w:rPr>
          <w:i/>
          <w:sz w:val="20"/>
          <w:szCs w:val="20"/>
          <w:lang w:val="de-DE"/>
        </w:rPr>
        <w:t>cit</w:t>
      </w:r>
      <w:proofErr w:type="spellEnd"/>
      <w:r w:rsidRPr="007A0BF2">
        <w:rPr>
          <w:sz w:val="20"/>
          <w:szCs w:val="20"/>
          <w:lang w:val="de-DE"/>
        </w:rPr>
        <w:t xml:space="preserve">., p. 499. </w:t>
      </w:r>
      <w:r w:rsidRPr="007A0BF2">
        <w:rPr>
          <w:sz w:val="20"/>
          <w:szCs w:val="20"/>
        </w:rPr>
        <w:t xml:space="preserve">Voir aussi Christian </w:t>
      </w:r>
      <w:proofErr w:type="spellStart"/>
      <w:r w:rsidRPr="007A0BF2">
        <w:rPr>
          <w:sz w:val="20"/>
          <w:szCs w:val="20"/>
        </w:rPr>
        <w:t>Geelhaar</w:t>
      </w:r>
      <w:proofErr w:type="spellEnd"/>
      <w:r w:rsidRPr="007A0BF2">
        <w:rPr>
          <w:sz w:val="20"/>
          <w:szCs w:val="20"/>
        </w:rPr>
        <w:t xml:space="preserve">, </w:t>
      </w:r>
      <w:r w:rsidRPr="007A0BF2">
        <w:rPr>
          <w:i/>
          <w:sz w:val="20"/>
          <w:szCs w:val="20"/>
        </w:rPr>
        <w:t>Paul Klee et le Bauhaus</w:t>
      </w:r>
      <w:r w:rsidRPr="007A0BF2">
        <w:rPr>
          <w:sz w:val="20"/>
          <w:szCs w:val="20"/>
        </w:rPr>
        <w:t xml:space="preserve">, Neuchâtel, Éditions Ides et Calendes, 1972, p. 35. </w:t>
      </w:r>
    </w:p>
  </w:footnote>
  <w:footnote w:id="54">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Petra Petitpierre, </w:t>
      </w:r>
      <w:proofErr w:type="spellStart"/>
      <w:r w:rsidRPr="007A0BF2">
        <w:rPr>
          <w:i/>
          <w:sz w:val="20"/>
          <w:szCs w:val="20"/>
        </w:rPr>
        <w:t>Aus</w:t>
      </w:r>
      <w:proofErr w:type="spellEnd"/>
      <w:r w:rsidRPr="007A0BF2">
        <w:rPr>
          <w:i/>
          <w:sz w:val="20"/>
          <w:szCs w:val="20"/>
        </w:rPr>
        <w:t xml:space="preserve"> der </w:t>
      </w:r>
      <w:proofErr w:type="spellStart"/>
      <w:r w:rsidRPr="007A0BF2">
        <w:rPr>
          <w:i/>
          <w:sz w:val="20"/>
          <w:szCs w:val="20"/>
        </w:rPr>
        <w:t>Malklasse</w:t>
      </w:r>
      <w:proofErr w:type="spellEnd"/>
      <w:r w:rsidRPr="007A0BF2">
        <w:rPr>
          <w:i/>
          <w:sz w:val="20"/>
          <w:szCs w:val="20"/>
        </w:rPr>
        <w:t xml:space="preserve"> </w:t>
      </w:r>
      <w:proofErr w:type="spellStart"/>
      <w:r w:rsidRPr="007A0BF2">
        <w:rPr>
          <w:i/>
          <w:sz w:val="20"/>
          <w:szCs w:val="20"/>
        </w:rPr>
        <w:t>von</w:t>
      </w:r>
      <w:proofErr w:type="spellEnd"/>
      <w:r w:rsidRPr="007A0BF2">
        <w:rPr>
          <w:i/>
          <w:sz w:val="20"/>
          <w:szCs w:val="20"/>
        </w:rPr>
        <w:t xml:space="preserve"> Paul Klee</w:t>
      </w:r>
      <w:r w:rsidRPr="007A0BF2">
        <w:rPr>
          <w:sz w:val="20"/>
          <w:szCs w:val="20"/>
        </w:rPr>
        <w:t xml:space="preserve">, Berne, 1957, p. 19 ; cité par Christian </w:t>
      </w:r>
      <w:proofErr w:type="spellStart"/>
      <w:r w:rsidRPr="007A0BF2">
        <w:rPr>
          <w:sz w:val="20"/>
          <w:szCs w:val="20"/>
        </w:rPr>
        <w:t>Geelhaar</w:t>
      </w:r>
      <w:proofErr w:type="spellEnd"/>
      <w:r w:rsidRPr="007A0BF2">
        <w:rPr>
          <w:sz w:val="20"/>
          <w:szCs w:val="20"/>
        </w:rPr>
        <w:t xml:space="preserve">, </w:t>
      </w:r>
      <w:r w:rsidRPr="007A0BF2">
        <w:rPr>
          <w:i/>
          <w:sz w:val="20"/>
          <w:szCs w:val="20"/>
        </w:rPr>
        <w:t xml:space="preserve">Paul Klee et le Bauhaus, op. </w:t>
      </w:r>
      <w:proofErr w:type="spellStart"/>
      <w:r w:rsidRPr="007A0BF2">
        <w:rPr>
          <w:i/>
          <w:sz w:val="20"/>
          <w:szCs w:val="20"/>
        </w:rPr>
        <w:t>cit</w:t>
      </w:r>
      <w:proofErr w:type="spellEnd"/>
      <w:r w:rsidRPr="007A0BF2">
        <w:rPr>
          <w:i/>
          <w:sz w:val="20"/>
          <w:szCs w:val="20"/>
        </w:rPr>
        <w:t>.,</w:t>
      </w:r>
      <w:r w:rsidRPr="007A0BF2">
        <w:rPr>
          <w:sz w:val="20"/>
          <w:szCs w:val="20"/>
        </w:rPr>
        <w:t xml:space="preserve"> p. 44.</w:t>
      </w:r>
    </w:p>
  </w:footnote>
  <w:footnote w:id="55">
    <w:p w:rsidR="00AD766A" w:rsidRPr="00E27DF9" w:rsidRDefault="00AD766A" w:rsidP="00AD766A">
      <w:pPr>
        <w:jc w:val="both"/>
        <w:rPr>
          <w:color w:val="000000" w:themeColor="text1"/>
          <w:sz w:val="20"/>
          <w:szCs w:val="20"/>
        </w:rPr>
      </w:pPr>
      <w:r w:rsidRPr="00E27DF9">
        <w:rPr>
          <w:rStyle w:val="Appelnotedebasdep"/>
          <w:color w:val="000000" w:themeColor="text1"/>
          <w:sz w:val="20"/>
          <w:szCs w:val="20"/>
        </w:rPr>
        <w:footnoteRef/>
      </w:r>
      <w:r w:rsidRPr="00E27DF9">
        <w:rPr>
          <w:color w:val="000000" w:themeColor="text1"/>
          <w:sz w:val="20"/>
          <w:szCs w:val="20"/>
        </w:rPr>
        <w:t xml:space="preserve"> </w:t>
      </w:r>
      <w:r w:rsidRPr="00E27DF9">
        <w:rPr>
          <w:color w:val="000000" w:themeColor="text1"/>
          <w:sz w:val="20"/>
          <w:szCs w:val="20"/>
        </w:rPr>
        <w:t xml:space="preserve">Paul Klee, </w:t>
      </w:r>
      <w:r w:rsidRPr="00E27DF9">
        <w:rPr>
          <w:i/>
          <w:color w:val="000000" w:themeColor="text1"/>
          <w:sz w:val="20"/>
          <w:szCs w:val="20"/>
        </w:rPr>
        <w:t>Tente double</w:t>
      </w:r>
      <w:r w:rsidRPr="00E27DF9">
        <w:rPr>
          <w:color w:val="000000" w:themeColor="text1"/>
          <w:sz w:val="20"/>
          <w:szCs w:val="20"/>
        </w:rPr>
        <w:t xml:space="preserve">, </w:t>
      </w:r>
      <w:r w:rsidRPr="00E27DF9">
        <w:rPr>
          <w:color w:val="000000" w:themeColor="text1"/>
          <w:sz w:val="20"/>
          <w:szCs w:val="20"/>
          <w:shd w:val="clear" w:color="auto" w:fill="FFFFFF"/>
        </w:rPr>
        <w:t xml:space="preserve">aquarelle sur papier marouflé sur carton, </w:t>
      </w:r>
      <w:r w:rsidRPr="00E27DF9">
        <w:rPr>
          <w:color w:val="000000" w:themeColor="text1"/>
          <w:sz w:val="20"/>
          <w:szCs w:val="20"/>
        </w:rPr>
        <w:t xml:space="preserve">50.6 x 31.8 cm, </w:t>
      </w:r>
      <w:r w:rsidRPr="00E27DF9">
        <w:rPr>
          <w:color w:val="000000" w:themeColor="text1"/>
          <w:sz w:val="20"/>
          <w:szCs w:val="20"/>
          <w:shd w:val="clear" w:color="auto" w:fill="FFFFFF"/>
        </w:rPr>
        <w:t xml:space="preserve">Coll. A. </w:t>
      </w:r>
      <w:proofErr w:type="spellStart"/>
      <w:r w:rsidRPr="00E27DF9">
        <w:rPr>
          <w:color w:val="000000" w:themeColor="text1"/>
          <w:sz w:val="20"/>
          <w:szCs w:val="20"/>
          <w:shd w:val="clear" w:color="auto" w:fill="FFFFFF"/>
        </w:rPr>
        <w:t>Rosengart</w:t>
      </w:r>
      <w:proofErr w:type="spellEnd"/>
      <w:r w:rsidRPr="00E27DF9">
        <w:rPr>
          <w:color w:val="000000" w:themeColor="text1"/>
          <w:sz w:val="20"/>
          <w:szCs w:val="20"/>
          <w:shd w:val="clear" w:color="auto" w:fill="FFFFFF"/>
        </w:rPr>
        <w:t>, 1923.</w:t>
      </w:r>
    </w:p>
  </w:footnote>
  <w:footnote w:id="56">
    <w:p w:rsidR="00AD766A" w:rsidRPr="007A0BF2" w:rsidRDefault="00AD766A" w:rsidP="00AD766A">
      <w:pPr>
        <w:pStyle w:val="Notedebasdepage"/>
        <w:jc w:val="both"/>
        <w:rPr>
          <w:sz w:val="20"/>
          <w:szCs w:val="20"/>
          <w:lang w:val="fr-CH"/>
        </w:rPr>
      </w:pPr>
      <w:r w:rsidRPr="007A0BF2">
        <w:rPr>
          <w:rStyle w:val="Appelnotedebasdep"/>
          <w:sz w:val="20"/>
          <w:szCs w:val="20"/>
        </w:rPr>
        <w:footnoteRef/>
      </w:r>
      <w:r w:rsidRPr="007A0BF2">
        <w:rPr>
          <w:sz w:val="20"/>
          <w:szCs w:val="20"/>
        </w:rPr>
        <w:t xml:space="preserve"> </w:t>
      </w:r>
      <w:r w:rsidRPr="007A0BF2">
        <w:rPr>
          <w:sz w:val="20"/>
          <w:szCs w:val="20"/>
          <w:lang w:val="fr-CH"/>
        </w:rPr>
        <w:t xml:space="preserve">Paul Klee, </w:t>
      </w:r>
      <w:r w:rsidRPr="007A0BF2">
        <w:rPr>
          <w:i/>
          <w:sz w:val="20"/>
          <w:szCs w:val="20"/>
          <w:lang w:val="fr-CH"/>
        </w:rPr>
        <w:t>Séparation, le soir</w:t>
      </w:r>
      <w:r w:rsidRPr="007A0BF2">
        <w:rPr>
          <w:sz w:val="20"/>
          <w:szCs w:val="20"/>
          <w:lang w:val="fr-CH"/>
        </w:rPr>
        <w:t>, aquarelle et crayon sur papier, 33</w:t>
      </w:r>
      <w:r>
        <w:rPr>
          <w:sz w:val="20"/>
          <w:szCs w:val="20"/>
          <w:lang w:val="fr-CH"/>
        </w:rPr>
        <w:t>.</w:t>
      </w:r>
      <w:r w:rsidRPr="007A0BF2">
        <w:rPr>
          <w:sz w:val="20"/>
          <w:szCs w:val="20"/>
          <w:lang w:val="fr-CH"/>
        </w:rPr>
        <w:t>5 x 23</w:t>
      </w:r>
      <w:r>
        <w:rPr>
          <w:sz w:val="20"/>
          <w:szCs w:val="20"/>
          <w:lang w:val="fr-CH"/>
        </w:rPr>
        <w:t>.</w:t>
      </w:r>
      <w:r w:rsidRPr="007A0BF2">
        <w:rPr>
          <w:sz w:val="20"/>
          <w:szCs w:val="20"/>
          <w:lang w:val="fr-CH"/>
        </w:rPr>
        <w:t xml:space="preserve">2 cm, Berne, Centre Paul Klee, 1922. </w:t>
      </w:r>
    </w:p>
  </w:footnote>
  <w:footnote w:id="57">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Paul Klee, </w:t>
      </w:r>
      <w:r w:rsidRPr="007A0BF2">
        <w:rPr>
          <w:i/>
          <w:iCs/>
          <w:sz w:val="20"/>
          <w:szCs w:val="20"/>
        </w:rPr>
        <w:t>Avant l'éclair</w:t>
      </w:r>
      <w:r w:rsidRPr="007A0BF2">
        <w:rPr>
          <w:iCs/>
          <w:sz w:val="20"/>
          <w:szCs w:val="20"/>
        </w:rPr>
        <w:t>, aquarelle et crayon sur papier marouflé sur carton, bordures inférieures et supérieures à la gouache et à l'encre de Chine, seconde bordure à l'aquarelle et à l'encre de Chine, 28 x 31</w:t>
      </w:r>
      <w:r>
        <w:rPr>
          <w:iCs/>
          <w:sz w:val="20"/>
          <w:szCs w:val="20"/>
        </w:rPr>
        <w:t>.</w:t>
      </w:r>
      <w:r w:rsidRPr="007A0BF2">
        <w:rPr>
          <w:iCs/>
          <w:sz w:val="20"/>
          <w:szCs w:val="20"/>
        </w:rPr>
        <w:t xml:space="preserve">5 cm, Fondation </w:t>
      </w:r>
      <w:proofErr w:type="spellStart"/>
      <w:r w:rsidRPr="007A0BF2">
        <w:rPr>
          <w:iCs/>
          <w:sz w:val="20"/>
          <w:szCs w:val="20"/>
        </w:rPr>
        <w:t>Beyeler</w:t>
      </w:r>
      <w:proofErr w:type="spellEnd"/>
      <w:r w:rsidRPr="007A0BF2">
        <w:rPr>
          <w:iCs/>
          <w:sz w:val="20"/>
          <w:szCs w:val="20"/>
        </w:rPr>
        <w:t>, Riehen / Bâle, Suisse, 1923.</w:t>
      </w:r>
    </w:p>
  </w:footnote>
  <w:footnote w:id="58">
    <w:p w:rsidR="00AD766A" w:rsidRPr="0025336B"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Roland Barthes définit le </w:t>
      </w:r>
      <w:proofErr w:type="spellStart"/>
      <w:r w:rsidRPr="007A0BF2">
        <w:rPr>
          <w:i/>
          <w:sz w:val="20"/>
          <w:szCs w:val="20"/>
        </w:rPr>
        <w:t>studium</w:t>
      </w:r>
      <w:proofErr w:type="spellEnd"/>
      <w:r w:rsidRPr="007A0BF2">
        <w:rPr>
          <w:i/>
          <w:sz w:val="20"/>
          <w:szCs w:val="20"/>
        </w:rPr>
        <w:t xml:space="preserve"> </w:t>
      </w:r>
      <w:r w:rsidRPr="007A0BF2">
        <w:rPr>
          <w:sz w:val="20"/>
          <w:szCs w:val="20"/>
        </w:rPr>
        <w:t>comme « l’application à une chose, le goût pour quelqu’un,</w:t>
      </w:r>
      <w:r w:rsidRPr="007A0BF2">
        <w:rPr>
          <w:color w:val="535353"/>
          <w:sz w:val="20"/>
          <w:szCs w:val="20"/>
        </w:rPr>
        <w:t xml:space="preserve"> </w:t>
      </w:r>
      <w:r w:rsidRPr="007A0BF2">
        <w:rPr>
          <w:sz w:val="20"/>
          <w:szCs w:val="20"/>
        </w:rPr>
        <w:t xml:space="preserve">une sorte d’investissement général, empressé, certes, mais sans acuité particulière » et le </w:t>
      </w:r>
      <w:r w:rsidRPr="007A0BF2">
        <w:rPr>
          <w:i/>
          <w:sz w:val="20"/>
          <w:szCs w:val="20"/>
        </w:rPr>
        <w:t>punctum</w:t>
      </w:r>
      <w:r w:rsidRPr="007A0BF2">
        <w:rPr>
          <w:sz w:val="20"/>
          <w:szCs w:val="20"/>
        </w:rPr>
        <w:t xml:space="preserve"> comme le « second élément » qui « vient casser (ou scander) le </w:t>
      </w:r>
      <w:proofErr w:type="spellStart"/>
      <w:r w:rsidRPr="007A0BF2">
        <w:rPr>
          <w:i/>
          <w:sz w:val="20"/>
          <w:szCs w:val="20"/>
        </w:rPr>
        <w:t>studium</w:t>
      </w:r>
      <w:proofErr w:type="spellEnd"/>
      <w:r w:rsidRPr="007A0BF2">
        <w:rPr>
          <w:sz w:val="20"/>
          <w:szCs w:val="20"/>
        </w:rPr>
        <w:t xml:space="preserve">. Cette fois, ce n’est pas moi qui vais le chercher (comme j’investis de ma conscience souveraine le champ du </w:t>
      </w:r>
      <w:proofErr w:type="spellStart"/>
      <w:r w:rsidRPr="007A0BF2">
        <w:rPr>
          <w:i/>
          <w:sz w:val="20"/>
          <w:szCs w:val="20"/>
        </w:rPr>
        <w:t>studium</w:t>
      </w:r>
      <w:proofErr w:type="spellEnd"/>
      <w:r w:rsidRPr="007A0BF2">
        <w:rPr>
          <w:sz w:val="20"/>
          <w:szCs w:val="20"/>
        </w:rPr>
        <w:t xml:space="preserve">), c’est lui qui part de la scène, comme une flèche, et vient me percer », </w:t>
      </w:r>
      <w:r w:rsidRPr="007A0BF2">
        <w:rPr>
          <w:i/>
          <w:sz w:val="20"/>
          <w:szCs w:val="20"/>
        </w:rPr>
        <w:t>La chambre claire. Note sur la photographie</w:t>
      </w:r>
      <w:r w:rsidRPr="007A0BF2">
        <w:rPr>
          <w:sz w:val="20"/>
          <w:szCs w:val="20"/>
        </w:rPr>
        <w:t xml:space="preserve">, Paris, Cahiers du Cinéma-Gallimard-Le Seuil, 1980, p. 48. Cf. aussi Marion Colas-Blaise et Maria </w:t>
      </w:r>
      <w:proofErr w:type="spellStart"/>
      <w:r w:rsidRPr="007A0BF2">
        <w:rPr>
          <w:sz w:val="20"/>
          <w:szCs w:val="20"/>
        </w:rPr>
        <w:t>Giulia</w:t>
      </w:r>
      <w:proofErr w:type="spellEnd"/>
      <w:r w:rsidRPr="007A0BF2">
        <w:rPr>
          <w:sz w:val="20"/>
          <w:szCs w:val="20"/>
        </w:rPr>
        <w:t xml:space="preserve"> </w:t>
      </w:r>
      <w:proofErr w:type="spellStart"/>
      <w:r w:rsidRPr="007A0BF2">
        <w:rPr>
          <w:sz w:val="20"/>
          <w:szCs w:val="20"/>
        </w:rPr>
        <w:t>Dondero</w:t>
      </w:r>
      <w:proofErr w:type="spellEnd"/>
      <w:r w:rsidRPr="007A0BF2">
        <w:rPr>
          <w:sz w:val="20"/>
          <w:szCs w:val="20"/>
        </w:rPr>
        <w:t>, « L’événement énonciatif en</w:t>
      </w:r>
      <w:r w:rsidRPr="0025336B">
        <w:rPr>
          <w:sz w:val="20"/>
          <w:szCs w:val="20"/>
        </w:rPr>
        <w:t xml:space="preserve"> sémiotique de l’image : de Roland Barthes à la sémiotique </w:t>
      </w:r>
      <w:proofErr w:type="spellStart"/>
      <w:r w:rsidRPr="0025336B">
        <w:rPr>
          <w:sz w:val="20"/>
          <w:szCs w:val="20"/>
        </w:rPr>
        <w:t>tensive</w:t>
      </w:r>
      <w:proofErr w:type="spellEnd"/>
      <w:r w:rsidRPr="0025336B">
        <w:rPr>
          <w:sz w:val="20"/>
          <w:szCs w:val="20"/>
        </w:rPr>
        <w:t xml:space="preserve"> », </w:t>
      </w:r>
      <w:r w:rsidRPr="0025336B">
        <w:rPr>
          <w:i/>
          <w:sz w:val="20"/>
          <w:szCs w:val="20"/>
        </w:rPr>
        <w:t>La Part de l’Œil</w:t>
      </w:r>
      <w:r w:rsidRPr="0025336B">
        <w:rPr>
          <w:sz w:val="20"/>
          <w:szCs w:val="20"/>
        </w:rPr>
        <w:t>, n</w:t>
      </w:r>
      <w:r w:rsidRPr="0025336B">
        <w:rPr>
          <w:sz w:val="20"/>
          <w:szCs w:val="20"/>
          <w:vertAlign w:val="superscript"/>
        </w:rPr>
        <w:t>o</w:t>
      </w:r>
      <w:r w:rsidRPr="0025336B">
        <w:rPr>
          <w:sz w:val="20"/>
          <w:szCs w:val="20"/>
        </w:rPr>
        <w:t xml:space="preserve"> 31,</w:t>
      </w:r>
      <w:r>
        <w:rPr>
          <w:sz w:val="20"/>
          <w:szCs w:val="20"/>
        </w:rPr>
        <w:t xml:space="preserve"> 2017-2018,</w:t>
      </w:r>
      <w:r w:rsidRPr="0025336B">
        <w:rPr>
          <w:sz w:val="20"/>
          <w:szCs w:val="20"/>
        </w:rPr>
        <w:t xml:space="preserve"> pp. 207-217. </w:t>
      </w:r>
    </w:p>
  </w:footnote>
  <w:footnote w:id="59">
    <w:p w:rsidR="00AD766A" w:rsidRPr="00AE3AED" w:rsidRDefault="00AD766A" w:rsidP="00AD766A">
      <w:pPr>
        <w:pStyle w:val="Notedebasdepage"/>
        <w:jc w:val="both"/>
        <w:rPr>
          <w:sz w:val="20"/>
          <w:szCs w:val="20"/>
        </w:rPr>
      </w:pPr>
      <w:r>
        <w:rPr>
          <w:rStyle w:val="Appelnotedebasdep"/>
        </w:rPr>
        <w:footnoteRef/>
      </w:r>
      <w:r>
        <w:t xml:space="preserve"> </w:t>
      </w:r>
      <w:r w:rsidRPr="00AE3AED">
        <w:rPr>
          <w:sz w:val="20"/>
          <w:szCs w:val="20"/>
        </w:rPr>
        <w:t xml:space="preserve">Bernard </w:t>
      </w:r>
      <w:proofErr w:type="spellStart"/>
      <w:r w:rsidRPr="00AE3AED">
        <w:rPr>
          <w:sz w:val="20"/>
          <w:szCs w:val="20"/>
        </w:rPr>
        <w:t>Frize</w:t>
      </w:r>
      <w:proofErr w:type="spellEnd"/>
      <w:r w:rsidRPr="00AE3AED">
        <w:rPr>
          <w:sz w:val="20"/>
          <w:szCs w:val="20"/>
        </w:rPr>
        <w:t xml:space="preserve">, Propos recueillis par Angela Lampe, Centre  Pompidou, </w:t>
      </w:r>
      <w:r w:rsidRPr="00AE3AED">
        <w:rPr>
          <w:i/>
          <w:sz w:val="20"/>
          <w:szCs w:val="20"/>
        </w:rPr>
        <w:t>Code couleur</w:t>
      </w:r>
      <w:r w:rsidRPr="00AE3AED">
        <w:rPr>
          <w:sz w:val="20"/>
          <w:szCs w:val="20"/>
        </w:rPr>
        <w:t>, n</w:t>
      </w:r>
      <w:r w:rsidRPr="00AE3AED">
        <w:rPr>
          <w:sz w:val="20"/>
          <w:szCs w:val="20"/>
          <w:vertAlign w:val="superscript"/>
        </w:rPr>
        <w:t>o</w:t>
      </w:r>
      <w:r w:rsidRPr="00AE3AED">
        <w:rPr>
          <w:sz w:val="20"/>
          <w:szCs w:val="20"/>
        </w:rPr>
        <w:t xml:space="preserve"> 34, mai-août 2019, pp. 12-15. </w:t>
      </w:r>
    </w:p>
  </w:footnote>
  <w:footnote w:id="60">
    <w:p w:rsidR="00AD766A" w:rsidRPr="00096BED" w:rsidRDefault="00AD766A" w:rsidP="00AD766A">
      <w:pPr>
        <w:pStyle w:val="Notedebasdepage"/>
        <w:jc w:val="both"/>
        <w:rPr>
          <w:sz w:val="20"/>
          <w:szCs w:val="20"/>
        </w:rPr>
      </w:pPr>
      <w:r w:rsidRPr="00096BED">
        <w:rPr>
          <w:rStyle w:val="Appelnotedebasdep"/>
          <w:sz w:val="20"/>
          <w:szCs w:val="20"/>
        </w:rPr>
        <w:footnoteRef/>
      </w:r>
      <w:r w:rsidRPr="00096BED">
        <w:rPr>
          <w:sz w:val="20"/>
          <w:szCs w:val="20"/>
        </w:rPr>
        <w:t xml:space="preserve"> </w:t>
      </w:r>
      <w:r w:rsidRPr="00096BED">
        <w:rPr>
          <w:sz w:val="20"/>
          <w:szCs w:val="20"/>
        </w:rPr>
        <w:t xml:space="preserve">Bernard </w:t>
      </w:r>
      <w:proofErr w:type="spellStart"/>
      <w:r w:rsidRPr="00096BED">
        <w:rPr>
          <w:sz w:val="20"/>
          <w:szCs w:val="20"/>
        </w:rPr>
        <w:t>Frize</w:t>
      </w:r>
      <w:proofErr w:type="spellEnd"/>
      <w:r w:rsidRPr="00096BED">
        <w:rPr>
          <w:sz w:val="20"/>
          <w:szCs w:val="20"/>
        </w:rPr>
        <w:t xml:space="preserve">, « Quoi, Pourquoi, Quand, Comment, Où et Qui », art. </w:t>
      </w:r>
      <w:proofErr w:type="spellStart"/>
      <w:r w:rsidRPr="00096BED">
        <w:rPr>
          <w:sz w:val="20"/>
          <w:szCs w:val="20"/>
        </w:rPr>
        <w:t>cit</w:t>
      </w:r>
      <w:proofErr w:type="spellEnd"/>
      <w:r w:rsidRPr="00096BED">
        <w:rPr>
          <w:sz w:val="20"/>
          <w:szCs w:val="20"/>
        </w:rPr>
        <w:t xml:space="preserve">., p. 188. </w:t>
      </w:r>
    </w:p>
  </w:footnote>
  <w:footnote w:id="61">
    <w:p w:rsidR="00AD766A" w:rsidRPr="004B4216" w:rsidRDefault="00AD766A" w:rsidP="00AD766A">
      <w:pPr>
        <w:pStyle w:val="Notedebasdepage"/>
        <w:jc w:val="both"/>
        <w:rPr>
          <w:sz w:val="20"/>
          <w:szCs w:val="20"/>
          <w:lang w:val="fr-FR"/>
        </w:rPr>
      </w:pPr>
      <w:r w:rsidRPr="00096BED">
        <w:rPr>
          <w:rStyle w:val="Appelnotedebasdep"/>
          <w:sz w:val="20"/>
          <w:szCs w:val="20"/>
        </w:rPr>
        <w:footnoteRef/>
      </w:r>
      <w:r w:rsidRPr="004B4216">
        <w:rPr>
          <w:sz w:val="20"/>
          <w:szCs w:val="20"/>
          <w:lang w:val="fr-FR"/>
        </w:rPr>
        <w:t xml:space="preserve"> Bernard </w:t>
      </w:r>
      <w:proofErr w:type="spellStart"/>
      <w:r w:rsidRPr="004B4216">
        <w:rPr>
          <w:sz w:val="20"/>
          <w:szCs w:val="20"/>
          <w:lang w:val="fr-FR"/>
        </w:rPr>
        <w:t>Frize</w:t>
      </w:r>
      <w:proofErr w:type="spellEnd"/>
      <w:r w:rsidRPr="004B4216">
        <w:rPr>
          <w:sz w:val="20"/>
          <w:szCs w:val="20"/>
          <w:lang w:val="fr-FR"/>
        </w:rPr>
        <w:t xml:space="preserve">, </w:t>
      </w:r>
      <w:r>
        <w:rPr>
          <w:sz w:val="20"/>
          <w:szCs w:val="20"/>
          <w:lang w:val="fr-FR"/>
        </w:rPr>
        <w:t>« </w:t>
      </w:r>
      <w:r w:rsidRPr="004B4216">
        <w:rPr>
          <w:sz w:val="20"/>
          <w:szCs w:val="20"/>
          <w:lang w:val="fr-FR"/>
        </w:rPr>
        <w:t>Interview</w:t>
      </w:r>
      <w:r>
        <w:rPr>
          <w:sz w:val="20"/>
          <w:szCs w:val="20"/>
          <w:lang w:val="fr-FR"/>
        </w:rPr>
        <w:t> »</w:t>
      </w:r>
      <w:r w:rsidRPr="004B4216">
        <w:rPr>
          <w:sz w:val="20"/>
          <w:szCs w:val="20"/>
          <w:lang w:val="fr-FR"/>
        </w:rPr>
        <w:t xml:space="preserve"> avec Angela Lampe, </w:t>
      </w:r>
      <w:r w:rsidRPr="004B4216">
        <w:rPr>
          <w:i/>
          <w:sz w:val="20"/>
          <w:szCs w:val="20"/>
          <w:lang w:val="fr-FR"/>
        </w:rPr>
        <w:t>in</w:t>
      </w:r>
      <w:r w:rsidRPr="004B4216">
        <w:rPr>
          <w:sz w:val="20"/>
          <w:szCs w:val="20"/>
          <w:lang w:val="fr-FR"/>
        </w:rPr>
        <w:t xml:space="preserve"> </w:t>
      </w:r>
      <w:r w:rsidRPr="004B4216">
        <w:rPr>
          <w:i/>
          <w:sz w:val="20"/>
          <w:szCs w:val="20"/>
          <w:lang w:val="fr-FR"/>
        </w:rPr>
        <w:t xml:space="preserve">Bernard </w:t>
      </w:r>
      <w:proofErr w:type="spellStart"/>
      <w:r w:rsidRPr="004B4216">
        <w:rPr>
          <w:i/>
          <w:sz w:val="20"/>
          <w:szCs w:val="20"/>
          <w:lang w:val="fr-FR"/>
        </w:rPr>
        <w:t>Frize</w:t>
      </w:r>
      <w:proofErr w:type="spellEnd"/>
      <w:r w:rsidRPr="004B4216">
        <w:rPr>
          <w:i/>
          <w:sz w:val="20"/>
          <w:szCs w:val="20"/>
          <w:lang w:val="fr-FR"/>
        </w:rPr>
        <w:t xml:space="preserve"> sans repentir, op. </w:t>
      </w:r>
      <w:proofErr w:type="spellStart"/>
      <w:proofErr w:type="gramStart"/>
      <w:r w:rsidRPr="004B4216">
        <w:rPr>
          <w:i/>
          <w:sz w:val="20"/>
          <w:szCs w:val="20"/>
          <w:lang w:val="fr-FR"/>
        </w:rPr>
        <w:t>cit</w:t>
      </w:r>
      <w:proofErr w:type="spellEnd"/>
      <w:proofErr w:type="gramEnd"/>
      <w:r w:rsidRPr="004B4216">
        <w:rPr>
          <w:sz w:val="20"/>
          <w:szCs w:val="20"/>
          <w:lang w:val="fr-FR"/>
        </w:rPr>
        <w:t xml:space="preserve">., p. 119. </w:t>
      </w:r>
    </w:p>
  </w:footnote>
  <w:footnote w:id="62">
    <w:p w:rsidR="00AD766A" w:rsidRPr="004B4216" w:rsidRDefault="00AD766A" w:rsidP="00AD766A">
      <w:pPr>
        <w:pStyle w:val="Notedebasdepage"/>
        <w:rPr>
          <w:sz w:val="20"/>
          <w:szCs w:val="20"/>
          <w:lang w:val="fr-CH"/>
        </w:rPr>
      </w:pPr>
      <w:r w:rsidRPr="004B4216">
        <w:rPr>
          <w:rStyle w:val="Appelnotedebasdep"/>
          <w:sz w:val="20"/>
          <w:szCs w:val="20"/>
        </w:rPr>
        <w:footnoteRef/>
      </w:r>
      <w:r w:rsidRPr="004B4216">
        <w:rPr>
          <w:sz w:val="20"/>
          <w:szCs w:val="20"/>
        </w:rPr>
        <w:t xml:space="preserve"> </w:t>
      </w:r>
      <w:r w:rsidRPr="004B4216">
        <w:rPr>
          <w:sz w:val="20"/>
          <w:szCs w:val="20"/>
          <w:lang w:val="fr-CH"/>
        </w:rPr>
        <w:t>Cf. Angela Lampe</w:t>
      </w:r>
      <w:r>
        <w:rPr>
          <w:sz w:val="20"/>
          <w:szCs w:val="20"/>
          <w:lang w:val="fr-CH"/>
        </w:rPr>
        <w:t xml:space="preserve"> (éd.), </w:t>
      </w:r>
      <w:r w:rsidRPr="0007357B">
        <w:rPr>
          <w:i/>
          <w:sz w:val="20"/>
          <w:szCs w:val="20"/>
        </w:rPr>
        <w:t xml:space="preserve">Bernard </w:t>
      </w:r>
      <w:proofErr w:type="spellStart"/>
      <w:r w:rsidRPr="0007357B">
        <w:rPr>
          <w:i/>
          <w:sz w:val="20"/>
          <w:szCs w:val="20"/>
        </w:rPr>
        <w:t>Frize</w:t>
      </w:r>
      <w:proofErr w:type="spellEnd"/>
      <w:r>
        <w:rPr>
          <w:i/>
          <w:sz w:val="20"/>
          <w:szCs w:val="20"/>
        </w:rPr>
        <w:t xml:space="preserve"> </w:t>
      </w:r>
      <w:r w:rsidRPr="0007357B">
        <w:rPr>
          <w:i/>
          <w:sz w:val="20"/>
          <w:szCs w:val="20"/>
        </w:rPr>
        <w:t>sans repentir,</w:t>
      </w:r>
      <w:r w:rsidRPr="0007357B">
        <w:rPr>
          <w:sz w:val="20"/>
          <w:szCs w:val="20"/>
        </w:rPr>
        <w:t xml:space="preserve"> </w:t>
      </w:r>
      <w:r w:rsidRPr="0007357B">
        <w:rPr>
          <w:i/>
          <w:sz w:val="20"/>
          <w:szCs w:val="20"/>
        </w:rPr>
        <w:t xml:space="preserve">op. </w:t>
      </w:r>
      <w:proofErr w:type="spellStart"/>
      <w:r w:rsidRPr="0007357B">
        <w:rPr>
          <w:i/>
          <w:sz w:val="20"/>
          <w:szCs w:val="20"/>
        </w:rPr>
        <w:t>cit</w:t>
      </w:r>
      <w:proofErr w:type="spellEnd"/>
      <w:r w:rsidRPr="0007357B">
        <w:rPr>
          <w:i/>
          <w:sz w:val="20"/>
          <w:szCs w:val="20"/>
        </w:rPr>
        <w:t>.,</w:t>
      </w:r>
      <w:r w:rsidRPr="0007357B">
        <w:rPr>
          <w:sz w:val="20"/>
          <w:szCs w:val="20"/>
        </w:rPr>
        <w:t xml:space="preserve"> </w:t>
      </w:r>
      <w:r w:rsidRPr="004B4216">
        <w:rPr>
          <w:sz w:val="20"/>
          <w:szCs w:val="20"/>
          <w:lang w:val="fr-CH"/>
        </w:rPr>
        <w:t xml:space="preserve">p. 17. </w:t>
      </w:r>
    </w:p>
  </w:footnote>
  <w:footnote w:id="63">
    <w:p w:rsidR="00AD766A" w:rsidRPr="004B4216" w:rsidRDefault="00AD766A" w:rsidP="00AD766A">
      <w:pPr>
        <w:pStyle w:val="Notedebasdepage"/>
        <w:rPr>
          <w:sz w:val="20"/>
          <w:szCs w:val="20"/>
          <w:lang w:val="fr-FR"/>
        </w:rPr>
      </w:pPr>
      <w:r w:rsidRPr="00287A5B">
        <w:rPr>
          <w:rStyle w:val="Appelnotedebasdep"/>
          <w:sz w:val="20"/>
          <w:szCs w:val="20"/>
        </w:rPr>
        <w:footnoteRef/>
      </w:r>
      <w:r w:rsidRPr="004B4216">
        <w:rPr>
          <w:sz w:val="20"/>
          <w:szCs w:val="20"/>
          <w:lang w:val="fr-FR"/>
        </w:rPr>
        <w:t xml:space="preserve"> </w:t>
      </w:r>
      <w:r w:rsidRPr="004B4216">
        <w:rPr>
          <w:i/>
          <w:sz w:val="20"/>
          <w:szCs w:val="20"/>
          <w:lang w:val="fr-FR"/>
        </w:rPr>
        <w:t>Idem</w:t>
      </w:r>
      <w:r w:rsidRPr="004B4216">
        <w:rPr>
          <w:sz w:val="20"/>
          <w:szCs w:val="20"/>
          <w:lang w:val="fr-FR"/>
        </w:rPr>
        <w:t xml:space="preserve">. </w:t>
      </w:r>
    </w:p>
  </w:footnote>
  <w:footnote w:id="64">
    <w:p w:rsidR="00AD766A" w:rsidRPr="002E1826" w:rsidRDefault="00AD766A" w:rsidP="00AD766A">
      <w:pPr>
        <w:pStyle w:val="Notedebasdepage"/>
        <w:rPr>
          <w:sz w:val="20"/>
          <w:szCs w:val="20"/>
        </w:rPr>
      </w:pPr>
      <w:r w:rsidRPr="002E1826">
        <w:rPr>
          <w:rStyle w:val="Appelnotedebasdep"/>
          <w:sz w:val="20"/>
          <w:szCs w:val="20"/>
        </w:rPr>
        <w:footnoteRef/>
      </w:r>
      <w:r w:rsidRPr="002E1826">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proofErr w:type="spellStart"/>
      <w:r w:rsidRPr="002E1826">
        <w:rPr>
          <w:i/>
          <w:sz w:val="20"/>
          <w:szCs w:val="20"/>
        </w:rPr>
        <w:t>Unimixte</w:t>
      </w:r>
      <w:proofErr w:type="spellEnd"/>
      <w:r w:rsidRPr="002E1826">
        <w:rPr>
          <w:sz w:val="20"/>
          <w:szCs w:val="20"/>
        </w:rPr>
        <w:t xml:space="preserve">, </w:t>
      </w:r>
      <w:r>
        <w:rPr>
          <w:sz w:val="20"/>
          <w:szCs w:val="20"/>
        </w:rPr>
        <w:t>a</w:t>
      </w:r>
      <w:r w:rsidRPr="002E1826">
        <w:rPr>
          <w:sz w:val="20"/>
          <w:szCs w:val="20"/>
        </w:rPr>
        <w:t xml:space="preserve">crylique et résine sur toile, 220 x 180 cm, 1999. </w:t>
      </w:r>
    </w:p>
  </w:footnote>
  <w:footnote w:id="65">
    <w:p w:rsidR="00AD766A" w:rsidRPr="00CD532D" w:rsidRDefault="00AD766A" w:rsidP="00AD766A">
      <w:pPr>
        <w:pStyle w:val="Notedebasdepage"/>
        <w:jc w:val="both"/>
        <w:rPr>
          <w:sz w:val="20"/>
          <w:szCs w:val="20"/>
          <w:lang w:val="fr-CH"/>
        </w:rPr>
      </w:pPr>
      <w:r w:rsidRPr="00CD532D">
        <w:rPr>
          <w:rStyle w:val="Appelnotedebasdep"/>
          <w:sz w:val="20"/>
          <w:szCs w:val="20"/>
        </w:rPr>
        <w:footnoteRef/>
      </w:r>
      <w:r w:rsidRPr="00CD532D">
        <w:rPr>
          <w:sz w:val="20"/>
          <w:szCs w:val="20"/>
        </w:rPr>
        <w:t xml:space="preserve"> </w:t>
      </w:r>
      <w:r w:rsidRPr="00CD532D">
        <w:rPr>
          <w:sz w:val="20"/>
          <w:szCs w:val="20"/>
        </w:rPr>
        <w:t xml:space="preserve">Cf. Marion Colas-Blaise, « Appropriation et (ré)énonciation vivante », </w:t>
      </w:r>
      <w:r w:rsidRPr="00CD532D">
        <w:rPr>
          <w:i/>
          <w:sz w:val="20"/>
          <w:szCs w:val="20"/>
        </w:rPr>
        <w:t>in</w:t>
      </w:r>
      <w:r w:rsidRPr="00CD532D">
        <w:rPr>
          <w:sz w:val="20"/>
          <w:szCs w:val="20"/>
        </w:rPr>
        <w:t xml:space="preserve"> P. </w:t>
      </w:r>
      <w:proofErr w:type="spellStart"/>
      <w:r w:rsidRPr="00CD532D">
        <w:rPr>
          <w:sz w:val="20"/>
          <w:szCs w:val="20"/>
        </w:rPr>
        <w:t>Basso</w:t>
      </w:r>
      <w:proofErr w:type="spellEnd"/>
      <w:r w:rsidRPr="00CD532D">
        <w:rPr>
          <w:sz w:val="20"/>
          <w:szCs w:val="20"/>
        </w:rPr>
        <w:t xml:space="preserve"> </w:t>
      </w:r>
      <w:proofErr w:type="spellStart"/>
      <w:r w:rsidRPr="00CD532D">
        <w:rPr>
          <w:sz w:val="20"/>
          <w:szCs w:val="20"/>
        </w:rPr>
        <w:t>Fossali</w:t>
      </w:r>
      <w:proofErr w:type="spellEnd"/>
      <w:r w:rsidRPr="00CD532D">
        <w:rPr>
          <w:sz w:val="20"/>
          <w:szCs w:val="20"/>
        </w:rPr>
        <w:t xml:space="preserve"> &amp; O. Le </w:t>
      </w:r>
      <w:proofErr w:type="spellStart"/>
      <w:r w:rsidRPr="00CD532D">
        <w:rPr>
          <w:sz w:val="20"/>
          <w:szCs w:val="20"/>
        </w:rPr>
        <w:t>Guern</w:t>
      </w:r>
      <w:proofErr w:type="spellEnd"/>
      <w:r w:rsidRPr="00CD532D">
        <w:rPr>
          <w:sz w:val="20"/>
          <w:szCs w:val="20"/>
        </w:rPr>
        <w:t xml:space="preserve"> (</w:t>
      </w:r>
      <w:proofErr w:type="spellStart"/>
      <w:r w:rsidRPr="00CD532D">
        <w:rPr>
          <w:sz w:val="20"/>
          <w:szCs w:val="20"/>
        </w:rPr>
        <w:t>dirs</w:t>
      </w:r>
      <w:proofErr w:type="spellEnd"/>
      <w:r w:rsidRPr="00CD532D">
        <w:rPr>
          <w:sz w:val="20"/>
          <w:szCs w:val="20"/>
        </w:rPr>
        <w:t xml:space="preserve">), </w:t>
      </w:r>
      <w:r w:rsidRPr="001711D2">
        <w:rPr>
          <w:i/>
          <w:sz w:val="20"/>
          <w:szCs w:val="20"/>
        </w:rPr>
        <w:t>L’appropriation. L’interprétation de l’altérité et l’inscription du soi</w:t>
      </w:r>
      <w:r w:rsidRPr="00CD532D">
        <w:rPr>
          <w:sz w:val="20"/>
          <w:szCs w:val="20"/>
        </w:rPr>
        <w:t>, Limoges, Lambert-Lucas, 2018</w:t>
      </w:r>
      <w:r w:rsidR="009B247B">
        <w:rPr>
          <w:sz w:val="20"/>
          <w:szCs w:val="20"/>
        </w:rPr>
        <w:t>b</w:t>
      </w:r>
      <w:r w:rsidRPr="00CD532D">
        <w:rPr>
          <w:sz w:val="20"/>
          <w:szCs w:val="20"/>
        </w:rPr>
        <w:t xml:space="preserve">, pp. 143-158. </w:t>
      </w:r>
    </w:p>
  </w:footnote>
  <w:footnote w:id="66">
    <w:p w:rsidR="00AD766A" w:rsidRPr="0007357B" w:rsidRDefault="00AD766A" w:rsidP="00AD766A">
      <w:pPr>
        <w:pStyle w:val="Notedebasdepage"/>
        <w:jc w:val="both"/>
        <w:rPr>
          <w:sz w:val="20"/>
          <w:szCs w:val="20"/>
        </w:rPr>
      </w:pPr>
      <w:r w:rsidRPr="0007357B">
        <w:rPr>
          <w:rStyle w:val="Appelnotedebasdep"/>
          <w:sz w:val="20"/>
          <w:szCs w:val="20"/>
        </w:rPr>
        <w:footnoteRef/>
      </w:r>
      <w:r w:rsidRPr="0007357B">
        <w:rPr>
          <w:sz w:val="20"/>
          <w:szCs w:val="20"/>
        </w:rPr>
        <w:t xml:space="preserve"> </w:t>
      </w:r>
      <w:r w:rsidRPr="0007357B">
        <w:rPr>
          <w:sz w:val="20"/>
          <w:szCs w:val="20"/>
        </w:rPr>
        <w:t xml:space="preserve">Jessica </w:t>
      </w:r>
      <w:proofErr w:type="spellStart"/>
      <w:r w:rsidRPr="0007357B">
        <w:rPr>
          <w:sz w:val="20"/>
          <w:szCs w:val="20"/>
        </w:rPr>
        <w:t>Stockholder</w:t>
      </w:r>
      <w:proofErr w:type="spellEnd"/>
      <w:r w:rsidRPr="0007357B">
        <w:rPr>
          <w:sz w:val="20"/>
          <w:szCs w:val="20"/>
        </w:rPr>
        <w:t xml:space="preserve">, « Faits de la matière. Réflexions sur l’œuvre de Bernard </w:t>
      </w:r>
      <w:proofErr w:type="spellStart"/>
      <w:r w:rsidRPr="0007357B">
        <w:rPr>
          <w:sz w:val="20"/>
          <w:szCs w:val="20"/>
        </w:rPr>
        <w:t>Frize</w:t>
      </w:r>
      <w:proofErr w:type="spellEnd"/>
      <w:r w:rsidRPr="0007357B">
        <w:rPr>
          <w:sz w:val="20"/>
          <w:szCs w:val="20"/>
        </w:rPr>
        <w:t xml:space="preserve"> », </w:t>
      </w:r>
      <w:r w:rsidRPr="00830454">
        <w:rPr>
          <w:i/>
          <w:sz w:val="20"/>
          <w:szCs w:val="20"/>
        </w:rPr>
        <w:t xml:space="preserve">in </w:t>
      </w:r>
      <w:r w:rsidRPr="0007357B">
        <w:rPr>
          <w:sz w:val="20"/>
          <w:szCs w:val="20"/>
        </w:rPr>
        <w:t xml:space="preserve">A. Lampe (éd.), </w:t>
      </w:r>
      <w:r w:rsidRPr="0007357B">
        <w:rPr>
          <w:i/>
          <w:sz w:val="20"/>
          <w:szCs w:val="20"/>
        </w:rPr>
        <w:t xml:space="preserve">Bernard </w:t>
      </w:r>
      <w:proofErr w:type="spellStart"/>
      <w:r w:rsidRPr="0007357B">
        <w:rPr>
          <w:i/>
          <w:sz w:val="20"/>
          <w:szCs w:val="20"/>
        </w:rPr>
        <w:t>Frize</w:t>
      </w:r>
      <w:proofErr w:type="spellEnd"/>
      <w:r>
        <w:rPr>
          <w:i/>
          <w:sz w:val="20"/>
          <w:szCs w:val="20"/>
        </w:rPr>
        <w:t xml:space="preserve"> </w:t>
      </w:r>
      <w:r w:rsidRPr="0007357B">
        <w:rPr>
          <w:i/>
          <w:sz w:val="20"/>
          <w:szCs w:val="20"/>
        </w:rPr>
        <w:t>sans repentir,</w:t>
      </w:r>
      <w:r w:rsidRPr="0007357B">
        <w:rPr>
          <w:sz w:val="20"/>
          <w:szCs w:val="20"/>
        </w:rPr>
        <w:t xml:space="preserve"> </w:t>
      </w:r>
      <w:r w:rsidRPr="0007357B">
        <w:rPr>
          <w:i/>
          <w:sz w:val="20"/>
          <w:szCs w:val="20"/>
        </w:rPr>
        <w:t xml:space="preserve">op. </w:t>
      </w:r>
      <w:proofErr w:type="spellStart"/>
      <w:r w:rsidRPr="0007357B">
        <w:rPr>
          <w:i/>
          <w:sz w:val="20"/>
          <w:szCs w:val="20"/>
        </w:rPr>
        <w:t>cit</w:t>
      </w:r>
      <w:proofErr w:type="spellEnd"/>
      <w:r w:rsidRPr="0007357B">
        <w:rPr>
          <w:i/>
          <w:sz w:val="20"/>
          <w:szCs w:val="20"/>
        </w:rPr>
        <w:t>.,</w:t>
      </w:r>
      <w:r w:rsidRPr="0007357B">
        <w:rPr>
          <w:sz w:val="20"/>
          <w:szCs w:val="20"/>
        </w:rPr>
        <w:t xml:space="preserve"> p. 24. </w:t>
      </w:r>
    </w:p>
  </w:footnote>
  <w:footnote w:id="67">
    <w:p w:rsidR="00AD766A" w:rsidRPr="00DC4B27" w:rsidRDefault="00AD766A" w:rsidP="00AD766A">
      <w:pPr>
        <w:pStyle w:val="Notedebasdepage"/>
        <w:jc w:val="both"/>
        <w:rPr>
          <w:sz w:val="20"/>
          <w:szCs w:val="20"/>
        </w:rPr>
      </w:pPr>
      <w:r w:rsidRPr="00DC4B27">
        <w:rPr>
          <w:rStyle w:val="Appelnotedebasdep"/>
          <w:sz w:val="20"/>
          <w:szCs w:val="20"/>
        </w:rPr>
        <w:footnoteRef/>
      </w:r>
      <w:r w:rsidRPr="00DC4B27">
        <w:rPr>
          <w:sz w:val="20"/>
          <w:szCs w:val="20"/>
        </w:rPr>
        <w:t xml:space="preserve"> </w:t>
      </w:r>
      <w:r w:rsidRPr="00DC4B27">
        <w:rPr>
          <w:sz w:val="20"/>
          <w:szCs w:val="20"/>
        </w:rPr>
        <w:t xml:space="preserve">Henri Michaux, </w:t>
      </w:r>
      <w:r w:rsidRPr="00DC4B27">
        <w:rPr>
          <w:i/>
          <w:sz w:val="20"/>
          <w:szCs w:val="20"/>
        </w:rPr>
        <w:t>Mouvements</w:t>
      </w:r>
      <w:r w:rsidRPr="00DC4B27">
        <w:rPr>
          <w:sz w:val="20"/>
          <w:szCs w:val="20"/>
        </w:rPr>
        <w:t xml:space="preserve"> (1951), </w:t>
      </w:r>
      <w:r w:rsidRPr="00DC4B27">
        <w:rPr>
          <w:i/>
          <w:sz w:val="20"/>
          <w:szCs w:val="20"/>
        </w:rPr>
        <w:t>in Face aux verrous</w:t>
      </w:r>
      <w:r w:rsidRPr="00DC4B27">
        <w:rPr>
          <w:sz w:val="20"/>
          <w:szCs w:val="20"/>
        </w:rPr>
        <w:t xml:space="preserve">, Paris, Galimard, 1997, p. 16 ; </w:t>
      </w:r>
      <w:proofErr w:type="spellStart"/>
      <w:r w:rsidRPr="00DC4B27">
        <w:rPr>
          <w:sz w:val="20"/>
          <w:szCs w:val="20"/>
        </w:rPr>
        <w:t>cit</w:t>
      </w:r>
      <w:proofErr w:type="spellEnd"/>
      <w:r w:rsidRPr="00DC4B27">
        <w:rPr>
          <w:sz w:val="20"/>
          <w:szCs w:val="20"/>
        </w:rPr>
        <w:t xml:space="preserve">. par Yves </w:t>
      </w:r>
      <w:proofErr w:type="spellStart"/>
      <w:r w:rsidRPr="00DC4B27">
        <w:rPr>
          <w:sz w:val="20"/>
          <w:szCs w:val="20"/>
        </w:rPr>
        <w:t>Citton</w:t>
      </w:r>
      <w:proofErr w:type="spellEnd"/>
      <w:r w:rsidRPr="00DC4B27">
        <w:rPr>
          <w:sz w:val="20"/>
          <w:szCs w:val="20"/>
        </w:rPr>
        <w:t xml:space="preserve"> dans </w:t>
      </w:r>
      <w:r w:rsidRPr="00DC4B27">
        <w:rPr>
          <w:i/>
          <w:sz w:val="20"/>
          <w:szCs w:val="20"/>
        </w:rPr>
        <w:t xml:space="preserve">Gestes d’humanités, op. </w:t>
      </w:r>
      <w:proofErr w:type="spellStart"/>
      <w:r w:rsidRPr="00DC4B27">
        <w:rPr>
          <w:i/>
          <w:sz w:val="20"/>
          <w:szCs w:val="20"/>
        </w:rPr>
        <w:t>cit</w:t>
      </w:r>
      <w:proofErr w:type="spellEnd"/>
      <w:r w:rsidRPr="00DC4B27">
        <w:rPr>
          <w:i/>
          <w:sz w:val="20"/>
          <w:szCs w:val="20"/>
        </w:rPr>
        <w:t>.,</w:t>
      </w:r>
      <w:r w:rsidRPr="00DC4B27">
        <w:rPr>
          <w:sz w:val="20"/>
          <w:szCs w:val="20"/>
        </w:rPr>
        <w:t xml:space="preserve"> p. 48. </w:t>
      </w:r>
    </w:p>
  </w:footnote>
  <w:footnote w:id="68">
    <w:p w:rsidR="00AD766A" w:rsidRPr="00DC4B27" w:rsidRDefault="00AD766A" w:rsidP="00AD766A">
      <w:pPr>
        <w:pStyle w:val="Notedebasdepage"/>
        <w:jc w:val="both"/>
        <w:rPr>
          <w:sz w:val="20"/>
          <w:szCs w:val="20"/>
          <w:lang w:val="en-US"/>
        </w:rPr>
      </w:pPr>
      <w:r w:rsidRPr="00DC4B27">
        <w:rPr>
          <w:rStyle w:val="Appelnotedebasdep"/>
          <w:sz w:val="20"/>
          <w:szCs w:val="20"/>
        </w:rPr>
        <w:footnoteRef/>
      </w:r>
      <w:r w:rsidRPr="00DC4B27">
        <w:rPr>
          <w:sz w:val="20"/>
          <w:szCs w:val="20"/>
          <w:lang w:val="en-US"/>
        </w:rPr>
        <w:t xml:space="preserve"> Tim Ingold, </w:t>
      </w:r>
      <w:r w:rsidRPr="00DC4B27">
        <w:rPr>
          <w:i/>
          <w:sz w:val="20"/>
          <w:szCs w:val="20"/>
          <w:lang w:val="en-US"/>
        </w:rPr>
        <w:t>The Perception of the Environment. Essays on Livelihood, Dwelling and Skill</w:t>
      </w:r>
      <w:r w:rsidRPr="00DC4B27">
        <w:rPr>
          <w:sz w:val="20"/>
          <w:szCs w:val="20"/>
          <w:lang w:val="en-US"/>
        </w:rPr>
        <w:t xml:space="preserve">, </w:t>
      </w:r>
      <w:proofErr w:type="spellStart"/>
      <w:r w:rsidRPr="00DC4B27">
        <w:rPr>
          <w:sz w:val="20"/>
          <w:szCs w:val="20"/>
          <w:lang w:val="en-US"/>
        </w:rPr>
        <w:t>Londres</w:t>
      </w:r>
      <w:proofErr w:type="spellEnd"/>
      <w:r w:rsidRPr="00DC4B27">
        <w:rPr>
          <w:sz w:val="20"/>
          <w:szCs w:val="20"/>
          <w:lang w:val="en-US"/>
        </w:rPr>
        <w:t xml:space="preserve">, Routledge, 2011, p. 291. </w:t>
      </w:r>
    </w:p>
  </w:footnote>
  <w:footnote w:id="69">
    <w:p w:rsidR="00AD766A" w:rsidRPr="00DC4B27" w:rsidRDefault="00AD766A" w:rsidP="00AD766A">
      <w:pPr>
        <w:pStyle w:val="Notedebasdepage"/>
        <w:jc w:val="both"/>
        <w:rPr>
          <w:sz w:val="20"/>
          <w:szCs w:val="20"/>
        </w:rPr>
      </w:pPr>
      <w:r w:rsidRPr="00DC4B27">
        <w:rPr>
          <w:rStyle w:val="Appelnotedebasdep"/>
          <w:sz w:val="20"/>
          <w:szCs w:val="20"/>
        </w:rPr>
        <w:footnoteRef/>
      </w:r>
      <w:r w:rsidRPr="00DC4B27">
        <w:rPr>
          <w:sz w:val="20"/>
          <w:szCs w:val="20"/>
        </w:rPr>
        <w:t xml:space="preserve"> </w:t>
      </w:r>
      <w:r w:rsidRPr="00DC4B27">
        <w:rPr>
          <w:sz w:val="20"/>
          <w:szCs w:val="20"/>
        </w:rPr>
        <w:t xml:space="preserve">Bernard </w:t>
      </w:r>
      <w:proofErr w:type="spellStart"/>
      <w:r w:rsidRPr="00DC4B27">
        <w:rPr>
          <w:sz w:val="20"/>
          <w:szCs w:val="20"/>
        </w:rPr>
        <w:t>Frize</w:t>
      </w:r>
      <w:proofErr w:type="spellEnd"/>
      <w:r w:rsidRPr="00DC4B27">
        <w:rPr>
          <w:sz w:val="20"/>
          <w:szCs w:val="20"/>
        </w:rPr>
        <w:t xml:space="preserve"> note à propos de ses premiers tableaux que « les sensations, les sentiments n’y ont pas de place » (« Quoi, Pourquoi, Quand, Comment, Où et Qui », art. </w:t>
      </w:r>
      <w:proofErr w:type="spellStart"/>
      <w:r w:rsidRPr="00DC4B27">
        <w:rPr>
          <w:sz w:val="20"/>
          <w:szCs w:val="20"/>
        </w:rPr>
        <w:t>cit</w:t>
      </w:r>
      <w:proofErr w:type="spellEnd"/>
      <w:r w:rsidRPr="00DC4B27">
        <w:rPr>
          <w:sz w:val="20"/>
          <w:szCs w:val="20"/>
        </w:rPr>
        <w:t xml:space="preserve">., p. 183), même si, ajouterons-nous, il y a, à l’origine, une expérience sensible, même si tout tableau devient notation d’un événement. Cf. Bernard </w:t>
      </w:r>
      <w:proofErr w:type="spellStart"/>
      <w:r w:rsidRPr="00DC4B27">
        <w:rPr>
          <w:sz w:val="20"/>
          <w:szCs w:val="20"/>
        </w:rPr>
        <w:t>Frize</w:t>
      </w:r>
      <w:proofErr w:type="spellEnd"/>
      <w:r>
        <w:rPr>
          <w:sz w:val="20"/>
          <w:szCs w:val="20"/>
        </w:rPr>
        <w:t xml:space="preserve"> : </w:t>
      </w:r>
      <w:r w:rsidRPr="00DC4B27">
        <w:rPr>
          <w:sz w:val="20"/>
          <w:szCs w:val="20"/>
        </w:rPr>
        <w:t>« Il y a l’enregistrement d’un événement et l’indexation de ses règles : c’est un tableau »</w:t>
      </w:r>
      <w:r>
        <w:rPr>
          <w:sz w:val="20"/>
          <w:szCs w:val="20"/>
        </w:rPr>
        <w:t xml:space="preserve">, </w:t>
      </w:r>
      <w:r>
        <w:rPr>
          <w:i/>
          <w:sz w:val="20"/>
          <w:szCs w:val="20"/>
        </w:rPr>
        <w:t>i</w:t>
      </w:r>
      <w:r w:rsidRPr="00DC4B27">
        <w:rPr>
          <w:i/>
          <w:sz w:val="20"/>
          <w:szCs w:val="20"/>
        </w:rPr>
        <w:t>bid.</w:t>
      </w:r>
      <w:r w:rsidRPr="00DC4B27">
        <w:rPr>
          <w:sz w:val="20"/>
          <w:szCs w:val="20"/>
        </w:rPr>
        <w:t>, p. 189</w:t>
      </w:r>
      <w:r>
        <w:rPr>
          <w:sz w:val="20"/>
          <w:szCs w:val="20"/>
        </w:rPr>
        <w:t>.</w:t>
      </w:r>
    </w:p>
  </w:footnote>
  <w:footnote w:id="70">
    <w:p w:rsidR="00AD766A" w:rsidRPr="00DC4B27" w:rsidRDefault="00AD766A" w:rsidP="00AD766A">
      <w:pPr>
        <w:pStyle w:val="Notedebasdepage"/>
        <w:jc w:val="both"/>
        <w:rPr>
          <w:sz w:val="20"/>
          <w:szCs w:val="20"/>
        </w:rPr>
      </w:pPr>
      <w:r w:rsidRPr="00DC4B27">
        <w:rPr>
          <w:rStyle w:val="Appelnotedebasdep"/>
          <w:sz w:val="20"/>
          <w:szCs w:val="20"/>
        </w:rPr>
        <w:footnoteRef/>
      </w:r>
      <w:r w:rsidRPr="00DC4B27">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proofErr w:type="spellStart"/>
      <w:r w:rsidRPr="00DC4B27">
        <w:rPr>
          <w:i/>
          <w:sz w:val="20"/>
          <w:szCs w:val="20"/>
        </w:rPr>
        <w:t>Wig</w:t>
      </w:r>
      <w:proofErr w:type="spellEnd"/>
      <w:r w:rsidRPr="00DC4B27">
        <w:rPr>
          <w:sz w:val="20"/>
          <w:szCs w:val="20"/>
        </w:rPr>
        <w:t xml:space="preserve">, </w:t>
      </w:r>
      <w:r>
        <w:rPr>
          <w:sz w:val="20"/>
          <w:szCs w:val="20"/>
        </w:rPr>
        <w:t>a</w:t>
      </w:r>
      <w:r w:rsidRPr="00DC4B27">
        <w:rPr>
          <w:sz w:val="20"/>
          <w:szCs w:val="20"/>
        </w:rPr>
        <w:t xml:space="preserve">crylique et résine sur toile, 160 x 140 cm, 2009. On peut lire dans </w:t>
      </w:r>
      <w:r w:rsidRPr="00DC4B27">
        <w:rPr>
          <w:i/>
          <w:sz w:val="20"/>
          <w:szCs w:val="20"/>
        </w:rPr>
        <w:t xml:space="preserve">Bernard </w:t>
      </w:r>
      <w:proofErr w:type="spellStart"/>
      <w:r w:rsidRPr="00DC4B27">
        <w:rPr>
          <w:i/>
          <w:sz w:val="20"/>
          <w:szCs w:val="20"/>
        </w:rPr>
        <w:t>Frize</w:t>
      </w:r>
      <w:proofErr w:type="spellEnd"/>
      <w:r w:rsidRPr="00DC4B27">
        <w:rPr>
          <w:i/>
          <w:sz w:val="20"/>
          <w:szCs w:val="20"/>
        </w:rPr>
        <w:t xml:space="preserve"> sans repentir</w:t>
      </w:r>
      <w:r>
        <w:rPr>
          <w:i/>
          <w:sz w:val="20"/>
          <w:szCs w:val="20"/>
        </w:rPr>
        <w:t xml:space="preserve"> op. </w:t>
      </w:r>
      <w:proofErr w:type="spellStart"/>
      <w:r>
        <w:rPr>
          <w:i/>
          <w:sz w:val="20"/>
          <w:szCs w:val="20"/>
        </w:rPr>
        <w:t>cit</w:t>
      </w:r>
      <w:proofErr w:type="spellEnd"/>
      <w:r>
        <w:rPr>
          <w:i/>
          <w:sz w:val="20"/>
          <w:szCs w:val="20"/>
        </w:rPr>
        <w:t xml:space="preserve">., </w:t>
      </w:r>
      <w:r w:rsidRPr="001711D2">
        <w:rPr>
          <w:sz w:val="20"/>
          <w:szCs w:val="20"/>
        </w:rPr>
        <w:t>p. 78</w:t>
      </w:r>
      <w:r>
        <w:rPr>
          <w:i/>
          <w:sz w:val="20"/>
          <w:szCs w:val="20"/>
        </w:rPr>
        <w:t xml:space="preserve">  </w:t>
      </w:r>
      <w:r w:rsidRPr="00DC4B27">
        <w:rPr>
          <w:sz w:val="20"/>
          <w:szCs w:val="20"/>
        </w:rPr>
        <w:t>: « Comme si peindre n’était que laisser des empreintes</w:t>
      </w:r>
      <w:r>
        <w:rPr>
          <w:sz w:val="20"/>
          <w:szCs w:val="20"/>
        </w:rPr>
        <w:t> »</w:t>
      </w:r>
      <w:r w:rsidRPr="00DC4B27">
        <w:rPr>
          <w:sz w:val="20"/>
          <w:szCs w:val="20"/>
        </w:rPr>
        <w:t xml:space="preserve">. </w:t>
      </w:r>
    </w:p>
  </w:footnote>
  <w:footnote w:id="71">
    <w:p w:rsidR="00AD766A" w:rsidRPr="004E0B6A" w:rsidRDefault="00AD766A" w:rsidP="00AD766A">
      <w:pPr>
        <w:pStyle w:val="Notedebasdepage"/>
        <w:jc w:val="both"/>
        <w:rPr>
          <w:sz w:val="20"/>
          <w:szCs w:val="20"/>
        </w:rPr>
      </w:pPr>
      <w:r w:rsidRPr="00DC4B27">
        <w:rPr>
          <w:rStyle w:val="Appelnotedebasdep"/>
          <w:sz w:val="20"/>
          <w:szCs w:val="20"/>
        </w:rPr>
        <w:footnoteRef/>
      </w:r>
      <w:r w:rsidRPr="00DC4B27">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r w:rsidRPr="00DC4B27">
        <w:rPr>
          <w:i/>
          <w:sz w:val="20"/>
          <w:szCs w:val="20"/>
        </w:rPr>
        <w:t>Oma,</w:t>
      </w:r>
      <w:r w:rsidRPr="00DC4B27">
        <w:rPr>
          <w:sz w:val="20"/>
          <w:szCs w:val="20"/>
        </w:rPr>
        <w:t xml:space="preserve"> </w:t>
      </w:r>
      <w:r>
        <w:rPr>
          <w:sz w:val="20"/>
          <w:szCs w:val="20"/>
        </w:rPr>
        <w:t>a</w:t>
      </w:r>
      <w:r w:rsidRPr="00DC4B27">
        <w:rPr>
          <w:sz w:val="20"/>
          <w:szCs w:val="20"/>
        </w:rPr>
        <w:t>crylique sur toile 240</w:t>
      </w:r>
      <w:r>
        <w:rPr>
          <w:sz w:val="20"/>
          <w:szCs w:val="20"/>
        </w:rPr>
        <w:t>.</w:t>
      </w:r>
      <w:r w:rsidRPr="00DC4B27">
        <w:rPr>
          <w:sz w:val="20"/>
          <w:szCs w:val="20"/>
        </w:rPr>
        <w:t xml:space="preserve">5 x 310 cm, 2007. </w:t>
      </w:r>
      <w:r w:rsidRPr="00894E0C">
        <w:rPr>
          <w:sz w:val="20"/>
          <w:szCs w:val="20"/>
        </w:rPr>
        <w:t xml:space="preserve">Cf. Bernard </w:t>
      </w:r>
      <w:proofErr w:type="spellStart"/>
      <w:r w:rsidRPr="00894E0C">
        <w:rPr>
          <w:sz w:val="20"/>
          <w:szCs w:val="20"/>
        </w:rPr>
        <w:t>Frize</w:t>
      </w:r>
      <w:proofErr w:type="spellEnd"/>
      <w:r w:rsidRPr="00894E0C">
        <w:rPr>
          <w:sz w:val="20"/>
          <w:szCs w:val="20"/>
        </w:rPr>
        <w:t xml:space="preserve"> dans </w:t>
      </w:r>
      <w:r w:rsidRPr="00894E0C">
        <w:rPr>
          <w:i/>
          <w:sz w:val="20"/>
          <w:szCs w:val="20"/>
        </w:rPr>
        <w:t xml:space="preserve">Bernard </w:t>
      </w:r>
      <w:proofErr w:type="spellStart"/>
      <w:r w:rsidRPr="00894E0C">
        <w:rPr>
          <w:i/>
          <w:sz w:val="20"/>
          <w:szCs w:val="20"/>
        </w:rPr>
        <w:t>Frize</w:t>
      </w:r>
      <w:proofErr w:type="spellEnd"/>
      <w:r w:rsidRPr="00894E0C">
        <w:rPr>
          <w:i/>
          <w:sz w:val="20"/>
          <w:szCs w:val="20"/>
        </w:rPr>
        <w:t xml:space="preserve"> sans repenti</w:t>
      </w:r>
      <w:r>
        <w:rPr>
          <w:i/>
          <w:sz w:val="20"/>
          <w:szCs w:val="20"/>
        </w:rPr>
        <w:t xml:space="preserve">r, op. </w:t>
      </w:r>
      <w:proofErr w:type="spellStart"/>
      <w:r>
        <w:rPr>
          <w:i/>
          <w:sz w:val="20"/>
          <w:szCs w:val="20"/>
        </w:rPr>
        <w:t>cit</w:t>
      </w:r>
      <w:proofErr w:type="spellEnd"/>
      <w:r>
        <w:rPr>
          <w:i/>
          <w:sz w:val="20"/>
          <w:szCs w:val="20"/>
        </w:rPr>
        <w:t>.</w:t>
      </w:r>
      <w:r>
        <w:rPr>
          <w:sz w:val="20"/>
          <w:szCs w:val="20"/>
        </w:rPr>
        <w:t xml:space="preserve">, p. </w:t>
      </w:r>
      <w:r w:rsidRPr="00894E0C">
        <w:rPr>
          <w:sz w:val="20"/>
          <w:szCs w:val="20"/>
        </w:rPr>
        <w:t>84</w:t>
      </w:r>
      <w:r>
        <w:rPr>
          <w:sz w:val="20"/>
          <w:szCs w:val="20"/>
        </w:rPr>
        <w:t xml:space="preserve"> : </w:t>
      </w:r>
      <w:r w:rsidRPr="00894E0C">
        <w:rPr>
          <w:sz w:val="20"/>
          <w:szCs w:val="20"/>
        </w:rPr>
        <w:t xml:space="preserve"> </w:t>
      </w:r>
      <w:r>
        <w:rPr>
          <w:sz w:val="20"/>
          <w:szCs w:val="20"/>
        </w:rPr>
        <w:t>« C’est une peinture qu’on ne peut pas regarder, par ses effets de flou. C’est d’ailleurs la raison pour laquelle je l’ai faite : le paradoxe d’une peinture invisible. On n’y voit rien malgré les efforts pour s’y projeter, C’est une peinture mutique ».</w:t>
      </w:r>
    </w:p>
  </w:footnote>
  <w:footnote w:id="72">
    <w:p w:rsidR="00AD766A" w:rsidRPr="002E3CF9" w:rsidRDefault="00AD766A" w:rsidP="00AD766A">
      <w:pPr>
        <w:pStyle w:val="Notedebasdepage"/>
        <w:jc w:val="both"/>
        <w:rPr>
          <w:sz w:val="20"/>
          <w:szCs w:val="20"/>
          <w:lang w:val="fr-CH"/>
        </w:rPr>
      </w:pPr>
      <w:r w:rsidRPr="002E3CF9">
        <w:rPr>
          <w:rStyle w:val="Appelnotedebasdep"/>
          <w:sz w:val="20"/>
          <w:szCs w:val="20"/>
        </w:rPr>
        <w:footnoteRef/>
      </w:r>
      <w:r w:rsidRPr="002E3CF9">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r w:rsidRPr="002E3CF9">
        <w:rPr>
          <w:i/>
          <w:sz w:val="20"/>
          <w:szCs w:val="20"/>
        </w:rPr>
        <w:t>Rassemblement</w:t>
      </w:r>
      <w:r w:rsidRPr="002E3CF9">
        <w:rPr>
          <w:sz w:val="20"/>
          <w:szCs w:val="20"/>
        </w:rPr>
        <w:t xml:space="preserve">, </w:t>
      </w:r>
      <w:r>
        <w:rPr>
          <w:sz w:val="20"/>
          <w:szCs w:val="20"/>
        </w:rPr>
        <w:t>a</w:t>
      </w:r>
      <w:r w:rsidRPr="002E3CF9">
        <w:rPr>
          <w:sz w:val="20"/>
          <w:szCs w:val="20"/>
        </w:rPr>
        <w:t xml:space="preserve">crylique et résine sur toile, 215 x 340 cm, 2003. </w:t>
      </w:r>
    </w:p>
  </w:footnote>
  <w:footnote w:id="73">
    <w:p w:rsidR="00AD766A" w:rsidRPr="007F26DD" w:rsidRDefault="00AD766A" w:rsidP="00AD766A">
      <w:pPr>
        <w:pStyle w:val="Notedebasdepage"/>
        <w:jc w:val="both"/>
        <w:rPr>
          <w:sz w:val="20"/>
          <w:szCs w:val="20"/>
        </w:rPr>
      </w:pPr>
      <w:r w:rsidRPr="007F26DD">
        <w:rPr>
          <w:rStyle w:val="Appelnotedebasdep"/>
          <w:sz w:val="20"/>
          <w:szCs w:val="20"/>
        </w:rPr>
        <w:footnoteRef/>
      </w:r>
      <w:r w:rsidRPr="007F26DD">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r w:rsidRPr="007F26DD">
        <w:rPr>
          <w:i/>
          <w:sz w:val="20"/>
          <w:szCs w:val="20"/>
        </w:rPr>
        <w:t xml:space="preserve">Suite </w:t>
      </w:r>
      <w:proofErr w:type="spellStart"/>
      <w:r w:rsidRPr="007F26DD">
        <w:rPr>
          <w:i/>
          <w:sz w:val="20"/>
          <w:szCs w:val="20"/>
        </w:rPr>
        <w:t>Segond</w:t>
      </w:r>
      <w:proofErr w:type="spellEnd"/>
      <w:r w:rsidRPr="007F26DD">
        <w:rPr>
          <w:i/>
          <w:sz w:val="20"/>
          <w:szCs w:val="20"/>
        </w:rPr>
        <w:t xml:space="preserve"> 120F</w:t>
      </w:r>
      <w:r w:rsidRPr="007F26DD">
        <w:rPr>
          <w:sz w:val="20"/>
          <w:szCs w:val="20"/>
        </w:rPr>
        <w:t xml:space="preserve">, </w:t>
      </w:r>
      <w:r>
        <w:rPr>
          <w:sz w:val="20"/>
          <w:szCs w:val="20"/>
        </w:rPr>
        <w:t>l</w:t>
      </w:r>
      <w:r w:rsidRPr="007F26DD">
        <w:rPr>
          <w:sz w:val="20"/>
          <w:szCs w:val="20"/>
        </w:rPr>
        <w:t xml:space="preserve">aque alkyde-uréthane sur toile, 1980. </w:t>
      </w:r>
    </w:p>
  </w:footnote>
  <w:footnote w:id="74">
    <w:p w:rsidR="00AD766A" w:rsidRPr="00CB3090" w:rsidRDefault="00AD766A" w:rsidP="00AD766A">
      <w:pPr>
        <w:pStyle w:val="Notedebasdepage"/>
        <w:rPr>
          <w:sz w:val="20"/>
          <w:szCs w:val="20"/>
        </w:rPr>
      </w:pPr>
      <w:r w:rsidRPr="00CB3090">
        <w:rPr>
          <w:rStyle w:val="Appelnotedebasdep"/>
          <w:sz w:val="20"/>
          <w:szCs w:val="20"/>
        </w:rPr>
        <w:footnoteRef/>
      </w:r>
      <w:r w:rsidRPr="00CB3090">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proofErr w:type="spellStart"/>
      <w:r w:rsidRPr="00CB3090">
        <w:rPr>
          <w:i/>
          <w:sz w:val="20"/>
          <w:szCs w:val="20"/>
        </w:rPr>
        <w:t>Oude</w:t>
      </w:r>
      <w:proofErr w:type="spellEnd"/>
      <w:r w:rsidRPr="00CB3090">
        <w:rPr>
          <w:i/>
          <w:sz w:val="20"/>
          <w:szCs w:val="20"/>
        </w:rPr>
        <w:t>,</w:t>
      </w:r>
      <w:r w:rsidRPr="00CB3090">
        <w:rPr>
          <w:sz w:val="20"/>
          <w:szCs w:val="20"/>
        </w:rPr>
        <w:t xml:space="preserve"> </w:t>
      </w:r>
      <w:r>
        <w:rPr>
          <w:sz w:val="20"/>
          <w:szCs w:val="20"/>
        </w:rPr>
        <w:t>a</w:t>
      </w:r>
      <w:r w:rsidRPr="00CB3090">
        <w:rPr>
          <w:sz w:val="20"/>
          <w:szCs w:val="20"/>
        </w:rPr>
        <w:t>crylique et résine sur toile, 100 x 100 cm</w:t>
      </w:r>
      <w:r>
        <w:rPr>
          <w:sz w:val="20"/>
          <w:szCs w:val="20"/>
        </w:rPr>
        <w:t xml:space="preserve">, 2018. </w:t>
      </w:r>
    </w:p>
  </w:footnote>
  <w:footnote w:id="75">
    <w:p w:rsidR="00AD766A" w:rsidRPr="0047294E" w:rsidRDefault="00AD766A" w:rsidP="00AD766A">
      <w:pPr>
        <w:pStyle w:val="Notedebasdepage"/>
        <w:rPr>
          <w:sz w:val="20"/>
          <w:szCs w:val="20"/>
        </w:rPr>
      </w:pPr>
      <w:r w:rsidRPr="0047294E">
        <w:rPr>
          <w:rStyle w:val="Appelnotedebasdep"/>
          <w:sz w:val="20"/>
          <w:szCs w:val="20"/>
        </w:rPr>
        <w:footnoteRef/>
      </w:r>
      <w:r w:rsidRPr="0047294E">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r w:rsidRPr="0047294E">
        <w:rPr>
          <w:i/>
          <w:sz w:val="20"/>
          <w:szCs w:val="20"/>
        </w:rPr>
        <w:t>Rami</w:t>
      </w:r>
      <w:r w:rsidRPr="0047294E">
        <w:rPr>
          <w:sz w:val="20"/>
          <w:szCs w:val="20"/>
        </w:rPr>
        <w:t xml:space="preserve">, </w:t>
      </w:r>
      <w:r>
        <w:rPr>
          <w:sz w:val="20"/>
          <w:szCs w:val="20"/>
        </w:rPr>
        <w:t>a</w:t>
      </w:r>
      <w:r w:rsidRPr="0047294E">
        <w:rPr>
          <w:sz w:val="20"/>
          <w:szCs w:val="20"/>
        </w:rPr>
        <w:t>crylique, nacre et résine sur toile, 205 x 194 cm</w:t>
      </w:r>
      <w:r>
        <w:rPr>
          <w:sz w:val="20"/>
          <w:szCs w:val="20"/>
        </w:rPr>
        <w:t>, 1993</w:t>
      </w:r>
      <w:r w:rsidRPr="0047294E">
        <w:rPr>
          <w:sz w:val="20"/>
          <w:szCs w:val="20"/>
        </w:rPr>
        <w:t xml:space="preserve">. </w:t>
      </w:r>
    </w:p>
  </w:footnote>
  <w:footnote w:id="76">
    <w:p w:rsidR="00AD766A" w:rsidRPr="00C13C93" w:rsidRDefault="00AD766A" w:rsidP="00AD766A">
      <w:pPr>
        <w:pStyle w:val="Notedebasdepage"/>
        <w:jc w:val="both"/>
        <w:rPr>
          <w:sz w:val="20"/>
          <w:szCs w:val="20"/>
        </w:rPr>
      </w:pPr>
      <w:r w:rsidRPr="00C13C93">
        <w:rPr>
          <w:rStyle w:val="Appelnotedebasdep"/>
          <w:sz w:val="20"/>
          <w:szCs w:val="20"/>
        </w:rPr>
        <w:footnoteRef/>
      </w:r>
      <w:r w:rsidRPr="00C13C93">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r w:rsidRPr="00C13C93">
        <w:rPr>
          <w:i/>
          <w:sz w:val="20"/>
          <w:szCs w:val="20"/>
        </w:rPr>
        <w:t>Quelques causes accidentelles et d’autres causes naturelles</w:t>
      </w:r>
      <w:r w:rsidRPr="00C13C93">
        <w:rPr>
          <w:sz w:val="20"/>
          <w:szCs w:val="20"/>
        </w:rPr>
        <w:t xml:space="preserve">, </w:t>
      </w:r>
      <w:r>
        <w:rPr>
          <w:sz w:val="20"/>
          <w:szCs w:val="20"/>
        </w:rPr>
        <w:t>m</w:t>
      </w:r>
      <w:r w:rsidRPr="00C13C93">
        <w:rPr>
          <w:sz w:val="20"/>
          <w:szCs w:val="20"/>
        </w:rPr>
        <w:t xml:space="preserve">arc de café, </w:t>
      </w:r>
      <w:proofErr w:type="spellStart"/>
      <w:r w:rsidRPr="00C13C93">
        <w:rPr>
          <w:sz w:val="20"/>
          <w:szCs w:val="20"/>
        </w:rPr>
        <w:t>paraloïd</w:t>
      </w:r>
      <w:proofErr w:type="spellEnd"/>
      <w:r w:rsidRPr="00C13C93">
        <w:rPr>
          <w:sz w:val="20"/>
          <w:szCs w:val="20"/>
        </w:rPr>
        <w:t xml:space="preserve"> et huile sur toile, quatre tableaux de 157 x 162</w:t>
      </w:r>
      <w:r>
        <w:rPr>
          <w:sz w:val="20"/>
          <w:szCs w:val="20"/>
        </w:rPr>
        <w:t>.</w:t>
      </w:r>
      <w:r w:rsidRPr="00C13C93">
        <w:rPr>
          <w:sz w:val="20"/>
          <w:szCs w:val="20"/>
        </w:rPr>
        <w:t xml:space="preserve">5 cm, 1985. </w:t>
      </w:r>
    </w:p>
  </w:footnote>
  <w:footnote w:id="77">
    <w:p w:rsidR="00AD766A" w:rsidRPr="00C13C93" w:rsidRDefault="00AD766A" w:rsidP="00AD766A">
      <w:pPr>
        <w:pStyle w:val="Notedebasdepage"/>
        <w:rPr>
          <w:sz w:val="20"/>
          <w:szCs w:val="20"/>
        </w:rPr>
      </w:pPr>
      <w:r w:rsidRPr="00C13C93">
        <w:rPr>
          <w:rStyle w:val="Appelnotedebasdep"/>
          <w:sz w:val="20"/>
          <w:szCs w:val="20"/>
        </w:rPr>
        <w:footnoteRef/>
      </w:r>
      <w:r w:rsidRPr="00C13C93">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proofErr w:type="spellStart"/>
      <w:r w:rsidRPr="00C13C93">
        <w:rPr>
          <w:i/>
          <w:sz w:val="20"/>
          <w:szCs w:val="20"/>
        </w:rPr>
        <w:t>Unimixte</w:t>
      </w:r>
      <w:proofErr w:type="spellEnd"/>
      <w:r w:rsidRPr="00C13C93">
        <w:rPr>
          <w:sz w:val="20"/>
          <w:szCs w:val="20"/>
        </w:rPr>
        <w:t xml:space="preserve">, </w:t>
      </w:r>
      <w:r>
        <w:rPr>
          <w:sz w:val="20"/>
          <w:szCs w:val="20"/>
        </w:rPr>
        <w:t>a</w:t>
      </w:r>
      <w:r w:rsidRPr="00C13C93">
        <w:rPr>
          <w:sz w:val="20"/>
          <w:szCs w:val="20"/>
        </w:rPr>
        <w:t xml:space="preserve">crylique et résine sur toile, 220 x 180 cm, 1999. </w:t>
      </w:r>
    </w:p>
  </w:footnote>
  <w:footnote w:id="78">
    <w:p w:rsidR="00AD766A" w:rsidRPr="00C13C93" w:rsidRDefault="00AD766A" w:rsidP="00AD766A">
      <w:pPr>
        <w:pStyle w:val="Notedebasdepage"/>
        <w:rPr>
          <w:sz w:val="20"/>
          <w:szCs w:val="20"/>
        </w:rPr>
      </w:pPr>
      <w:r w:rsidRPr="00C13C93">
        <w:rPr>
          <w:rStyle w:val="Appelnotedebasdep"/>
          <w:sz w:val="20"/>
          <w:szCs w:val="20"/>
        </w:rPr>
        <w:footnoteRef/>
      </w:r>
      <w:r w:rsidRPr="00C13C93">
        <w:rPr>
          <w:sz w:val="20"/>
          <w:szCs w:val="20"/>
        </w:rPr>
        <w:t xml:space="preserve"> </w:t>
      </w:r>
      <w:r w:rsidRPr="00C13C93">
        <w:rPr>
          <w:sz w:val="20"/>
          <w:szCs w:val="20"/>
        </w:rPr>
        <w:t xml:space="preserve">Michel Gauthier, </w:t>
      </w:r>
      <w:r>
        <w:rPr>
          <w:sz w:val="20"/>
          <w:szCs w:val="20"/>
        </w:rPr>
        <w:t xml:space="preserve">« Le paradoxe d’Oma », </w:t>
      </w:r>
      <w:r w:rsidRPr="00CB3435">
        <w:rPr>
          <w:i/>
          <w:sz w:val="20"/>
          <w:szCs w:val="20"/>
        </w:rPr>
        <w:t>in</w:t>
      </w:r>
      <w:r>
        <w:rPr>
          <w:sz w:val="20"/>
          <w:szCs w:val="20"/>
        </w:rPr>
        <w:t xml:space="preserve"> </w:t>
      </w:r>
      <w:r w:rsidRPr="00C13C93">
        <w:rPr>
          <w:i/>
          <w:sz w:val="20"/>
          <w:szCs w:val="20"/>
        </w:rPr>
        <w:t xml:space="preserve">Bernard </w:t>
      </w:r>
      <w:proofErr w:type="spellStart"/>
      <w:r w:rsidRPr="00C13C93">
        <w:rPr>
          <w:i/>
          <w:sz w:val="20"/>
          <w:szCs w:val="20"/>
        </w:rPr>
        <w:t>Frize</w:t>
      </w:r>
      <w:proofErr w:type="spellEnd"/>
      <w:r>
        <w:rPr>
          <w:i/>
          <w:sz w:val="20"/>
          <w:szCs w:val="20"/>
        </w:rPr>
        <w:t xml:space="preserve"> </w:t>
      </w:r>
      <w:r w:rsidRPr="00C13C93">
        <w:rPr>
          <w:i/>
          <w:sz w:val="20"/>
          <w:szCs w:val="20"/>
        </w:rPr>
        <w:t>sans repentir</w:t>
      </w:r>
      <w:r w:rsidRPr="00C13C93">
        <w:rPr>
          <w:sz w:val="20"/>
          <w:szCs w:val="20"/>
        </w:rPr>
        <w:t xml:space="preserve">, </w:t>
      </w:r>
      <w:r w:rsidRPr="00CD532D">
        <w:rPr>
          <w:i/>
          <w:sz w:val="20"/>
          <w:szCs w:val="20"/>
        </w:rPr>
        <w:t xml:space="preserve">op. </w:t>
      </w:r>
      <w:proofErr w:type="spellStart"/>
      <w:r w:rsidRPr="00CD532D">
        <w:rPr>
          <w:i/>
          <w:sz w:val="20"/>
          <w:szCs w:val="20"/>
        </w:rPr>
        <w:t>cit</w:t>
      </w:r>
      <w:proofErr w:type="spellEnd"/>
      <w:r w:rsidRPr="00C13C93">
        <w:rPr>
          <w:sz w:val="20"/>
          <w:szCs w:val="20"/>
        </w:rPr>
        <w:t xml:space="preserve">., p. 165. </w:t>
      </w:r>
    </w:p>
  </w:footnote>
  <w:footnote w:id="79">
    <w:p w:rsidR="00AD766A" w:rsidRPr="00C13C93" w:rsidRDefault="00AD766A" w:rsidP="00AD766A">
      <w:pPr>
        <w:pStyle w:val="Notedebasdepage"/>
        <w:jc w:val="both"/>
        <w:rPr>
          <w:sz w:val="20"/>
          <w:szCs w:val="20"/>
          <w:lang w:val="fr-CH"/>
        </w:rPr>
      </w:pPr>
      <w:r w:rsidRPr="00C13C93">
        <w:rPr>
          <w:rStyle w:val="Appelnotedebasdep"/>
          <w:sz w:val="20"/>
          <w:szCs w:val="20"/>
        </w:rPr>
        <w:footnoteRef/>
      </w:r>
      <w:r w:rsidRPr="00C13C93">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proofErr w:type="spellStart"/>
      <w:r w:rsidRPr="00C13C93">
        <w:rPr>
          <w:i/>
          <w:sz w:val="20"/>
          <w:szCs w:val="20"/>
        </w:rPr>
        <w:t>Aikogi</w:t>
      </w:r>
      <w:proofErr w:type="spellEnd"/>
      <w:r w:rsidRPr="00C13C93">
        <w:rPr>
          <w:sz w:val="20"/>
          <w:szCs w:val="20"/>
        </w:rPr>
        <w:t xml:space="preserve">, </w:t>
      </w:r>
      <w:r>
        <w:rPr>
          <w:sz w:val="20"/>
          <w:szCs w:val="20"/>
        </w:rPr>
        <w:t>a</w:t>
      </w:r>
      <w:r w:rsidRPr="00C13C93">
        <w:rPr>
          <w:sz w:val="20"/>
          <w:szCs w:val="20"/>
        </w:rPr>
        <w:t xml:space="preserve">crylique et résine sur toile, 190 x 160 cm, 2014. Cf. </w:t>
      </w:r>
      <w:r w:rsidRPr="00C13C93">
        <w:rPr>
          <w:i/>
          <w:sz w:val="20"/>
          <w:szCs w:val="20"/>
        </w:rPr>
        <w:t xml:space="preserve">Bernard </w:t>
      </w:r>
      <w:proofErr w:type="spellStart"/>
      <w:r w:rsidRPr="00C13C93">
        <w:rPr>
          <w:i/>
          <w:sz w:val="20"/>
          <w:szCs w:val="20"/>
        </w:rPr>
        <w:t>Frize</w:t>
      </w:r>
      <w:proofErr w:type="spellEnd"/>
      <w:r w:rsidRPr="00C13C93">
        <w:rPr>
          <w:i/>
          <w:sz w:val="20"/>
          <w:szCs w:val="20"/>
        </w:rPr>
        <w:t>, sans repentir</w:t>
      </w:r>
      <w:r w:rsidRPr="00C13C93">
        <w:rPr>
          <w:sz w:val="20"/>
          <w:szCs w:val="20"/>
        </w:rPr>
        <w:t xml:space="preserve">, </w:t>
      </w:r>
      <w:r w:rsidRPr="00CD532D">
        <w:rPr>
          <w:i/>
          <w:sz w:val="20"/>
          <w:szCs w:val="20"/>
        </w:rPr>
        <w:t xml:space="preserve">op. </w:t>
      </w:r>
      <w:proofErr w:type="spellStart"/>
      <w:r w:rsidRPr="00CD532D">
        <w:rPr>
          <w:i/>
          <w:sz w:val="20"/>
          <w:szCs w:val="20"/>
        </w:rPr>
        <w:t>cit</w:t>
      </w:r>
      <w:proofErr w:type="spellEnd"/>
      <w:r w:rsidRPr="00C13C93">
        <w:rPr>
          <w:sz w:val="20"/>
          <w:szCs w:val="20"/>
        </w:rPr>
        <w:t>., p. 112.</w:t>
      </w:r>
    </w:p>
  </w:footnote>
  <w:footnote w:id="80">
    <w:p w:rsidR="00AD766A" w:rsidRPr="008947D7" w:rsidRDefault="00AD766A" w:rsidP="00AD766A">
      <w:pPr>
        <w:pStyle w:val="Notedebasdepage"/>
        <w:jc w:val="both"/>
        <w:rPr>
          <w:sz w:val="20"/>
          <w:szCs w:val="20"/>
        </w:rPr>
      </w:pPr>
      <w:r w:rsidRPr="00C13C93">
        <w:rPr>
          <w:rStyle w:val="Appelnotedebasdep"/>
          <w:sz w:val="20"/>
          <w:szCs w:val="20"/>
        </w:rPr>
        <w:footnoteRef/>
      </w:r>
      <w:r w:rsidRPr="00C13C93">
        <w:rPr>
          <w:sz w:val="20"/>
          <w:szCs w:val="20"/>
        </w:rPr>
        <w:t xml:space="preserve"> </w:t>
      </w:r>
      <w:r w:rsidRPr="00C13C93">
        <w:rPr>
          <w:sz w:val="20"/>
          <w:szCs w:val="20"/>
        </w:rPr>
        <w:t xml:space="preserve">L’esthétique de la laideur semble revendiquée par Bernard </w:t>
      </w:r>
      <w:proofErr w:type="spellStart"/>
      <w:r w:rsidRPr="00C13C93">
        <w:rPr>
          <w:sz w:val="20"/>
          <w:szCs w:val="20"/>
        </w:rPr>
        <w:t>Frize</w:t>
      </w:r>
      <w:proofErr w:type="spellEnd"/>
      <w:r w:rsidRPr="00C13C93">
        <w:rPr>
          <w:sz w:val="20"/>
          <w:szCs w:val="20"/>
        </w:rPr>
        <w:t> : « Comme vous le savez, la plupart des couleurs sont choisies plutôt par hasard. J’essaie toujours de faire en sorte que les couleurs soient un peu</w:t>
      </w:r>
      <w:r w:rsidRPr="008947D7">
        <w:rPr>
          <w:sz w:val="20"/>
          <w:szCs w:val="20"/>
        </w:rPr>
        <w:t xml:space="preserve"> décevantes et le tableau pas très beau » (</w:t>
      </w:r>
      <w:r w:rsidRPr="008947D7">
        <w:rPr>
          <w:i/>
          <w:sz w:val="20"/>
          <w:szCs w:val="20"/>
        </w:rPr>
        <w:t xml:space="preserve">Bernard </w:t>
      </w:r>
      <w:proofErr w:type="spellStart"/>
      <w:r w:rsidRPr="008947D7">
        <w:rPr>
          <w:i/>
          <w:sz w:val="20"/>
          <w:szCs w:val="20"/>
        </w:rPr>
        <w:t>Frize</w:t>
      </w:r>
      <w:proofErr w:type="spellEnd"/>
      <w:r w:rsidRPr="008947D7">
        <w:rPr>
          <w:i/>
          <w:sz w:val="20"/>
          <w:szCs w:val="20"/>
        </w:rPr>
        <w:t xml:space="preserve"> sans repentir</w:t>
      </w:r>
      <w:r w:rsidRPr="008947D7">
        <w:rPr>
          <w:sz w:val="20"/>
          <w:szCs w:val="20"/>
        </w:rPr>
        <w:t xml:space="preserve">, </w:t>
      </w:r>
      <w:r w:rsidRPr="00CD532D">
        <w:rPr>
          <w:i/>
          <w:sz w:val="20"/>
          <w:szCs w:val="20"/>
        </w:rPr>
        <w:t xml:space="preserve">op. </w:t>
      </w:r>
      <w:proofErr w:type="spellStart"/>
      <w:r w:rsidRPr="00CD532D">
        <w:rPr>
          <w:i/>
          <w:sz w:val="20"/>
          <w:szCs w:val="20"/>
        </w:rPr>
        <w:t>cit</w:t>
      </w:r>
      <w:proofErr w:type="spellEnd"/>
      <w:r>
        <w:rPr>
          <w:sz w:val="20"/>
          <w:szCs w:val="20"/>
        </w:rPr>
        <w:t>., p.</w:t>
      </w:r>
      <w:r w:rsidRPr="008947D7">
        <w:rPr>
          <w:sz w:val="20"/>
          <w:szCs w:val="20"/>
        </w:rPr>
        <w:t xml:space="preserve">119). </w:t>
      </w:r>
    </w:p>
  </w:footnote>
  <w:footnote w:id="81">
    <w:p w:rsidR="00AD766A" w:rsidRPr="00186C4D" w:rsidRDefault="00AD766A" w:rsidP="00AD766A">
      <w:pPr>
        <w:pStyle w:val="Notedebasdepage"/>
        <w:rPr>
          <w:sz w:val="20"/>
          <w:szCs w:val="20"/>
          <w:lang w:val="fr-FR"/>
        </w:rPr>
      </w:pPr>
      <w:r w:rsidRPr="00186C4D">
        <w:rPr>
          <w:rStyle w:val="Appelnotedebasdep"/>
          <w:sz w:val="20"/>
          <w:szCs w:val="20"/>
        </w:rPr>
        <w:footnoteRef/>
      </w:r>
      <w:r w:rsidRPr="00186C4D">
        <w:rPr>
          <w:sz w:val="20"/>
          <w:szCs w:val="20"/>
          <w:lang w:val="fr-FR"/>
        </w:rPr>
        <w:t xml:space="preserve"> Cf. </w:t>
      </w:r>
      <w:r w:rsidRPr="00186C4D">
        <w:rPr>
          <w:i/>
          <w:sz w:val="20"/>
          <w:szCs w:val="20"/>
          <w:lang w:val="fr-FR"/>
        </w:rPr>
        <w:t xml:space="preserve">Bernard </w:t>
      </w:r>
      <w:proofErr w:type="spellStart"/>
      <w:r w:rsidRPr="00186C4D">
        <w:rPr>
          <w:i/>
          <w:sz w:val="20"/>
          <w:szCs w:val="20"/>
          <w:lang w:val="fr-FR"/>
        </w:rPr>
        <w:t>Frize</w:t>
      </w:r>
      <w:proofErr w:type="spellEnd"/>
      <w:r w:rsidRPr="00186C4D">
        <w:rPr>
          <w:i/>
          <w:sz w:val="20"/>
          <w:szCs w:val="20"/>
          <w:lang w:val="fr-FR"/>
        </w:rPr>
        <w:t>, sans repentir</w:t>
      </w:r>
      <w:r w:rsidRPr="00186C4D">
        <w:rPr>
          <w:i/>
          <w:sz w:val="20"/>
          <w:szCs w:val="20"/>
        </w:rPr>
        <w:t xml:space="preserve">, op. </w:t>
      </w:r>
      <w:proofErr w:type="spellStart"/>
      <w:r w:rsidRPr="00186C4D">
        <w:rPr>
          <w:i/>
          <w:sz w:val="20"/>
          <w:szCs w:val="20"/>
        </w:rPr>
        <w:t>cit</w:t>
      </w:r>
      <w:proofErr w:type="spellEnd"/>
      <w:r w:rsidRPr="00186C4D">
        <w:rPr>
          <w:i/>
          <w:sz w:val="20"/>
          <w:szCs w:val="20"/>
        </w:rPr>
        <w:t>.</w:t>
      </w:r>
      <w:r w:rsidRPr="00186C4D">
        <w:rPr>
          <w:sz w:val="20"/>
          <w:szCs w:val="20"/>
        </w:rPr>
        <w:t xml:space="preserve">,  p. 112. </w:t>
      </w:r>
    </w:p>
  </w:footnote>
  <w:footnote w:id="82">
    <w:p w:rsidR="00AD766A" w:rsidRPr="00AE3AED" w:rsidRDefault="00AD766A" w:rsidP="00AD766A">
      <w:pPr>
        <w:pStyle w:val="Notedebasdepage"/>
        <w:jc w:val="both"/>
        <w:rPr>
          <w:sz w:val="20"/>
          <w:szCs w:val="20"/>
        </w:rPr>
      </w:pPr>
      <w:r>
        <w:rPr>
          <w:rStyle w:val="Appelnotedebasdep"/>
        </w:rPr>
        <w:footnoteRef/>
      </w:r>
      <w:r>
        <w:t xml:space="preserve"> </w:t>
      </w:r>
      <w:r w:rsidRPr="00AE3AED">
        <w:rPr>
          <w:sz w:val="20"/>
          <w:szCs w:val="20"/>
        </w:rPr>
        <w:t xml:space="preserve">Bernard </w:t>
      </w:r>
      <w:proofErr w:type="spellStart"/>
      <w:r w:rsidRPr="00AE3AED">
        <w:rPr>
          <w:sz w:val="20"/>
          <w:szCs w:val="20"/>
        </w:rPr>
        <w:t>Frize</w:t>
      </w:r>
      <w:proofErr w:type="spellEnd"/>
      <w:r w:rsidRPr="00AE3AED">
        <w:rPr>
          <w:sz w:val="20"/>
          <w:szCs w:val="20"/>
        </w:rPr>
        <w:t xml:space="preserve">, Propos recueillis par Angela Lampe, Centre  Pompidou, </w:t>
      </w:r>
      <w:r w:rsidRPr="00AE3AED">
        <w:rPr>
          <w:i/>
          <w:sz w:val="20"/>
          <w:szCs w:val="20"/>
        </w:rPr>
        <w:t>Code couleur</w:t>
      </w:r>
      <w:r w:rsidRPr="00AE3AED">
        <w:rPr>
          <w:sz w:val="20"/>
          <w:szCs w:val="20"/>
        </w:rPr>
        <w:t>, n</w:t>
      </w:r>
      <w:r w:rsidRPr="00AE3AED">
        <w:rPr>
          <w:sz w:val="20"/>
          <w:szCs w:val="20"/>
          <w:vertAlign w:val="superscript"/>
        </w:rPr>
        <w:t>o</w:t>
      </w:r>
      <w:r w:rsidRPr="00AE3AED">
        <w:rPr>
          <w:sz w:val="20"/>
          <w:szCs w:val="20"/>
        </w:rPr>
        <w:t xml:space="preserve"> 34, mai-août 2019, pp. 12-15</w:t>
      </w:r>
      <w:r>
        <w:rPr>
          <w:sz w:val="20"/>
          <w:szCs w:val="20"/>
        </w:rPr>
        <w:t xml:space="preserve"> : « Les systèmes donnent quelquefois un résultat absurde qui est le fruit du hasard. […] Mon travail fixe des conditions dans lesquelles le hasard pourra intervenir ». </w:t>
      </w:r>
    </w:p>
  </w:footnote>
  <w:footnote w:id="83">
    <w:p w:rsidR="00AD766A" w:rsidRPr="007D6944" w:rsidRDefault="00AD766A" w:rsidP="00AD766A">
      <w:pPr>
        <w:pStyle w:val="Notedebasdepage"/>
        <w:jc w:val="both"/>
        <w:rPr>
          <w:sz w:val="20"/>
          <w:szCs w:val="20"/>
        </w:rPr>
      </w:pPr>
      <w:r w:rsidRPr="006775EC">
        <w:rPr>
          <w:rStyle w:val="Appelnotedebasdep"/>
          <w:sz w:val="20"/>
          <w:szCs w:val="20"/>
        </w:rPr>
        <w:footnoteRef/>
      </w:r>
      <w:r w:rsidRPr="00186C4D">
        <w:rPr>
          <w:sz w:val="20"/>
          <w:szCs w:val="20"/>
          <w:lang w:val="fr-FR"/>
        </w:rPr>
        <w:t xml:space="preserve"> Bernard </w:t>
      </w:r>
      <w:proofErr w:type="spellStart"/>
      <w:r w:rsidRPr="00186C4D">
        <w:rPr>
          <w:sz w:val="20"/>
          <w:szCs w:val="20"/>
          <w:lang w:val="fr-FR"/>
        </w:rPr>
        <w:t>Frize</w:t>
      </w:r>
      <w:proofErr w:type="spellEnd"/>
      <w:r w:rsidRPr="00186C4D">
        <w:rPr>
          <w:sz w:val="20"/>
          <w:szCs w:val="20"/>
          <w:lang w:val="fr-FR"/>
        </w:rPr>
        <w:t xml:space="preserve">, “I </w:t>
      </w:r>
      <w:proofErr w:type="spellStart"/>
      <w:r w:rsidRPr="00186C4D">
        <w:rPr>
          <w:sz w:val="20"/>
          <w:szCs w:val="20"/>
          <w:lang w:val="fr-FR"/>
        </w:rPr>
        <w:t>buy</w:t>
      </w:r>
      <w:proofErr w:type="spellEnd"/>
      <w:r w:rsidRPr="00186C4D">
        <w:rPr>
          <w:sz w:val="20"/>
          <w:szCs w:val="20"/>
          <w:lang w:val="fr-FR"/>
        </w:rPr>
        <w:t xml:space="preserve"> a </w:t>
      </w:r>
      <w:proofErr w:type="spellStart"/>
      <w:r w:rsidRPr="00186C4D">
        <w:rPr>
          <w:sz w:val="20"/>
          <w:szCs w:val="20"/>
          <w:lang w:val="fr-FR"/>
        </w:rPr>
        <w:t>brush</w:t>
      </w:r>
      <w:proofErr w:type="spellEnd"/>
      <w:r w:rsidRPr="00186C4D">
        <w:rPr>
          <w:sz w:val="20"/>
          <w:szCs w:val="20"/>
          <w:lang w:val="fr-FR"/>
        </w:rPr>
        <w:t xml:space="preserve"> 40 cm </w:t>
      </w:r>
      <w:proofErr w:type="spellStart"/>
      <w:r w:rsidRPr="00186C4D">
        <w:rPr>
          <w:sz w:val="20"/>
          <w:szCs w:val="20"/>
          <w:lang w:val="fr-FR"/>
        </w:rPr>
        <w:t>wide</w:t>
      </w:r>
      <w:proofErr w:type="spellEnd"/>
      <w:r w:rsidRPr="00186C4D">
        <w:rPr>
          <w:sz w:val="20"/>
          <w:szCs w:val="20"/>
          <w:lang w:val="fr-FR"/>
        </w:rPr>
        <w:t xml:space="preserve">”, interview avec </w:t>
      </w:r>
      <w:proofErr w:type="spellStart"/>
      <w:r w:rsidRPr="00186C4D">
        <w:rPr>
          <w:sz w:val="20"/>
          <w:szCs w:val="20"/>
          <w:lang w:val="fr-FR"/>
        </w:rPr>
        <w:t>Irmeline</w:t>
      </w:r>
      <w:proofErr w:type="spellEnd"/>
      <w:r w:rsidRPr="00186C4D">
        <w:rPr>
          <w:sz w:val="20"/>
          <w:szCs w:val="20"/>
          <w:lang w:val="fr-FR"/>
        </w:rPr>
        <w:t xml:space="preserve"> </w:t>
      </w:r>
      <w:proofErr w:type="spellStart"/>
      <w:r w:rsidRPr="00186C4D">
        <w:rPr>
          <w:sz w:val="20"/>
          <w:szCs w:val="20"/>
          <w:lang w:val="fr-FR"/>
        </w:rPr>
        <w:t>Lebeer</w:t>
      </w:r>
      <w:proofErr w:type="spellEnd"/>
      <w:r w:rsidRPr="00186C4D">
        <w:rPr>
          <w:sz w:val="20"/>
          <w:szCs w:val="20"/>
          <w:lang w:val="fr-FR"/>
        </w:rPr>
        <w:t xml:space="preserve">, </w:t>
      </w:r>
      <w:r w:rsidRPr="00186C4D">
        <w:rPr>
          <w:i/>
          <w:sz w:val="20"/>
          <w:szCs w:val="20"/>
          <w:lang w:val="fr-FR"/>
        </w:rPr>
        <w:t>in</w:t>
      </w:r>
      <w:r w:rsidRPr="00186C4D">
        <w:rPr>
          <w:sz w:val="20"/>
          <w:szCs w:val="20"/>
          <w:lang w:val="fr-FR"/>
        </w:rPr>
        <w:t xml:space="preserve"> S. </w:t>
      </w:r>
      <w:proofErr w:type="spellStart"/>
      <w:r w:rsidRPr="00186C4D">
        <w:rPr>
          <w:sz w:val="20"/>
          <w:szCs w:val="20"/>
          <w:lang w:val="fr-FR"/>
        </w:rPr>
        <w:t>Pagé</w:t>
      </w:r>
      <w:proofErr w:type="spellEnd"/>
      <w:r w:rsidRPr="00186C4D">
        <w:rPr>
          <w:sz w:val="20"/>
          <w:szCs w:val="20"/>
          <w:lang w:val="fr-FR"/>
        </w:rPr>
        <w:t xml:space="preserve">, B. Parent, P. </w:t>
      </w:r>
      <w:proofErr w:type="spellStart"/>
      <w:r w:rsidRPr="00186C4D">
        <w:rPr>
          <w:sz w:val="20"/>
          <w:szCs w:val="20"/>
          <w:lang w:val="fr-FR"/>
        </w:rPr>
        <w:t>Falguières</w:t>
      </w:r>
      <w:proofErr w:type="spellEnd"/>
      <w:r w:rsidRPr="00186C4D">
        <w:rPr>
          <w:sz w:val="20"/>
          <w:szCs w:val="20"/>
          <w:lang w:val="fr-FR"/>
        </w:rPr>
        <w:t xml:space="preserve"> </w:t>
      </w:r>
      <w:r w:rsidRPr="00186C4D">
        <w:rPr>
          <w:i/>
          <w:sz w:val="20"/>
          <w:szCs w:val="20"/>
          <w:lang w:val="fr-FR"/>
        </w:rPr>
        <w:t>et al</w:t>
      </w:r>
      <w:r w:rsidRPr="00186C4D">
        <w:rPr>
          <w:sz w:val="20"/>
          <w:szCs w:val="20"/>
          <w:lang w:val="fr-FR"/>
        </w:rPr>
        <w:t xml:space="preserve">. </w:t>
      </w:r>
      <w:r w:rsidRPr="00AE3AED">
        <w:rPr>
          <w:sz w:val="20"/>
          <w:szCs w:val="20"/>
        </w:rPr>
        <w:t>(</w:t>
      </w:r>
      <w:proofErr w:type="spellStart"/>
      <w:r w:rsidRPr="00AE3AED">
        <w:rPr>
          <w:sz w:val="20"/>
          <w:szCs w:val="20"/>
        </w:rPr>
        <w:t>dirs</w:t>
      </w:r>
      <w:proofErr w:type="spellEnd"/>
      <w:r w:rsidRPr="00AE3AED">
        <w:rPr>
          <w:sz w:val="20"/>
          <w:szCs w:val="20"/>
        </w:rPr>
        <w:t xml:space="preserve">), </w:t>
      </w:r>
      <w:r w:rsidRPr="00AE3AED">
        <w:rPr>
          <w:i/>
          <w:sz w:val="20"/>
          <w:szCs w:val="20"/>
        </w:rPr>
        <w:t xml:space="preserve">Aplat, Bernard </w:t>
      </w:r>
      <w:proofErr w:type="spellStart"/>
      <w:r w:rsidRPr="00AE3AED">
        <w:rPr>
          <w:i/>
          <w:sz w:val="20"/>
          <w:szCs w:val="20"/>
        </w:rPr>
        <w:t>Frize</w:t>
      </w:r>
      <w:proofErr w:type="spellEnd"/>
      <w:r w:rsidRPr="00AE3AED">
        <w:rPr>
          <w:sz w:val="20"/>
          <w:szCs w:val="20"/>
        </w:rPr>
        <w:t xml:space="preserve">, cat. </w:t>
      </w:r>
      <w:r>
        <w:rPr>
          <w:sz w:val="20"/>
          <w:szCs w:val="20"/>
        </w:rPr>
        <w:t xml:space="preserve">Musée d’Art Moderne de la Ville de Paris, Paris, Paris Musées, 2003, p. 203 ; cité par Jessica </w:t>
      </w:r>
      <w:proofErr w:type="spellStart"/>
      <w:r>
        <w:rPr>
          <w:sz w:val="20"/>
          <w:szCs w:val="20"/>
        </w:rPr>
        <w:t>Sockholder</w:t>
      </w:r>
      <w:proofErr w:type="spellEnd"/>
      <w:r>
        <w:rPr>
          <w:sz w:val="20"/>
          <w:szCs w:val="20"/>
        </w:rPr>
        <w:t xml:space="preserve">, </w:t>
      </w:r>
      <w:r w:rsidRPr="0007357B">
        <w:rPr>
          <w:sz w:val="20"/>
          <w:szCs w:val="20"/>
        </w:rPr>
        <w:t xml:space="preserve">« Faits de la matière. Réflexions sur l’œuvre de Bernard </w:t>
      </w:r>
      <w:proofErr w:type="spellStart"/>
      <w:r w:rsidRPr="0007357B">
        <w:rPr>
          <w:sz w:val="20"/>
          <w:szCs w:val="20"/>
        </w:rPr>
        <w:t>Frize</w:t>
      </w:r>
      <w:proofErr w:type="spellEnd"/>
      <w:r w:rsidRPr="0007357B">
        <w:rPr>
          <w:sz w:val="20"/>
          <w:szCs w:val="20"/>
        </w:rPr>
        <w:t> »</w:t>
      </w:r>
      <w:r>
        <w:rPr>
          <w:sz w:val="20"/>
          <w:szCs w:val="20"/>
        </w:rPr>
        <w:t xml:space="preserve">, art., </w:t>
      </w:r>
      <w:proofErr w:type="spellStart"/>
      <w:r>
        <w:rPr>
          <w:sz w:val="20"/>
          <w:szCs w:val="20"/>
        </w:rPr>
        <w:t>cit</w:t>
      </w:r>
      <w:proofErr w:type="spellEnd"/>
      <w:r>
        <w:rPr>
          <w:sz w:val="20"/>
          <w:szCs w:val="20"/>
        </w:rPr>
        <w:t xml:space="preserve">,. p.  22). </w:t>
      </w:r>
    </w:p>
  </w:footnote>
  <w:footnote w:id="84">
    <w:p w:rsidR="00AD766A" w:rsidRPr="00D83D0D" w:rsidRDefault="00AD766A" w:rsidP="00AD766A">
      <w:pPr>
        <w:pStyle w:val="Notedebasdepage"/>
        <w:jc w:val="both"/>
        <w:rPr>
          <w:i/>
          <w:sz w:val="20"/>
          <w:szCs w:val="20"/>
          <w:lang w:val="fr-CH"/>
        </w:rPr>
      </w:pPr>
      <w:r w:rsidRPr="00D83D0D">
        <w:rPr>
          <w:rStyle w:val="Appelnotedebasdep"/>
          <w:sz w:val="20"/>
          <w:szCs w:val="20"/>
        </w:rPr>
        <w:footnoteRef/>
      </w:r>
      <w:r w:rsidRPr="00D83D0D">
        <w:rPr>
          <w:sz w:val="20"/>
          <w:szCs w:val="20"/>
        </w:rPr>
        <w:t xml:space="preserve"> </w:t>
      </w:r>
      <w:r w:rsidRPr="00D83D0D">
        <w:rPr>
          <w:sz w:val="20"/>
          <w:szCs w:val="20"/>
        </w:rPr>
        <w:t xml:space="preserve">Le modèle du récit se construit sur  les </w:t>
      </w:r>
      <w:r w:rsidRPr="00D83D0D">
        <w:rPr>
          <w:bCs/>
          <w:sz w:val="20"/>
          <w:szCs w:val="20"/>
        </w:rPr>
        <w:t>notions d’</w:t>
      </w:r>
      <w:r>
        <w:rPr>
          <w:bCs/>
          <w:sz w:val="20"/>
          <w:szCs w:val="20"/>
        </w:rPr>
        <w:t xml:space="preserve">actant / </w:t>
      </w:r>
      <w:r w:rsidRPr="00D83D0D">
        <w:rPr>
          <w:bCs/>
          <w:sz w:val="20"/>
          <w:szCs w:val="20"/>
        </w:rPr>
        <w:t xml:space="preserve">acteur (permanence), d’unité thématique, d’intrigue (état initial, nouement de la tension et déclenchement, chaîne d’actions successives régie par des relations de causalité, dénouement, état final), de transformation des prédicats et d’évaluation finale. </w:t>
      </w:r>
    </w:p>
  </w:footnote>
  <w:footnote w:id="85">
    <w:p w:rsidR="00AD766A" w:rsidRPr="00EE2F23" w:rsidRDefault="00AD766A" w:rsidP="00AD766A">
      <w:pPr>
        <w:pStyle w:val="Notedebasdepage"/>
        <w:jc w:val="both"/>
        <w:rPr>
          <w:sz w:val="20"/>
          <w:szCs w:val="20"/>
        </w:rPr>
      </w:pPr>
      <w:r w:rsidRPr="00D83D0D">
        <w:rPr>
          <w:rStyle w:val="Appelnotedebasdep"/>
          <w:sz w:val="20"/>
          <w:szCs w:val="20"/>
        </w:rPr>
        <w:footnoteRef/>
      </w:r>
      <w:r w:rsidRPr="00D83D0D">
        <w:rPr>
          <w:sz w:val="20"/>
          <w:szCs w:val="20"/>
        </w:rPr>
        <w:t xml:space="preserve"> </w:t>
      </w:r>
      <w:r w:rsidRPr="00D83D0D">
        <w:rPr>
          <w:sz w:val="20"/>
          <w:szCs w:val="20"/>
        </w:rPr>
        <w:t xml:space="preserve">Bruno </w:t>
      </w:r>
      <w:proofErr w:type="spellStart"/>
      <w:r w:rsidRPr="00D83D0D">
        <w:rPr>
          <w:sz w:val="20"/>
          <w:szCs w:val="20"/>
        </w:rPr>
        <w:t>Latour</w:t>
      </w:r>
      <w:proofErr w:type="spellEnd"/>
      <w:r w:rsidRPr="00D83D0D">
        <w:rPr>
          <w:sz w:val="20"/>
          <w:szCs w:val="20"/>
        </w:rPr>
        <w:t xml:space="preserve">, « Factures / Fractures : de la notion de réseau à celle d’attachement », </w:t>
      </w:r>
      <w:r w:rsidRPr="00D83D0D">
        <w:rPr>
          <w:i/>
          <w:sz w:val="20"/>
          <w:szCs w:val="20"/>
        </w:rPr>
        <w:t>in</w:t>
      </w:r>
      <w:r w:rsidRPr="00D83D0D">
        <w:rPr>
          <w:sz w:val="20"/>
          <w:szCs w:val="20"/>
        </w:rPr>
        <w:t xml:space="preserve"> A. </w:t>
      </w:r>
      <w:proofErr w:type="spellStart"/>
      <w:r w:rsidRPr="00D83D0D">
        <w:rPr>
          <w:sz w:val="20"/>
          <w:szCs w:val="20"/>
        </w:rPr>
        <w:t>Micoud</w:t>
      </w:r>
      <w:proofErr w:type="spellEnd"/>
      <w:r w:rsidRPr="00D83D0D">
        <w:rPr>
          <w:sz w:val="20"/>
          <w:szCs w:val="20"/>
        </w:rPr>
        <w:t xml:space="preserve">, M. </w:t>
      </w:r>
      <w:proofErr w:type="spellStart"/>
      <w:r w:rsidRPr="00D83D0D">
        <w:rPr>
          <w:sz w:val="20"/>
          <w:szCs w:val="20"/>
        </w:rPr>
        <w:t>Peroni</w:t>
      </w:r>
      <w:proofErr w:type="spellEnd"/>
      <w:r w:rsidRPr="00EE2F23">
        <w:rPr>
          <w:sz w:val="20"/>
          <w:szCs w:val="20"/>
        </w:rPr>
        <w:t xml:space="preserve"> (</w:t>
      </w:r>
      <w:proofErr w:type="spellStart"/>
      <w:r w:rsidRPr="00EE2F23">
        <w:rPr>
          <w:sz w:val="20"/>
          <w:szCs w:val="20"/>
        </w:rPr>
        <w:t>éds</w:t>
      </w:r>
      <w:proofErr w:type="spellEnd"/>
      <w:r w:rsidRPr="00EE2F23">
        <w:rPr>
          <w:i/>
          <w:sz w:val="20"/>
          <w:szCs w:val="20"/>
        </w:rPr>
        <w:t>), Ce qui nous relie</w:t>
      </w:r>
      <w:r w:rsidRPr="00EE2F23">
        <w:rPr>
          <w:sz w:val="20"/>
          <w:szCs w:val="20"/>
        </w:rPr>
        <w:t xml:space="preserve">, La Tour d’Aigues, L’Aube, 2000, p. 189. </w:t>
      </w:r>
    </w:p>
  </w:footnote>
  <w:footnote w:id="86">
    <w:p w:rsidR="00AD766A" w:rsidRPr="00EE2F23" w:rsidRDefault="00AD766A" w:rsidP="00AD766A">
      <w:pPr>
        <w:jc w:val="both"/>
        <w:rPr>
          <w:sz w:val="20"/>
          <w:szCs w:val="20"/>
        </w:rPr>
      </w:pPr>
      <w:r w:rsidRPr="00EE2F23">
        <w:rPr>
          <w:rStyle w:val="Appelnotedebasdep"/>
          <w:sz w:val="20"/>
          <w:szCs w:val="20"/>
        </w:rPr>
        <w:footnoteRef/>
      </w:r>
      <w:r w:rsidRPr="00EE2F23">
        <w:rPr>
          <w:sz w:val="20"/>
          <w:szCs w:val="20"/>
        </w:rPr>
        <w:t xml:space="preserve"> </w:t>
      </w:r>
      <w:r w:rsidRPr="00EE2F23">
        <w:rPr>
          <w:sz w:val="20"/>
          <w:szCs w:val="20"/>
          <w:lang w:val="fr-CH"/>
        </w:rPr>
        <w:t xml:space="preserve">Michel </w:t>
      </w:r>
      <w:proofErr w:type="spellStart"/>
      <w:r w:rsidRPr="00EE2F23">
        <w:rPr>
          <w:sz w:val="20"/>
          <w:szCs w:val="20"/>
          <w:lang w:val="fr-CH"/>
        </w:rPr>
        <w:t>Callon</w:t>
      </w:r>
      <w:proofErr w:type="spellEnd"/>
      <w:r w:rsidRPr="00EE2F23">
        <w:rPr>
          <w:sz w:val="20"/>
          <w:szCs w:val="20"/>
          <w:lang w:val="fr-CH"/>
        </w:rPr>
        <w:t>,</w:t>
      </w:r>
      <w:r>
        <w:rPr>
          <w:sz w:val="20"/>
          <w:szCs w:val="20"/>
          <w:lang w:val="fr-CH"/>
        </w:rPr>
        <w:t xml:space="preserve"> </w:t>
      </w:r>
      <w:r w:rsidRPr="00EE2F23">
        <w:rPr>
          <w:sz w:val="20"/>
          <w:szCs w:val="20"/>
        </w:rPr>
        <w:t xml:space="preserve">« Les réseaux sociaux à l’aune de la théorie de l’acteur-réseau », </w:t>
      </w:r>
      <w:r w:rsidRPr="00EE2F23">
        <w:rPr>
          <w:i/>
          <w:sz w:val="20"/>
          <w:szCs w:val="20"/>
        </w:rPr>
        <w:t>Sociologies pratiques</w:t>
      </w:r>
      <w:r w:rsidRPr="00EE2F23">
        <w:rPr>
          <w:sz w:val="20"/>
          <w:szCs w:val="20"/>
        </w:rPr>
        <w:t>, n</w:t>
      </w:r>
      <w:r w:rsidRPr="00EE2F23">
        <w:rPr>
          <w:sz w:val="20"/>
          <w:szCs w:val="20"/>
          <w:vertAlign w:val="superscript"/>
        </w:rPr>
        <w:t>o</w:t>
      </w:r>
      <w:r w:rsidRPr="00EE2F23">
        <w:rPr>
          <w:sz w:val="20"/>
          <w:szCs w:val="20"/>
        </w:rPr>
        <w:t xml:space="preserve"> 13, 2006/2.</w:t>
      </w:r>
    </w:p>
  </w:footnote>
  <w:footnote w:id="87">
    <w:p w:rsidR="00AD766A" w:rsidRPr="00EE2F23" w:rsidRDefault="00AD766A" w:rsidP="00AD766A">
      <w:pPr>
        <w:pStyle w:val="Notedebasdepage"/>
        <w:rPr>
          <w:sz w:val="20"/>
          <w:szCs w:val="20"/>
        </w:rPr>
      </w:pPr>
      <w:r w:rsidRPr="00EE2F23">
        <w:rPr>
          <w:rStyle w:val="Appelnotedebasdep"/>
          <w:sz w:val="20"/>
          <w:szCs w:val="20"/>
        </w:rPr>
        <w:footnoteRef/>
      </w:r>
      <w:r w:rsidRPr="00EE2F23">
        <w:rPr>
          <w:sz w:val="20"/>
          <w:szCs w:val="20"/>
        </w:rPr>
        <w:t xml:space="preserve"> </w:t>
      </w:r>
      <w:r w:rsidRPr="00EE2F23">
        <w:rPr>
          <w:sz w:val="20"/>
          <w:szCs w:val="20"/>
        </w:rPr>
        <w:t xml:space="preserve">Bruno </w:t>
      </w:r>
      <w:proofErr w:type="spellStart"/>
      <w:r w:rsidRPr="00EE2F23">
        <w:rPr>
          <w:sz w:val="20"/>
          <w:szCs w:val="20"/>
        </w:rPr>
        <w:t>Latour</w:t>
      </w:r>
      <w:proofErr w:type="spellEnd"/>
      <w:r w:rsidRPr="00EE2F23">
        <w:rPr>
          <w:sz w:val="20"/>
          <w:szCs w:val="20"/>
        </w:rPr>
        <w:t xml:space="preserve">, « Factures / Fractures : de la notion de réseau à celle d’attachement », art. </w:t>
      </w:r>
      <w:proofErr w:type="spellStart"/>
      <w:r w:rsidRPr="00EE2F23">
        <w:rPr>
          <w:sz w:val="20"/>
          <w:szCs w:val="20"/>
        </w:rPr>
        <w:t>cit</w:t>
      </w:r>
      <w:proofErr w:type="spellEnd"/>
      <w:r w:rsidRPr="00EE2F23">
        <w:rPr>
          <w:sz w:val="20"/>
          <w:szCs w:val="20"/>
        </w:rPr>
        <w:t>.</w:t>
      </w:r>
    </w:p>
  </w:footnote>
  <w:footnote w:id="88">
    <w:p w:rsidR="00AD766A" w:rsidRPr="00EE2F23" w:rsidRDefault="00AD766A" w:rsidP="00AD766A">
      <w:pPr>
        <w:pStyle w:val="Notedebasdepage"/>
        <w:rPr>
          <w:sz w:val="20"/>
          <w:szCs w:val="20"/>
        </w:rPr>
      </w:pPr>
      <w:r w:rsidRPr="00EE2F23">
        <w:rPr>
          <w:rStyle w:val="Appelnotedebasdep"/>
          <w:sz w:val="20"/>
          <w:szCs w:val="20"/>
        </w:rPr>
        <w:footnoteRef/>
      </w:r>
      <w:r w:rsidRPr="00EE2F23">
        <w:rPr>
          <w:sz w:val="20"/>
          <w:szCs w:val="20"/>
        </w:rPr>
        <w:t xml:space="preserve"> </w:t>
      </w:r>
      <w:r w:rsidRPr="00EE2F23">
        <w:rPr>
          <w:i/>
          <w:sz w:val="20"/>
          <w:szCs w:val="20"/>
        </w:rPr>
        <w:t>Ibid.</w:t>
      </w:r>
    </w:p>
  </w:footnote>
  <w:footnote w:id="89">
    <w:p w:rsidR="00AD766A" w:rsidRPr="00447FE8" w:rsidRDefault="00AD766A" w:rsidP="00AD766A">
      <w:pPr>
        <w:pStyle w:val="Notedebasdepage"/>
        <w:rPr>
          <w:sz w:val="20"/>
          <w:szCs w:val="20"/>
        </w:rPr>
      </w:pPr>
      <w:r w:rsidRPr="00447FE8">
        <w:rPr>
          <w:rStyle w:val="Appelnotedebasdep"/>
          <w:sz w:val="20"/>
          <w:szCs w:val="20"/>
        </w:rPr>
        <w:footnoteRef/>
      </w:r>
      <w:r w:rsidRPr="00447FE8">
        <w:rPr>
          <w:sz w:val="20"/>
          <w:szCs w:val="20"/>
        </w:rPr>
        <w:t xml:space="preserve"> </w:t>
      </w:r>
      <w:r w:rsidRPr="00447FE8">
        <w:rPr>
          <w:sz w:val="20"/>
          <w:szCs w:val="20"/>
        </w:rPr>
        <w:t xml:space="preserve">Bernard </w:t>
      </w:r>
      <w:proofErr w:type="spellStart"/>
      <w:r w:rsidRPr="00447FE8">
        <w:rPr>
          <w:sz w:val="20"/>
          <w:szCs w:val="20"/>
        </w:rPr>
        <w:t>Frize</w:t>
      </w:r>
      <w:proofErr w:type="spellEnd"/>
      <w:r w:rsidRPr="00447FE8">
        <w:rPr>
          <w:sz w:val="20"/>
          <w:szCs w:val="20"/>
        </w:rPr>
        <w:t xml:space="preserve">, « Quoi, Pourquoi, Quand, Comment, Où et Qui », art. </w:t>
      </w:r>
      <w:proofErr w:type="spellStart"/>
      <w:r w:rsidRPr="00447FE8">
        <w:rPr>
          <w:sz w:val="20"/>
          <w:szCs w:val="20"/>
        </w:rPr>
        <w:t>cit</w:t>
      </w:r>
      <w:proofErr w:type="spellEnd"/>
      <w:r w:rsidRPr="00447FE8">
        <w:rPr>
          <w:sz w:val="20"/>
          <w:szCs w:val="20"/>
        </w:rPr>
        <w:t xml:space="preserve">., p. 184. </w:t>
      </w:r>
    </w:p>
  </w:footnote>
  <w:footnote w:id="90">
    <w:p w:rsidR="00AD766A" w:rsidRPr="002A228D" w:rsidRDefault="00AD766A" w:rsidP="00AD766A">
      <w:pPr>
        <w:pStyle w:val="Notedebasdepage"/>
        <w:rPr>
          <w:sz w:val="20"/>
          <w:szCs w:val="20"/>
        </w:rPr>
      </w:pPr>
      <w:r w:rsidRPr="002A228D">
        <w:rPr>
          <w:rStyle w:val="Appelnotedebasdep"/>
          <w:sz w:val="20"/>
          <w:szCs w:val="20"/>
        </w:rPr>
        <w:footnoteRef/>
      </w:r>
      <w:r w:rsidRPr="002A228D">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r w:rsidRPr="002A228D">
        <w:rPr>
          <w:i/>
          <w:sz w:val="20"/>
          <w:szCs w:val="20"/>
        </w:rPr>
        <w:t>Sans titre</w:t>
      </w:r>
      <w:r w:rsidRPr="002A228D">
        <w:rPr>
          <w:sz w:val="20"/>
          <w:szCs w:val="20"/>
        </w:rPr>
        <w:t xml:space="preserve">, </w:t>
      </w:r>
      <w:r>
        <w:rPr>
          <w:sz w:val="20"/>
          <w:szCs w:val="20"/>
        </w:rPr>
        <w:t>a</w:t>
      </w:r>
      <w:r w:rsidRPr="002A228D">
        <w:rPr>
          <w:sz w:val="20"/>
          <w:szCs w:val="20"/>
        </w:rPr>
        <w:t>crylique et résine sur toile, 97</w:t>
      </w:r>
      <w:r>
        <w:rPr>
          <w:sz w:val="20"/>
          <w:szCs w:val="20"/>
        </w:rPr>
        <w:t>.</w:t>
      </w:r>
      <w:r w:rsidRPr="002A228D">
        <w:rPr>
          <w:sz w:val="20"/>
          <w:szCs w:val="20"/>
        </w:rPr>
        <w:t>5 x 77</w:t>
      </w:r>
      <w:r>
        <w:rPr>
          <w:sz w:val="20"/>
          <w:szCs w:val="20"/>
        </w:rPr>
        <w:t>.</w:t>
      </w:r>
      <w:r w:rsidRPr="002A228D">
        <w:rPr>
          <w:sz w:val="20"/>
          <w:szCs w:val="20"/>
        </w:rPr>
        <w:t>5 cm, 1986.</w:t>
      </w:r>
    </w:p>
  </w:footnote>
  <w:footnote w:id="91">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Cf. Bernard </w:t>
      </w:r>
      <w:proofErr w:type="spellStart"/>
      <w:r w:rsidRPr="007A0BF2">
        <w:rPr>
          <w:sz w:val="20"/>
          <w:szCs w:val="20"/>
        </w:rPr>
        <w:t>Frize</w:t>
      </w:r>
      <w:proofErr w:type="spellEnd"/>
      <w:r w:rsidRPr="007A0BF2">
        <w:rPr>
          <w:sz w:val="20"/>
          <w:szCs w:val="20"/>
        </w:rPr>
        <w:t xml:space="preserve">, « Quoi, Pourquoi, Quand, Comment, Où et Qui », art. </w:t>
      </w:r>
      <w:proofErr w:type="spellStart"/>
      <w:r w:rsidRPr="007A0BF2">
        <w:rPr>
          <w:sz w:val="20"/>
          <w:szCs w:val="20"/>
        </w:rPr>
        <w:t>cit</w:t>
      </w:r>
      <w:proofErr w:type="spellEnd"/>
      <w:r w:rsidRPr="007A0BF2">
        <w:rPr>
          <w:sz w:val="20"/>
          <w:szCs w:val="20"/>
        </w:rPr>
        <w:t xml:space="preserve">., p. 188 : prendre une brosse « me permet de peindre en une fois un trait de plusieurs couleurs, tout comme lorsque je tiens dans mes deux mains, pour d’autres tableaux, plus d’une dizaine de pinceaux chacun chargé de sa couleur et qui se mélangent au fur et à mesure du trajet sur la toile ». </w:t>
      </w:r>
    </w:p>
  </w:footnote>
  <w:footnote w:id="92">
    <w:p w:rsidR="00AD766A" w:rsidRPr="00CA328B" w:rsidRDefault="00AD766A" w:rsidP="00AD766A">
      <w:pPr>
        <w:pStyle w:val="Notedebasdepage"/>
        <w:jc w:val="both"/>
        <w:rPr>
          <w:sz w:val="20"/>
          <w:szCs w:val="20"/>
          <w:lang w:val="fr-CH"/>
        </w:rPr>
      </w:pPr>
      <w:r w:rsidRPr="00CA328B">
        <w:rPr>
          <w:rStyle w:val="Appelnotedebasdep"/>
          <w:sz w:val="20"/>
          <w:szCs w:val="20"/>
        </w:rPr>
        <w:footnoteRef/>
      </w:r>
      <w:r w:rsidRPr="00CA328B">
        <w:rPr>
          <w:sz w:val="20"/>
          <w:szCs w:val="20"/>
        </w:rPr>
        <w:t xml:space="preserve"> </w:t>
      </w:r>
      <w:r w:rsidRPr="00CA328B">
        <w:rPr>
          <w:sz w:val="20"/>
          <w:szCs w:val="20"/>
          <w:lang w:val="fr-CH"/>
        </w:rPr>
        <w:t xml:space="preserve">Tim Ingold, </w:t>
      </w:r>
      <w:r w:rsidRPr="00CA328B">
        <w:rPr>
          <w:i/>
          <w:sz w:val="20"/>
          <w:szCs w:val="20"/>
          <w:lang w:val="fr-CH"/>
        </w:rPr>
        <w:t>Une brève histoire des lignes</w:t>
      </w:r>
      <w:r w:rsidRPr="00CA328B">
        <w:rPr>
          <w:sz w:val="20"/>
          <w:szCs w:val="20"/>
          <w:lang w:val="fr-CH"/>
        </w:rPr>
        <w:t xml:space="preserve">, Le </w:t>
      </w:r>
      <w:proofErr w:type="spellStart"/>
      <w:r w:rsidRPr="00CA328B">
        <w:rPr>
          <w:sz w:val="20"/>
          <w:szCs w:val="20"/>
          <w:lang w:val="fr-CH"/>
        </w:rPr>
        <w:t>Kremlin-Bicetre</w:t>
      </w:r>
      <w:proofErr w:type="spellEnd"/>
      <w:r w:rsidRPr="00CA328B">
        <w:rPr>
          <w:sz w:val="20"/>
          <w:szCs w:val="20"/>
          <w:lang w:val="fr-CH"/>
        </w:rPr>
        <w:t>, Éditions Zones sensibles, 2011-2013, p. 108.</w:t>
      </w:r>
    </w:p>
  </w:footnote>
  <w:footnote w:id="93">
    <w:p w:rsidR="00AD766A" w:rsidRPr="00CA328B" w:rsidRDefault="00AD766A" w:rsidP="00AD766A">
      <w:pPr>
        <w:pStyle w:val="Notedebasdepage"/>
        <w:jc w:val="both"/>
        <w:rPr>
          <w:sz w:val="20"/>
          <w:szCs w:val="20"/>
        </w:rPr>
      </w:pPr>
      <w:r w:rsidRPr="00CA328B">
        <w:rPr>
          <w:rStyle w:val="Appelnotedebasdep"/>
          <w:sz w:val="20"/>
          <w:szCs w:val="20"/>
        </w:rPr>
        <w:footnoteRef/>
      </w:r>
      <w:r w:rsidRPr="00CA328B">
        <w:rPr>
          <w:sz w:val="20"/>
          <w:szCs w:val="20"/>
        </w:rPr>
        <w:t xml:space="preserve"> </w:t>
      </w:r>
      <w:r w:rsidRPr="00CA328B">
        <w:rPr>
          <w:sz w:val="20"/>
          <w:szCs w:val="20"/>
        </w:rPr>
        <w:t xml:space="preserve">Bernard </w:t>
      </w:r>
      <w:proofErr w:type="spellStart"/>
      <w:r w:rsidRPr="00CA328B">
        <w:rPr>
          <w:sz w:val="20"/>
          <w:szCs w:val="20"/>
        </w:rPr>
        <w:t>Frize</w:t>
      </w:r>
      <w:proofErr w:type="spellEnd"/>
      <w:r w:rsidRPr="00CA328B">
        <w:rPr>
          <w:sz w:val="20"/>
          <w:szCs w:val="20"/>
        </w:rPr>
        <w:t xml:space="preserve">, “I </w:t>
      </w:r>
      <w:proofErr w:type="spellStart"/>
      <w:r w:rsidRPr="00CA328B">
        <w:rPr>
          <w:sz w:val="20"/>
          <w:szCs w:val="20"/>
        </w:rPr>
        <w:t>buy</w:t>
      </w:r>
      <w:proofErr w:type="spellEnd"/>
      <w:r w:rsidRPr="00CA328B">
        <w:rPr>
          <w:sz w:val="20"/>
          <w:szCs w:val="20"/>
        </w:rPr>
        <w:t xml:space="preserve"> a </w:t>
      </w:r>
      <w:proofErr w:type="spellStart"/>
      <w:r w:rsidRPr="00CA328B">
        <w:rPr>
          <w:sz w:val="20"/>
          <w:szCs w:val="20"/>
        </w:rPr>
        <w:t>brush</w:t>
      </w:r>
      <w:proofErr w:type="spellEnd"/>
      <w:r w:rsidRPr="00CA328B">
        <w:rPr>
          <w:sz w:val="20"/>
          <w:szCs w:val="20"/>
        </w:rPr>
        <w:t xml:space="preserve"> 40 cm </w:t>
      </w:r>
      <w:proofErr w:type="spellStart"/>
      <w:r w:rsidRPr="00CA328B">
        <w:rPr>
          <w:sz w:val="20"/>
          <w:szCs w:val="20"/>
        </w:rPr>
        <w:t>wide</w:t>
      </w:r>
      <w:proofErr w:type="spellEnd"/>
      <w:r w:rsidRPr="00CA328B">
        <w:rPr>
          <w:sz w:val="20"/>
          <w:szCs w:val="20"/>
        </w:rPr>
        <w:t xml:space="preserve">”, art. </w:t>
      </w:r>
      <w:proofErr w:type="spellStart"/>
      <w:r w:rsidRPr="00CA328B">
        <w:rPr>
          <w:sz w:val="20"/>
          <w:szCs w:val="20"/>
        </w:rPr>
        <w:t>cit</w:t>
      </w:r>
      <w:proofErr w:type="spellEnd"/>
      <w:r w:rsidRPr="00CA328B">
        <w:rPr>
          <w:sz w:val="20"/>
          <w:szCs w:val="20"/>
        </w:rPr>
        <w:t xml:space="preserve">., p. 190 ; cité par Jessica </w:t>
      </w:r>
      <w:proofErr w:type="spellStart"/>
      <w:r w:rsidRPr="00CA328B">
        <w:rPr>
          <w:sz w:val="20"/>
          <w:szCs w:val="20"/>
        </w:rPr>
        <w:t>Stockholder</w:t>
      </w:r>
      <w:proofErr w:type="spellEnd"/>
      <w:r w:rsidRPr="00CA328B">
        <w:rPr>
          <w:sz w:val="20"/>
          <w:szCs w:val="20"/>
        </w:rPr>
        <w:t xml:space="preserve">, « Faits de la matière. Réflexions sur l’œuvre de Bernard </w:t>
      </w:r>
      <w:proofErr w:type="spellStart"/>
      <w:r w:rsidRPr="00CA328B">
        <w:rPr>
          <w:sz w:val="20"/>
          <w:szCs w:val="20"/>
        </w:rPr>
        <w:t>Frize</w:t>
      </w:r>
      <w:proofErr w:type="spellEnd"/>
      <w:r w:rsidRPr="00CA328B">
        <w:rPr>
          <w:sz w:val="20"/>
          <w:szCs w:val="20"/>
        </w:rPr>
        <w:t xml:space="preserve"> », art., </w:t>
      </w:r>
      <w:proofErr w:type="spellStart"/>
      <w:r w:rsidRPr="00CA328B">
        <w:rPr>
          <w:sz w:val="20"/>
          <w:szCs w:val="20"/>
        </w:rPr>
        <w:t>cit</w:t>
      </w:r>
      <w:proofErr w:type="spellEnd"/>
      <w:r w:rsidRPr="00CA328B">
        <w:rPr>
          <w:sz w:val="20"/>
          <w:szCs w:val="20"/>
        </w:rPr>
        <w:t>,.  p. 23.</w:t>
      </w:r>
    </w:p>
  </w:footnote>
  <w:footnote w:id="94">
    <w:p w:rsidR="00AD766A" w:rsidRPr="00CA328B" w:rsidRDefault="00AD766A" w:rsidP="00AD766A">
      <w:pPr>
        <w:pStyle w:val="NormalWeb"/>
        <w:spacing w:before="0" w:beforeAutospacing="0" w:after="0" w:afterAutospacing="0"/>
        <w:jc w:val="both"/>
        <w:rPr>
          <w:sz w:val="20"/>
          <w:szCs w:val="20"/>
        </w:rPr>
      </w:pPr>
      <w:r w:rsidRPr="00CA328B">
        <w:rPr>
          <w:rStyle w:val="Appelnotedebasdep"/>
          <w:sz w:val="20"/>
          <w:szCs w:val="20"/>
        </w:rPr>
        <w:footnoteRef/>
      </w:r>
      <w:r w:rsidRPr="00CA328B">
        <w:rPr>
          <w:sz w:val="20"/>
          <w:szCs w:val="20"/>
        </w:rPr>
        <w:t xml:space="preserve"> </w:t>
      </w:r>
      <w:proofErr w:type="spellStart"/>
      <w:r w:rsidRPr="00CA328B">
        <w:rPr>
          <w:sz w:val="20"/>
          <w:szCs w:val="20"/>
        </w:rPr>
        <w:t>Edeline</w:t>
      </w:r>
      <w:proofErr w:type="spellEnd"/>
      <w:r w:rsidRPr="00CA328B">
        <w:rPr>
          <w:sz w:val="20"/>
          <w:szCs w:val="20"/>
        </w:rPr>
        <w:t xml:space="preserve">, Francis, « Sémiotique de la ligne », </w:t>
      </w:r>
      <w:proofErr w:type="spellStart"/>
      <w:r w:rsidRPr="00CA328B">
        <w:rPr>
          <w:i/>
          <w:sz w:val="20"/>
          <w:szCs w:val="20"/>
        </w:rPr>
        <w:t>Studies</w:t>
      </w:r>
      <w:proofErr w:type="spellEnd"/>
      <w:r w:rsidRPr="00CA328B">
        <w:rPr>
          <w:i/>
          <w:sz w:val="20"/>
          <w:szCs w:val="20"/>
        </w:rPr>
        <w:t xml:space="preserve"> in Communication Sciences</w:t>
      </w:r>
      <w:r w:rsidRPr="00CA328B">
        <w:rPr>
          <w:sz w:val="20"/>
          <w:szCs w:val="20"/>
        </w:rPr>
        <w:t>, n</w:t>
      </w:r>
      <w:r w:rsidRPr="00CA328B">
        <w:rPr>
          <w:sz w:val="20"/>
          <w:szCs w:val="20"/>
          <w:vertAlign w:val="superscript"/>
        </w:rPr>
        <w:t>o</w:t>
      </w:r>
      <w:r w:rsidRPr="00CA328B">
        <w:rPr>
          <w:sz w:val="20"/>
          <w:szCs w:val="20"/>
        </w:rPr>
        <w:t xml:space="preserve"> 8/1, Lugano, </w:t>
      </w:r>
      <w:proofErr w:type="spellStart"/>
      <w:r w:rsidRPr="00CA328B">
        <w:rPr>
          <w:sz w:val="20"/>
          <w:szCs w:val="20"/>
        </w:rPr>
        <w:t>Swiss</w:t>
      </w:r>
      <w:proofErr w:type="spellEnd"/>
      <w:r w:rsidRPr="00CA328B">
        <w:rPr>
          <w:sz w:val="20"/>
          <w:szCs w:val="20"/>
        </w:rPr>
        <w:t xml:space="preserve"> Association of C</w:t>
      </w:r>
      <w:r w:rsidR="003304E3">
        <w:rPr>
          <w:sz w:val="20"/>
          <w:szCs w:val="20"/>
        </w:rPr>
        <w:t>o</w:t>
      </w:r>
      <w:r w:rsidRPr="00CA328B">
        <w:rPr>
          <w:sz w:val="20"/>
          <w:szCs w:val="20"/>
        </w:rPr>
        <w:t xml:space="preserve">mmunication and Media </w:t>
      </w:r>
      <w:proofErr w:type="spellStart"/>
      <w:r w:rsidRPr="00CA328B">
        <w:rPr>
          <w:sz w:val="20"/>
          <w:szCs w:val="20"/>
        </w:rPr>
        <w:t>Studies</w:t>
      </w:r>
      <w:proofErr w:type="spellEnd"/>
      <w:r w:rsidRPr="00CA328B">
        <w:rPr>
          <w:sz w:val="20"/>
          <w:szCs w:val="20"/>
        </w:rPr>
        <w:t xml:space="preserve"> et </w:t>
      </w:r>
      <w:proofErr w:type="spellStart"/>
      <w:r w:rsidRPr="00CA328B">
        <w:rPr>
          <w:sz w:val="20"/>
          <w:szCs w:val="20"/>
        </w:rPr>
        <w:t>Faculty</w:t>
      </w:r>
      <w:proofErr w:type="spellEnd"/>
      <w:r w:rsidRPr="00CA328B">
        <w:rPr>
          <w:sz w:val="20"/>
          <w:szCs w:val="20"/>
        </w:rPr>
        <w:t xml:space="preserve"> of Communication Sciences of the </w:t>
      </w:r>
      <w:proofErr w:type="spellStart"/>
      <w:r w:rsidRPr="00CA328B">
        <w:rPr>
          <w:sz w:val="20"/>
          <w:szCs w:val="20"/>
        </w:rPr>
        <w:t>Università</w:t>
      </w:r>
      <w:proofErr w:type="spellEnd"/>
      <w:r w:rsidRPr="00CA328B">
        <w:rPr>
          <w:sz w:val="20"/>
          <w:szCs w:val="20"/>
        </w:rPr>
        <w:t xml:space="preserve"> </w:t>
      </w:r>
      <w:proofErr w:type="spellStart"/>
      <w:r w:rsidRPr="00CA328B">
        <w:rPr>
          <w:sz w:val="20"/>
          <w:szCs w:val="20"/>
        </w:rPr>
        <w:t>della</w:t>
      </w:r>
      <w:proofErr w:type="spellEnd"/>
      <w:r w:rsidRPr="00CA328B">
        <w:rPr>
          <w:sz w:val="20"/>
          <w:szCs w:val="20"/>
        </w:rPr>
        <w:t xml:space="preserve"> Svizzera </w:t>
      </w:r>
      <w:proofErr w:type="spellStart"/>
      <w:r w:rsidRPr="00CA328B">
        <w:rPr>
          <w:sz w:val="20"/>
          <w:szCs w:val="20"/>
        </w:rPr>
        <w:t>italiana</w:t>
      </w:r>
      <w:proofErr w:type="spellEnd"/>
      <w:r w:rsidRPr="00CA328B">
        <w:rPr>
          <w:sz w:val="20"/>
          <w:szCs w:val="20"/>
        </w:rPr>
        <w:t xml:space="preserve">, 2008, pp. 189-213.  </w:t>
      </w:r>
    </w:p>
  </w:footnote>
  <w:footnote w:id="95">
    <w:p w:rsidR="00AD766A" w:rsidRPr="00CA328B" w:rsidRDefault="00AD766A" w:rsidP="00AD766A">
      <w:pPr>
        <w:pStyle w:val="Notedebasdepage"/>
        <w:jc w:val="both"/>
        <w:rPr>
          <w:sz w:val="20"/>
          <w:szCs w:val="20"/>
        </w:rPr>
      </w:pPr>
      <w:r w:rsidRPr="00CA328B">
        <w:rPr>
          <w:rStyle w:val="Appelnotedebasdep"/>
          <w:sz w:val="20"/>
          <w:szCs w:val="20"/>
        </w:rPr>
        <w:footnoteRef/>
      </w:r>
      <w:r w:rsidRPr="00CA328B">
        <w:rPr>
          <w:sz w:val="20"/>
          <w:szCs w:val="20"/>
        </w:rPr>
        <w:t xml:space="preserve"> </w:t>
      </w:r>
      <w:r>
        <w:rPr>
          <w:sz w:val="20"/>
          <w:szCs w:val="20"/>
        </w:rPr>
        <w:t xml:space="preserve">Bernard </w:t>
      </w:r>
      <w:proofErr w:type="spellStart"/>
      <w:r>
        <w:rPr>
          <w:sz w:val="20"/>
          <w:szCs w:val="20"/>
        </w:rPr>
        <w:t>Frize</w:t>
      </w:r>
      <w:proofErr w:type="spellEnd"/>
      <w:r>
        <w:rPr>
          <w:sz w:val="20"/>
          <w:szCs w:val="20"/>
        </w:rPr>
        <w:t xml:space="preserve">, </w:t>
      </w:r>
      <w:r w:rsidRPr="00CA328B">
        <w:rPr>
          <w:i/>
          <w:sz w:val="20"/>
          <w:szCs w:val="20"/>
        </w:rPr>
        <w:t>Damier</w:t>
      </w:r>
      <w:r w:rsidRPr="00CA328B">
        <w:rPr>
          <w:sz w:val="20"/>
          <w:szCs w:val="20"/>
        </w:rPr>
        <w:t xml:space="preserve">, </w:t>
      </w:r>
      <w:r>
        <w:rPr>
          <w:sz w:val="20"/>
          <w:szCs w:val="20"/>
        </w:rPr>
        <w:t>a</w:t>
      </w:r>
      <w:r w:rsidRPr="00CA328B">
        <w:rPr>
          <w:sz w:val="20"/>
          <w:szCs w:val="20"/>
        </w:rPr>
        <w:t xml:space="preserve">crylique et résine sur toile, 165 x 165 cm, 2006. </w:t>
      </w:r>
    </w:p>
  </w:footnote>
  <w:footnote w:id="96">
    <w:p w:rsidR="00AD766A" w:rsidRPr="0060474C" w:rsidRDefault="00AD766A" w:rsidP="00AD766A">
      <w:pPr>
        <w:jc w:val="both"/>
        <w:rPr>
          <w:sz w:val="20"/>
          <w:szCs w:val="20"/>
        </w:rPr>
      </w:pPr>
      <w:r w:rsidRPr="0060474C">
        <w:rPr>
          <w:rStyle w:val="Appelnotedebasdep"/>
          <w:sz w:val="20"/>
          <w:szCs w:val="20"/>
        </w:rPr>
        <w:footnoteRef/>
      </w:r>
      <w:r w:rsidRPr="0060474C">
        <w:rPr>
          <w:sz w:val="20"/>
          <w:szCs w:val="20"/>
        </w:rPr>
        <w:t xml:space="preserve"> </w:t>
      </w:r>
      <w:r w:rsidRPr="0060474C">
        <w:rPr>
          <w:rStyle w:val="class"/>
          <w:rFonts w:eastAsiaTheme="minorEastAsia"/>
          <w:color w:val="000000"/>
          <w:sz w:val="20"/>
          <w:szCs w:val="20"/>
          <w:shd w:val="clear" w:color="auto" w:fill="FFFFFF"/>
        </w:rPr>
        <w:t>Henri Michaux,</w:t>
      </w:r>
      <w:r w:rsidRPr="0060474C">
        <w:rPr>
          <w:rStyle w:val="apple-converted-space"/>
          <w:color w:val="000000"/>
          <w:sz w:val="20"/>
          <w:szCs w:val="20"/>
          <w:shd w:val="clear" w:color="auto" w:fill="FFFFFF"/>
        </w:rPr>
        <w:t> </w:t>
      </w:r>
      <w:r w:rsidRPr="0060474C">
        <w:rPr>
          <w:rStyle w:val="class"/>
          <w:rFonts w:eastAsiaTheme="minorEastAsia"/>
          <w:i/>
          <w:iCs/>
          <w:color w:val="000000"/>
          <w:sz w:val="20"/>
          <w:szCs w:val="20"/>
          <w:shd w:val="clear" w:color="auto" w:fill="FFFFFF"/>
        </w:rPr>
        <w:t>Œuvres complètes</w:t>
      </w:r>
      <w:r w:rsidRPr="0060474C">
        <w:rPr>
          <w:rStyle w:val="class"/>
          <w:rFonts w:eastAsiaTheme="minorEastAsia"/>
          <w:color w:val="000000"/>
          <w:sz w:val="20"/>
          <w:szCs w:val="20"/>
          <w:shd w:val="clear" w:color="auto" w:fill="FFFFFF"/>
        </w:rPr>
        <w:t xml:space="preserve">, Paris, Gallimard, t. II, Pléiade, pp. 360-363. Voir « Le plaisir d’être une ligne. Une ligne rêve. Jusqu’à Paul Klee, on n’avait jamais laissé rêver une ligne », </w:t>
      </w:r>
      <w:r w:rsidRPr="0060474C">
        <w:rPr>
          <w:rStyle w:val="class"/>
          <w:rFonts w:eastAsiaTheme="minorEastAsia"/>
          <w:i/>
          <w:color w:val="000000"/>
          <w:sz w:val="20"/>
          <w:szCs w:val="20"/>
          <w:shd w:val="clear" w:color="auto" w:fill="FFFFFF"/>
        </w:rPr>
        <w:t>Le musée égoïste</w:t>
      </w:r>
      <w:r w:rsidRPr="0060474C">
        <w:rPr>
          <w:rStyle w:val="class"/>
          <w:rFonts w:eastAsiaTheme="minorEastAsia"/>
          <w:color w:val="000000"/>
          <w:sz w:val="20"/>
          <w:szCs w:val="20"/>
          <w:shd w:val="clear" w:color="auto" w:fill="FFFFFF"/>
        </w:rPr>
        <w:t xml:space="preserve">. </w:t>
      </w:r>
    </w:p>
  </w:footnote>
  <w:footnote w:id="97">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Cf. Paul Klee, </w:t>
      </w:r>
      <w:r w:rsidRPr="007A0BF2">
        <w:rPr>
          <w:i/>
          <w:sz w:val="20"/>
          <w:szCs w:val="20"/>
        </w:rPr>
        <w:t xml:space="preserve">Théorie de l’art moderne, op. </w:t>
      </w:r>
      <w:proofErr w:type="spellStart"/>
      <w:r w:rsidRPr="007A0BF2">
        <w:rPr>
          <w:i/>
          <w:sz w:val="20"/>
          <w:szCs w:val="20"/>
        </w:rPr>
        <w:t>cit</w:t>
      </w:r>
      <w:proofErr w:type="spellEnd"/>
      <w:r w:rsidRPr="007A0BF2">
        <w:rPr>
          <w:sz w:val="20"/>
          <w:szCs w:val="20"/>
        </w:rPr>
        <w:t>.</w:t>
      </w:r>
    </w:p>
  </w:footnote>
  <w:footnote w:id="98">
    <w:p w:rsidR="00AD766A" w:rsidRPr="007A0BF2" w:rsidRDefault="00AD766A" w:rsidP="00AD766A">
      <w:pPr>
        <w:pStyle w:val="Notedebasdepage"/>
        <w:jc w:val="both"/>
        <w:rPr>
          <w:sz w:val="20"/>
          <w:szCs w:val="20"/>
        </w:rPr>
      </w:pPr>
      <w:r w:rsidRPr="007A0BF2">
        <w:rPr>
          <w:rStyle w:val="Appelnotedebasdep"/>
          <w:sz w:val="20"/>
          <w:szCs w:val="20"/>
        </w:rPr>
        <w:footnoteRef/>
      </w:r>
      <w:r w:rsidRPr="007A0BF2">
        <w:rPr>
          <w:sz w:val="20"/>
          <w:szCs w:val="20"/>
        </w:rPr>
        <w:t xml:space="preserve"> </w:t>
      </w:r>
      <w:r>
        <w:rPr>
          <w:sz w:val="20"/>
          <w:szCs w:val="20"/>
        </w:rPr>
        <w:t xml:space="preserve">Paul Klee, </w:t>
      </w:r>
      <w:r w:rsidRPr="0019678D">
        <w:rPr>
          <w:i/>
          <w:sz w:val="20"/>
          <w:szCs w:val="20"/>
        </w:rPr>
        <w:t>Fugue en rouge</w:t>
      </w:r>
      <w:r>
        <w:rPr>
          <w:sz w:val="20"/>
          <w:szCs w:val="20"/>
        </w:rPr>
        <w:t>, a</w:t>
      </w:r>
      <w:r w:rsidRPr="007A0BF2">
        <w:rPr>
          <w:sz w:val="20"/>
          <w:szCs w:val="20"/>
        </w:rPr>
        <w:t>quarelle et crayon sur papier sur carton, 24</w:t>
      </w:r>
      <w:r>
        <w:rPr>
          <w:sz w:val="20"/>
          <w:szCs w:val="20"/>
        </w:rPr>
        <w:t>.</w:t>
      </w:r>
      <w:r w:rsidRPr="007A0BF2">
        <w:rPr>
          <w:sz w:val="20"/>
          <w:szCs w:val="20"/>
        </w:rPr>
        <w:t>4 x 31</w:t>
      </w:r>
      <w:r>
        <w:rPr>
          <w:sz w:val="20"/>
          <w:szCs w:val="20"/>
        </w:rPr>
        <w:t>.</w:t>
      </w:r>
      <w:r w:rsidRPr="007A0BF2">
        <w:rPr>
          <w:sz w:val="20"/>
          <w:szCs w:val="20"/>
        </w:rPr>
        <w:t>5 cm</w:t>
      </w:r>
      <w:r>
        <w:rPr>
          <w:sz w:val="20"/>
          <w:szCs w:val="20"/>
        </w:rPr>
        <w:t>, c</w:t>
      </w:r>
      <w:r w:rsidRPr="007A0BF2">
        <w:rPr>
          <w:sz w:val="20"/>
          <w:szCs w:val="20"/>
        </w:rPr>
        <w:t>ollection particulière, en dépôt au Centre Paul Klee, Berne</w:t>
      </w:r>
      <w:r>
        <w:rPr>
          <w:sz w:val="20"/>
          <w:szCs w:val="20"/>
        </w:rPr>
        <w:t xml:space="preserve">, 1921. </w:t>
      </w:r>
      <w:r w:rsidRPr="007A0BF2">
        <w:rPr>
          <w:sz w:val="20"/>
          <w:szCs w:val="20"/>
        </w:rPr>
        <w:t xml:space="preserve">Le tableau a été exposé entre autres dans le cadre de </w:t>
      </w:r>
      <w:r w:rsidRPr="007A0BF2">
        <w:rPr>
          <w:i/>
          <w:sz w:val="20"/>
          <w:szCs w:val="20"/>
        </w:rPr>
        <w:t>Paul Klee (1897-1940)</w:t>
      </w:r>
      <w:r w:rsidRPr="007A0BF2">
        <w:rPr>
          <w:sz w:val="20"/>
          <w:szCs w:val="20"/>
        </w:rPr>
        <w:t xml:space="preserve"> </w:t>
      </w:r>
      <w:r w:rsidRPr="007A0BF2">
        <w:rPr>
          <w:i/>
          <w:sz w:val="20"/>
          <w:szCs w:val="20"/>
        </w:rPr>
        <w:t>Polyphonies</w:t>
      </w:r>
      <w:r w:rsidRPr="007A0BF2">
        <w:rPr>
          <w:sz w:val="20"/>
          <w:szCs w:val="20"/>
        </w:rPr>
        <w:t xml:space="preserve">, 18 octobre 2011-15 janvier 2012, Musée de la musique, Cité de la musique, Paris. </w:t>
      </w:r>
    </w:p>
  </w:footnote>
  <w:footnote w:id="99">
    <w:p w:rsidR="00AD766A" w:rsidRPr="00B47194" w:rsidRDefault="00AD766A" w:rsidP="00AD766A">
      <w:pPr>
        <w:jc w:val="both"/>
        <w:rPr>
          <w:sz w:val="20"/>
          <w:szCs w:val="20"/>
        </w:rPr>
      </w:pPr>
      <w:r w:rsidRPr="00B47194">
        <w:rPr>
          <w:rStyle w:val="Appelnotedebasdep"/>
          <w:sz w:val="20"/>
          <w:szCs w:val="20"/>
        </w:rPr>
        <w:footnoteRef/>
      </w:r>
      <w:r w:rsidRPr="00B47194">
        <w:rPr>
          <w:sz w:val="20"/>
          <w:szCs w:val="20"/>
        </w:rPr>
        <w:t xml:space="preserve"> </w:t>
      </w:r>
      <w:r w:rsidRPr="00B47194">
        <w:rPr>
          <w:sz w:val="20"/>
          <w:szCs w:val="20"/>
        </w:rPr>
        <w:t xml:space="preserve">Yves Bosseur, </w:t>
      </w:r>
      <w:r w:rsidRPr="00B47194">
        <w:rPr>
          <w:i/>
          <w:sz w:val="20"/>
          <w:szCs w:val="20"/>
        </w:rPr>
        <w:t>Musique et arts plastiques : interactions au XXe siècle</w:t>
      </w:r>
      <w:r w:rsidRPr="00B47194">
        <w:rPr>
          <w:sz w:val="20"/>
          <w:szCs w:val="20"/>
        </w:rPr>
        <w:t>, Paris, Minerve, 2006 [1998], pp. 99-100.</w:t>
      </w:r>
    </w:p>
  </w:footnote>
  <w:footnote w:id="100">
    <w:p w:rsidR="00AD766A" w:rsidRPr="00B47194" w:rsidRDefault="00AD766A" w:rsidP="00AD766A">
      <w:pPr>
        <w:pStyle w:val="Notedebasdepage"/>
        <w:jc w:val="both"/>
        <w:rPr>
          <w:sz w:val="20"/>
          <w:szCs w:val="20"/>
          <w:lang w:val="fr-CH"/>
        </w:rPr>
      </w:pPr>
      <w:r w:rsidRPr="00B47194">
        <w:rPr>
          <w:rStyle w:val="Appelnotedebasdep"/>
          <w:sz w:val="20"/>
          <w:szCs w:val="20"/>
        </w:rPr>
        <w:footnoteRef/>
      </w:r>
      <w:r w:rsidRPr="00B47194">
        <w:rPr>
          <w:sz w:val="20"/>
          <w:szCs w:val="20"/>
        </w:rPr>
        <w:t> </w:t>
      </w:r>
      <w:r w:rsidRPr="00B47194">
        <w:rPr>
          <w:sz w:val="20"/>
          <w:szCs w:val="20"/>
          <w:lang w:val="fr-CH"/>
        </w:rPr>
        <w:t xml:space="preserve">À ce sujet, cf. Marion Colas-Blaise, « Questions de sémiotique visuelle : énonciation énoncée et expérience de l’œuvre d’art », </w:t>
      </w:r>
      <w:r w:rsidRPr="00B47194">
        <w:rPr>
          <w:i/>
          <w:sz w:val="20"/>
          <w:szCs w:val="20"/>
          <w:lang w:val="fr-CH"/>
        </w:rPr>
        <w:t xml:space="preserve">in </w:t>
      </w:r>
      <w:r w:rsidRPr="00B47194">
        <w:rPr>
          <w:sz w:val="20"/>
          <w:szCs w:val="20"/>
          <w:lang w:val="fr-CH"/>
        </w:rPr>
        <w:t xml:space="preserve">M. G. </w:t>
      </w:r>
      <w:proofErr w:type="spellStart"/>
      <w:r w:rsidRPr="00B47194">
        <w:rPr>
          <w:sz w:val="20"/>
          <w:szCs w:val="20"/>
          <w:lang w:val="fr-CH"/>
        </w:rPr>
        <w:t>Dondero</w:t>
      </w:r>
      <w:proofErr w:type="spellEnd"/>
      <w:r w:rsidRPr="00B47194">
        <w:rPr>
          <w:sz w:val="20"/>
          <w:szCs w:val="20"/>
          <w:lang w:val="fr-CH"/>
        </w:rPr>
        <w:t xml:space="preserve">, A. </w:t>
      </w:r>
      <w:proofErr w:type="spellStart"/>
      <w:r w:rsidRPr="00B47194">
        <w:rPr>
          <w:sz w:val="20"/>
          <w:szCs w:val="20"/>
          <w:lang w:val="fr-CH"/>
        </w:rPr>
        <w:t>Beyaert-Geslin</w:t>
      </w:r>
      <w:proofErr w:type="spellEnd"/>
      <w:r w:rsidRPr="00B47194">
        <w:rPr>
          <w:sz w:val="20"/>
          <w:szCs w:val="20"/>
          <w:lang w:val="fr-CH"/>
        </w:rPr>
        <w:t xml:space="preserve"> &amp; A. </w:t>
      </w:r>
      <w:proofErr w:type="spellStart"/>
      <w:r w:rsidRPr="00B47194">
        <w:rPr>
          <w:sz w:val="20"/>
          <w:szCs w:val="20"/>
          <w:lang w:val="fr-CH"/>
        </w:rPr>
        <w:t>Moutat</w:t>
      </w:r>
      <w:proofErr w:type="spellEnd"/>
      <w:r w:rsidRPr="00B47194">
        <w:rPr>
          <w:sz w:val="20"/>
          <w:szCs w:val="20"/>
          <w:lang w:val="fr-CH"/>
        </w:rPr>
        <w:t xml:space="preserve"> (</w:t>
      </w:r>
      <w:proofErr w:type="spellStart"/>
      <w:r w:rsidRPr="00B47194">
        <w:rPr>
          <w:sz w:val="20"/>
          <w:szCs w:val="20"/>
          <w:lang w:val="fr-CH"/>
        </w:rPr>
        <w:t>éds</w:t>
      </w:r>
      <w:proofErr w:type="spellEnd"/>
      <w:r w:rsidRPr="00B47194">
        <w:rPr>
          <w:sz w:val="20"/>
          <w:szCs w:val="20"/>
          <w:lang w:val="fr-CH"/>
        </w:rPr>
        <w:t xml:space="preserve">), </w:t>
      </w:r>
      <w:r w:rsidRPr="00B47194">
        <w:rPr>
          <w:i/>
          <w:sz w:val="20"/>
          <w:szCs w:val="20"/>
          <w:lang w:val="fr-CH"/>
        </w:rPr>
        <w:t>Les plis du visuel, Réflexivité et énonciation dans l’image</w:t>
      </w:r>
      <w:r w:rsidRPr="00B47194">
        <w:rPr>
          <w:sz w:val="20"/>
          <w:szCs w:val="20"/>
          <w:lang w:val="fr-CH"/>
        </w:rPr>
        <w:t xml:space="preserve">, Limoges, Lambert-Lucas, 2017, pp. 85-99. </w:t>
      </w:r>
    </w:p>
  </w:footnote>
  <w:footnote w:id="101">
    <w:p w:rsidR="00AD766A" w:rsidRPr="003304E3" w:rsidRDefault="00AD766A" w:rsidP="00AD766A">
      <w:pPr>
        <w:pStyle w:val="Notedebasdepage"/>
        <w:jc w:val="both"/>
        <w:rPr>
          <w:color w:val="000000" w:themeColor="text1"/>
          <w:sz w:val="20"/>
          <w:szCs w:val="20"/>
        </w:rPr>
      </w:pPr>
      <w:r w:rsidRPr="007A0BF2">
        <w:rPr>
          <w:rStyle w:val="Appelnotedebasdep"/>
          <w:color w:val="000000" w:themeColor="text1"/>
          <w:sz w:val="20"/>
          <w:szCs w:val="20"/>
        </w:rPr>
        <w:footnoteRef/>
      </w:r>
      <w:r w:rsidRPr="007A0BF2">
        <w:rPr>
          <w:color w:val="000000" w:themeColor="text1"/>
          <w:sz w:val="20"/>
          <w:szCs w:val="20"/>
        </w:rPr>
        <w:t xml:space="preserve"> </w:t>
      </w:r>
      <w:r w:rsidRPr="007A0BF2">
        <w:rPr>
          <w:color w:val="000000" w:themeColor="text1"/>
          <w:sz w:val="20"/>
          <w:szCs w:val="20"/>
        </w:rPr>
        <w:t xml:space="preserve">Bruno </w:t>
      </w:r>
      <w:proofErr w:type="spellStart"/>
      <w:r w:rsidRPr="007A0BF2">
        <w:rPr>
          <w:color w:val="000000" w:themeColor="text1"/>
          <w:sz w:val="20"/>
          <w:szCs w:val="20"/>
        </w:rPr>
        <w:t>Latour</w:t>
      </w:r>
      <w:proofErr w:type="spellEnd"/>
      <w:r w:rsidRPr="007A0BF2">
        <w:rPr>
          <w:color w:val="000000" w:themeColor="text1"/>
          <w:sz w:val="20"/>
          <w:szCs w:val="20"/>
        </w:rPr>
        <w:t xml:space="preserve">, « L’anti-zoom », 2014. [En ligne] : </w:t>
      </w:r>
      <w:r w:rsidRPr="003304E3">
        <w:rPr>
          <w:color w:val="000000" w:themeColor="text1"/>
          <w:sz w:val="20"/>
          <w:szCs w:val="20"/>
        </w:rPr>
        <w:t>&lt;</w:t>
      </w:r>
      <w:hyperlink r:id="rId3" w:history="1">
        <w:r w:rsidRPr="003304E3">
          <w:rPr>
            <w:rStyle w:val="Lienhypertexte"/>
            <w:color w:val="000000" w:themeColor="text1"/>
            <w:sz w:val="20"/>
            <w:szCs w:val="20"/>
            <w:u w:val="none"/>
          </w:rPr>
          <w:t>www.bruno-latour.fr/sites/default/.../P-170-ELIASSON-FRpdf.pdf</w:t>
        </w:r>
      </w:hyperlink>
      <w:r w:rsidRPr="003304E3">
        <w:rPr>
          <w:rStyle w:val="Lienhypertexte"/>
          <w:color w:val="000000" w:themeColor="text1"/>
          <w:sz w:val="20"/>
          <w:szCs w:val="20"/>
          <w:u w:val="none"/>
        </w:rPr>
        <w:t xml:space="preserve"> &gt; (consulté le 24 août 2019). </w:t>
      </w:r>
    </w:p>
  </w:footnote>
  <w:footnote w:id="102">
    <w:p w:rsidR="00AD766A" w:rsidRPr="0060474C" w:rsidRDefault="00AD766A" w:rsidP="00AD766A">
      <w:pPr>
        <w:widowControl w:val="0"/>
        <w:autoSpaceDE w:val="0"/>
        <w:autoSpaceDN w:val="0"/>
        <w:adjustRightInd w:val="0"/>
        <w:jc w:val="both"/>
        <w:rPr>
          <w:i/>
          <w:sz w:val="20"/>
          <w:szCs w:val="20"/>
        </w:rPr>
      </w:pPr>
      <w:r w:rsidRPr="0060474C">
        <w:rPr>
          <w:rStyle w:val="Appelnotedebasdep"/>
          <w:sz w:val="20"/>
          <w:szCs w:val="20"/>
        </w:rPr>
        <w:footnoteRef/>
      </w:r>
      <w:r w:rsidRPr="0060474C">
        <w:rPr>
          <w:sz w:val="20"/>
          <w:szCs w:val="20"/>
        </w:rPr>
        <w:t xml:space="preserve"> </w:t>
      </w:r>
      <w:r w:rsidRPr="0060474C">
        <w:rPr>
          <w:sz w:val="20"/>
          <w:szCs w:val="20"/>
        </w:rPr>
        <w:t xml:space="preserve">Cf. Gotthold </w:t>
      </w:r>
      <w:proofErr w:type="spellStart"/>
      <w:r w:rsidRPr="0060474C">
        <w:rPr>
          <w:sz w:val="20"/>
          <w:szCs w:val="20"/>
        </w:rPr>
        <w:t>Ephraim</w:t>
      </w:r>
      <w:proofErr w:type="spellEnd"/>
      <w:r w:rsidRPr="0060474C">
        <w:rPr>
          <w:sz w:val="20"/>
          <w:szCs w:val="20"/>
        </w:rPr>
        <w:t xml:space="preserve"> Lessing, </w:t>
      </w:r>
      <w:r w:rsidRPr="0060474C">
        <w:rPr>
          <w:i/>
          <w:sz w:val="20"/>
          <w:szCs w:val="20"/>
        </w:rPr>
        <w:t>Laocoon ou Des frontières de la peinture et de la poésie</w:t>
      </w:r>
      <w:r w:rsidRPr="0060474C">
        <w:rPr>
          <w:sz w:val="20"/>
          <w:szCs w:val="20"/>
        </w:rPr>
        <w:t xml:space="preserve">, Paris, Herman, 1990 ; trad. </w:t>
      </w:r>
      <w:proofErr w:type="spellStart"/>
      <w:r w:rsidRPr="0060474C">
        <w:rPr>
          <w:sz w:val="20"/>
          <w:szCs w:val="20"/>
        </w:rPr>
        <w:t>fr.</w:t>
      </w:r>
      <w:proofErr w:type="spellEnd"/>
      <w:r w:rsidRPr="0060474C">
        <w:rPr>
          <w:sz w:val="20"/>
          <w:szCs w:val="20"/>
        </w:rPr>
        <w:t xml:space="preserve"> de </w:t>
      </w:r>
      <w:r w:rsidRPr="0060474C">
        <w:rPr>
          <w:i/>
          <w:sz w:val="20"/>
          <w:szCs w:val="20"/>
        </w:rPr>
        <w:t xml:space="preserve">Laocoon, </w:t>
      </w:r>
      <w:proofErr w:type="spellStart"/>
      <w:r w:rsidRPr="0060474C">
        <w:rPr>
          <w:i/>
          <w:sz w:val="20"/>
          <w:szCs w:val="20"/>
        </w:rPr>
        <w:t>oder</w:t>
      </w:r>
      <w:proofErr w:type="spellEnd"/>
      <w:r w:rsidRPr="0060474C">
        <w:rPr>
          <w:i/>
          <w:sz w:val="20"/>
          <w:szCs w:val="20"/>
        </w:rPr>
        <w:t xml:space="preserve"> </w:t>
      </w:r>
      <w:proofErr w:type="spellStart"/>
      <w:r w:rsidRPr="0060474C">
        <w:rPr>
          <w:i/>
          <w:sz w:val="20"/>
          <w:szCs w:val="20"/>
        </w:rPr>
        <w:t>Über</w:t>
      </w:r>
      <w:proofErr w:type="spellEnd"/>
      <w:r w:rsidRPr="0060474C">
        <w:rPr>
          <w:i/>
          <w:sz w:val="20"/>
          <w:szCs w:val="20"/>
        </w:rPr>
        <w:t xml:space="preserve"> die </w:t>
      </w:r>
      <w:proofErr w:type="spellStart"/>
      <w:r w:rsidRPr="0060474C">
        <w:rPr>
          <w:i/>
          <w:sz w:val="20"/>
          <w:szCs w:val="20"/>
        </w:rPr>
        <w:t>Grenzen</w:t>
      </w:r>
      <w:proofErr w:type="spellEnd"/>
      <w:r w:rsidRPr="0060474C">
        <w:rPr>
          <w:i/>
          <w:sz w:val="20"/>
          <w:szCs w:val="20"/>
        </w:rPr>
        <w:t xml:space="preserve"> der </w:t>
      </w:r>
      <w:proofErr w:type="spellStart"/>
      <w:r w:rsidRPr="0060474C">
        <w:rPr>
          <w:i/>
          <w:sz w:val="20"/>
          <w:szCs w:val="20"/>
        </w:rPr>
        <w:t>Malerei</w:t>
      </w:r>
      <w:proofErr w:type="spellEnd"/>
      <w:r w:rsidRPr="0060474C">
        <w:rPr>
          <w:i/>
          <w:sz w:val="20"/>
          <w:szCs w:val="20"/>
        </w:rPr>
        <w:t xml:space="preserve"> </w:t>
      </w:r>
      <w:proofErr w:type="spellStart"/>
      <w:r w:rsidRPr="0060474C">
        <w:rPr>
          <w:i/>
          <w:sz w:val="20"/>
          <w:szCs w:val="20"/>
        </w:rPr>
        <w:t>und</w:t>
      </w:r>
      <w:proofErr w:type="spellEnd"/>
      <w:r w:rsidRPr="0060474C">
        <w:rPr>
          <w:i/>
          <w:sz w:val="20"/>
          <w:szCs w:val="20"/>
        </w:rPr>
        <w:t xml:space="preserve"> der </w:t>
      </w:r>
      <w:proofErr w:type="spellStart"/>
      <w:r w:rsidRPr="0060474C">
        <w:rPr>
          <w:i/>
          <w:sz w:val="20"/>
          <w:szCs w:val="20"/>
        </w:rPr>
        <w:t>Poesie</w:t>
      </w:r>
      <w:proofErr w:type="spellEnd"/>
      <w:r w:rsidRPr="0060474C">
        <w:rPr>
          <w:sz w:val="20"/>
          <w:szCs w:val="20"/>
        </w:rPr>
        <w:t>, 1766.</w:t>
      </w:r>
    </w:p>
  </w:footnote>
  <w:footnote w:id="103">
    <w:p w:rsidR="00AD766A" w:rsidRPr="005D7AD7" w:rsidRDefault="00AD766A" w:rsidP="00AD766A">
      <w:pPr>
        <w:jc w:val="both"/>
        <w:rPr>
          <w:sz w:val="20"/>
          <w:szCs w:val="20"/>
        </w:rPr>
      </w:pPr>
      <w:r w:rsidRPr="005D7AD7">
        <w:rPr>
          <w:rStyle w:val="Appelnotedebasdep"/>
          <w:sz w:val="20"/>
          <w:szCs w:val="20"/>
        </w:rPr>
        <w:footnoteRef/>
      </w:r>
      <w:r w:rsidRPr="005D7AD7">
        <w:rPr>
          <w:sz w:val="20"/>
          <w:szCs w:val="20"/>
        </w:rPr>
        <w:t xml:space="preserve"> </w:t>
      </w:r>
      <w:r w:rsidRPr="005D7AD7">
        <w:rPr>
          <w:sz w:val="20"/>
          <w:szCs w:val="20"/>
        </w:rPr>
        <w:t xml:space="preserve">Groupe µ, « L’effet de temporalité dans les images fixes », </w:t>
      </w:r>
      <w:r w:rsidRPr="005D7AD7">
        <w:rPr>
          <w:i/>
          <w:sz w:val="20"/>
          <w:szCs w:val="20"/>
        </w:rPr>
        <w:t>Texte</w:t>
      </w:r>
      <w:r w:rsidRPr="005D7AD7">
        <w:rPr>
          <w:sz w:val="20"/>
          <w:szCs w:val="20"/>
        </w:rPr>
        <w:t>, 1998, n</w:t>
      </w:r>
      <w:r w:rsidRPr="005D7AD7">
        <w:rPr>
          <w:sz w:val="20"/>
          <w:szCs w:val="20"/>
          <w:vertAlign w:val="superscript"/>
        </w:rPr>
        <w:t>os</w:t>
      </w:r>
      <w:r w:rsidRPr="005D7AD7">
        <w:rPr>
          <w:sz w:val="20"/>
          <w:szCs w:val="20"/>
        </w:rPr>
        <w:t xml:space="preserve"> 21-22, pp. 42-43.</w:t>
      </w:r>
    </w:p>
  </w:footnote>
  <w:footnote w:id="104">
    <w:p w:rsidR="00AD766A" w:rsidRPr="005D7AD7" w:rsidRDefault="00AD766A" w:rsidP="00AD766A">
      <w:pPr>
        <w:widowControl w:val="0"/>
        <w:autoSpaceDE w:val="0"/>
        <w:autoSpaceDN w:val="0"/>
        <w:adjustRightInd w:val="0"/>
        <w:jc w:val="both"/>
        <w:rPr>
          <w:i/>
          <w:iCs/>
          <w:sz w:val="20"/>
          <w:szCs w:val="20"/>
        </w:rPr>
      </w:pPr>
      <w:r w:rsidRPr="005D7AD7">
        <w:rPr>
          <w:rStyle w:val="Appelnotedebasdep"/>
          <w:sz w:val="20"/>
          <w:szCs w:val="20"/>
        </w:rPr>
        <w:footnoteRef/>
      </w:r>
      <w:r w:rsidRPr="005D7AD7">
        <w:rPr>
          <w:sz w:val="20"/>
          <w:szCs w:val="20"/>
        </w:rPr>
        <w:t xml:space="preserve"> </w:t>
      </w:r>
      <w:r w:rsidRPr="005D7AD7">
        <w:rPr>
          <w:sz w:val="20"/>
          <w:szCs w:val="20"/>
        </w:rPr>
        <w:t xml:space="preserve">Jean-Marie Schaeffer, « Narration visuelle et interprétation », </w:t>
      </w:r>
      <w:r w:rsidRPr="005D7AD7">
        <w:rPr>
          <w:i/>
          <w:sz w:val="20"/>
          <w:szCs w:val="20"/>
        </w:rPr>
        <w:t>in</w:t>
      </w:r>
      <w:r>
        <w:rPr>
          <w:sz w:val="20"/>
          <w:szCs w:val="20"/>
        </w:rPr>
        <w:t xml:space="preserve"> </w:t>
      </w:r>
      <w:r w:rsidRPr="005D7AD7">
        <w:rPr>
          <w:sz w:val="20"/>
          <w:szCs w:val="20"/>
        </w:rPr>
        <w:t xml:space="preserve">M. Ribière &amp; J. </w:t>
      </w:r>
      <w:proofErr w:type="spellStart"/>
      <w:r w:rsidRPr="005D7AD7">
        <w:rPr>
          <w:sz w:val="20"/>
          <w:szCs w:val="20"/>
        </w:rPr>
        <w:t>Baetens</w:t>
      </w:r>
      <w:proofErr w:type="spellEnd"/>
      <w:r>
        <w:rPr>
          <w:sz w:val="20"/>
          <w:szCs w:val="20"/>
        </w:rPr>
        <w:t xml:space="preserve"> </w:t>
      </w:r>
      <w:r w:rsidRPr="005D7AD7">
        <w:rPr>
          <w:sz w:val="20"/>
          <w:szCs w:val="20"/>
        </w:rPr>
        <w:t>(</w:t>
      </w:r>
      <w:proofErr w:type="spellStart"/>
      <w:r w:rsidRPr="005D7AD7">
        <w:rPr>
          <w:sz w:val="20"/>
          <w:szCs w:val="20"/>
        </w:rPr>
        <w:t>éds</w:t>
      </w:r>
      <w:proofErr w:type="spellEnd"/>
      <w:r w:rsidRPr="005D7AD7">
        <w:rPr>
          <w:sz w:val="20"/>
          <w:szCs w:val="20"/>
        </w:rPr>
        <w:t xml:space="preserve">), </w:t>
      </w:r>
      <w:r w:rsidRPr="005D7AD7">
        <w:rPr>
          <w:i/>
          <w:sz w:val="20"/>
          <w:szCs w:val="20"/>
        </w:rPr>
        <w:t xml:space="preserve">Time, Narrative &amp; The </w:t>
      </w:r>
      <w:proofErr w:type="spellStart"/>
      <w:r w:rsidRPr="005D7AD7">
        <w:rPr>
          <w:i/>
          <w:sz w:val="20"/>
          <w:szCs w:val="20"/>
        </w:rPr>
        <w:t>Fixed</w:t>
      </w:r>
      <w:proofErr w:type="spellEnd"/>
      <w:r w:rsidRPr="005D7AD7">
        <w:rPr>
          <w:i/>
          <w:sz w:val="20"/>
          <w:szCs w:val="20"/>
        </w:rPr>
        <w:t xml:space="preserve"> Image</w:t>
      </w:r>
      <w:r w:rsidRPr="005D7AD7">
        <w:rPr>
          <w:sz w:val="20"/>
          <w:szCs w:val="20"/>
        </w:rPr>
        <w:t xml:space="preserve"> / </w:t>
      </w:r>
      <w:r w:rsidRPr="005D7AD7">
        <w:rPr>
          <w:i/>
          <w:sz w:val="20"/>
          <w:szCs w:val="20"/>
        </w:rPr>
        <w:t>Temps, narration &amp; image fixe</w:t>
      </w:r>
      <w:r w:rsidRPr="005D7AD7">
        <w:rPr>
          <w:sz w:val="20"/>
          <w:szCs w:val="20"/>
        </w:rPr>
        <w:t>, Amsterda</w:t>
      </w:r>
      <w:r>
        <w:rPr>
          <w:sz w:val="20"/>
          <w:szCs w:val="20"/>
        </w:rPr>
        <w:t>m,</w:t>
      </w:r>
      <w:r w:rsidRPr="005D7AD7">
        <w:rPr>
          <w:sz w:val="20"/>
          <w:szCs w:val="20"/>
        </w:rPr>
        <w:t xml:space="preserve"> </w:t>
      </w:r>
      <w:proofErr w:type="spellStart"/>
      <w:r w:rsidRPr="005D7AD7">
        <w:rPr>
          <w:sz w:val="20"/>
          <w:szCs w:val="20"/>
        </w:rPr>
        <w:t>Rodopi</w:t>
      </w:r>
      <w:proofErr w:type="spellEnd"/>
      <w:r w:rsidRPr="005D7AD7">
        <w:rPr>
          <w:sz w:val="20"/>
          <w:szCs w:val="20"/>
        </w:rPr>
        <w:t>, 2001, pp. 20-21.</w:t>
      </w:r>
    </w:p>
  </w:footnote>
  <w:footnote w:id="105">
    <w:p w:rsidR="00AD766A" w:rsidRPr="005D7AD7" w:rsidRDefault="00AD766A" w:rsidP="00AD766A">
      <w:pPr>
        <w:pStyle w:val="Notedebasdepage"/>
        <w:jc w:val="both"/>
        <w:rPr>
          <w:sz w:val="20"/>
          <w:szCs w:val="20"/>
        </w:rPr>
      </w:pPr>
      <w:r w:rsidRPr="005D7AD7">
        <w:rPr>
          <w:rStyle w:val="Appelnotedebasdep"/>
          <w:sz w:val="20"/>
          <w:szCs w:val="20"/>
        </w:rPr>
        <w:footnoteRef/>
      </w:r>
      <w:r w:rsidRPr="005D7AD7">
        <w:rPr>
          <w:sz w:val="20"/>
          <w:szCs w:val="20"/>
        </w:rPr>
        <w:t xml:space="preserve"> </w:t>
      </w:r>
      <w:r w:rsidRPr="005D7AD7">
        <w:rPr>
          <w:sz w:val="20"/>
          <w:szCs w:val="20"/>
        </w:rPr>
        <w:t xml:space="preserve">Groupe µ, « L’effet de temporalité dans les images fixes », art. </w:t>
      </w:r>
      <w:proofErr w:type="spellStart"/>
      <w:r w:rsidRPr="005D7AD7">
        <w:rPr>
          <w:sz w:val="20"/>
          <w:szCs w:val="20"/>
        </w:rPr>
        <w:t>cit</w:t>
      </w:r>
      <w:proofErr w:type="spellEnd"/>
      <w:r w:rsidRPr="005D7AD7">
        <w:rPr>
          <w:sz w:val="20"/>
          <w:szCs w:val="20"/>
        </w:rPr>
        <w:t>.</w:t>
      </w:r>
    </w:p>
  </w:footnote>
  <w:footnote w:id="106">
    <w:p w:rsidR="00AD766A" w:rsidRPr="003304E3" w:rsidRDefault="00AD766A" w:rsidP="00AD766A">
      <w:pPr>
        <w:pStyle w:val="NormalWeb"/>
        <w:spacing w:before="0" w:beforeAutospacing="0" w:after="0" w:afterAutospacing="0"/>
        <w:jc w:val="both"/>
        <w:rPr>
          <w:color w:val="000000"/>
          <w:sz w:val="20"/>
          <w:szCs w:val="20"/>
        </w:rPr>
      </w:pPr>
      <w:r w:rsidRPr="005D7AD7">
        <w:rPr>
          <w:rStyle w:val="Appelnotedebasdep"/>
          <w:sz w:val="20"/>
          <w:szCs w:val="20"/>
        </w:rPr>
        <w:footnoteRef/>
      </w:r>
      <w:r w:rsidRPr="005D7AD7">
        <w:rPr>
          <w:sz w:val="20"/>
          <w:szCs w:val="20"/>
        </w:rPr>
        <w:t xml:space="preserve"> </w:t>
      </w:r>
      <w:r w:rsidRPr="005D7AD7">
        <w:rPr>
          <w:sz w:val="20"/>
          <w:szCs w:val="20"/>
        </w:rPr>
        <w:t xml:space="preserve">Au sujet de « présences du temps » dans les arts plastiques (temps de la production, de la contemplation, temps artistique ou intrinsèque), cf. Etienne Souriau, « Time in Plastic Arts », </w:t>
      </w:r>
      <w:r w:rsidRPr="005D7AD7">
        <w:rPr>
          <w:i/>
          <w:sz w:val="20"/>
          <w:szCs w:val="20"/>
        </w:rPr>
        <w:t xml:space="preserve">The Journal of </w:t>
      </w:r>
      <w:proofErr w:type="spellStart"/>
      <w:r w:rsidRPr="005D7AD7">
        <w:rPr>
          <w:i/>
          <w:sz w:val="20"/>
          <w:szCs w:val="20"/>
        </w:rPr>
        <w:t>Aesthetics</w:t>
      </w:r>
      <w:proofErr w:type="spellEnd"/>
      <w:r w:rsidRPr="005D7AD7">
        <w:rPr>
          <w:i/>
          <w:sz w:val="20"/>
          <w:szCs w:val="20"/>
        </w:rPr>
        <w:t xml:space="preserve"> and Art </w:t>
      </w:r>
      <w:proofErr w:type="spellStart"/>
      <w:r w:rsidRPr="005D7AD7">
        <w:rPr>
          <w:i/>
          <w:sz w:val="20"/>
          <w:szCs w:val="20"/>
        </w:rPr>
        <w:t>Criticism</w:t>
      </w:r>
      <w:proofErr w:type="spellEnd"/>
      <w:r w:rsidRPr="005D7AD7">
        <w:rPr>
          <w:sz w:val="20"/>
          <w:szCs w:val="20"/>
        </w:rPr>
        <w:t xml:space="preserve"> 7, 4, 1949, pp. 294-307. </w:t>
      </w:r>
      <w:r w:rsidRPr="006A2080">
        <w:rPr>
          <w:sz w:val="20"/>
          <w:szCs w:val="20"/>
        </w:rPr>
        <w:t xml:space="preserve">Pour une </w:t>
      </w:r>
      <w:r w:rsidRPr="003304E3">
        <w:rPr>
          <w:sz w:val="20"/>
          <w:szCs w:val="20"/>
        </w:rPr>
        <w:t xml:space="preserve">discussion, cf. Herman </w:t>
      </w:r>
      <w:proofErr w:type="spellStart"/>
      <w:r w:rsidRPr="003304E3">
        <w:rPr>
          <w:sz w:val="20"/>
          <w:szCs w:val="20"/>
        </w:rPr>
        <w:t>Parret</w:t>
      </w:r>
      <w:proofErr w:type="spellEnd"/>
      <w:r w:rsidRPr="003304E3">
        <w:rPr>
          <w:sz w:val="20"/>
          <w:szCs w:val="20"/>
        </w:rPr>
        <w:t xml:space="preserve">, </w:t>
      </w:r>
      <w:r w:rsidRPr="003304E3">
        <w:rPr>
          <w:i/>
          <w:color w:val="000000"/>
          <w:sz w:val="20"/>
          <w:szCs w:val="20"/>
        </w:rPr>
        <w:t>É</w:t>
      </w:r>
      <w:r w:rsidRPr="003304E3">
        <w:rPr>
          <w:rStyle w:val="Lienhypertexte"/>
          <w:i/>
          <w:color w:val="000000"/>
          <w:sz w:val="20"/>
          <w:szCs w:val="20"/>
          <w:u w:val="none"/>
        </w:rPr>
        <w:t>piphanies de la présence</w:t>
      </w:r>
      <w:r w:rsidRPr="003304E3">
        <w:rPr>
          <w:rStyle w:val="Lienhypertexte"/>
          <w:color w:val="000000"/>
          <w:sz w:val="20"/>
          <w:szCs w:val="20"/>
          <w:u w:val="none"/>
        </w:rPr>
        <w:t xml:space="preserve">, Limoges, </w:t>
      </w:r>
      <w:proofErr w:type="spellStart"/>
      <w:r w:rsidRPr="003304E3">
        <w:rPr>
          <w:rStyle w:val="Lienhypertexte"/>
          <w:color w:val="000000"/>
          <w:sz w:val="20"/>
          <w:szCs w:val="20"/>
          <w:u w:val="none"/>
        </w:rPr>
        <w:t>Pulim</w:t>
      </w:r>
      <w:proofErr w:type="spellEnd"/>
      <w:r w:rsidRPr="003304E3">
        <w:rPr>
          <w:rStyle w:val="Lienhypertexte"/>
          <w:color w:val="000000"/>
          <w:sz w:val="20"/>
          <w:szCs w:val="20"/>
          <w:u w:val="none"/>
        </w:rPr>
        <w:t xml:space="preserve">, </w:t>
      </w:r>
      <w:r w:rsidRPr="003304E3">
        <w:rPr>
          <w:sz w:val="20"/>
          <w:szCs w:val="20"/>
        </w:rPr>
        <w:t xml:space="preserve">2006. </w:t>
      </w:r>
    </w:p>
  </w:footnote>
  <w:footnote w:id="107">
    <w:p w:rsidR="00AD766A" w:rsidRPr="0060474C" w:rsidRDefault="00AD766A" w:rsidP="00AD766A">
      <w:pPr>
        <w:pStyle w:val="Notedebasdepage"/>
        <w:rPr>
          <w:sz w:val="20"/>
          <w:szCs w:val="20"/>
        </w:rPr>
      </w:pPr>
      <w:r w:rsidRPr="003304E3">
        <w:rPr>
          <w:rStyle w:val="Appelnotedebasdep"/>
          <w:sz w:val="20"/>
          <w:szCs w:val="20"/>
        </w:rPr>
        <w:footnoteRef/>
      </w:r>
      <w:r w:rsidRPr="003304E3">
        <w:rPr>
          <w:sz w:val="20"/>
          <w:szCs w:val="20"/>
        </w:rPr>
        <w:t xml:space="preserve"> </w:t>
      </w:r>
      <w:proofErr w:type="spellStart"/>
      <w:r w:rsidRPr="003304E3">
        <w:rPr>
          <w:sz w:val="20"/>
          <w:szCs w:val="20"/>
        </w:rPr>
        <w:t>Algirdas</w:t>
      </w:r>
      <w:proofErr w:type="spellEnd"/>
      <w:r w:rsidRPr="003304E3">
        <w:rPr>
          <w:sz w:val="20"/>
          <w:szCs w:val="20"/>
        </w:rPr>
        <w:t xml:space="preserve"> Julien Greimas, « Sémiotique</w:t>
      </w:r>
      <w:r w:rsidRPr="0060474C">
        <w:rPr>
          <w:sz w:val="20"/>
          <w:szCs w:val="20"/>
        </w:rPr>
        <w:t xml:space="preserve"> figurative et sémiotique plastique », art. </w:t>
      </w:r>
      <w:proofErr w:type="spellStart"/>
      <w:r w:rsidRPr="0060474C">
        <w:rPr>
          <w:sz w:val="20"/>
          <w:szCs w:val="20"/>
        </w:rPr>
        <w:t>cit</w:t>
      </w:r>
      <w:proofErr w:type="spellEnd"/>
      <w:r w:rsidRPr="0060474C">
        <w:rPr>
          <w:sz w:val="20"/>
          <w:szCs w:val="20"/>
        </w:rPr>
        <w:t>.</w:t>
      </w:r>
    </w:p>
  </w:footnote>
  <w:footnote w:id="108">
    <w:p w:rsidR="00AD766A" w:rsidRPr="007A0BF2" w:rsidRDefault="00AD766A" w:rsidP="00AD766A">
      <w:pPr>
        <w:pStyle w:val="Notedebasdepage"/>
        <w:jc w:val="both"/>
        <w:rPr>
          <w:i/>
          <w:sz w:val="20"/>
          <w:szCs w:val="20"/>
        </w:rPr>
      </w:pPr>
      <w:r w:rsidRPr="007A0BF2">
        <w:rPr>
          <w:rStyle w:val="Appelnotedebasdep"/>
          <w:sz w:val="20"/>
          <w:szCs w:val="20"/>
        </w:rPr>
        <w:footnoteRef/>
      </w:r>
      <w:r w:rsidRPr="00AE3AED">
        <w:rPr>
          <w:sz w:val="20"/>
          <w:szCs w:val="20"/>
        </w:rPr>
        <w:t xml:space="preserve"> </w:t>
      </w:r>
      <w:r w:rsidRPr="00AE3AED">
        <w:rPr>
          <w:sz w:val="20"/>
          <w:szCs w:val="20"/>
        </w:rPr>
        <w:t xml:space="preserve">Félix </w:t>
      </w:r>
      <w:proofErr w:type="spellStart"/>
      <w:r w:rsidRPr="00AE3AED">
        <w:rPr>
          <w:sz w:val="20"/>
          <w:szCs w:val="20"/>
        </w:rPr>
        <w:t>Thürlemann</w:t>
      </w:r>
      <w:proofErr w:type="spellEnd"/>
      <w:r w:rsidRPr="00AE3AED">
        <w:rPr>
          <w:sz w:val="20"/>
          <w:szCs w:val="20"/>
        </w:rPr>
        <w:t xml:space="preserve">, </w:t>
      </w:r>
      <w:r w:rsidRPr="00AE3AED">
        <w:rPr>
          <w:i/>
          <w:sz w:val="20"/>
          <w:szCs w:val="20"/>
        </w:rPr>
        <w:t xml:space="preserve">Paul Klee. </w:t>
      </w:r>
      <w:r w:rsidRPr="007A0BF2">
        <w:rPr>
          <w:i/>
          <w:sz w:val="20"/>
          <w:szCs w:val="20"/>
        </w:rPr>
        <w:t>Analyse sémiotique de trois peintures</w:t>
      </w:r>
      <w:r w:rsidRPr="007A0BF2">
        <w:rPr>
          <w:sz w:val="20"/>
          <w:szCs w:val="20"/>
        </w:rPr>
        <w:t xml:space="preserve">, Lausanne, L’Âge d’Homme, </w:t>
      </w:r>
      <w:r w:rsidRPr="007A0BF2">
        <w:rPr>
          <w:sz w:val="20"/>
          <w:szCs w:val="20"/>
          <w:lang w:val="fr-CH"/>
        </w:rPr>
        <w:t xml:space="preserve">1982. </w:t>
      </w:r>
    </w:p>
  </w:footnote>
  <w:footnote w:id="109">
    <w:p w:rsidR="00AD766A" w:rsidRPr="007A0BF2" w:rsidRDefault="00AD766A" w:rsidP="00AD766A">
      <w:pPr>
        <w:pStyle w:val="Notedebasdepage"/>
        <w:rPr>
          <w:sz w:val="20"/>
          <w:szCs w:val="20"/>
        </w:rPr>
      </w:pPr>
      <w:r w:rsidRPr="007A0BF2">
        <w:rPr>
          <w:rStyle w:val="Appelnotedebasdep"/>
          <w:sz w:val="20"/>
          <w:szCs w:val="20"/>
        </w:rPr>
        <w:footnoteRef/>
      </w:r>
      <w:r w:rsidRPr="007A0BF2">
        <w:rPr>
          <w:sz w:val="20"/>
          <w:szCs w:val="20"/>
        </w:rPr>
        <w:t xml:space="preserve"> </w:t>
      </w:r>
      <w:r w:rsidRPr="007A0BF2">
        <w:rPr>
          <w:i/>
          <w:sz w:val="20"/>
          <w:szCs w:val="20"/>
        </w:rPr>
        <w:t>Ibid</w:t>
      </w:r>
      <w:r w:rsidRPr="007A0BF2">
        <w:rPr>
          <w:sz w:val="20"/>
          <w:szCs w:val="20"/>
        </w:rPr>
        <w:t>., p. 33.</w:t>
      </w:r>
    </w:p>
  </w:footnote>
  <w:footnote w:id="110">
    <w:p w:rsidR="00AD766A" w:rsidRPr="0090547E" w:rsidRDefault="00AD766A" w:rsidP="00AD766A">
      <w:pPr>
        <w:widowControl w:val="0"/>
        <w:autoSpaceDE w:val="0"/>
        <w:autoSpaceDN w:val="0"/>
        <w:adjustRightInd w:val="0"/>
        <w:jc w:val="both"/>
        <w:rPr>
          <w:i/>
          <w:iCs/>
          <w:sz w:val="20"/>
          <w:szCs w:val="20"/>
        </w:rPr>
      </w:pPr>
      <w:r w:rsidRPr="00AD3A1A">
        <w:rPr>
          <w:rStyle w:val="Appelnotedebasdep"/>
          <w:sz w:val="20"/>
          <w:szCs w:val="20"/>
        </w:rPr>
        <w:footnoteRef/>
      </w:r>
      <w:r w:rsidRPr="00AD3A1A">
        <w:rPr>
          <w:sz w:val="20"/>
          <w:szCs w:val="20"/>
        </w:rPr>
        <w:t xml:space="preserve"> </w:t>
      </w:r>
      <w:r w:rsidRPr="00AD3A1A">
        <w:rPr>
          <w:sz w:val="20"/>
          <w:szCs w:val="20"/>
        </w:rPr>
        <w:t xml:space="preserve">Anne </w:t>
      </w:r>
      <w:proofErr w:type="spellStart"/>
      <w:r w:rsidRPr="00AD3A1A">
        <w:rPr>
          <w:sz w:val="20"/>
          <w:szCs w:val="20"/>
        </w:rPr>
        <w:t>Beyaert-Geslin</w:t>
      </w:r>
      <w:proofErr w:type="spellEnd"/>
      <w:r w:rsidRPr="00AD3A1A">
        <w:rPr>
          <w:sz w:val="20"/>
          <w:szCs w:val="20"/>
        </w:rPr>
        <w:t>, « Espace du tableau, temps de la peinture »</w:t>
      </w:r>
      <w:r>
        <w:rPr>
          <w:sz w:val="20"/>
          <w:szCs w:val="20"/>
        </w:rPr>
        <w:t xml:space="preserve">, </w:t>
      </w:r>
      <w:r w:rsidRPr="00AD3A1A">
        <w:rPr>
          <w:i/>
          <w:sz w:val="20"/>
          <w:szCs w:val="20"/>
        </w:rPr>
        <w:t>Actes sémiotiques</w:t>
      </w:r>
      <w:r w:rsidRPr="00AD3A1A">
        <w:rPr>
          <w:sz w:val="20"/>
          <w:szCs w:val="20"/>
        </w:rPr>
        <w:t>, n</w:t>
      </w:r>
      <w:r w:rsidRPr="00AD3A1A">
        <w:rPr>
          <w:sz w:val="20"/>
          <w:szCs w:val="20"/>
          <w:vertAlign w:val="superscript"/>
        </w:rPr>
        <w:t>o</w:t>
      </w:r>
      <w:r w:rsidRPr="00AD3A1A">
        <w:rPr>
          <w:sz w:val="20"/>
          <w:szCs w:val="20"/>
        </w:rPr>
        <w:t xml:space="preserve"> 113, 2010. En ligne : &lt;</w:t>
      </w:r>
      <w:hyperlink r:id="rId4" w:history="1">
        <w:r w:rsidRPr="00AD3A1A">
          <w:rPr>
            <w:color w:val="00000A"/>
            <w:sz w:val="20"/>
            <w:szCs w:val="20"/>
          </w:rPr>
          <w:t>http://epublications.unilim.fr/revues/as/2513</w:t>
        </w:r>
      </w:hyperlink>
      <w:r w:rsidRPr="00AD3A1A">
        <w:rPr>
          <w:sz w:val="20"/>
          <w:szCs w:val="20"/>
        </w:rPr>
        <w:t>&gt; (consulté le 02</w:t>
      </w:r>
      <w:r>
        <w:rPr>
          <w:sz w:val="20"/>
          <w:szCs w:val="20"/>
        </w:rPr>
        <w:t>3</w:t>
      </w:r>
      <w:r w:rsidRPr="00AD3A1A">
        <w:rPr>
          <w:sz w:val="20"/>
          <w:szCs w:val="20"/>
        </w:rPr>
        <w:t>/</w:t>
      </w:r>
      <w:r>
        <w:rPr>
          <w:sz w:val="20"/>
          <w:szCs w:val="20"/>
        </w:rPr>
        <w:t>08</w:t>
      </w:r>
      <w:r w:rsidRPr="00AD3A1A">
        <w:rPr>
          <w:sz w:val="20"/>
          <w:szCs w:val="20"/>
        </w:rPr>
        <w:t>/2019).</w:t>
      </w:r>
    </w:p>
  </w:footnote>
  <w:footnote w:id="111">
    <w:p w:rsidR="00AD766A" w:rsidRPr="007A0BF2" w:rsidRDefault="00AD766A" w:rsidP="00AD766A">
      <w:pPr>
        <w:pStyle w:val="Notedebasdepage"/>
        <w:jc w:val="both"/>
        <w:rPr>
          <w:i/>
          <w:sz w:val="20"/>
          <w:szCs w:val="20"/>
        </w:rPr>
      </w:pPr>
      <w:r w:rsidRPr="007A0BF2">
        <w:rPr>
          <w:rStyle w:val="Appelnotedebasdep"/>
          <w:sz w:val="20"/>
          <w:szCs w:val="20"/>
        </w:rPr>
        <w:footnoteRef/>
      </w:r>
      <w:r w:rsidRPr="007A0BF2">
        <w:rPr>
          <w:sz w:val="20"/>
          <w:szCs w:val="20"/>
          <w:lang w:val="de-DE"/>
        </w:rPr>
        <w:t xml:space="preserve"> </w:t>
      </w:r>
      <w:r>
        <w:rPr>
          <w:sz w:val="20"/>
          <w:szCs w:val="20"/>
          <w:lang w:val="de-DE"/>
        </w:rPr>
        <w:t xml:space="preserve">Cf. Paul Klee, </w:t>
      </w:r>
      <w:r w:rsidRPr="007A0BF2">
        <w:rPr>
          <w:i/>
          <w:sz w:val="20"/>
          <w:szCs w:val="20"/>
          <w:lang w:val="de-DE"/>
        </w:rPr>
        <w:t>Das bildnerische Denken, Schriften zur Form- und Gestaltungslehre</w:t>
      </w:r>
      <w:r w:rsidRPr="007A0BF2">
        <w:rPr>
          <w:sz w:val="20"/>
          <w:szCs w:val="20"/>
          <w:lang w:val="de-DE"/>
        </w:rPr>
        <w:t xml:space="preserve">, </w:t>
      </w:r>
      <w:r w:rsidRPr="007A0BF2">
        <w:rPr>
          <w:i/>
          <w:sz w:val="20"/>
          <w:szCs w:val="20"/>
          <w:lang w:val="de-DE"/>
        </w:rPr>
        <w:t xml:space="preserve">op. </w:t>
      </w:r>
      <w:proofErr w:type="spellStart"/>
      <w:r w:rsidRPr="007A0BF2">
        <w:rPr>
          <w:i/>
          <w:sz w:val="20"/>
          <w:szCs w:val="20"/>
          <w:lang w:val="de-DE"/>
        </w:rPr>
        <w:t>cit</w:t>
      </w:r>
      <w:proofErr w:type="spellEnd"/>
      <w:r w:rsidRPr="007A0BF2">
        <w:rPr>
          <w:i/>
          <w:sz w:val="20"/>
          <w:szCs w:val="20"/>
          <w:lang w:val="de-DE"/>
        </w:rPr>
        <w:t>.</w:t>
      </w:r>
      <w:r w:rsidRPr="007A0BF2">
        <w:rPr>
          <w:sz w:val="20"/>
          <w:szCs w:val="20"/>
          <w:lang w:val="de-DE"/>
        </w:rPr>
        <w:t xml:space="preserve"> </w:t>
      </w:r>
      <w:r w:rsidRPr="007A0BF2">
        <w:rPr>
          <w:color w:val="262626"/>
          <w:sz w:val="20"/>
          <w:szCs w:val="20"/>
        </w:rPr>
        <w:t xml:space="preserve">Voir aussi Paul Klee, </w:t>
      </w:r>
      <w:r w:rsidRPr="007A0BF2">
        <w:rPr>
          <w:i/>
          <w:color w:val="262626"/>
          <w:sz w:val="20"/>
          <w:szCs w:val="20"/>
        </w:rPr>
        <w:t>Écrits sur l’art,</w:t>
      </w:r>
      <w:r w:rsidRPr="007A0BF2">
        <w:rPr>
          <w:color w:val="262626"/>
          <w:sz w:val="20"/>
          <w:szCs w:val="20"/>
        </w:rPr>
        <w:t xml:space="preserve"> t.1. : </w:t>
      </w:r>
      <w:r w:rsidRPr="007A0BF2">
        <w:rPr>
          <w:i/>
          <w:color w:val="262626"/>
          <w:sz w:val="20"/>
          <w:szCs w:val="20"/>
        </w:rPr>
        <w:t>La pensée créatrice</w:t>
      </w:r>
      <w:r w:rsidRPr="007A0BF2">
        <w:rPr>
          <w:color w:val="262626"/>
          <w:sz w:val="20"/>
          <w:szCs w:val="20"/>
        </w:rPr>
        <w:t xml:space="preserve">, </w:t>
      </w:r>
      <w:r w:rsidRPr="007A0BF2">
        <w:rPr>
          <w:i/>
          <w:color w:val="262626"/>
          <w:sz w:val="20"/>
          <w:szCs w:val="20"/>
        </w:rPr>
        <w:t xml:space="preserve">op. </w:t>
      </w:r>
      <w:proofErr w:type="spellStart"/>
      <w:r w:rsidRPr="007A0BF2">
        <w:rPr>
          <w:i/>
          <w:color w:val="262626"/>
          <w:sz w:val="20"/>
          <w:szCs w:val="20"/>
        </w:rPr>
        <w:t>cit</w:t>
      </w:r>
      <w:proofErr w:type="spellEnd"/>
      <w:r w:rsidRPr="007A0BF2">
        <w:rPr>
          <w:i/>
          <w:color w:val="262626"/>
          <w:sz w:val="20"/>
          <w:szCs w:val="20"/>
        </w:rPr>
        <w:t>.</w:t>
      </w:r>
    </w:p>
  </w:footnote>
  <w:footnote w:id="112">
    <w:p w:rsidR="00AD766A" w:rsidRPr="007A0BF2" w:rsidRDefault="00AD766A" w:rsidP="00AD766A">
      <w:pPr>
        <w:jc w:val="both"/>
        <w:rPr>
          <w:sz w:val="20"/>
          <w:szCs w:val="20"/>
        </w:rPr>
      </w:pPr>
      <w:r w:rsidRPr="007A0BF2">
        <w:rPr>
          <w:rStyle w:val="Appelnotedebasdep"/>
          <w:sz w:val="20"/>
          <w:szCs w:val="20"/>
        </w:rPr>
        <w:footnoteRef/>
      </w:r>
      <w:r w:rsidRPr="007A0BF2">
        <w:rPr>
          <w:sz w:val="20"/>
          <w:szCs w:val="20"/>
        </w:rPr>
        <w:t xml:space="preserve"> </w:t>
      </w:r>
      <w:r w:rsidRPr="007A0BF2">
        <w:rPr>
          <w:sz w:val="20"/>
          <w:szCs w:val="20"/>
        </w:rPr>
        <w:t xml:space="preserve">Klee, Paul, </w:t>
      </w:r>
      <w:r w:rsidRPr="007A0BF2">
        <w:rPr>
          <w:i/>
          <w:sz w:val="20"/>
          <w:szCs w:val="20"/>
        </w:rPr>
        <w:t>Cours du Bauhaus. Contributions à la théorie de la forme picturale, Weimar 1921-1922</w:t>
      </w:r>
      <w:r w:rsidRPr="007A0BF2">
        <w:rPr>
          <w:sz w:val="20"/>
          <w:szCs w:val="20"/>
        </w:rPr>
        <w:t>, Paris, Éditions Hazan, 2004.</w:t>
      </w:r>
    </w:p>
  </w:footnote>
  <w:footnote w:id="113">
    <w:p w:rsidR="00AD766A" w:rsidRPr="00F1228A" w:rsidRDefault="00AD766A" w:rsidP="00AD766A">
      <w:pPr>
        <w:pStyle w:val="Notedebasdepage"/>
        <w:jc w:val="both"/>
        <w:rPr>
          <w:sz w:val="20"/>
          <w:szCs w:val="20"/>
        </w:rPr>
      </w:pPr>
      <w:r w:rsidRPr="00F1228A">
        <w:rPr>
          <w:rStyle w:val="Appelnotedebasdep"/>
          <w:sz w:val="20"/>
          <w:szCs w:val="20"/>
        </w:rPr>
        <w:footnoteRef/>
      </w:r>
      <w:r w:rsidRPr="00F1228A">
        <w:rPr>
          <w:sz w:val="20"/>
          <w:szCs w:val="20"/>
        </w:rPr>
        <w:t xml:space="preserve"> </w:t>
      </w:r>
      <w:r>
        <w:rPr>
          <w:sz w:val="20"/>
          <w:szCs w:val="20"/>
        </w:rPr>
        <w:t xml:space="preserve">Paul Klee, </w:t>
      </w:r>
      <w:r w:rsidRPr="00F1228A">
        <w:rPr>
          <w:i/>
          <w:sz w:val="20"/>
          <w:szCs w:val="20"/>
        </w:rPr>
        <w:t>Blanc polyphonique</w:t>
      </w:r>
      <w:r w:rsidRPr="00F1228A">
        <w:rPr>
          <w:sz w:val="20"/>
          <w:szCs w:val="20"/>
        </w:rPr>
        <w:t>, 1930, plume et aquarelle sur papier sur carton, 33.3 x 24.5 cm, Berne</w:t>
      </w:r>
      <w:r>
        <w:rPr>
          <w:sz w:val="20"/>
          <w:szCs w:val="20"/>
        </w:rPr>
        <w:t>,</w:t>
      </w:r>
      <w:r w:rsidRPr="00F1228A">
        <w:rPr>
          <w:sz w:val="20"/>
          <w:szCs w:val="20"/>
        </w:rPr>
        <w:t xml:space="preserve"> </w:t>
      </w:r>
      <w:proofErr w:type="spellStart"/>
      <w:r w:rsidRPr="00F1228A">
        <w:rPr>
          <w:sz w:val="20"/>
          <w:szCs w:val="20"/>
        </w:rPr>
        <w:t>Zentrum</w:t>
      </w:r>
      <w:proofErr w:type="spellEnd"/>
      <w:r w:rsidRPr="00F1228A">
        <w:rPr>
          <w:sz w:val="20"/>
          <w:szCs w:val="20"/>
        </w:rPr>
        <w:t xml:space="preserve"> Paul Klee.</w:t>
      </w:r>
    </w:p>
  </w:footnote>
  <w:footnote w:id="114">
    <w:p w:rsidR="00AD766A" w:rsidRPr="00F70157" w:rsidRDefault="00AD766A" w:rsidP="00AD766A">
      <w:pPr>
        <w:pStyle w:val="NormalWeb"/>
        <w:spacing w:before="0" w:beforeAutospacing="0" w:after="0" w:afterAutospacing="0"/>
        <w:jc w:val="both"/>
        <w:rPr>
          <w:sz w:val="20"/>
          <w:szCs w:val="20"/>
        </w:rPr>
      </w:pPr>
      <w:r w:rsidRPr="00F70157">
        <w:rPr>
          <w:rStyle w:val="Appelnotedebasdep"/>
          <w:sz w:val="20"/>
          <w:szCs w:val="20"/>
        </w:rPr>
        <w:footnoteRef/>
      </w:r>
      <w:r w:rsidRPr="00F70157">
        <w:rPr>
          <w:sz w:val="20"/>
          <w:szCs w:val="20"/>
        </w:rPr>
        <w:t xml:space="preserve"> </w:t>
      </w:r>
      <w:r w:rsidRPr="00F70157">
        <w:rPr>
          <w:sz w:val="20"/>
          <w:szCs w:val="20"/>
        </w:rPr>
        <w:t xml:space="preserve">Sur tout ceci, cf. </w:t>
      </w:r>
      <w:r w:rsidRPr="00F70157">
        <w:rPr>
          <w:rStyle w:val="lev"/>
          <w:b w:val="0"/>
          <w:bCs w:val="0"/>
          <w:sz w:val="20"/>
          <w:szCs w:val="20"/>
        </w:rPr>
        <w:t>Marion</w:t>
      </w:r>
      <w:r w:rsidRPr="00F70157">
        <w:rPr>
          <w:rStyle w:val="apple-converted-space"/>
          <w:sz w:val="20"/>
          <w:szCs w:val="20"/>
        </w:rPr>
        <w:t> </w:t>
      </w:r>
      <w:r w:rsidRPr="00F70157">
        <w:rPr>
          <w:rStyle w:val="familyname"/>
          <w:sz w:val="20"/>
          <w:szCs w:val="20"/>
        </w:rPr>
        <w:t>Colas-Blaise</w:t>
      </w:r>
      <w:r w:rsidRPr="00F70157">
        <w:rPr>
          <w:sz w:val="20"/>
          <w:szCs w:val="20"/>
        </w:rPr>
        <w:t>, « Comment penser la narrativité dans l’image fixe ? »,</w:t>
      </w:r>
      <w:r w:rsidRPr="00F70157">
        <w:rPr>
          <w:rStyle w:val="apple-converted-space"/>
          <w:sz w:val="20"/>
          <w:szCs w:val="20"/>
        </w:rPr>
        <w:t> </w:t>
      </w:r>
      <w:r w:rsidRPr="00F70157">
        <w:rPr>
          <w:rStyle w:val="Accentuation"/>
          <w:sz w:val="20"/>
          <w:szCs w:val="20"/>
        </w:rPr>
        <w:t>Pratiques</w:t>
      </w:r>
      <w:r>
        <w:rPr>
          <w:rStyle w:val="Accentuation"/>
          <w:sz w:val="20"/>
          <w:szCs w:val="20"/>
        </w:rPr>
        <w:t xml:space="preserve"> </w:t>
      </w:r>
      <w:r w:rsidRPr="00F70157">
        <w:rPr>
          <w:sz w:val="20"/>
          <w:szCs w:val="20"/>
        </w:rPr>
        <w:t>[En ligne], n</w:t>
      </w:r>
      <w:r w:rsidRPr="00F70157">
        <w:rPr>
          <w:sz w:val="20"/>
          <w:szCs w:val="20"/>
          <w:vertAlign w:val="superscript"/>
        </w:rPr>
        <w:t>os</w:t>
      </w:r>
      <w:r w:rsidRPr="00F70157">
        <w:rPr>
          <w:sz w:val="20"/>
          <w:szCs w:val="20"/>
        </w:rPr>
        <w:t xml:space="preserve"> 181-182, 2019, URL : &lt;http://journals.openedition.org/pratiques/6097&gt; ; DOI : 10.4000/pratiques.6097 (consulté le 05/09/2019).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6A"/>
    <w:rsid w:val="003304E3"/>
    <w:rsid w:val="0078610D"/>
    <w:rsid w:val="008A77B9"/>
    <w:rsid w:val="00906881"/>
    <w:rsid w:val="009B247B"/>
    <w:rsid w:val="00A03ABC"/>
    <w:rsid w:val="00AD766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627A"/>
  <w15:chartTrackingRefBased/>
  <w15:docId w15:val="{E5DAC44F-F3D4-1144-8687-3DD675D7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66A"/>
    <w:rPr>
      <w:rFonts w:ascii="Times New Roman" w:eastAsia="Times New Roman" w:hAnsi="Times New Roman" w:cs="Times New Roman"/>
      <w:lang w:eastAsia="fr-FR"/>
    </w:rPr>
  </w:style>
  <w:style w:type="paragraph" w:styleId="Titre2">
    <w:name w:val="heading 2"/>
    <w:basedOn w:val="Normal"/>
    <w:link w:val="Titre2Car"/>
    <w:uiPriority w:val="9"/>
    <w:qFormat/>
    <w:rsid w:val="00AD766A"/>
    <w:pPr>
      <w:spacing w:before="100" w:beforeAutospacing="1" w:after="100" w:afterAutospacing="1"/>
      <w:outlineLvl w:val="1"/>
    </w:pPr>
    <w:rPr>
      <w:b/>
      <w:bCs/>
      <w:sz w:val="36"/>
      <w:szCs w:val="36"/>
    </w:rPr>
  </w:style>
  <w:style w:type="paragraph" w:styleId="Titre4">
    <w:name w:val="heading 4"/>
    <w:basedOn w:val="Normal"/>
    <w:link w:val="Titre4Car"/>
    <w:uiPriority w:val="9"/>
    <w:qFormat/>
    <w:rsid w:val="00AD766A"/>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766A"/>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AD766A"/>
    <w:rPr>
      <w:rFonts w:ascii="Times New Roman" w:eastAsia="Times New Roman" w:hAnsi="Times New Roman" w:cs="Times New Roman"/>
      <w:b/>
      <w:bCs/>
      <w:lang w:eastAsia="fr-FR"/>
    </w:rPr>
  </w:style>
  <w:style w:type="paragraph" w:styleId="Notedebasdepage">
    <w:name w:val="footnote text"/>
    <w:aliases w:val="Carattere, Carattere,Note de bas de pageGL"/>
    <w:basedOn w:val="Normal"/>
    <w:link w:val="NotedebasdepageCar"/>
    <w:uiPriority w:val="99"/>
    <w:unhideWhenUsed/>
    <w:qFormat/>
    <w:rsid w:val="00AD766A"/>
    <w:rPr>
      <w:rFonts w:eastAsiaTheme="minorEastAsia"/>
    </w:rPr>
  </w:style>
  <w:style w:type="character" w:customStyle="1" w:styleId="NotedebasdepageCar">
    <w:name w:val="Note de bas de page Car"/>
    <w:aliases w:val="Carattere Car, Carattere Car,Note de bas de pageGL Car"/>
    <w:basedOn w:val="Policepardfaut"/>
    <w:link w:val="Notedebasdepage"/>
    <w:uiPriority w:val="99"/>
    <w:rsid w:val="00AD766A"/>
    <w:rPr>
      <w:rFonts w:ascii="Times New Roman" w:eastAsiaTheme="minorEastAsia" w:hAnsi="Times New Roman" w:cs="Times New Roman"/>
      <w:lang w:eastAsia="fr-FR"/>
    </w:rPr>
  </w:style>
  <w:style w:type="character" w:styleId="Appelnotedebasdep">
    <w:name w:val="footnote reference"/>
    <w:basedOn w:val="Policepardfaut"/>
    <w:uiPriority w:val="99"/>
    <w:unhideWhenUsed/>
    <w:rsid w:val="00AD766A"/>
    <w:rPr>
      <w:vertAlign w:val="superscript"/>
    </w:rPr>
  </w:style>
  <w:style w:type="paragraph" w:styleId="NormalWeb">
    <w:name w:val="Normal (Web)"/>
    <w:basedOn w:val="Normal"/>
    <w:uiPriority w:val="99"/>
    <w:unhideWhenUsed/>
    <w:rsid w:val="00AD766A"/>
    <w:pPr>
      <w:spacing w:before="100" w:beforeAutospacing="1" w:after="100" w:afterAutospacing="1"/>
    </w:pPr>
  </w:style>
  <w:style w:type="character" w:styleId="Lienhypertexte">
    <w:name w:val="Hyperlink"/>
    <w:basedOn w:val="Policepardfaut"/>
    <w:uiPriority w:val="99"/>
    <w:unhideWhenUsed/>
    <w:rsid w:val="00AD766A"/>
    <w:rPr>
      <w:color w:val="0563C1" w:themeColor="hyperlink"/>
      <w:u w:val="single"/>
    </w:rPr>
  </w:style>
  <w:style w:type="character" w:customStyle="1" w:styleId="apple-converted-space">
    <w:name w:val="apple-converted-space"/>
    <w:basedOn w:val="Policepardfaut"/>
    <w:rsid w:val="00AD766A"/>
  </w:style>
  <w:style w:type="character" w:customStyle="1" w:styleId="citation">
    <w:name w:val="citation"/>
    <w:basedOn w:val="Policepardfaut"/>
    <w:rsid w:val="00AD766A"/>
  </w:style>
  <w:style w:type="character" w:customStyle="1" w:styleId="ouvrage">
    <w:name w:val="ouvrage"/>
    <w:basedOn w:val="Policepardfaut"/>
    <w:rsid w:val="00AD766A"/>
  </w:style>
  <w:style w:type="character" w:styleId="CitationHTML">
    <w:name w:val="HTML Cite"/>
    <w:basedOn w:val="Policepardfaut"/>
    <w:uiPriority w:val="99"/>
    <w:semiHidden/>
    <w:unhideWhenUsed/>
    <w:rsid w:val="00AD766A"/>
    <w:rPr>
      <w:i/>
      <w:iCs/>
    </w:rPr>
  </w:style>
  <w:style w:type="character" w:customStyle="1" w:styleId="nowrap">
    <w:name w:val="nowrap"/>
    <w:basedOn w:val="Policepardfaut"/>
    <w:rsid w:val="00AD766A"/>
  </w:style>
  <w:style w:type="paragraph" w:styleId="Lgende">
    <w:name w:val="caption"/>
    <w:basedOn w:val="Normal"/>
    <w:next w:val="Normal"/>
    <w:uiPriority w:val="35"/>
    <w:unhideWhenUsed/>
    <w:qFormat/>
    <w:rsid w:val="00AD766A"/>
    <w:pPr>
      <w:spacing w:after="200"/>
    </w:pPr>
    <w:rPr>
      <w:rFonts w:asciiTheme="minorHAnsi" w:eastAsiaTheme="minorEastAsia" w:hAnsiTheme="minorHAnsi" w:cstheme="minorBidi"/>
      <w:b/>
      <w:bCs/>
      <w:color w:val="4472C4" w:themeColor="accent1"/>
      <w:sz w:val="18"/>
      <w:szCs w:val="18"/>
      <w:lang w:val="fr-FR"/>
    </w:rPr>
  </w:style>
  <w:style w:type="character" w:styleId="Accentuation">
    <w:name w:val="Emphasis"/>
    <w:basedOn w:val="Policepardfaut"/>
    <w:uiPriority w:val="20"/>
    <w:qFormat/>
    <w:rsid w:val="00AD766A"/>
    <w:rPr>
      <w:i/>
      <w:iCs/>
    </w:rPr>
  </w:style>
  <w:style w:type="character" w:customStyle="1" w:styleId="contributor">
    <w:name w:val="contributor"/>
    <w:basedOn w:val="Policepardfaut"/>
    <w:rsid w:val="00AD766A"/>
  </w:style>
  <w:style w:type="character" w:customStyle="1" w:styleId="collection">
    <w:name w:val="collection"/>
    <w:basedOn w:val="Policepardfaut"/>
    <w:rsid w:val="00AD766A"/>
  </w:style>
  <w:style w:type="character" w:customStyle="1" w:styleId="documentyear">
    <w:name w:val="documentyear"/>
    <w:basedOn w:val="Policepardfaut"/>
    <w:rsid w:val="00AD766A"/>
  </w:style>
  <w:style w:type="character" w:customStyle="1" w:styleId="documentissuename">
    <w:name w:val="documentissuename"/>
    <w:basedOn w:val="Policepardfaut"/>
    <w:rsid w:val="00AD766A"/>
  </w:style>
  <w:style w:type="character" w:customStyle="1" w:styleId="documentpagerange">
    <w:name w:val="documentpagerange"/>
    <w:basedOn w:val="Policepardfaut"/>
    <w:rsid w:val="00AD766A"/>
  </w:style>
  <w:style w:type="paragraph" w:customStyle="1" w:styleId="bibliographie">
    <w:name w:val="bibliographie"/>
    <w:basedOn w:val="Normal"/>
    <w:rsid w:val="00AD766A"/>
    <w:pPr>
      <w:spacing w:before="100" w:beforeAutospacing="1" w:after="100" w:afterAutospacing="1"/>
    </w:pPr>
  </w:style>
  <w:style w:type="character" w:customStyle="1" w:styleId="class">
    <w:name w:val="class"/>
    <w:basedOn w:val="Policepardfaut"/>
    <w:rsid w:val="00AD766A"/>
  </w:style>
  <w:style w:type="character" w:customStyle="1" w:styleId="gmail-familyname">
    <w:name w:val="gmail-familyname"/>
    <w:basedOn w:val="Policepardfaut"/>
    <w:rsid w:val="00AD766A"/>
  </w:style>
  <w:style w:type="character" w:styleId="lev">
    <w:name w:val="Strong"/>
    <w:basedOn w:val="Policepardfaut"/>
    <w:uiPriority w:val="22"/>
    <w:qFormat/>
    <w:rsid w:val="00AD766A"/>
    <w:rPr>
      <w:b/>
      <w:bCs/>
    </w:rPr>
  </w:style>
  <w:style w:type="character" w:customStyle="1" w:styleId="familyname">
    <w:name w:val="familyname"/>
    <w:basedOn w:val="Policepardfaut"/>
    <w:rsid w:val="00AD766A"/>
  </w:style>
  <w:style w:type="character" w:styleId="Lienhypertextesuivivisit">
    <w:name w:val="FollowedHyperlink"/>
    <w:basedOn w:val="Policepardfaut"/>
    <w:uiPriority w:val="99"/>
    <w:semiHidden/>
    <w:unhideWhenUsed/>
    <w:rsid w:val="00AD766A"/>
    <w:rPr>
      <w:color w:val="954F72" w:themeColor="followedHyperlink"/>
      <w:u w:val="single"/>
    </w:rPr>
  </w:style>
  <w:style w:type="character" w:styleId="Mentionnonrsolue">
    <w:name w:val="Unresolved Mention"/>
    <w:basedOn w:val="Policepardfaut"/>
    <w:uiPriority w:val="99"/>
    <w:semiHidden/>
    <w:unhideWhenUsed/>
    <w:rsid w:val="00AD7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no-latour.fr/sites/default/.../P-170-ELIASSON-FRpdf.pdf" TargetMode="External"/><Relationship Id="rId3" Type="http://schemas.openxmlformats.org/officeDocument/2006/relationships/webSettings" Target="webSettings.xml"/><Relationship Id="rId7" Type="http://schemas.openxmlformats.org/officeDocument/2006/relationships/hyperlink" Target="https://www.unilim.fr/actes-semiotiques/26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ublications.unilim.fr/revues/as/251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runo-latour.fr/sites/default/.../P-170-ELIASSON-FRpdf.pdf" TargetMode="External"/><Relationship Id="rId2" Type="http://schemas.openxmlformats.org/officeDocument/2006/relationships/hyperlink" Target="https://fr.wikipedia.org/wiki/Nouvelle_Objectivit%C3%A9_(architecture)" TargetMode="External"/><Relationship Id="rId1" Type="http://schemas.openxmlformats.org/officeDocument/2006/relationships/hyperlink" Target="https://www.unilim.fr/actes-semiotiques/2631" TargetMode="External"/><Relationship Id="rId4" Type="http://schemas.openxmlformats.org/officeDocument/2006/relationships/hyperlink" Target="http://epublications.unilim.fr/revues/as/25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10476</Words>
  <Characters>55735</Characters>
  <Application>Microsoft Office Word</Application>
  <DocSecurity>0</DocSecurity>
  <Lines>796</Lines>
  <Paragraphs>191</Paragraphs>
  <ScaleCrop>false</ScaleCrop>
  <Company/>
  <LinksUpToDate>false</LinksUpToDate>
  <CharactersWithSpaces>66020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Marion</cp:lastModifiedBy>
  <cp:revision>2</cp:revision>
  <cp:lastPrinted>2019-09-19T07:04:00Z</cp:lastPrinted>
  <dcterms:created xsi:type="dcterms:W3CDTF">2019-09-19T13:27:00Z</dcterms:created>
  <dcterms:modified xsi:type="dcterms:W3CDTF">2019-09-19T13:27:00Z</dcterms:modified>
</cp:coreProperties>
</file>