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41AD" w:rsidRPr="009C41AD" w:rsidRDefault="009C41AD" w:rsidP="009C41AD">
      <w:pPr>
        <w:spacing w:before="100" w:beforeAutospacing="1" w:after="100" w:afterAutospacing="1"/>
        <w:outlineLvl w:val="0"/>
        <w:rPr>
          <w:rFonts w:ascii="Times New Roman" w:eastAsia="Times New Roman" w:hAnsi="Times New Roman" w:cs="Times New Roman"/>
          <w:b/>
          <w:bCs/>
          <w:kern w:val="36"/>
          <w:sz w:val="38"/>
          <w:szCs w:val="38"/>
          <w:lang w:val="fr-LU" w:eastAsia="fr-FR"/>
        </w:rPr>
      </w:pPr>
      <w:r w:rsidRPr="009C41AD">
        <w:rPr>
          <w:rFonts w:ascii="Times New Roman" w:eastAsia="Times New Roman" w:hAnsi="Times New Roman" w:cs="Times New Roman"/>
          <w:b/>
          <w:bCs/>
          <w:kern w:val="36"/>
          <w:sz w:val="38"/>
          <w:szCs w:val="38"/>
          <w:lang w:val="fr-LU" w:eastAsia="fr-FR"/>
        </w:rPr>
        <w:t>La pandémie, un nouveau défi sociétal</w:t>
      </w:r>
      <w:r w:rsidRPr="009C41AD">
        <w:rPr>
          <w:rFonts w:ascii="Times New Roman" w:eastAsia="Times New Roman" w:hAnsi="Times New Roman" w:cs="Times New Roman"/>
          <w:b/>
          <w:bCs/>
          <w:kern w:val="36"/>
          <w:sz w:val="38"/>
          <w:szCs w:val="38"/>
          <w:lang w:val="fr-LU" w:eastAsia="fr-FR"/>
        </w:rPr>
        <w:br/>
        <w:t>Pouvoir et impact des liens faibles</w:t>
      </w:r>
    </w:p>
    <w:p w:rsidR="009C41AD" w:rsidRPr="009C41AD" w:rsidRDefault="009C41AD" w:rsidP="009C41AD">
      <w:pPr>
        <w:spacing w:before="240" w:after="240"/>
        <w:rPr>
          <w:rFonts w:ascii="Times New Roman" w:eastAsia="Times New Roman" w:hAnsi="Times New Roman" w:cs="Times New Roman"/>
          <w:lang w:val="en-US" w:eastAsia="fr-FR"/>
        </w:rPr>
      </w:pPr>
      <w:r w:rsidRPr="009C41AD">
        <w:rPr>
          <w:rFonts w:ascii="Times New Roman" w:eastAsia="Times New Roman" w:hAnsi="Times New Roman" w:cs="Times New Roman"/>
          <w:lang w:val="en-US" w:eastAsia="fr-FR"/>
        </w:rPr>
        <w:t>Marion Colas-Blaise</w:t>
      </w:r>
    </w:p>
    <w:p w:rsidR="009C41AD" w:rsidRPr="009C41AD" w:rsidRDefault="009C41AD" w:rsidP="009C41AD">
      <w:pPr>
        <w:spacing w:before="240" w:after="240"/>
        <w:rPr>
          <w:rFonts w:ascii="Times New Roman" w:eastAsia="Times New Roman" w:hAnsi="Times New Roman" w:cs="Times New Roman"/>
          <w:i/>
          <w:iCs/>
          <w:lang w:val="en-US" w:eastAsia="fr-FR"/>
        </w:rPr>
      </w:pPr>
      <w:r w:rsidRPr="009C41AD">
        <w:rPr>
          <w:rFonts w:ascii="Times New Roman" w:eastAsia="Times New Roman" w:hAnsi="Times New Roman" w:cs="Times New Roman"/>
          <w:i/>
          <w:iCs/>
          <w:color w:val="BBBBBB"/>
          <w:lang w:val="en-US" w:eastAsia="fr-FR"/>
        </w:rPr>
        <w:t>1</w:t>
      </w:r>
      <w:r w:rsidRPr="009C41AD">
        <w:rPr>
          <w:rFonts w:ascii="Times New Roman" w:eastAsia="Times New Roman" w:hAnsi="Times New Roman" w:cs="Times New Roman"/>
          <w:i/>
          <w:iCs/>
          <w:lang w:val="en-US" w:eastAsia="fr-FR"/>
        </w:rPr>
        <w:t>This article proposes to reflect on the properties of ‟community-multitudes” based on the principle of networking. During the COVID-19 pandemic, they constitute spontaneous, often temporary forms of sociality where resistance against the scourge is organised. The paper aims to examine a number of initiatives that produce sometimes improbable collectives, made to disappear or to last beyond the crisis. Emphasis is placed on the ethics of ‟care” and the form of life ‟care” at the base of the ‟neighbourhood” and solidarity relationships that are established in a building, a street, a city, or even between teachers and students in a university. In what way is the ethics of care capable of questioning traditional thought patterns? In this context, the focus is on the power and impact of ‟weak ties” compared to ‟strong ties” within the family, the professional setting, etc.</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2</w:t>
      </w:r>
      <w:r w:rsidRPr="009C41AD">
        <w:rPr>
          <w:rFonts w:ascii="Times New Roman" w:eastAsia="Times New Roman" w:hAnsi="Times New Roman" w:cs="Times New Roman"/>
          <w:lang w:val="fr-LU" w:eastAsia="fr-FR"/>
        </w:rPr>
        <w:t>Le confinement imposé par la pandémie COVID-19 et l’inquiétude qui gagne la population font-ils émerger de nouvelles formes de socialité ?</w:t>
      </w:r>
      <w:hyperlink r:id="rId5" w:anchor="ftn1" w:tooltip="Cet article a été rédigé pendant la période de confinement. Il se veut un témoignage et une réflexion sur les défis que la crise sanitaire COVID-19 de…" w:history="1">
        <w:r w:rsidRPr="009C41AD">
          <w:rPr>
            <w:rFonts w:ascii="Times New Roman" w:eastAsia="Times New Roman" w:hAnsi="Times New Roman" w:cs="Times New Roman"/>
            <w:color w:val="000000"/>
            <w:u w:val="single"/>
            <w:vertAlign w:val="superscript"/>
            <w:lang w:val="fr-LU" w:eastAsia="fr-FR"/>
          </w:rPr>
          <w:t>1</w:t>
        </w:r>
      </w:hyperlink>
      <w:r w:rsidRPr="009C41AD">
        <w:rPr>
          <w:rFonts w:ascii="Times New Roman" w:eastAsia="Times New Roman" w:hAnsi="Times New Roman" w:cs="Times New Roman"/>
          <w:lang w:val="fr-LU" w:eastAsia="fr-FR"/>
        </w:rPr>
        <w:t> La question peut paraître surprenante, tant il est vrai qu’isolement rime avec repli sur soi. Le paradoxe serait-il donc que la crise sanitaire pousse l’homme, qui est un être social, à imaginer des voies de communication inédites ? En effet, des regroupements se forment pour ainsi dire naturellement, à partir de ce que les individus on </w:t>
      </w:r>
      <w:r w:rsidRPr="009C41AD">
        <w:rPr>
          <w:rFonts w:ascii="Times New Roman" w:eastAsia="Times New Roman" w:hAnsi="Times New Roman" w:cs="Times New Roman"/>
          <w:i/>
          <w:iCs/>
          <w:lang w:val="fr-LU" w:eastAsia="fr-FR"/>
        </w:rPr>
        <w:t>en commun</w:t>
      </w:r>
      <w:r w:rsidRPr="009C41AD">
        <w:rPr>
          <w:rFonts w:ascii="Times New Roman" w:eastAsia="Times New Roman" w:hAnsi="Times New Roman" w:cs="Times New Roman"/>
          <w:lang w:val="fr-LU" w:eastAsia="fr-FR"/>
        </w:rPr>
        <w:t>. Dans ce cas, ces voies de communication exploitent-elles des connexions déjà existantes, notamment de type </w:t>
      </w:r>
      <w:r w:rsidRPr="009C41AD">
        <w:rPr>
          <w:rFonts w:ascii="Times New Roman" w:eastAsia="Times New Roman" w:hAnsi="Times New Roman" w:cs="Times New Roman"/>
          <w:i/>
          <w:iCs/>
          <w:lang w:val="fr-LU" w:eastAsia="fr-FR"/>
        </w:rPr>
        <w:t>réticulaire </w:t>
      </w:r>
      <w:r w:rsidRPr="009C41AD">
        <w:rPr>
          <w:rFonts w:ascii="Times New Roman" w:eastAsia="Times New Roman" w:hAnsi="Times New Roman" w:cs="Times New Roman"/>
          <w:lang w:val="fr-LU" w:eastAsia="fr-FR"/>
        </w:rPr>
        <w:t>? En ces temps de crise sanitaire, les réseaux sociaux sont sollicités plus que jamais. Plus largement, la réticularisation est-elle à la base de manières d’être et d’agir ensemble qui sortent des ornières, le coronavirus étant cet </w:t>
      </w:r>
      <w:r w:rsidRPr="009C41AD">
        <w:rPr>
          <w:rFonts w:ascii="Times New Roman" w:eastAsia="Times New Roman" w:hAnsi="Times New Roman" w:cs="Times New Roman"/>
          <w:i/>
          <w:iCs/>
          <w:lang w:val="fr-LU" w:eastAsia="fr-FR"/>
        </w:rPr>
        <w:t>événement</w:t>
      </w:r>
      <w:r w:rsidRPr="009C41AD">
        <w:rPr>
          <w:rFonts w:ascii="Times New Roman" w:eastAsia="Times New Roman" w:hAnsi="Times New Roman" w:cs="Times New Roman"/>
          <w:lang w:val="fr-LU" w:eastAsia="fr-FR"/>
        </w:rPr>
        <w:t> qui oblige à rompre avec les habitudes et les routines ? Ainsi, les journaux télévisés français répercutent des initiatives dans les quartiers ou les rues, où les voisins instaurent des « mondes parallèles », quelles que soient les manifestations concrètes des élans de solidarité : ainsi « fabriquer » des héros – le personnel soignant – qu’on acclame et que l’on applaudit collectivement, chaque soir, à 20 h, ou mettre en place des échanges de bons services, des dons et des contre-dons, de la distribution de dessins à colorier à l’interprétation improvisée d’une chanson ou d’une pièce de musique classique.</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3</w:t>
      </w:r>
      <w:r w:rsidRPr="009C41AD">
        <w:rPr>
          <w:rFonts w:ascii="Times New Roman" w:eastAsia="Times New Roman" w:hAnsi="Times New Roman" w:cs="Times New Roman"/>
          <w:lang w:val="fr-LU" w:eastAsia="fr-FR"/>
        </w:rPr>
        <w:t>Telle est donc l’hypothèse que nous souhaitons vérifier : même si de nouvelles formes de socialité exploitent des voies de communication et d’échange déjà existantes, même si la volonté de privilégier les localités contre une globalisation ou mondialisation qui effraye n’est pas récente – on songe aux fêtes du voisinage, par exemple, qui sont devenues une tradition –, le confinement en tant que situation exceptionnelle donne lieu à une </w:t>
      </w:r>
      <w:r w:rsidRPr="009C41AD">
        <w:rPr>
          <w:rFonts w:ascii="Times New Roman" w:eastAsia="Times New Roman" w:hAnsi="Times New Roman" w:cs="Times New Roman"/>
          <w:i/>
          <w:iCs/>
          <w:lang w:val="fr-LU" w:eastAsia="fr-FR"/>
        </w:rPr>
        <w:t>intensification</w:t>
      </w:r>
      <w:r w:rsidRPr="009C41AD">
        <w:rPr>
          <w:rFonts w:ascii="Times New Roman" w:eastAsia="Times New Roman" w:hAnsi="Times New Roman" w:cs="Times New Roman"/>
          <w:lang w:val="fr-LU" w:eastAsia="fr-FR"/>
        </w:rPr>
        <w:t> de ces pratiques, à leur mise en exergue et à l’émergence de formes extrêmes inédites, de formes de rupture. Certes, ces dernières sont destinées, elles encore, à une ritualisation rapide ; elles n’en peuvent pas moins donner naissance à des collectifs </w:t>
      </w:r>
      <w:r w:rsidRPr="009C41AD">
        <w:rPr>
          <w:rFonts w:ascii="Times New Roman" w:eastAsia="Times New Roman" w:hAnsi="Times New Roman" w:cs="Times New Roman"/>
          <w:i/>
          <w:iCs/>
          <w:lang w:val="fr-LU" w:eastAsia="fr-FR"/>
        </w:rPr>
        <w:t>a priori </w:t>
      </w:r>
      <w:r w:rsidRPr="009C41AD">
        <w:rPr>
          <w:rFonts w:ascii="Times New Roman" w:eastAsia="Times New Roman" w:hAnsi="Times New Roman" w:cs="Times New Roman"/>
          <w:lang w:val="fr-LU" w:eastAsia="fr-FR"/>
        </w:rPr>
        <w:t>improbables.</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4</w:t>
      </w:r>
      <w:r w:rsidRPr="009C41AD">
        <w:rPr>
          <w:rFonts w:ascii="Times New Roman" w:eastAsia="Times New Roman" w:hAnsi="Times New Roman" w:cs="Times New Roman"/>
          <w:lang w:val="fr-LU" w:eastAsia="fr-FR"/>
        </w:rPr>
        <w:t>La crise, du grec </w:t>
      </w:r>
      <w:r w:rsidRPr="009C41AD">
        <w:rPr>
          <w:rFonts w:ascii="Times New Roman" w:eastAsia="Times New Roman" w:hAnsi="Times New Roman" w:cs="Times New Roman"/>
          <w:i/>
          <w:iCs/>
          <w:lang w:val="fr-LU" w:eastAsia="fr-FR"/>
        </w:rPr>
        <w:t>krisis</w:t>
      </w:r>
      <w:r w:rsidRPr="009C41AD">
        <w:rPr>
          <w:rFonts w:ascii="Times New Roman" w:eastAsia="Times New Roman" w:hAnsi="Times New Roman" w:cs="Times New Roman"/>
          <w:lang w:val="fr-LU" w:eastAsia="fr-FR"/>
        </w:rPr>
        <w:t xml:space="preserve"> qui signifie « décision », n’est pas synonyme de perte (perte d’autonomie, de liberté, récession économique …) : c’est le moment où une décision se prend – « c’est le moment décisif, dans l’évolution d’un processus incertain, qui permet le diagnostic » (Morin 1976 : 149) –, contre la définition contemporaine de la crise comme indécision. La crise est un moment « décisif » et, souvent, de grande productivité et d’inventivité, un moment de remise en question et d’exploration de nouvelles voies. Elle est associée à l’idée de perturbation, d’amplification des désordres et des incertitudes qui en sont les corrélats affectifs, à des mécanismes de blocage et de déblocage et à l’idée de la </w:t>
      </w:r>
      <w:r w:rsidRPr="009C41AD">
        <w:rPr>
          <w:rFonts w:ascii="Times New Roman" w:eastAsia="Times New Roman" w:hAnsi="Times New Roman" w:cs="Times New Roman"/>
          <w:lang w:val="fr-LU" w:eastAsia="fr-FR"/>
        </w:rPr>
        <w:lastRenderedPageBreak/>
        <w:t>transformation (sous l’effet de feed-backs positifs ou négatifs, mais aussi de mises en concurrence). Elle propose des solutions « mythiques et imaginaires » (</w:t>
      </w:r>
      <w:r w:rsidRPr="009C41AD">
        <w:rPr>
          <w:rFonts w:ascii="Times New Roman" w:eastAsia="Times New Roman" w:hAnsi="Times New Roman" w:cs="Times New Roman"/>
          <w:i/>
          <w:iCs/>
          <w:lang w:val="fr-LU" w:eastAsia="fr-FR"/>
        </w:rPr>
        <w:t>ibid.</w:t>
      </w:r>
      <w:r w:rsidRPr="009C41AD">
        <w:rPr>
          <w:rFonts w:ascii="Times New Roman" w:eastAsia="Times New Roman" w:hAnsi="Times New Roman" w:cs="Times New Roman"/>
          <w:lang w:val="fr-LU" w:eastAsia="fr-FR"/>
        </w:rPr>
        <w:t> : 59) et donne lieu à une dialectisation agissante. Elle est ainsi une mise à l’épreuve des systèmes existants et la possibilité du changement, en raison même des antagonismes, de la charge polémique inhérents, avant de nouvelles stabilisations :</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En effet, si on veut, pour concevoir la crise, aller au-delà de l’idée de perturbation, d'épreuve, de rupture d'équilibre, </w:t>
      </w:r>
      <w:r w:rsidRPr="009C41AD">
        <w:rPr>
          <w:rFonts w:ascii="Times New Roman" w:eastAsia="Times New Roman" w:hAnsi="Times New Roman" w:cs="Times New Roman"/>
          <w:i/>
          <w:iCs/>
          <w:lang w:val="fr-LU" w:eastAsia="fr-FR"/>
        </w:rPr>
        <w:t>il faut concevoir la société comme système capable d'avoir des crises, c'est-à-dire poser trois ordres de principes, le premier systémique, le second cybernétique, le troisième néguentropique ; sans quoi la théorie de la société est insuffisante et la notion de crise inconceivable.</w:t>
      </w:r>
      <w:r w:rsidRPr="009C41AD">
        <w:rPr>
          <w:rFonts w:ascii="Times New Roman" w:eastAsia="Times New Roman" w:hAnsi="Times New Roman" w:cs="Times New Roman"/>
          <w:lang w:val="fr-LU" w:eastAsia="fr-FR"/>
        </w:rPr>
        <w:t>(</w:t>
      </w:r>
      <w:r w:rsidRPr="009C41AD">
        <w:rPr>
          <w:rFonts w:ascii="Times New Roman" w:eastAsia="Times New Roman" w:hAnsi="Times New Roman" w:cs="Times New Roman"/>
          <w:i/>
          <w:iCs/>
          <w:lang w:val="fr-LU" w:eastAsia="fr-FR"/>
        </w:rPr>
        <w:t>ibid.</w:t>
      </w:r>
      <w:r w:rsidRPr="009C41AD">
        <w:rPr>
          <w:rFonts w:ascii="Times New Roman" w:eastAsia="Times New Roman" w:hAnsi="Times New Roman" w:cs="Times New Roman"/>
          <w:lang w:val="fr-LU" w:eastAsia="fr-FR"/>
        </w:rPr>
        <w:t> : 149).</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5</w:t>
      </w:r>
      <w:r w:rsidRPr="009C41AD">
        <w:rPr>
          <w:rFonts w:ascii="Times New Roman" w:eastAsia="Times New Roman" w:hAnsi="Times New Roman" w:cs="Times New Roman"/>
          <w:lang w:val="fr-LU" w:eastAsia="fr-FR"/>
        </w:rPr>
        <w:t>Selon le principe de la thermodynamique, tout équilibre est métastable,</w:t>
      </w:r>
      <w:hyperlink r:id="rId6" w:anchor="ftn2" w:tooltip="Cf. Gilbert Simondon (1989 : 49) : « en tous domaines, l’état le plus stable est un état de mort ; c’est un état dégradé à partir duquel aucune transf…" w:history="1">
        <w:r w:rsidRPr="009C41AD">
          <w:rPr>
            <w:rFonts w:ascii="Times New Roman" w:eastAsia="Times New Roman" w:hAnsi="Times New Roman" w:cs="Times New Roman"/>
            <w:color w:val="000000"/>
            <w:u w:val="single"/>
            <w:vertAlign w:val="superscript"/>
            <w:lang w:val="fr-LU" w:eastAsia="fr-FR"/>
          </w:rPr>
          <w:t>2</w:t>
        </w:r>
      </w:hyperlink>
      <w:r w:rsidRPr="009C41AD">
        <w:rPr>
          <w:rFonts w:ascii="Times New Roman" w:eastAsia="Times New Roman" w:hAnsi="Times New Roman" w:cs="Times New Roman"/>
          <w:lang w:val="fr-LU" w:eastAsia="fr-FR"/>
        </w:rPr>
        <w:t> et par là même provisoire ; lutter contre la désintégration, c’est alors mettre à profit les antagonismes, renouveler l’énergie grâce à l’interaction avec l’environnement et proposer des formes d’auto-(éco)-organisation, dans les termes d’Edgar Morin, inédites. Pour le dire trivialement : plutôt que de subir la crise, ici celle déclenchée par le COVID-19, il s’agit de mettre à profit l’énergétisation caractéristique de toute crise, en raison même des antagonismes qu’elle comprend et libère, pour inventer des formes de socialité ou de convivialité inédites. Celles-ci sont alors éphémères ou pourvues d’un degré de stabilité plus élevé.</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6</w:t>
      </w:r>
      <w:r w:rsidRPr="009C41AD">
        <w:rPr>
          <w:rFonts w:ascii="Times New Roman" w:eastAsia="Times New Roman" w:hAnsi="Times New Roman" w:cs="Times New Roman"/>
          <w:lang w:val="fr-LU" w:eastAsia="fr-FR"/>
        </w:rPr>
        <w:t>Dans ce cas, nous visons à vérifier l’hypothèse de la venue à l’existence de communautés qui proposent des formes d’organisation inhabituelles, fondées sur ce que Granovetter (1973) appelle les </w:t>
      </w:r>
      <w:r w:rsidRPr="009C41AD">
        <w:rPr>
          <w:rFonts w:ascii="Times New Roman" w:eastAsia="Times New Roman" w:hAnsi="Times New Roman" w:cs="Times New Roman"/>
          <w:i/>
          <w:iCs/>
          <w:lang w:val="fr-LU" w:eastAsia="fr-FR"/>
        </w:rPr>
        <w:t>liens faibles</w:t>
      </w:r>
      <w:r w:rsidRPr="009C41AD">
        <w:rPr>
          <w:rFonts w:ascii="Times New Roman" w:eastAsia="Times New Roman" w:hAnsi="Times New Roman" w:cs="Times New Roman"/>
          <w:lang w:val="fr-LU" w:eastAsia="fr-FR"/>
        </w:rPr>
        <w:t>.</w:t>
      </w:r>
      <w:hyperlink r:id="rId7" w:anchor="ftn3" w:tooltip="Nous avons ainsi en vue un type de communauté, qu’il faut distinguer soigneusement d’autres types (par exemple, de la communauté religieuse)." w:history="1">
        <w:r w:rsidRPr="009C41AD">
          <w:rPr>
            <w:rFonts w:ascii="Times New Roman" w:eastAsia="Times New Roman" w:hAnsi="Times New Roman" w:cs="Times New Roman"/>
            <w:color w:val="000000"/>
            <w:u w:val="single"/>
            <w:vertAlign w:val="superscript"/>
            <w:lang w:val="fr-LU" w:eastAsia="fr-FR"/>
          </w:rPr>
          <w:t>3</w:t>
        </w:r>
      </w:hyperlink>
      <w:r w:rsidRPr="009C41AD">
        <w:rPr>
          <w:rFonts w:ascii="Times New Roman" w:eastAsia="Times New Roman" w:hAnsi="Times New Roman" w:cs="Times New Roman"/>
          <w:lang w:val="fr-LU" w:eastAsia="fr-FR"/>
        </w:rPr>
        <w:t> Il s’agit de liens à charge affective faible et non identifiés officiellement, nous dit Sandra Laugier (2020), à l’inverse des liens forts au sein du couple, de la famille, des liens d’amitié ou professionnels. D’une certaine manière, en raison du confinement, qui empêche les rencontres familiales et favorise le télé-travail, les liens forts sont provisoirement mis entre parenthèses et ils cèdent la place aux liens faibles. La communauté serait alors un type de collectif émergent, en voie de stabilisation, où </w:t>
      </w:r>
      <w:r w:rsidRPr="009C41AD">
        <w:rPr>
          <w:rFonts w:ascii="Times New Roman" w:eastAsia="Times New Roman" w:hAnsi="Times New Roman" w:cs="Times New Roman"/>
          <w:i/>
          <w:iCs/>
          <w:lang w:val="fr-LU" w:eastAsia="fr-FR"/>
        </w:rPr>
        <w:t>l’attention</w:t>
      </w:r>
      <w:r w:rsidRPr="009C41AD">
        <w:rPr>
          <w:rFonts w:ascii="Times New Roman" w:eastAsia="Times New Roman" w:hAnsi="Times New Roman" w:cs="Times New Roman"/>
          <w:lang w:val="fr-LU" w:eastAsia="fr-FR"/>
        </w:rPr>
        <w:t> spontanée à l’autre a une large part et où, contre toute institutionnalisation, contre toute mainmise par le politique, la science, l’économie, la religion, le monde de l’art ou d’autres formes de socialisation et de culturalisation reconnues, l’on voit une multitude expérimenter des manières d’être et d’agir ensemble. Ces dernières relèvent du </w:t>
      </w:r>
      <w:r w:rsidRPr="009C41AD">
        <w:rPr>
          <w:rFonts w:ascii="Times New Roman" w:eastAsia="Times New Roman" w:hAnsi="Times New Roman" w:cs="Times New Roman"/>
          <w:i/>
          <w:iCs/>
          <w:lang w:val="fr-LU" w:eastAsia="fr-FR"/>
        </w:rPr>
        <w:t>projet</w:t>
      </w:r>
      <w:r w:rsidRPr="009C41AD">
        <w:rPr>
          <w:rFonts w:ascii="Times New Roman" w:eastAsia="Times New Roman" w:hAnsi="Times New Roman" w:cs="Times New Roman"/>
          <w:lang w:val="fr-LU" w:eastAsia="fr-FR"/>
        </w:rPr>
        <w:t>, avec sa part d’indétermination et d’imprévu, plutôt que du programme vectorisé de bout en bout.</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7</w:t>
      </w:r>
      <w:r w:rsidRPr="009C41AD">
        <w:rPr>
          <w:rFonts w:ascii="Times New Roman" w:eastAsia="Times New Roman" w:hAnsi="Times New Roman" w:cs="Times New Roman"/>
          <w:lang w:val="fr-LU" w:eastAsia="fr-FR"/>
        </w:rPr>
        <w:t>Tels sont les points que cette réflexion essayera de creuser davantage. Elle sera déclinée en trois temps. D’abord, nous tenterons de rendre compte de l’émergence d’une </w:t>
      </w:r>
      <w:r w:rsidRPr="009C41AD">
        <w:rPr>
          <w:rFonts w:ascii="Times New Roman" w:eastAsia="Times New Roman" w:hAnsi="Times New Roman" w:cs="Times New Roman"/>
          <w:i/>
          <w:iCs/>
          <w:lang w:val="fr-LU" w:eastAsia="fr-FR"/>
        </w:rPr>
        <w:t>communauté-multitude</w:t>
      </w:r>
      <w:r w:rsidRPr="009C41AD">
        <w:rPr>
          <w:rFonts w:ascii="Times New Roman" w:eastAsia="Times New Roman" w:hAnsi="Times New Roman" w:cs="Times New Roman"/>
          <w:lang w:val="fr-LU" w:eastAsia="fr-FR"/>
        </w:rPr>
        <w:t> </w:t>
      </w:r>
      <w:hyperlink r:id="rId8" w:anchor="ftn4" w:tooltip="Notre réflexion portera sur les communautés que nous appelons des communautés-multitudes, en nous inspirant très librement des définitions de la multi…" w:history="1">
        <w:r w:rsidRPr="009C41AD">
          <w:rPr>
            <w:rFonts w:ascii="Times New Roman" w:eastAsia="Times New Roman" w:hAnsi="Times New Roman" w:cs="Times New Roman"/>
            <w:color w:val="000000"/>
            <w:u w:val="single"/>
            <w:vertAlign w:val="superscript"/>
            <w:lang w:val="fr-LU" w:eastAsia="fr-FR"/>
          </w:rPr>
          <w:t>4</w:t>
        </w:r>
      </w:hyperlink>
      <w:r w:rsidRPr="009C41AD">
        <w:rPr>
          <w:rFonts w:ascii="Times New Roman" w:eastAsia="Times New Roman" w:hAnsi="Times New Roman" w:cs="Times New Roman"/>
          <w:lang w:val="fr-LU" w:eastAsia="fr-FR"/>
        </w:rPr>
        <w:t> qui, contre les interdictions – pendant la pandémie, celle de vaquer à ses occupations routinières, en fonction de styles de vie ou de formes de vie traditionnels – ou, d’une certaine manière, les mettant à profit, invente des moyens de communication « parallèles » alternatifs. Il s’agira d’analyser un geste qui ne se résume pas à un geste pris dans le </w:t>
      </w:r>
      <w:r w:rsidRPr="009C41AD">
        <w:rPr>
          <w:rFonts w:ascii="Times New Roman" w:eastAsia="Times New Roman" w:hAnsi="Times New Roman" w:cs="Times New Roman"/>
          <w:i/>
          <w:iCs/>
          <w:lang w:val="fr-LU" w:eastAsia="fr-FR"/>
        </w:rPr>
        <w:t>gerere</w:t>
      </w:r>
      <w:r w:rsidRPr="009C41AD">
        <w:rPr>
          <w:rFonts w:ascii="Times New Roman" w:eastAsia="Times New Roman" w:hAnsi="Times New Roman" w:cs="Times New Roman"/>
          <w:lang w:val="fr-LU" w:eastAsia="fr-FR"/>
        </w:rPr>
        <w:t> de la gestion de la crise, ni même à un geste de résistance, mais qui relève de la </w:t>
      </w:r>
      <w:r w:rsidRPr="009C41AD">
        <w:rPr>
          <w:rFonts w:ascii="Times New Roman" w:eastAsia="Times New Roman" w:hAnsi="Times New Roman" w:cs="Times New Roman"/>
          <w:i/>
          <w:iCs/>
          <w:lang w:val="fr-LU" w:eastAsia="fr-FR"/>
        </w:rPr>
        <w:t>poïesis</w:t>
      </w:r>
      <w:r w:rsidRPr="009C41AD">
        <w:rPr>
          <w:rFonts w:ascii="Times New Roman" w:eastAsia="Times New Roman" w:hAnsi="Times New Roman" w:cs="Times New Roman"/>
          <w:lang w:val="fr-LU" w:eastAsia="fr-FR"/>
        </w:rPr>
        <w:t> créatrice. Mais aussi, se demandera-t-on, dans quelle mesure le vivre en communauté est-il compatible avec – appelle-t-il – des mises en ordre de type narratif conduisant à une stabilisation des organismes mis en place ?</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8</w:t>
      </w:r>
      <w:r w:rsidRPr="009C41AD">
        <w:rPr>
          <w:rFonts w:ascii="Times New Roman" w:eastAsia="Times New Roman" w:hAnsi="Times New Roman" w:cs="Times New Roman"/>
          <w:lang w:val="fr-LU" w:eastAsia="fr-FR"/>
        </w:rPr>
        <w:t xml:space="preserve">Ensuite, nous nous interrogerons sur une possible réticularisation de la communauté, telle qu’elle aura été définie, à travers les réseaux sociaux et au-delà d’eux, et sur les valeurs qui y sont attachées. Assiste-t-on, en ces temps de crise, à un « idéal de symétrisation des acteurs » (Bertin/Granier 2015 : 122), contre les hiérarchies établies traditionnellement ? Présuppose-t-il une éthique de l’attention et du care ? Plus particulièrement, et en dehors des réseaux </w:t>
      </w:r>
      <w:r w:rsidRPr="009C41AD">
        <w:rPr>
          <w:rFonts w:ascii="Times New Roman" w:eastAsia="Times New Roman" w:hAnsi="Times New Roman" w:cs="Times New Roman"/>
          <w:lang w:val="fr-LU" w:eastAsia="fr-FR"/>
        </w:rPr>
        <w:lastRenderedPageBreak/>
        <w:t>sociaux, en quoi les cours à distance proposés par l’institution universitaire bouleversent-ils – ou font-ils semblant de bouleverser – les rapports consacrés entre enseignants et étudiants ?</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9</w:t>
      </w:r>
      <w:r w:rsidRPr="009C41AD">
        <w:rPr>
          <w:rFonts w:ascii="Times New Roman" w:eastAsia="Times New Roman" w:hAnsi="Times New Roman" w:cs="Times New Roman"/>
          <w:lang w:val="fr-LU" w:eastAsia="fr-FR"/>
        </w:rPr>
        <w:t>Enfin, c’est la notion même de lien faible qui sera réexaminée. Il importera de se demander, en dernière instance, en quoi, dans une communauté donnée, des gestes de solidarité ponctuels fondés sur des liens faibles projettent un soubassement commun – cette nouvelle normalité, éminemment précaire – qui rend signifiantes des formes de socialité provisoires. Ce sont les notions de forme de vie, au sens où l’entendent Wittgenstein et, à sa suite, certains sémioticiens, et de pratiques « convergentes » (ou « divergentes ») qui seront ainsi mises en avant.</w:t>
      </w:r>
    </w:p>
    <w:p w:rsidR="009C41AD" w:rsidRPr="009C41AD" w:rsidRDefault="009C41AD" w:rsidP="009C41AD">
      <w:pPr>
        <w:spacing w:before="100" w:beforeAutospacing="1" w:after="100" w:afterAutospacing="1"/>
        <w:outlineLvl w:val="0"/>
        <w:rPr>
          <w:rFonts w:ascii="Times New Roman" w:eastAsia="Times New Roman" w:hAnsi="Times New Roman" w:cs="Times New Roman"/>
          <w:b/>
          <w:bCs/>
          <w:kern w:val="36"/>
          <w:sz w:val="38"/>
          <w:szCs w:val="38"/>
          <w:lang w:val="fr-LU" w:eastAsia="fr-FR"/>
        </w:rPr>
      </w:pPr>
      <w:r w:rsidRPr="009C41AD">
        <w:rPr>
          <w:rFonts w:ascii="Times New Roman" w:eastAsia="Times New Roman" w:hAnsi="Times New Roman" w:cs="Times New Roman"/>
          <w:b/>
          <w:bCs/>
          <w:kern w:val="36"/>
          <w:sz w:val="38"/>
          <w:szCs w:val="38"/>
          <w:lang w:val="fr-LU" w:eastAsia="fr-FR"/>
        </w:rPr>
        <w:t>1. La communauté-multitude</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10</w:t>
      </w:r>
      <w:r w:rsidRPr="009C41AD">
        <w:rPr>
          <w:rFonts w:ascii="Times New Roman" w:eastAsia="Times New Roman" w:hAnsi="Times New Roman" w:cs="Times New Roman"/>
          <w:lang w:val="fr-LU" w:eastAsia="fr-FR"/>
        </w:rPr>
        <w:t>Notre hypothèse est que la crise sanitaire déclenchée par la COVID-19 et le confinement occasionnent un ralentissement du quotidien, la suspension des activités « normales » et un arrachement aux habitudes (perceptives). Il est alors possible d’observer presqu’en temps réel la genèse de ce que nous appelons des </w:t>
      </w:r>
      <w:r w:rsidRPr="009C41AD">
        <w:rPr>
          <w:rFonts w:ascii="Times New Roman" w:eastAsia="Times New Roman" w:hAnsi="Times New Roman" w:cs="Times New Roman"/>
          <w:i/>
          <w:iCs/>
          <w:lang w:val="fr-LU" w:eastAsia="fr-FR"/>
        </w:rPr>
        <w:t>communautés-multitudes</w:t>
      </w:r>
      <w:r w:rsidRPr="009C41AD">
        <w:rPr>
          <w:rFonts w:ascii="Times New Roman" w:eastAsia="Times New Roman" w:hAnsi="Times New Roman" w:cs="Times New Roman"/>
          <w:lang w:val="fr-LU" w:eastAsia="fr-FR"/>
        </w:rPr>
        <w:t> qui expérimentent des formes d’être ensemble inédites. Cherchant, ici, à étudier des formes de socialité qui restent encore en-deçà de modèles d’organisation plus institutionnalisés, nous souhaitons déterminer les facteurs responsables de tels régimes de </w:t>
      </w:r>
      <w:r w:rsidRPr="009C41AD">
        <w:rPr>
          <w:rFonts w:ascii="Times New Roman" w:eastAsia="Times New Roman" w:hAnsi="Times New Roman" w:cs="Times New Roman"/>
          <w:i/>
          <w:iCs/>
          <w:lang w:val="fr-LU" w:eastAsia="fr-FR"/>
        </w:rPr>
        <w:t>réinvention</w:t>
      </w:r>
      <w:r w:rsidRPr="009C41AD">
        <w:rPr>
          <w:rFonts w:ascii="Times New Roman" w:eastAsia="Times New Roman" w:hAnsi="Times New Roman" w:cs="Times New Roman"/>
          <w:lang w:val="fr-LU" w:eastAsia="fr-FR"/>
        </w:rPr>
        <w:t> des pratiques collectives, pour ainsi dire en laboratoire.</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11</w:t>
      </w:r>
      <w:r w:rsidRPr="009C41AD">
        <w:rPr>
          <w:rFonts w:ascii="Times New Roman" w:eastAsia="Times New Roman" w:hAnsi="Times New Roman" w:cs="Times New Roman"/>
          <w:lang w:val="fr-LU" w:eastAsia="fr-FR"/>
        </w:rPr>
        <w:t>Dans les limites de cet article, notre objectif n’est donc pas de se pencher sur les mécanismes qui font que les communautés-multitudes évoluent vers des groupements pré-sociaux, happés par des formes de socialité établies. Qu’il suffise, ici, d’énoncer trois conditions qui doivent être remplies pour qu’une telle stabilisation des communautés-multitudes puisse s’opérer : la prise de distance et le repli réflexif (surtout à travers la projection d’un récit) ; le passage des liens faibles aux liens forts ; l’ancrage dans le temps et dans l’espace, qui favorise la prise en charge par des organismes qui perdurent et qui revêtent, souvent, une fonction symbolique. Ainsi, il n’est pas anodin que des musées – le Rijksmuseum à Amsterdam, le Getti Centre à Los Angeles… – aient lancé aux internautes le défi de reproduire, chez soi, des tableaux de maître (</w:t>
      </w:r>
      <w:r w:rsidRPr="009C41AD">
        <w:rPr>
          <w:rFonts w:ascii="Times New Roman" w:eastAsia="Times New Roman" w:hAnsi="Times New Roman" w:cs="Times New Roman"/>
          <w:i/>
          <w:iCs/>
          <w:lang w:val="fr-LU" w:eastAsia="fr-FR"/>
        </w:rPr>
        <w:t>La jeune fille à la perle</w:t>
      </w:r>
      <w:r w:rsidRPr="009C41AD">
        <w:rPr>
          <w:rFonts w:ascii="Times New Roman" w:eastAsia="Times New Roman" w:hAnsi="Times New Roman" w:cs="Times New Roman"/>
          <w:lang w:val="fr-LU" w:eastAsia="fr-FR"/>
        </w:rPr>
        <w:t> [vers 1665] de Vermeer, </w:t>
      </w:r>
      <w:r w:rsidRPr="009C41AD">
        <w:rPr>
          <w:rFonts w:ascii="Times New Roman" w:eastAsia="Times New Roman" w:hAnsi="Times New Roman" w:cs="Times New Roman"/>
          <w:i/>
          <w:iCs/>
          <w:lang w:val="fr-LU" w:eastAsia="fr-FR"/>
        </w:rPr>
        <w:t>Joseph Roulin</w:t>
      </w:r>
      <w:r w:rsidRPr="009C41AD">
        <w:rPr>
          <w:rFonts w:ascii="Times New Roman" w:eastAsia="Times New Roman" w:hAnsi="Times New Roman" w:cs="Times New Roman"/>
          <w:lang w:val="fr-LU" w:eastAsia="fr-FR"/>
        </w:rPr>
        <w:t> [1889] de Van Gogh …) et de rendre les mises en scène visibles sur Instagram. Y verra-t-on un mouvement de « récupération » par le monde institutionnel de l’art ? Ou plutôt, la disposition des musées à renouveler leurs pratiques et à s’ouvrir à l’insolite ? On peut rendre compte d’évolutions qui font passer du maintenant </w:t>
      </w:r>
      <w:r w:rsidRPr="009C41AD">
        <w:rPr>
          <w:rFonts w:ascii="Times New Roman" w:eastAsia="Times New Roman" w:hAnsi="Times New Roman" w:cs="Times New Roman"/>
          <w:i/>
          <w:iCs/>
          <w:lang w:val="fr-LU" w:eastAsia="fr-FR"/>
        </w:rPr>
        <w:t>impliqué</w:t>
      </w:r>
      <w:r w:rsidRPr="009C41AD">
        <w:rPr>
          <w:rFonts w:ascii="Times New Roman" w:eastAsia="Times New Roman" w:hAnsi="Times New Roman" w:cs="Times New Roman"/>
          <w:lang w:val="fr-LU" w:eastAsia="fr-FR"/>
        </w:rPr>
        <w:t> de l’expérience vive à des temporalités </w:t>
      </w:r>
      <w:r w:rsidRPr="009C41AD">
        <w:rPr>
          <w:rFonts w:ascii="Times New Roman" w:eastAsia="Times New Roman" w:hAnsi="Times New Roman" w:cs="Times New Roman"/>
          <w:i/>
          <w:iCs/>
          <w:lang w:val="fr-LU" w:eastAsia="fr-FR"/>
        </w:rPr>
        <w:t>expliquées</w:t>
      </w:r>
      <w:r w:rsidRPr="009C41AD">
        <w:rPr>
          <w:rFonts w:ascii="Times New Roman" w:eastAsia="Times New Roman" w:hAnsi="Times New Roman" w:cs="Times New Roman"/>
          <w:lang w:val="fr-LU" w:eastAsia="fr-FR"/>
        </w:rPr>
        <w:t>, articulées en passé, présent et futur, et d’espaces vécus comme des milieux spontanés un peu clandestins – l’immeuble, la rue, le quartier …, c’est-à-dire de milieux en train de se (re-)configurer, où une individualité est captée comme organisme-dans-son-environnement, selon l’anthropologue Tim Ingold (2012) –, à des topographies officielles : non seulement ici et là-bas, mais là et ailleurs (en relation avec les différentes institutions). Il nous importe, dans le cadre de cet article, de cerner davantage les communautés-multitudes au stade embryonnaire qui les caractérise. En l’occurrence, nous considérons que les mises en scène ludiques d’oeuvres picturales ne se laissent pas happer par le monde de l’art, mais contribuent plutôt à l’évolution de ce dernier et au renouvellement de ses pratiques.</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12</w:t>
      </w:r>
      <w:r w:rsidRPr="009C41AD">
        <w:rPr>
          <w:rFonts w:ascii="Times New Roman" w:eastAsia="Times New Roman" w:hAnsi="Times New Roman" w:cs="Times New Roman"/>
          <w:lang w:val="fr-LU" w:eastAsia="fr-FR"/>
        </w:rPr>
        <w:t xml:space="preserve">Par rapport à « ma rue », les « ailleurs » peuvent inspirer de la peur. Quand il s’agit des hôpitaux, qu’il s’agit à la fois de célébrer et d’éviter, il est significatif que les contours du « ici » cherchent à se raffermir, comme par contrecoup. On constate que les relations de </w:t>
      </w:r>
      <w:r w:rsidRPr="009C41AD">
        <w:rPr>
          <w:rFonts w:ascii="Times New Roman" w:eastAsia="Times New Roman" w:hAnsi="Times New Roman" w:cs="Times New Roman"/>
          <w:lang w:val="fr-LU" w:eastAsia="fr-FR"/>
        </w:rPr>
        <w:lastRenderedPageBreak/>
        <w:t>proximité peuvent s’étendre, visant à englober – et à rendre proches et semblables (assimilation) – les passants anonymes, comme le montrent les messages suivants, captés à Nice, le 15 mars 2020, le premier jour du confinement. Premier message : sur une ardoise, le propriétaire d’un bar-restaurant a inscrit à la craie les mots suivants : « Rien ! Nada ! Nothing ! Nichts ! Love, Covid-19 » :</w:t>
      </w:r>
    </w:p>
    <w:p w:rsidR="009C41AD" w:rsidRPr="009C41AD" w:rsidRDefault="009C41AD" w:rsidP="009C41AD">
      <w:pPr>
        <w:jc w:val="center"/>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fldChar w:fldCharType="begin"/>
      </w:r>
      <w:r w:rsidRPr="009C41AD">
        <w:rPr>
          <w:rFonts w:ascii="Times New Roman" w:eastAsia="Times New Roman" w:hAnsi="Times New Roman" w:cs="Times New Roman"/>
          <w:lang w:val="fr-LU" w:eastAsia="fr-FR"/>
        </w:rPr>
        <w:instrText xml:space="preserve"> INCLUDEPICTURE "/var/folders/db/q9vpnpcn05l6dpqgvxtv24940000gn/T/com.microsoft.Word/WebArchiveCopyPasteTempFiles/14a9ac16-d703-4cb0-bdba-b35d1348a72b" \* MERGEFORMATINET </w:instrText>
      </w:r>
      <w:r w:rsidRPr="009C41AD">
        <w:rPr>
          <w:rFonts w:ascii="Times New Roman" w:eastAsia="Times New Roman" w:hAnsi="Times New Roman" w:cs="Times New Roman"/>
          <w:lang w:val="fr-LU" w:eastAsia="fr-FR"/>
        </w:rPr>
        <w:fldChar w:fldCharType="separate"/>
      </w:r>
      <w:r w:rsidRPr="009C41AD">
        <w:rPr>
          <w:rFonts w:ascii="Times New Roman" w:eastAsia="Times New Roman" w:hAnsi="Times New Roman" w:cs="Times New Roman"/>
          <w:noProof/>
          <w:lang w:val="fr-LU" w:eastAsia="fr-FR"/>
        </w:rPr>
        <w:drawing>
          <wp:inline distT="0" distB="0" distL="0" distR="0">
            <wp:extent cx="5638800" cy="7518400"/>
            <wp:effectExtent l="0" t="0" r="0" b="0"/>
            <wp:docPr id="3" name="Image 3"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8800" cy="7518400"/>
                    </a:xfrm>
                    <a:prstGeom prst="rect">
                      <a:avLst/>
                    </a:prstGeom>
                    <a:noFill/>
                    <a:ln>
                      <a:noFill/>
                    </a:ln>
                  </pic:spPr>
                </pic:pic>
              </a:graphicData>
            </a:graphic>
          </wp:inline>
        </w:drawing>
      </w:r>
      <w:r w:rsidRPr="009C41AD">
        <w:rPr>
          <w:rFonts w:ascii="Times New Roman" w:eastAsia="Times New Roman" w:hAnsi="Times New Roman" w:cs="Times New Roman"/>
          <w:lang w:val="fr-LU" w:eastAsia="fr-FR"/>
        </w:rPr>
        <w:fldChar w:fldCharType="end"/>
      </w:r>
    </w:p>
    <w:p w:rsidR="009C41AD" w:rsidRPr="009C41AD" w:rsidRDefault="009C41AD" w:rsidP="009C41AD">
      <w:pPr>
        <w:jc w:val="center"/>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Figure 1</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lastRenderedPageBreak/>
        <w:t>13</w:t>
      </w:r>
      <w:r w:rsidRPr="009C41AD">
        <w:rPr>
          <w:rFonts w:ascii="Times New Roman" w:eastAsia="Times New Roman" w:hAnsi="Times New Roman" w:cs="Times New Roman"/>
          <w:lang w:val="fr-LU" w:eastAsia="fr-FR"/>
        </w:rPr>
        <w:t>Les commerçants rivalisent d’ingéniosité : à la place du menu du jour, le propriétaire de ce bar-restaurant donne la parole au coronavirus personnifié, qui, après la formule de prise de congé « love », signe une lettre adressée à un « on » indéfini. Ailleurs, sur une banderole accrochée à la grille du Palais de Justice, les avocats « en détresse » donnent de la voix, dans la foulée des manifestations contre la réforme des retraites. Emmanuel Macron est érigé en cible, en tant que responsable d’un double fléau : le coronavirus est qualifié de Macronavirus. On peut lire ceci : « Contre le Macronavirus. Ici le carnaval continue. Avocats en détresse » :</w:t>
      </w:r>
    </w:p>
    <w:p w:rsidR="009C41AD" w:rsidRPr="009C41AD" w:rsidRDefault="009C41AD" w:rsidP="009C41AD">
      <w:pPr>
        <w:jc w:val="center"/>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lastRenderedPageBreak/>
        <w:fldChar w:fldCharType="begin"/>
      </w:r>
      <w:r w:rsidRPr="009C41AD">
        <w:rPr>
          <w:rFonts w:ascii="Times New Roman" w:eastAsia="Times New Roman" w:hAnsi="Times New Roman" w:cs="Times New Roman"/>
          <w:lang w:val="fr-LU" w:eastAsia="fr-FR"/>
        </w:rPr>
        <w:instrText xml:space="preserve"> INCLUDEPICTURE "/var/folders/db/q9vpnpcn05l6dpqgvxtv24940000gn/T/com.microsoft.Word/WebArchiveCopyPasteTempFiles/fb8dd9ef-6dba-43d9-abbb-d9d22f072580" \* MERGEFORMATINET </w:instrText>
      </w:r>
      <w:r w:rsidRPr="009C41AD">
        <w:rPr>
          <w:rFonts w:ascii="Times New Roman" w:eastAsia="Times New Roman" w:hAnsi="Times New Roman" w:cs="Times New Roman"/>
          <w:lang w:val="fr-LU" w:eastAsia="fr-FR"/>
        </w:rPr>
        <w:fldChar w:fldCharType="separate"/>
      </w:r>
      <w:r w:rsidRPr="009C41AD">
        <w:rPr>
          <w:rFonts w:ascii="Times New Roman" w:eastAsia="Times New Roman" w:hAnsi="Times New Roman" w:cs="Times New Roman"/>
          <w:noProof/>
          <w:lang w:val="fr-LU" w:eastAsia="fr-FR"/>
        </w:rPr>
        <w:drawing>
          <wp:inline distT="0" distB="0" distL="0" distR="0">
            <wp:extent cx="5756910" cy="7664450"/>
            <wp:effectExtent l="0" t="0" r="0" b="6350"/>
            <wp:docPr id="2" name="Image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7664450"/>
                    </a:xfrm>
                    <a:prstGeom prst="rect">
                      <a:avLst/>
                    </a:prstGeom>
                    <a:noFill/>
                    <a:ln>
                      <a:noFill/>
                    </a:ln>
                  </pic:spPr>
                </pic:pic>
              </a:graphicData>
            </a:graphic>
          </wp:inline>
        </w:drawing>
      </w:r>
      <w:r w:rsidRPr="009C41AD">
        <w:rPr>
          <w:rFonts w:ascii="Times New Roman" w:eastAsia="Times New Roman" w:hAnsi="Times New Roman" w:cs="Times New Roman"/>
          <w:lang w:val="fr-LU" w:eastAsia="fr-FR"/>
        </w:rPr>
        <w:fldChar w:fldCharType="end"/>
      </w:r>
    </w:p>
    <w:p w:rsidR="009C41AD" w:rsidRPr="009C41AD" w:rsidRDefault="009C41AD" w:rsidP="009C41AD">
      <w:pPr>
        <w:jc w:val="center"/>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Figure 2</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14</w:t>
      </w:r>
      <w:r w:rsidRPr="009C41AD">
        <w:rPr>
          <w:rFonts w:ascii="Times New Roman" w:eastAsia="Times New Roman" w:hAnsi="Times New Roman" w:cs="Times New Roman"/>
          <w:lang w:val="fr-LU" w:eastAsia="fr-FR"/>
        </w:rPr>
        <w:t>Ailleurs encore, l’impératif à la première personne pluriel cherche à unir tous les passants dans la prière : « Pas de rassemblement. Pas de Messe. Prions  »:</w:t>
      </w:r>
    </w:p>
    <w:p w:rsidR="009C41AD" w:rsidRPr="009C41AD" w:rsidRDefault="009C41AD" w:rsidP="009C41AD">
      <w:pPr>
        <w:jc w:val="center"/>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lastRenderedPageBreak/>
        <w:fldChar w:fldCharType="begin"/>
      </w:r>
      <w:r w:rsidRPr="009C41AD">
        <w:rPr>
          <w:rFonts w:ascii="Times New Roman" w:eastAsia="Times New Roman" w:hAnsi="Times New Roman" w:cs="Times New Roman"/>
          <w:lang w:val="fr-LU" w:eastAsia="fr-FR"/>
        </w:rPr>
        <w:instrText xml:space="preserve"> INCLUDEPICTURE "/var/folders/db/q9vpnpcn05l6dpqgvxtv24940000gn/T/com.microsoft.Word/WebArchiveCopyPasteTempFiles/d363fac1-a6be-42ae-85c5-1dd568828350" \* MERGEFORMATINET </w:instrText>
      </w:r>
      <w:r w:rsidRPr="009C41AD">
        <w:rPr>
          <w:rFonts w:ascii="Times New Roman" w:eastAsia="Times New Roman" w:hAnsi="Times New Roman" w:cs="Times New Roman"/>
          <w:lang w:val="fr-LU" w:eastAsia="fr-FR"/>
        </w:rPr>
        <w:fldChar w:fldCharType="separate"/>
      </w:r>
      <w:r w:rsidRPr="009C41AD">
        <w:rPr>
          <w:rFonts w:ascii="Times New Roman" w:eastAsia="Times New Roman" w:hAnsi="Times New Roman" w:cs="Times New Roman"/>
          <w:noProof/>
          <w:lang w:val="fr-LU" w:eastAsia="fr-FR"/>
        </w:rPr>
        <w:drawing>
          <wp:inline distT="0" distB="0" distL="0" distR="0">
            <wp:extent cx="5756910" cy="4326255"/>
            <wp:effectExtent l="0" t="0" r="0" b="4445"/>
            <wp:docPr id="1" name="Image 1"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4326255"/>
                    </a:xfrm>
                    <a:prstGeom prst="rect">
                      <a:avLst/>
                    </a:prstGeom>
                    <a:noFill/>
                    <a:ln>
                      <a:noFill/>
                    </a:ln>
                  </pic:spPr>
                </pic:pic>
              </a:graphicData>
            </a:graphic>
          </wp:inline>
        </w:drawing>
      </w:r>
      <w:r w:rsidRPr="009C41AD">
        <w:rPr>
          <w:rFonts w:ascii="Times New Roman" w:eastAsia="Times New Roman" w:hAnsi="Times New Roman" w:cs="Times New Roman"/>
          <w:lang w:val="fr-LU" w:eastAsia="fr-FR"/>
        </w:rPr>
        <w:fldChar w:fldCharType="end"/>
      </w:r>
    </w:p>
    <w:p w:rsidR="009C41AD" w:rsidRPr="009C41AD" w:rsidRDefault="009C41AD" w:rsidP="009C41AD">
      <w:pPr>
        <w:jc w:val="center"/>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Figure 3</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15</w:t>
      </w:r>
      <w:r w:rsidRPr="009C41AD">
        <w:rPr>
          <w:rFonts w:ascii="Times New Roman" w:eastAsia="Times New Roman" w:hAnsi="Times New Roman" w:cs="Times New Roman"/>
          <w:lang w:val="fr-LU" w:eastAsia="fr-FR"/>
        </w:rPr>
        <w:t>Notre hypothèse est que les relations qui se nouent ainsi sont des relations de « voisinage » (dans un immeuble, une rue, un quartier, une ville …), destinées à créer, par l’effet d’un englobement potentiel de tous, l’illusion d’une proximité – d’une familiarité – à différentes échelles (du très près au très loin). Il s’agit d’apprivoiser l’altérité menaçante – fût-ce par le biais d’un humour grinçant, qui associe la Covid, ce destinateur d’une lettre qui nous institue tous en destinataires potentiels, à l’amour et au rien, au non-sens. Non sans paradoxe, en s’élargissant, les localités – la demeure, le territoire, le milieu de vie – se proposent comme des alternatives rassurantes à une mondialisation du fléau qui échappe à toute emprise.</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16</w:t>
      </w:r>
      <w:r w:rsidRPr="009C41AD">
        <w:rPr>
          <w:rFonts w:ascii="Times New Roman" w:eastAsia="Times New Roman" w:hAnsi="Times New Roman" w:cs="Times New Roman"/>
          <w:lang w:val="fr-LU" w:eastAsia="fr-FR"/>
        </w:rPr>
        <w:t>Les messages cherchent ainsi à provoquer des formes d’organisation qui donnent des repères à des individus arrachés à leur quotidien et désorientés. Sont-ils subsumés par un Tout ? De fait, le « on » indéfini résiste à toute appréhension totalisante. Ses bords restent nécessairement flous. La totalisation, qui serait rassurante, tient de l’illusion et est finalement déjouée. Comme nous l’avons suggéré </w:t>
      </w:r>
      <w:r w:rsidRPr="009C41AD">
        <w:rPr>
          <w:rFonts w:ascii="Times New Roman" w:eastAsia="Times New Roman" w:hAnsi="Times New Roman" w:cs="Times New Roman"/>
          <w:i/>
          <w:iCs/>
          <w:lang w:val="fr-LU" w:eastAsia="fr-FR"/>
        </w:rPr>
        <w:t>supra</w:t>
      </w:r>
      <w:r w:rsidRPr="009C41AD">
        <w:rPr>
          <w:rFonts w:ascii="Times New Roman" w:eastAsia="Times New Roman" w:hAnsi="Times New Roman" w:cs="Times New Roman"/>
          <w:lang w:val="fr-LU" w:eastAsia="fr-FR"/>
        </w:rPr>
        <w:t>, nous avons affaire, plutôt, à des communautés qui </w:t>
      </w:r>
      <w:r w:rsidRPr="009C41AD">
        <w:rPr>
          <w:rFonts w:ascii="Times New Roman" w:eastAsia="Times New Roman" w:hAnsi="Times New Roman" w:cs="Times New Roman"/>
          <w:i/>
          <w:iCs/>
          <w:lang w:val="fr-LU" w:eastAsia="fr-FR"/>
        </w:rPr>
        <w:t>résistent</w:t>
      </w:r>
      <w:r w:rsidRPr="009C41AD">
        <w:rPr>
          <w:rFonts w:ascii="Times New Roman" w:eastAsia="Times New Roman" w:hAnsi="Times New Roman" w:cs="Times New Roman"/>
          <w:lang w:val="fr-LU" w:eastAsia="fr-FR"/>
        </w:rPr>
        <w:t> à la constitution </w:t>
      </w:r>
      <w:r w:rsidRPr="009C41AD">
        <w:rPr>
          <w:rFonts w:ascii="Times New Roman" w:eastAsia="Times New Roman" w:hAnsi="Times New Roman" w:cs="Times New Roman"/>
          <w:i/>
          <w:iCs/>
          <w:lang w:val="fr-LU" w:eastAsia="fr-FR"/>
        </w:rPr>
        <w:t>participative </w:t>
      </w:r>
      <w:r w:rsidRPr="009C41AD">
        <w:rPr>
          <w:rFonts w:ascii="Times New Roman" w:eastAsia="Times New Roman" w:hAnsi="Times New Roman" w:cs="Times New Roman"/>
          <w:lang w:val="fr-LU" w:eastAsia="fr-FR"/>
        </w:rPr>
        <w:t>de collectifs (totalité intégrale). De tels collectifs, dont les « membres n’appartiennent à la totalité qu’en raison de leur participation à son identité globale » (Fontanille 2020), seraient désignés par le pronom « ils ». Les communautés qui font l’objet de nos investigations (« on ») relèvent plutôt d’une totalité partitive : celle-ci prévoit des « relations mutuelles entre parties – les concitoyens – [qui] forment le noyau permanent d’une totalisation en cours » (« agrégat de relations de proximité ») (</w:t>
      </w:r>
      <w:r w:rsidRPr="009C41AD">
        <w:rPr>
          <w:rFonts w:ascii="Times New Roman" w:eastAsia="Times New Roman" w:hAnsi="Times New Roman" w:cs="Times New Roman"/>
          <w:i/>
          <w:iCs/>
          <w:lang w:val="fr-LU" w:eastAsia="fr-FR"/>
        </w:rPr>
        <w:t>ibid.</w:t>
      </w:r>
      <w:r w:rsidRPr="009C41AD">
        <w:rPr>
          <w:rFonts w:ascii="Times New Roman" w:eastAsia="Times New Roman" w:hAnsi="Times New Roman" w:cs="Times New Roman"/>
          <w:lang w:val="fr-LU" w:eastAsia="fr-FR"/>
        </w:rPr>
        <w:t>).</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17</w:t>
      </w:r>
      <w:r w:rsidRPr="009C41AD">
        <w:rPr>
          <w:rFonts w:ascii="Times New Roman" w:eastAsia="Times New Roman" w:hAnsi="Times New Roman" w:cs="Times New Roman"/>
          <w:lang w:val="fr-LU" w:eastAsia="fr-FR"/>
        </w:rPr>
        <w:t xml:space="preserve">Nous avons suggéré que, nées du besoin et vouées à se reconfigurer, voire à disparaître, ces communautés, improbables et imprévues, gagnent à être pensées sur le modèle des communautés-multitudes. À propos de la notion de multitude, cédons la parole à Paolo Virno </w:t>
      </w:r>
      <w:r w:rsidRPr="009C41AD">
        <w:rPr>
          <w:rFonts w:ascii="Times New Roman" w:eastAsia="Times New Roman" w:hAnsi="Times New Roman" w:cs="Times New Roman"/>
          <w:lang w:val="fr-LU" w:eastAsia="fr-FR"/>
        </w:rPr>
        <w:lastRenderedPageBreak/>
        <w:t>(2007 : 80) : « Multitude signifie : la pluralité – littéralement l’être-nombreux – en tant que forme durable d’existence sociale et politique, par opposition à l’unité cohérente du peuple. Eh bien, la multitude consiste en un réseau d’individus ; le « Nombre », c’est de nombreuses singularités ».</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18</w:t>
      </w:r>
      <w:r w:rsidRPr="009C41AD">
        <w:rPr>
          <w:rFonts w:ascii="Times New Roman" w:eastAsia="Times New Roman" w:hAnsi="Times New Roman" w:cs="Times New Roman"/>
          <w:lang w:val="fr-LU" w:eastAsia="fr-FR"/>
        </w:rPr>
        <w:t>Que faut-il en retenir pour notre propos ? Selon Citton (2010),</w:t>
      </w:r>
      <w:hyperlink r:id="rId12" w:anchor="ftn5" w:tooltip="Citton (2010) cite Toni Negri : la multitude peut être définie comme « puissance propre à l’interaction de puissances singulières ». La puissance de l…" w:history="1">
        <w:r w:rsidRPr="009C41AD">
          <w:rPr>
            <w:rFonts w:ascii="Times New Roman" w:eastAsia="Times New Roman" w:hAnsi="Times New Roman" w:cs="Times New Roman"/>
            <w:color w:val="000000"/>
            <w:u w:val="single"/>
            <w:vertAlign w:val="superscript"/>
            <w:lang w:val="fr-LU" w:eastAsia="fr-FR"/>
          </w:rPr>
          <w:t>5</w:t>
        </w:r>
      </w:hyperlink>
      <w:r w:rsidRPr="009C41AD">
        <w:rPr>
          <w:rFonts w:ascii="Times New Roman" w:eastAsia="Times New Roman" w:hAnsi="Times New Roman" w:cs="Times New Roman"/>
          <w:lang w:val="fr-LU" w:eastAsia="fr-FR"/>
        </w:rPr>
        <w:t> la multitude est constituée de sujets politiques, mais aussi des spectateurs d’un match de rugby ou d'un concert de Johnny : « Ce peuple qu’un nouvel opium est censé ‹ abrutir › à coups de drapeaux, de rugby et de Johnny, le voilà composé de visages pleins de force, pleins de vie, pleins d’appétit et de joies, de réserve et de calme, de désirs et de retenue – pleins de beauté ». La multitude se caractérise selon lui, d’abord, par l’excédence, ensuite par une attitude d’interrogation. Nous dirons, pour notre part, que la communauté-multitude se construit non pas sur l’agencement ou l’association d’un ensemble d’entités éventuellement regroupées dans un tout cohérent, mais sur l’interaction de singularités plurielles. La multitude, que nous associons au « on », est cette foule qui ne se laisse réduire ni à la totalité pré-organisée (cf. le défilé militaire que mentionne Citton), ni à ce qu’il appelle une « somme d’individus » (</w:t>
      </w:r>
      <w:r w:rsidRPr="009C41AD">
        <w:rPr>
          <w:rFonts w:ascii="Times New Roman" w:eastAsia="Times New Roman" w:hAnsi="Times New Roman" w:cs="Times New Roman"/>
          <w:i/>
          <w:iCs/>
          <w:lang w:val="fr-LU" w:eastAsia="fr-FR"/>
        </w:rPr>
        <w:t>ibid.</w:t>
      </w:r>
      <w:r w:rsidRPr="009C41AD">
        <w:rPr>
          <w:rFonts w:ascii="Times New Roman" w:eastAsia="Times New Roman" w:hAnsi="Times New Roman" w:cs="Times New Roman"/>
          <w:lang w:val="fr-LU" w:eastAsia="fr-FR"/>
        </w:rPr>
        <w:t>). On ne constate aucun éclatement ni aucune homogénéisation qui serait illusoire. La « communion fusionnelle » qui serait l’horizon du « peuple-nation », nous dit Citton (</w:t>
      </w:r>
      <w:r w:rsidRPr="009C41AD">
        <w:rPr>
          <w:rFonts w:ascii="Times New Roman" w:eastAsia="Times New Roman" w:hAnsi="Times New Roman" w:cs="Times New Roman"/>
          <w:i/>
          <w:iCs/>
          <w:lang w:val="fr-LU" w:eastAsia="fr-FR"/>
        </w:rPr>
        <w:t>ibid.</w:t>
      </w:r>
      <w:r w:rsidRPr="009C41AD">
        <w:rPr>
          <w:rFonts w:ascii="Times New Roman" w:eastAsia="Times New Roman" w:hAnsi="Times New Roman" w:cs="Times New Roman"/>
          <w:lang w:val="fr-LU" w:eastAsia="fr-FR"/>
        </w:rPr>
        <w:t>), est également exclue. « Au contraire, notre communauté-multitude vaut, tout comme la multitude analysée par Yves Citton (</w:t>
      </w:r>
      <w:r w:rsidRPr="009C41AD">
        <w:rPr>
          <w:rFonts w:ascii="Times New Roman" w:eastAsia="Times New Roman" w:hAnsi="Times New Roman" w:cs="Times New Roman"/>
          <w:i/>
          <w:iCs/>
          <w:lang w:val="fr-LU" w:eastAsia="fr-FR"/>
        </w:rPr>
        <w:t>ibid.</w:t>
      </w:r>
      <w:r w:rsidRPr="009C41AD">
        <w:rPr>
          <w:rFonts w:ascii="Times New Roman" w:eastAsia="Times New Roman" w:hAnsi="Times New Roman" w:cs="Times New Roman"/>
          <w:lang w:val="fr-LU" w:eastAsia="fr-FR"/>
        </w:rPr>
        <w:t>), comme « force de r</w:t>
      </w:r>
      <w:r w:rsidRPr="009C41AD">
        <w:rPr>
          <w:rFonts w:ascii="Times New Roman" w:eastAsia="Times New Roman" w:hAnsi="Times New Roman" w:cs="Times New Roman"/>
          <w:i/>
          <w:iCs/>
          <w:lang w:val="fr-LU" w:eastAsia="fr-FR"/>
        </w:rPr>
        <w:t>ésistance à la communication contagieuse</w:t>
      </w:r>
      <w:r w:rsidRPr="009C41AD">
        <w:rPr>
          <w:rFonts w:ascii="Times New Roman" w:eastAsia="Times New Roman" w:hAnsi="Times New Roman" w:cs="Times New Roman"/>
          <w:lang w:val="fr-LU" w:eastAsia="fr-FR"/>
        </w:rPr>
        <w:t>, que celle-ci soit issue de la magnétisation verticale par un chef charismatique ou d’un emballement horizontal épidémiologique ». Et Citton (</w:t>
      </w:r>
      <w:r w:rsidRPr="009C41AD">
        <w:rPr>
          <w:rFonts w:ascii="Times New Roman" w:eastAsia="Times New Roman" w:hAnsi="Times New Roman" w:cs="Times New Roman"/>
          <w:i/>
          <w:iCs/>
          <w:lang w:val="fr-LU" w:eastAsia="fr-FR"/>
        </w:rPr>
        <w:t>ibid.</w:t>
      </w:r>
      <w:r w:rsidRPr="009C41AD">
        <w:rPr>
          <w:rFonts w:ascii="Times New Roman" w:eastAsia="Times New Roman" w:hAnsi="Times New Roman" w:cs="Times New Roman"/>
          <w:lang w:val="fr-LU" w:eastAsia="fr-FR"/>
        </w:rPr>
        <w:t>) de préciser encore sa pensée : « […] la valorisation de « la multitude » dans la théorie politique contemporaine avait émergé pour marquer ses distances envers la définition identitaire fusionnelle, communautaire et historiquement nationaliste d’un « peuple » un et indivisible  ».</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19</w:t>
      </w:r>
      <w:r w:rsidRPr="009C41AD">
        <w:rPr>
          <w:rFonts w:ascii="Times New Roman" w:eastAsia="Times New Roman" w:hAnsi="Times New Roman" w:cs="Times New Roman"/>
          <w:lang w:val="fr-LU" w:eastAsia="fr-FR"/>
        </w:rPr>
        <w:t>Développons cette idée en l’adaptant à notre contexte. Aucune fusion, ni aucune diffraction en des « facettes hétéroclites », mais un élan de solidarité des voisins, qui procure une cohérence et une consistance. Cela, en partie, grâce à une dramatisation « scénique ». Si la pandémie nous met face à des défis décisifs, à des problèmes et des enjeux souvent vitaux, la cohésion du collectif et la cohérence de l’action semblent favorisées par un « spectacle » (cathartique) au sens non trivial du terme, c’est-à-dire par quelque chose qui est montré frontalement et produit une bipartition de l’espace en « scène » et en « salle » ; l’"ailleurs" est changé en « là-bas ». Cela est vrai tout particulièrement pour ceux qui, au balcon, le soir, à 20 h, se joignent à travers leurs applaudissements à tous ceux qui honorent le dévouement du personnel soignant réparti sur les hôpitaux ou les ehpads. La gratitude, celle d’être en vie, celle de pouvoir compter sur un personnel médical dévoué, est alors le ferment de la constitution d’« agents collectifs ».</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20</w:t>
      </w:r>
      <w:r w:rsidRPr="009C41AD">
        <w:rPr>
          <w:rFonts w:ascii="Times New Roman" w:eastAsia="Times New Roman" w:hAnsi="Times New Roman" w:cs="Times New Roman"/>
          <w:lang w:val="fr-LU" w:eastAsia="fr-FR"/>
        </w:rPr>
        <w:t>Sur ces bases, l’élan de solidarité pendant le confinement pense et met en pratique </w:t>
      </w:r>
      <w:r w:rsidRPr="009C41AD">
        <w:rPr>
          <w:rFonts w:ascii="Times New Roman" w:eastAsia="Times New Roman" w:hAnsi="Times New Roman" w:cs="Times New Roman"/>
          <w:i/>
          <w:iCs/>
          <w:lang w:val="fr-LU" w:eastAsia="fr-FR"/>
        </w:rPr>
        <w:t>le commun</w:t>
      </w:r>
      <w:r w:rsidRPr="009C41AD">
        <w:rPr>
          <w:rFonts w:ascii="Times New Roman" w:eastAsia="Times New Roman" w:hAnsi="Times New Roman" w:cs="Times New Roman"/>
          <w:lang w:val="fr-LU" w:eastAsia="fr-FR"/>
        </w:rPr>
        <w:t>. À ce stade originaire, les personnes concernées résistent encore au social structuré par l’existence de clubs et d’associations</w:t>
      </w:r>
      <w:hyperlink r:id="rId13" w:anchor="ftn6" w:tooltip="En cela, la communauté-multitude que nous avons en vue se distingue des associations ou clubs de supporters davantage structurés. On s’intéressera ail…" w:history="1">
        <w:r w:rsidRPr="009C41AD">
          <w:rPr>
            <w:rFonts w:ascii="Times New Roman" w:eastAsia="Times New Roman" w:hAnsi="Times New Roman" w:cs="Times New Roman"/>
            <w:color w:val="000000"/>
            <w:u w:val="single"/>
            <w:vertAlign w:val="superscript"/>
            <w:lang w:val="fr-LU" w:eastAsia="fr-FR"/>
          </w:rPr>
          <w:t>6</w:t>
        </w:r>
      </w:hyperlink>
      <w:r w:rsidRPr="009C41AD">
        <w:rPr>
          <w:rFonts w:ascii="Times New Roman" w:eastAsia="Times New Roman" w:hAnsi="Times New Roman" w:cs="Times New Roman"/>
          <w:lang w:val="fr-LU" w:eastAsia="fr-FR"/>
        </w:rPr>
        <w:t> plus ou moins officiels, voire à des modèles organisationnels tels que les institutions. Nous sommes face à un continuum, la communauté-multitude étant un intermédiaire entre une association entièrement libre et la société :</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Le fait de l’association ne produit pas de lui-même une société. Cela exige […] la perception des conséquences d’une activité conjointe et du rôle distinctif de chaque élément qui la produit. Une telle perception crée un intérêt commun, c’est-à-dire une préoccupation de la part de chacun pour l’action conjointe et pour la contribution de chacun des membres qui s’y livrent. Alors il existe quelque chose qui est véritablement social et pas seulement associatif. (Dewey 2009 : 289)</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lastRenderedPageBreak/>
        <w:t>21</w:t>
      </w:r>
      <w:r w:rsidRPr="009C41AD">
        <w:rPr>
          <w:rFonts w:ascii="Times New Roman" w:eastAsia="Times New Roman" w:hAnsi="Times New Roman" w:cs="Times New Roman"/>
          <w:lang w:val="fr-LU" w:eastAsia="fr-FR"/>
        </w:rPr>
        <w:t>La communauté-multitude, basée sur cet </w:t>
      </w:r>
      <w:r w:rsidRPr="009C41AD">
        <w:rPr>
          <w:rFonts w:ascii="Times New Roman" w:eastAsia="Times New Roman" w:hAnsi="Times New Roman" w:cs="Times New Roman"/>
          <w:i/>
          <w:iCs/>
          <w:lang w:val="fr-LU" w:eastAsia="fr-FR"/>
        </w:rPr>
        <w:t>intérêt commun </w:t>
      </w:r>
      <w:r w:rsidRPr="009C41AD">
        <w:rPr>
          <w:rFonts w:ascii="Times New Roman" w:eastAsia="Times New Roman" w:hAnsi="Times New Roman" w:cs="Times New Roman"/>
          <w:lang w:val="fr-LU" w:eastAsia="fr-FR"/>
        </w:rPr>
        <w:t>et sur une </w:t>
      </w:r>
      <w:r w:rsidRPr="009C41AD">
        <w:rPr>
          <w:rFonts w:ascii="Times New Roman" w:eastAsia="Times New Roman" w:hAnsi="Times New Roman" w:cs="Times New Roman"/>
          <w:i/>
          <w:iCs/>
          <w:lang w:val="fr-LU" w:eastAsia="fr-FR"/>
        </w:rPr>
        <w:t>action conjointe</w:t>
      </w:r>
      <w:r w:rsidRPr="009C41AD">
        <w:rPr>
          <w:rFonts w:ascii="Times New Roman" w:eastAsia="Times New Roman" w:hAnsi="Times New Roman" w:cs="Times New Roman"/>
          <w:lang w:val="fr-LU" w:eastAsia="fr-FR"/>
        </w:rPr>
        <w:t>, constitue ainsi une forme de socialité embryonnaire, qui résiste encore, nous l’avons vu, à la désignation d’un « chef charismatique » et à un « emballement horizontal épidémiologique » (Citton 2010.). Même si ces derniers guettent toujours. Quand la direction est </w:t>
      </w:r>
      <w:r w:rsidRPr="009C41AD">
        <w:rPr>
          <w:rFonts w:ascii="Times New Roman" w:eastAsia="Times New Roman" w:hAnsi="Times New Roman" w:cs="Times New Roman"/>
          <w:i/>
          <w:iCs/>
          <w:lang w:val="fr-LU" w:eastAsia="fr-FR"/>
        </w:rPr>
        <w:t>donnée </w:t>
      </w:r>
      <w:r w:rsidRPr="009C41AD">
        <w:rPr>
          <w:rFonts w:ascii="Times New Roman" w:eastAsia="Times New Roman" w:hAnsi="Times New Roman" w:cs="Times New Roman"/>
          <w:lang w:val="fr-LU" w:eastAsia="fr-FR"/>
        </w:rPr>
        <w:t>par un chef et non plus à (re)construire, on quitte la forme d’organisation de la communauté-multitude pour d’autres formes de socialité (par exemple, l’union-fusion derrière un chef d’Etat …), peut-être plus rassurantes parce que davantage organisées et plus stables.</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22</w:t>
      </w:r>
      <w:r w:rsidRPr="009C41AD">
        <w:rPr>
          <w:rFonts w:ascii="Times New Roman" w:eastAsia="Times New Roman" w:hAnsi="Times New Roman" w:cs="Times New Roman"/>
          <w:lang w:val="fr-LU" w:eastAsia="fr-FR"/>
        </w:rPr>
        <w:t>La communauté-multitude formée dans la rue ou dans le quartier est exemplaire en ce qu’il y a, à sa base, le lien commun « présupposé », dont parle Gian Maria Tore (2021) : « […] le lien social est bien formel : il s’institue, il s’organise ; le lien commun ne peut pas s’instituer, s’organiser : il est présupposé ». En particulier, les habitants forment une communauté, plus ou moins étendue, parce qu’ils se retrouvent dans un certain endroit, presque par hasard, en tout cas sans que – sauf exception – leur être-ensemble, leur « commun » soit fabriqué artificiellement et réponde à des critères prédéfinis (par exemple, l’âge, la profession, la condition sociale, des convictions politiques ou religieuses …). En même temps – et nous voilà face à un premier nœud de complexité –, les rôles ne sont pas déjà donnés, préconstruits. Les liens qui s’établissent ne connectent pas des entités préexistantes : au contraire, celles-ci émergent des relations qui se nouent. En d’autres termes, si les membres de la communauté-multitude endossent des rôles identitaires avant la crise, celle-ci les supplante, les remet en question, du moins partiellement, les réinvente, appelant des compétences insoupçonnées à se développer ; de nouvelles singularités individuelles voient le jour, qui ont besoin de la communauté pour naître.</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23</w:t>
      </w:r>
      <w:r w:rsidRPr="009C41AD">
        <w:rPr>
          <w:rFonts w:ascii="Times New Roman" w:eastAsia="Times New Roman" w:hAnsi="Times New Roman" w:cs="Times New Roman"/>
          <w:lang w:val="fr-LU" w:eastAsia="fr-FR"/>
        </w:rPr>
        <w:t>Le geste </w:t>
      </w:r>
      <w:r w:rsidRPr="009C41AD">
        <w:rPr>
          <w:rFonts w:ascii="Times New Roman" w:eastAsia="Times New Roman" w:hAnsi="Times New Roman" w:cs="Times New Roman"/>
          <w:i/>
          <w:iCs/>
          <w:lang w:val="fr-LU" w:eastAsia="fr-FR"/>
        </w:rPr>
        <w:t>virtuose</w:t>
      </w:r>
      <w:r w:rsidRPr="009C41AD">
        <w:rPr>
          <w:rFonts w:ascii="Times New Roman" w:eastAsia="Times New Roman" w:hAnsi="Times New Roman" w:cs="Times New Roman"/>
          <w:lang w:val="fr-LU" w:eastAsia="fr-FR"/>
        </w:rPr>
        <w:t> est à la base de la constitution de la multitude selon Virno (2007) et lui confère une dimension esthétique, qui renouvelle les valeurs. Sans doute est-il constitutif de l’être-ensemble de la multitude dans la mesure où, dirons-nous, il naît du contact entre un corps, une sensibilité, un matériau et la praxis – répétition de gestes légués par autrui – que présuppose toute dextérité, toute maîtrise. Il s’inscrit dans une continuité, réactivant des gestes normés, en rapport avec des routines, mais il tient aussi de l’improvisation voulue par le rituel, faisant sa place au hasard et à la création. Le musicien sera le joueur de flûte d’un soir, l’artiste dessine des formes à colorier. En même temps, ni l’un ni l’autre ne s’enferment dans des rôles stabilisés une fois pour toutes, qui freineraient la dynamique qui est en train de se mettre en place. Malgré les routines qui s’installeront inévitablement, les gestes de la communauté sont éminemment provisoires et voués à se réinventer. Enfin, le geste est virtuose à condition de n’être ni isolé ni solitaire : comme pour la danse, le </w:t>
      </w:r>
      <w:r w:rsidRPr="009C41AD">
        <w:rPr>
          <w:rFonts w:ascii="Times New Roman" w:eastAsia="Times New Roman" w:hAnsi="Times New Roman" w:cs="Times New Roman"/>
          <w:i/>
          <w:iCs/>
          <w:lang w:val="fr-LU" w:eastAsia="fr-FR"/>
        </w:rPr>
        <w:t>pas de côté</w:t>
      </w:r>
      <w:r w:rsidRPr="009C41AD">
        <w:rPr>
          <w:rFonts w:ascii="Times New Roman" w:eastAsia="Times New Roman" w:hAnsi="Times New Roman" w:cs="Times New Roman"/>
          <w:lang w:val="fr-LU" w:eastAsia="fr-FR"/>
        </w:rPr>
        <w:t> doit s’ajuster à d’autres pas de côté.</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24</w:t>
      </w:r>
      <w:r w:rsidRPr="009C41AD">
        <w:rPr>
          <w:rFonts w:ascii="Times New Roman" w:eastAsia="Times New Roman" w:hAnsi="Times New Roman" w:cs="Times New Roman"/>
          <w:lang w:val="fr-LU" w:eastAsia="fr-FR"/>
        </w:rPr>
        <w:t>L’être- et l’agir-ensemble doivent être de l’ordre de l’expérience et de l’expérimentation, et en cela préserver la non-coïncidence – ne pas épouser un rôle au point de faire corps avec lui –, l’écart, l’interstice. Le musicien joue dans un orchestre et il devient le musicien d’un soir, animant sa rue. Il est l’un et l’autre, alternativement. Certes, les actions doivent se subordonner à un but : mettre en place une forme d’organisation alternative, parallèle, qui permet de mieux supporter le confinement, de gérer l’angoisse, de tuer l’ennui, etc. Cependant, l’excédent, le </w:t>
      </w:r>
      <w:r w:rsidRPr="009C41AD">
        <w:rPr>
          <w:rFonts w:ascii="Times New Roman" w:eastAsia="Times New Roman" w:hAnsi="Times New Roman" w:cs="Times New Roman"/>
          <w:i/>
          <w:iCs/>
          <w:lang w:val="fr-LU" w:eastAsia="fr-FR"/>
        </w:rPr>
        <w:t>pas de côté</w:t>
      </w:r>
      <w:r w:rsidRPr="009C41AD">
        <w:rPr>
          <w:rFonts w:ascii="Times New Roman" w:eastAsia="Times New Roman" w:hAnsi="Times New Roman" w:cs="Times New Roman"/>
          <w:lang w:val="fr-LU" w:eastAsia="fr-FR"/>
        </w:rPr>
        <w:t>, l’improvisation, qui secoue les habitudes qui se mettent en place inexorablement et ouvrent la voie à de nouvelles normativités, maintiennent ouvert l’éventail des possibles. C’est favoriser la bifurcation, le traçage de lignes adjacentes, dirait Deleuze (1996).</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25</w:t>
      </w:r>
      <w:r w:rsidRPr="009C41AD">
        <w:rPr>
          <w:rFonts w:ascii="Times New Roman" w:eastAsia="Times New Roman" w:hAnsi="Times New Roman" w:cs="Times New Roman"/>
          <w:lang w:val="fr-LU" w:eastAsia="fr-FR"/>
        </w:rPr>
        <w:t xml:space="preserve">Il existe un deuxième nœud de complexité. Si l’on admet que la pandémie favorise l’émergence de communautés plus ou moins embryonnaires, plus ou moins structurées, iI </w:t>
      </w:r>
      <w:r w:rsidRPr="009C41AD">
        <w:rPr>
          <w:rFonts w:ascii="Times New Roman" w:eastAsia="Times New Roman" w:hAnsi="Times New Roman" w:cs="Times New Roman"/>
          <w:lang w:val="fr-LU" w:eastAsia="fr-FR"/>
        </w:rPr>
        <w:lastRenderedPageBreak/>
        <w:t>s’agit de s’interroger sur l’existence et le devenir d’« une multitude d’intelligences autonomes, désynchronisées et collaboratives » (Citton 2010). On peut argumenter cela diversement, en s’inspirant librement des propositions qu’Yves Citton (ibid.) a formulées à la suite de Pascal Nicolas-Le Strat (2007, 2009a et b).</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26</w:t>
      </w:r>
      <w:r w:rsidRPr="009C41AD">
        <w:rPr>
          <w:rFonts w:ascii="Times New Roman" w:eastAsia="Times New Roman" w:hAnsi="Times New Roman" w:cs="Times New Roman"/>
          <w:lang w:val="fr-LU" w:eastAsia="fr-FR"/>
        </w:rPr>
        <w:t>Précisément, il incombe à la « désynchronisation » de favoriser les projets collectifs et d’empêcher l’élaboration de programmes qui, invariablement, conduiraient vers un figement et une stabilisation de l’être-ensemble communautaire. Seule la collaboration est un anti-dote contre la verticalité hiérarchisante et contre l’horizontalité « épidémiologique », selon Yves Citton (2010).</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27</w:t>
      </w:r>
      <w:r w:rsidRPr="009C41AD">
        <w:rPr>
          <w:rFonts w:ascii="Times New Roman" w:eastAsia="Times New Roman" w:hAnsi="Times New Roman" w:cs="Times New Roman"/>
          <w:lang w:val="fr-LU" w:eastAsia="fr-FR"/>
        </w:rPr>
        <w:t>Mais là n’est pas le tout. L’agentivité est attribuée au </w:t>
      </w:r>
      <w:r w:rsidRPr="009C41AD">
        <w:rPr>
          <w:rFonts w:ascii="Times New Roman" w:eastAsia="Times New Roman" w:hAnsi="Times New Roman" w:cs="Times New Roman"/>
          <w:i/>
          <w:iCs/>
          <w:lang w:val="fr-LU" w:eastAsia="fr-FR"/>
        </w:rPr>
        <w:t>récit d’expérience</w:t>
      </w:r>
      <w:r w:rsidRPr="009C41AD">
        <w:rPr>
          <w:rFonts w:ascii="Times New Roman" w:eastAsia="Times New Roman" w:hAnsi="Times New Roman" w:cs="Times New Roman"/>
          <w:lang w:val="fr-LU" w:eastAsia="fr-FR"/>
        </w:rPr>
        <w:t> et à sa capacité à « amorcer », « agencer » ou « fabriquer  » (Nicolas-Le Strat 2007 : 94). D’où l’importance, pour que l’expérience soit collective, d’un débrayage objectivant. Une syntagmatique prend ainsi forme, qui se clôt par le récit d’expérience. Cela vaut pour la communauté-multitude telle que nous l’envisageons ici. Le reportage télévisuel est, de ce point de vue, capital. En proposant une narrativisation des comportements, c’est-à-dire en projetant un enchaînement d’actions non plus foisonnantes, mais disciplinées, et le passage d’un état initial à un état final qui est supposé être son exact contraire, il autorise ce débrayage qui permet de prendre du recul au lieu de se laisser emporter par une vague : celle de la solidarité contagieuse. Cependant, on voit immédiatement en quoi l’entreprise est risquée. Le récit d’expérience peut en effet transformer la communauté en devenir en structure sociale, identifiée et reconnue comme telle. Cette transformation se payerait par une perte en spontanéité, en naturel, en authenticité, sans doute. Le processus, nécessaire, de la ré-individuation à travers une communauté en voie de configuration, voire de la re-chaotisation, salutaire jusqu’à un certain point, se verrait contrarié.</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28</w:t>
      </w:r>
      <w:r w:rsidRPr="009C41AD">
        <w:rPr>
          <w:rFonts w:ascii="Times New Roman" w:eastAsia="Times New Roman" w:hAnsi="Times New Roman" w:cs="Times New Roman"/>
          <w:lang w:val="fr-LU" w:eastAsia="fr-FR"/>
        </w:rPr>
        <w:t>Demandons-nous, à présent, en quoi la communauté accepte un fonctionnement de type réticulaire ; ou encore, en quoi le principe de rationalité du réseau permet de pousser la réflexion sur la communauté plus avant.</w:t>
      </w:r>
    </w:p>
    <w:p w:rsidR="009C41AD" w:rsidRPr="009C41AD" w:rsidRDefault="009C41AD" w:rsidP="009C41AD">
      <w:pPr>
        <w:spacing w:before="100" w:beforeAutospacing="1" w:after="100" w:afterAutospacing="1"/>
        <w:outlineLvl w:val="0"/>
        <w:rPr>
          <w:rFonts w:ascii="Times New Roman" w:eastAsia="Times New Roman" w:hAnsi="Times New Roman" w:cs="Times New Roman"/>
          <w:b/>
          <w:bCs/>
          <w:kern w:val="36"/>
          <w:sz w:val="38"/>
          <w:szCs w:val="38"/>
          <w:lang w:val="fr-LU" w:eastAsia="fr-FR"/>
        </w:rPr>
      </w:pPr>
      <w:r w:rsidRPr="009C41AD">
        <w:rPr>
          <w:rFonts w:ascii="Times New Roman" w:eastAsia="Times New Roman" w:hAnsi="Times New Roman" w:cs="Times New Roman"/>
          <w:b/>
          <w:bCs/>
          <w:kern w:val="36"/>
          <w:sz w:val="38"/>
          <w:szCs w:val="38"/>
          <w:lang w:val="fr-LU" w:eastAsia="fr-FR"/>
        </w:rPr>
        <w:t>2. Les pouvoirs de la réticularisation</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29</w:t>
      </w:r>
      <w:r w:rsidRPr="009C41AD">
        <w:rPr>
          <w:rFonts w:ascii="Times New Roman" w:eastAsia="Times New Roman" w:hAnsi="Times New Roman" w:cs="Times New Roman"/>
          <w:lang w:val="fr-LU" w:eastAsia="fr-FR"/>
        </w:rPr>
        <w:t xml:space="preserve">Le confinement rime avec une suractivité des réseaux sociaux, qui mettent en place une « proximité distante ». Ils autorisent, entre autres, une ego-écriture qui n’est pas limitée aux blogs ou à Twitter. Plus largement, internet permet des participations à distance, qu’il s’agisse d’expériences d’écriture collaborative ou de visites virtuelles de musées, de concerts, d’opéras ou de spectacles de danse à l’autre bout du monde. Jamais l’offre culturelle n’a été aussi intense ; jamais on n’a autant déambulé dans les galeries des musées virtuels ou assisté à distance à des concerts prestigieux. Y verra-t-on les bienfaits de la mondialisation ? D’une mondialisation qui s’accorde avec le local. C’est en effet au niveau local que la communauté-multitude peut constituer une force de résistance contre l’emprise institutionnelle. En même temps, selon nous, elle ne saurait ignorer le niveau des institutions au plan national et, plus largement, celui de la mondialisation, des connexions planétaires. La pandémie nous vient de Chine ; elle affecte d’autres pays européens, mais aussi les États-Unis ou la Corée. Les laboratoires de recherche du monde entier se mettent en quête d’un vaccin, s’étayent mutuellement, même si la course est engagée et que la question des profits, d’une part, de la valorisation symbolique fondant la suprématie d’une nation, d’autre part, n’est pas loin. Il s’agit alors de multiplier les initiatives locales comme pendant des décisions prises, verticalement, par le politique et la science. Il peut s’agir de formes de contestation ouverte, </w:t>
      </w:r>
      <w:r w:rsidRPr="009C41AD">
        <w:rPr>
          <w:rFonts w:ascii="Times New Roman" w:eastAsia="Times New Roman" w:hAnsi="Times New Roman" w:cs="Times New Roman"/>
          <w:lang w:val="fr-LU" w:eastAsia="fr-FR"/>
        </w:rPr>
        <w:lastRenderedPageBreak/>
        <w:t>en particulier lors de manifestations, souvent politisées, qui s’émeuvent de ce que, par les mesures prises – par exemple, le port du masque, la distanciation sociale – certains droits seraient bafoués. Dans d’autres cas, les initiatives locales, plus pacifiques, s’occupent de la traduction ou de la transposition des mesures prises dans le quotidien. Il en va ainsi des exemples de coopération que nous avons proposés : les initiatives dont nous avons fait état n’ont pas la transformation sociale comme objectif premier.</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30</w:t>
      </w:r>
      <w:r w:rsidRPr="009C41AD">
        <w:rPr>
          <w:rFonts w:ascii="Times New Roman" w:eastAsia="Times New Roman" w:hAnsi="Times New Roman" w:cs="Times New Roman"/>
          <w:lang w:val="fr-LU" w:eastAsia="fr-FR"/>
        </w:rPr>
        <w:t>Ces initiatives cultivent le va-et-vient entre les échelles. Il semblerait, ainsi, que, dans cette période d’incertitude et de privations, les liens entre le local et le global se renégocient, en faveur, d’une part, d’un </w:t>
      </w:r>
      <w:r w:rsidRPr="009C41AD">
        <w:rPr>
          <w:rFonts w:ascii="Times New Roman" w:eastAsia="Times New Roman" w:hAnsi="Times New Roman" w:cs="Times New Roman"/>
          <w:i/>
          <w:iCs/>
          <w:lang w:val="fr-LU" w:eastAsia="fr-FR"/>
        </w:rPr>
        <w:t>local plus</w:t>
      </w:r>
      <w:r w:rsidRPr="009C41AD">
        <w:rPr>
          <w:rFonts w:ascii="Times New Roman" w:eastAsia="Times New Roman" w:hAnsi="Times New Roman" w:cs="Times New Roman"/>
          <w:lang w:val="fr-LU" w:eastAsia="fr-FR"/>
        </w:rPr>
        <w:t>, qui échappe à la malédiction du repli identitaire, et d’un </w:t>
      </w:r>
      <w:r w:rsidRPr="009C41AD">
        <w:rPr>
          <w:rFonts w:ascii="Times New Roman" w:eastAsia="Times New Roman" w:hAnsi="Times New Roman" w:cs="Times New Roman"/>
          <w:i/>
          <w:iCs/>
          <w:lang w:val="fr-LU" w:eastAsia="fr-FR"/>
        </w:rPr>
        <w:t>global plus</w:t>
      </w:r>
      <w:r w:rsidRPr="009C41AD">
        <w:rPr>
          <w:rFonts w:ascii="Times New Roman" w:eastAsia="Times New Roman" w:hAnsi="Times New Roman" w:cs="Times New Roman"/>
          <w:lang w:val="fr-LU" w:eastAsia="fr-FR"/>
        </w:rPr>
        <w:t>, qui maintient ou rétablit les différences, qui sont signifiantes. C’est du moins en ces termes que Bruno Latour distingue la mondialisation-moins, qui impose une « seule vision » (2017 : 23) à tous, de la mondialisation-plus, qui pluralise les points de vue, et un local-moins d’un local-plus, qui n’est plus synonyme d’attachement exclusif à un lieu, un sol, un territoire. Nous avançons ainsi que la communauté, notamment celle qui se constitue sur les réseaux sociaux, peut sous certaines conditions être un antidote à la fois contre une vision étriquée (repli identitaire) et contre une dé-territorialisation à outrance (désancrage), au profit d’une multiplication et d’une émancipation des points de vue.</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31</w:t>
      </w:r>
      <w:r w:rsidRPr="009C41AD">
        <w:rPr>
          <w:rFonts w:ascii="Times New Roman" w:eastAsia="Times New Roman" w:hAnsi="Times New Roman" w:cs="Times New Roman"/>
          <w:lang w:val="fr-LU" w:eastAsia="fr-FR"/>
        </w:rPr>
        <w:t>Précisément, on peut se demander si, en ces temps de pandémie, on n’assiste pas à un regain d’intensité d’une telle réticularisation positive, qui n’est plus cantonnée aux réseaux de communication et de diffusion numériques. Notre hypothèse est que la communauté, dont nous avons essayé de tracer les contours, se construit elle-même sur une telle mise en réseau, multilinéaire, pluristratifiée, aux connexions foisonnantes, avant la projection, par exemple, de l’armature du récit qui attribue des rôles fixés une fois pour toutes. Le réseau comme principe de rationalité permet, en effet, de rendre compte d’une pluralisation d’initiatives singulières non encore canalisées strictement en vue d’une fin clairement identifiée et proclamée la seule véritable. Certes, la guerre contre le virus est enclenchée : la rhétorique d’Emmanuel Macron est, à ce sujet, particulièrement éclairante. Certes, la fin des initiatives plus ou moins éparses est une et la même pour tous : en ce qui concerne notre communauté, rendre le confinement moins pénible, endiguer l’expansion du fléau et soutenir le personnel soignant. Certes, après le postructuralisme qui a noté avec Lyotard la faillite du récit comme modèle à penser à même de contenir et de faire signifier l’hétérogénéité, on constate son retour (ou, peut-être, n’a-t-il jamais cessé de s’imposer) : on demande de plus en plus au récit d’</w:t>
      </w:r>
      <w:r w:rsidRPr="009C41AD">
        <w:rPr>
          <w:rFonts w:ascii="Times New Roman" w:eastAsia="Times New Roman" w:hAnsi="Times New Roman" w:cs="Times New Roman"/>
          <w:i/>
          <w:iCs/>
          <w:lang w:val="fr-LU" w:eastAsia="fr-FR"/>
        </w:rPr>
        <w:t>expliquer</w:t>
      </w:r>
      <w:r w:rsidRPr="009C41AD">
        <w:rPr>
          <w:rFonts w:ascii="Times New Roman" w:eastAsia="Times New Roman" w:hAnsi="Times New Roman" w:cs="Times New Roman"/>
          <w:lang w:val="fr-LU" w:eastAsia="fr-FR"/>
        </w:rPr>
        <w:t> une situation de crise. On identifie un déclenchement brusque, une rupture avec l’état initial qui plonge le monde dans le désarroi ; on est sensible à des délégations d’initiatives par un Destinateur-manipulateur et judicateur garant des valeurs, qui mandate un héros, à des enchaînements d’actions qui ont pour objectif l’éradication du mal, avant la résolution souhaitée du conflit et le retour escompté à une normalité qui ne sera jamais identique à l’état initial. Cependant, nous pensons que la logique réticulaire garde sa pertinence.</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32</w:t>
      </w:r>
      <w:r w:rsidRPr="009C41AD">
        <w:rPr>
          <w:rFonts w:ascii="Times New Roman" w:eastAsia="Times New Roman" w:hAnsi="Times New Roman" w:cs="Times New Roman"/>
          <w:lang w:val="fr-LU" w:eastAsia="fr-FR"/>
        </w:rPr>
        <w:t>Quel est le rôle qui incombe au réseau ? Il permettrait de remonter vers l’amont du récit, de penser surtout la naissance des micro-initiatives spontanées, parfois en excès, dé-bordantes, imprévues, mais guidées par une écologie de l’</w:t>
      </w:r>
      <w:r w:rsidRPr="009C41AD">
        <w:rPr>
          <w:rFonts w:ascii="Times New Roman" w:eastAsia="Times New Roman" w:hAnsi="Times New Roman" w:cs="Times New Roman"/>
          <w:i/>
          <w:iCs/>
          <w:lang w:val="fr-LU" w:eastAsia="fr-FR"/>
        </w:rPr>
        <w:t>attention</w:t>
      </w:r>
      <w:r w:rsidRPr="009C41AD">
        <w:rPr>
          <w:rFonts w:ascii="Times New Roman" w:eastAsia="Times New Roman" w:hAnsi="Times New Roman" w:cs="Times New Roman"/>
          <w:lang w:val="fr-LU" w:eastAsia="fr-FR"/>
        </w:rPr>
        <w:t> qui réclame un engagement pratique et épistémique, en deçà, encore, de la délibération, de la discussion rationnelle. Dans une situation de crise, il s’agit de faire attention à l’autre, vivant ou non-vivant, de découvrir et de valoriser ses potentialités en tant qu’il contribue à donner une forme au </w:t>
      </w:r>
      <w:r w:rsidRPr="009C41AD">
        <w:rPr>
          <w:rFonts w:ascii="Times New Roman" w:eastAsia="Times New Roman" w:hAnsi="Times New Roman" w:cs="Times New Roman"/>
          <w:i/>
          <w:iCs/>
          <w:lang w:val="fr-LU" w:eastAsia="fr-FR"/>
        </w:rPr>
        <w:t>commun</w:t>
      </w:r>
      <w:r w:rsidRPr="009C41AD">
        <w:rPr>
          <w:rFonts w:ascii="Times New Roman" w:eastAsia="Times New Roman" w:hAnsi="Times New Roman" w:cs="Times New Roman"/>
          <w:lang w:val="fr-LU" w:eastAsia="fr-FR"/>
        </w:rPr>
        <w:t>. Il s’agirait là d’un point de départ essentiel, valorisant l’affect, les émotions</w:t>
      </w:r>
      <w:hyperlink r:id="rId14" w:anchor="ftn7" w:tooltip="Même si, comme nous le verrons, les liens faibles se caractérisent par un degré d’affectivité plus faible (cf. Gefen/Laugier 2020)." w:history="1">
        <w:r w:rsidRPr="009C41AD">
          <w:rPr>
            <w:rFonts w:ascii="Times New Roman" w:eastAsia="Times New Roman" w:hAnsi="Times New Roman" w:cs="Times New Roman"/>
            <w:color w:val="000000"/>
            <w:u w:val="single"/>
            <w:vertAlign w:val="superscript"/>
            <w:lang w:val="fr-LU" w:eastAsia="fr-FR"/>
          </w:rPr>
          <w:t>7</w:t>
        </w:r>
      </w:hyperlink>
      <w:r w:rsidRPr="009C41AD">
        <w:rPr>
          <w:rFonts w:ascii="Times New Roman" w:eastAsia="Times New Roman" w:hAnsi="Times New Roman" w:cs="Times New Roman"/>
          <w:lang w:val="fr-LU" w:eastAsia="fr-FR"/>
        </w:rPr>
        <w:t xml:space="preserve">, d’une éthique du care au sens large, à partir de laquelle on peut passer – insensiblement, bien que non nécessairement – à </w:t>
      </w:r>
      <w:r w:rsidRPr="009C41AD">
        <w:rPr>
          <w:rFonts w:ascii="Times New Roman" w:eastAsia="Times New Roman" w:hAnsi="Times New Roman" w:cs="Times New Roman"/>
          <w:lang w:val="fr-LU" w:eastAsia="fr-FR"/>
        </w:rPr>
        <w:lastRenderedPageBreak/>
        <w:t>ces instances de régulation démocratiques qu’a en vue Dewey. Pour le </w:t>
      </w:r>
      <w:r w:rsidRPr="009C41AD">
        <w:rPr>
          <w:rFonts w:ascii="Times New Roman" w:eastAsia="Times New Roman" w:hAnsi="Times New Roman" w:cs="Times New Roman"/>
          <w:i/>
          <w:iCs/>
          <w:lang w:val="fr-LU" w:eastAsia="fr-FR"/>
        </w:rPr>
        <w:t>care</w:t>
      </w:r>
      <w:r w:rsidRPr="009C41AD">
        <w:rPr>
          <w:rFonts w:ascii="Times New Roman" w:eastAsia="Times New Roman" w:hAnsi="Times New Roman" w:cs="Times New Roman"/>
          <w:lang w:val="fr-LU" w:eastAsia="fr-FR"/>
        </w:rPr>
        <w:t>, on peut se reporter à Sandra Laugier (2020 : 199–200) :</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Le </w:t>
      </w:r>
      <w:r w:rsidRPr="009C41AD">
        <w:rPr>
          <w:rFonts w:ascii="Times New Roman" w:eastAsia="Times New Roman" w:hAnsi="Times New Roman" w:cs="Times New Roman"/>
          <w:i/>
          <w:iCs/>
          <w:lang w:val="fr-LU" w:eastAsia="fr-FR"/>
        </w:rPr>
        <w:t>care</w:t>
      </w:r>
      <w:r w:rsidRPr="009C41AD">
        <w:rPr>
          <w:rFonts w:ascii="Times New Roman" w:eastAsia="Times New Roman" w:hAnsi="Times New Roman" w:cs="Times New Roman"/>
          <w:lang w:val="fr-LU" w:eastAsia="fr-FR"/>
        </w:rPr>
        <w:t> trouve sa meilleure expression sous la forme non pas d’une théorie, mais d’une activité : le care conçu à la fois comme action (</w:t>
      </w:r>
      <w:r w:rsidRPr="009C41AD">
        <w:rPr>
          <w:rFonts w:ascii="Times New Roman" w:eastAsia="Times New Roman" w:hAnsi="Times New Roman" w:cs="Times New Roman"/>
          <w:i/>
          <w:iCs/>
          <w:lang w:val="fr-LU" w:eastAsia="fr-FR"/>
        </w:rPr>
        <w:t>caring about, taking care, caring for</w:t>
      </w:r>
      <w:r w:rsidRPr="009C41AD">
        <w:rPr>
          <w:rFonts w:ascii="Times New Roman" w:eastAsia="Times New Roman" w:hAnsi="Times New Roman" w:cs="Times New Roman"/>
          <w:lang w:val="fr-LU" w:eastAsia="fr-FR"/>
        </w:rPr>
        <w:t>), comme perception et attention aux détails non perçus (ou, plutôt, présents sous nos yeux mais non remarqués parce que trop proches), et comme fil conducteur assurant l’entretien (en plusieurs sens, dont celui de la conversation et de la conservation) d’un monde humain et social.</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33</w:t>
      </w:r>
      <w:r w:rsidRPr="009C41AD">
        <w:rPr>
          <w:rFonts w:ascii="Times New Roman" w:eastAsia="Times New Roman" w:hAnsi="Times New Roman" w:cs="Times New Roman"/>
          <w:lang w:val="fr-LU" w:eastAsia="fr-FR"/>
        </w:rPr>
        <w:t>Les modes d’organisation communautaire semblent s’y prêter spontanément,</w:t>
      </w:r>
      <w:hyperlink r:id="rId15" w:anchor="ftn8" w:tooltip="Il faut cependant faire un pas de plus, au-delà de l’amour du prochain au sens le plus immédiat du terme : Sandra Laugier parle de « désentimentalisat…" w:history="1">
        <w:r w:rsidRPr="009C41AD">
          <w:rPr>
            <w:rFonts w:ascii="Times New Roman" w:eastAsia="Times New Roman" w:hAnsi="Times New Roman" w:cs="Times New Roman"/>
            <w:color w:val="000000"/>
            <w:u w:val="single"/>
            <w:vertAlign w:val="superscript"/>
            <w:lang w:val="fr-LU" w:eastAsia="fr-FR"/>
          </w:rPr>
          <w:t>8</w:t>
        </w:r>
      </w:hyperlink>
      <w:r w:rsidRPr="009C41AD">
        <w:rPr>
          <w:rFonts w:ascii="Times New Roman" w:eastAsia="Times New Roman" w:hAnsi="Times New Roman" w:cs="Times New Roman"/>
          <w:lang w:val="fr-LU" w:eastAsia="fr-FR"/>
        </w:rPr>
        <w:t> à plusieurs conditions : d’abord, ils doivent cultiver la différence qualitative, contre le quantitatif (même si l’ampleur de la clameur, le soir, à 20 h, est elle-même valorisée positivement ; on assiste à une intensification qui est fonction de l’occupation plus importante de l’espace – ainsi, les applaudissements coordonnés retentissent dans toutes les villes de France – et de l’agencement du temps). Ensuite, il faut que les gestes de solidarité soient qualifiants, c’est-à-dire adaptés à la situation. Ce qui suppose, malgré tout, des instances de contrôle. Nous sommes ainsi face à un nouveau nœud de complexité : il faut capter le moment précis où une forme d’organisation plus lâche, dont il s’agit de faire l’expérience, non seulement se partage, mais tend à se structurer de manière plus définitive, à travers le contrôle et l’évaluation.</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34</w:t>
      </w:r>
      <w:r w:rsidRPr="009C41AD">
        <w:rPr>
          <w:rFonts w:ascii="Times New Roman" w:eastAsia="Times New Roman" w:hAnsi="Times New Roman" w:cs="Times New Roman"/>
          <w:lang w:val="fr-LU" w:eastAsia="fr-FR"/>
        </w:rPr>
        <w:t>En effet, ce qui est en jeu dans l’émergence de ces communautés réglées sur le modèle du réseau, c’est l’axiologisation, positive ou négative, des initiatives. Quelles en sont les implications sur la nature du réseau? N’est-ce pas porter atteinte à la structure « horizontale » du réseau, à l’idéal de « symétrisation des acteurs » (Bertin/Granier 2015), qui seraient mis au </w:t>
      </w:r>
      <w:r w:rsidRPr="009C41AD">
        <w:rPr>
          <w:rFonts w:ascii="Times New Roman" w:eastAsia="Times New Roman" w:hAnsi="Times New Roman" w:cs="Times New Roman"/>
          <w:i/>
          <w:iCs/>
          <w:lang w:val="fr-LU" w:eastAsia="fr-FR"/>
        </w:rPr>
        <w:t>même niveau</w:t>
      </w:r>
      <w:r w:rsidRPr="009C41AD">
        <w:rPr>
          <w:rFonts w:ascii="Times New Roman" w:eastAsia="Times New Roman" w:hAnsi="Times New Roman" w:cs="Times New Roman"/>
          <w:lang w:val="fr-LU" w:eastAsia="fr-FR"/>
        </w:rPr>
        <w:t> ? « Horizontalisation », en effet, car nous sommes tous concernés par un ennemi plus ou moins invisible, au même titre, et quelles que soient notre position sociale ou familiale, ou encore notre appartenance ethnique. Seule exception, semble-t-il : l’âge, le sexe, ou l’état de santé, qui font de certaines personnes des personnes vulnérables, à risque. Cette « horizontalisation » est-elle toutefois illusoire, du moins si on porte l’exigence à un sommet ? Ainsi, en ces temps de pandémie, le risque est, précisément, que des cohortes se forment, que les gens « à risque » soient contraints à des mesures de prudence particulières les isolant du reste de la population. Surtout, les initiatives spontanées et souvent bon enfant cèdent rapidement la place à la polémique concernant la gestion de la crise, surtout par le politique et la science. Des inégalités se font jour, irrémédiablement.</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35</w:t>
      </w:r>
      <w:r w:rsidRPr="009C41AD">
        <w:rPr>
          <w:rFonts w:ascii="Times New Roman" w:eastAsia="Times New Roman" w:hAnsi="Times New Roman" w:cs="Times New Roman"/>
          <w:lang w:val="fr-LU" w:eastAsia="fr-FR"/>
        </w:rPr>
        <w:t>Dans ce cas, il ne suffit pas de dire que le réseau, en particulier numérique, se caractérise par la propension à la relationalité et au partage (par exemple, les liens établis entre « amis » et abonnés pour le réseau social tel que Facebook), par la propension à la délinéarisation, à la multidimensionnalité, à la fragmentation et à l’augmentation (écriture collaborative et hypertextualité ou génération de textes) (Paveau 2014/15, 2015 et 2017). Certes, comme nous l’avons suggéré, les actions qui se multiplient dans les communautés-multitudes obéissent au principe de la délinéarisation et de la multidimensionnalité, contre un enchaînement d’actions strictement vectorisé dans le cadre d’un programme suturé de part en part. Ainsi, les échanges entre membres d’une communauté ne se font pas toujours le long des lignes déjà tracées, les relations ne s’établissent pas nécessairement entre des points déjà donnés, mais ces derniers – points de cristallisation, nœuds – peuvent être produits </w:t>
      </w:r>
      <w:r w:rsidRPr="009C41AD">
        <w:rPr>
          <w:rFonts w:ascii="Times New Roman" w:eastAsia="Times New Roman" w:hAnsi="Times New Roman" w:cs="Times New Roman"/>
          <w:i/>
          <w:iCs/>
          <w:lang w:val="fr-LU" w:eastAsia="fr-FR"/>
        </w:rPr>
        <w:t>par</w:t>
      </w:r>
      <w:r w:rsidRPr="009C41AD">
        <w:rPr>
          <w:rFonts w:ascii="Times New Roman" w:eastAsia="Times New Roman" w:hAnsi="Times New Roman" w:cs="Times New Roman"/>
          <w:lang w:val="fr-LU" w:eastAsia="fr-FR"/>
        </w:rPr>
        <w:t> les mises en relation, les connexions. À cela s’ajoute la fragmentation des initiatives : des tentatives d’un jour sont vouées à disparaître, certaines initiatives peuvent rester marginales. Enfin, l’augmentation, cette autre propriété du réseau, fait que certaines initiatives en génèrent d’autres, presque mécaniquement.</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lastRenderedPageBreak/>
        <w:t>36</w:t>
      </w:r>
      <w:r w:rsidRPr="009C41AD">
        <w:rPr>
          <w:rFonts w:ascii="Times New Roman" w:eastAsia="Times New Roman" w:hAnsi="Times New Roman" w:cs="Times New Roman"/>
          <w:lang w:val="fr-LU" w:eastAsia="fr-FR"/>
        </w:rPr>
        <w:t>Toutefois, insister sur ces propriétés du réseau ne nous renseigne pas sur le caractère symétrique des relations.</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37</w:t>
      </w:r>
      <w:r w:rsidRPr="009C41AD">
        <w:rPr>
          <w:rFonts w:ascii="Times New Roman" w:eastAsia="Times New Roman" w:hAnsi="Times New Roman" w:cs="Times New Roman"/>
          <w:lang w:val="fr-LU" w:eastAsia="fr-FR"/>
        </w:rPr>
        <w:t>De même, il ne suffit pas d’avancer que le réseau accorde une certaine part au hasard et à l’imprévu. Il est certes important de noter que, même si un certain nombre de personnes affirment, rétrospectivement, avoir prévu une crise sanitaire d’une telle ampleur, l</w:t>
      </w:r>
      <w:r w:rsidRPr="009C41AD">
        <w:rPr>
          <w:rFonts w:ascii="Times New Roman" w:eastAsia="Times New Roman" w:hAnsi="Times New Roman" w:cs="Times New Roman"/>
          <w:i/>
          <w:iCs/>
          <w:lang w:val="fr-LU" w:eastAsia="fr-FR"/>
        </w:rPr>
        <w:t>’événement</w:t>
      </w:r>
      <w:r w:rsidRPr="009C41AD">
        <w:rPr>
          <w:rFonts w:ascii="Times New Roman" w:eastAsia="Times New Roman" w:hAnsi="Times New Roman" w:cs="Times New Roman"/>
          <w:lang w:val="fr-LU" w:eastAsia="fr-FR"/>
        </w:rPr>
        <w:t> nous a pris de court. La gestion de la crise, au niveau national ou local, n’exclut pas une marge de manœuvre, voire d’erreur, qui génère l’incertitude : les réponses apportées par les politiques, les scientifiques… sont variées, hétérogènes, parfois discordantes, malgré la volonté affichée de « parler à l’unisson ». Ainsi, faut-il ou non rendre le port du masque obligatoire ? On comprend mieux pourquoi, selon Edgar Morin (2001), les instances « kaléidoscopiques » ouvrent les processus à l’incertitude. Parlera-t-on de désordre ? Le réseau se tiendrait plutôt sur la ligne de crête entre l’ordre et le désordre, sans cesse parcouru de tensions, à mesure les interactions se multiplient.</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38</w:t>
      </w:r>
      <w:r w:rsidRPr="009C41AD">
        <w:rPr>
          <w:rFonts w:ascii="Times New Roman" w:eastAsia="Times New Roman" w:hAnsi="Times New Roman" w:cs="Times New Roman"/>
          <w:lang w:val="fr-LU" w:eastAsia="fr-FR"/>
        </w:rPr>
        <w:t>Cependant, on ne saurait en rester là : la question brûlante de la symétrisation des acteurs demeure.</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39</w:t>
      </w:r>
      <w:r w:rsidRPr="009C41AD">
        <w:rPr>
          <w:rFonts w:ascii="Times New Roman" w:eastAsia="Times New Roman" w:hAnsi="Times New Roman" w:cs="Times New Roman"/>
          <w:lang w:val="fr-LU" w:eastAsia="fr-FR"/>
        </w:rPr>
        <w:t>Pour mieux cerner la capacité de la communauté à mettre en place une structure « horizontale », égalisante, considérons la théorie de l’acteur-réseau développée par Madeleine Akrich, Michel Callon et Bruno Latour (2006), c’est-à-dire la répartition de l’agentivité sur un ensemble d’acteurs, également des non-vivants, et parmi eux les normes, les représentations, les instruments ou outils. S’inspirant de la théorie de l’acteur-réseau librement, on peut opposer au centrage hiérarchique voulu par le modèle de la narrativité la distribution de la puissance d'agir sur une multitude d’éléments interconnectés, les rapprochements et les éloignements, les interactions, les participations. Concrètement, cela voudra dire que la pensée réticulaire nous donne les moyens de rendre compte des échanges « horizontaux », une fois que les barrières sociales, ethniques, culturelles, sociales … ont été abolies. Ceci alors même qu’il existe des instances de contrôle qui évaluent les actions en permanence, les déclarant plus ou moins adaptées à la situation.</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40</w:t>
      </w:r>
      <w:r w:rsidRPr="009C41AD">
        <w:rPr>
          <w:rFonts w:ascii="Times New Roman" w:eastAsia="Times New Roman" w:hAnsi="Times New Roman" w:cs="Times New Roman"/>
          <w:lang w:val="fr-LU" w:eastAsia="fr-FR"/>
        </w:rPr>
        <w:t>Et c’est bien en cela que réside le nœud de complexité : comment gérer une symétrisation des acteurs, une mise au même niveau, alors même que toute action est scrutée et évaluée et que l’interconnexion est confrontée à des situations intrinsèquement hiérarchisantes ? Cette question concerne tout particulièrement les acteurs – enseignants et étudiants – engagés dans l’aventure collective de l’enseignement universitaire.</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41</w:t>
      </w:r>
      <w:r w:rsidRPr="009C41AD">
        <w:rPr>
          <w:rFonts w:ascii="Times New Roman" w:eastAsia="Times New Roman" w:hAnsi="Times New Roman" w:cs="Times New Roman"/>
          <w:lang w:val="fr-LU" w:eastAsia="fr-FR"/>
        </w:rPr>
        <w:t>En effet, est-il permis de parler d’un rapprochement des enseignants et des étudiants, unis par la même fatalité du confinement, qui les </w:t>
      </w:r>
      <w:r w:rsidRPr="009C41AD">
        <w:rPr>
          <w:rFonts w:ascii="Times New Roman" w:eastAsia="Times New Roman" w:hAnsi="Times New Roman" w:cs="Times New Roman"/>
          <w:i/>
          <w:iCs/>
          <w:lang w:val="fr-LU" w:eastAsia="fr-FR"/>
        </w:rPr>
        <w:t>fait faire</w:t>
      </w:r>
      <w:r w:rsidRPr="009C41AD">
        <w:rPr>
          <w:rFonts w:ascii="Times New Roman" w:eastAsia="Times New Roman" w:hAnsi="Times New Roman" w:cs="Times New Roman"/>
          <w:lang w:val="fr-LU" w:eastAsia="fr-FR"/>
        </w:rPr>
        <w:t> – au sens où l’entend Bruno Latour (2000)</w:t>
      </w:r>
      <w:hyperlink r:id="rId16" w:anchor="ftn9" w:tooltip="Penser le réseau du point de vue de la théorie de l’acteur-réseau, c’est mettre en avant le faire faire : « les carnets que je fais écrire me font fai…" w:history="1">
        <w:r w:rsidRPr="009C41AD">
          <w:rPr>
            <w:rFonts w:ascii="Times New Roman" w:eastAsia="Times New Roman" w:hAnsi="Times New Roman" w:cs="Times New Roman"/>
            <w:color w:val="000000"/>
            <w:u w:val="single"/>
            <w:vertAlign w:val="superscript"/>
            <w:lang w:val="fr-LU" w:eastAsia="fr-FR"/>
          </w:rPr>
          <w:t>9</w:t>
        </w:r>
      </w:hyperlink>
      <w:r w:rsidRPr="009C41AD">
        <w:rPr>
          <w:rFonts w:ascii="Times New Roman" w:eastAsia="Times New Roman" w:hAnsi="Times New Roman" w:cs="Times New Roman"/>
          <w:lang w:val="fr-LU" w:eastAsia="fr-FR"/>
        </w:rPr>
        <w:t> – et les </w:t>
      </w:r>
      <w:r w:rsidRPr="009C41AD">
        <w:rPr>
          <w:rFonts w:ascii="Times New Roman" w:eastAsia="Times New Roman" w:hAnsi="Times New Roman" w:cs="Times New Roman"/>
          <w:i/>
          <w:iCs/>
          <w:lang w:val="fr-LU" w:eastAsia="fr-FR"/>
        </w:rPr>
        <w:t>fait être</w:t>
      </w:r>
      <w:r w:rsidRPr="009C41AD">
        <w:rPr>
          <w:rFonts w:ascii="Times New Roman" w:eastAsia="Times New Roman" w:hAnsi="Times New Roman" w:cs="Times New Roman"/>
          <w:lang w:val="fr-LU" w:eastAsia="fr-FR"/>
        </w:rPr>
        <w:t> ce qu’ils sont, par une même résistance à un fléau qui redessine les frontières temporelles et spatiales ? Face à un extérieur, il s’agit de circonscrire ensemble un espace et une temporalité propres, que l’on « s’approprie ». Un espace qui, cependant, n’est pas figé, mais toujours en mouvement, c’est-à-dire qui autorise les déplacements, si possible des déplacements concertés, convergents. C’est ce mouvement en commun, qui ne se résume pas à désigner des zones exclusives, mais qui les renégocie à chaque fois, en favorisant pour cela des positions à cheval sur le dedans et le dehors – l’ici et le là-bas, moi et l’autre – qui serait responsable de l’émergence, ici encore, d’une communauté. C’est en ce sens que l’on peut parler d’une </w:t>
      </w:r>
      <w:r w:rsidRPr="009C41AD">
        <w:rPr>
          <w:rFonts w:ascii="Times New Roman" w:eastAsia="Times New Roman" w:hAnsi="Times New Roman" w:cs="Times New Roman"/>
          <w:i/>
          <w:iCs/>
          <w:lang w:val="fr-LU" w:eastAsia="fr-FR"/>
        </w:rPr>
        <w:t>mutualité</w:t>
      </w:r>
      <w:r w:rsidRPr="009C41AD">
        <w:rPr>
          <w:rFonts w:ascii="Times New Roman" w:eastAsia="Times New Roman" w:hAnsi="Times New Roman" w:cs="Times New Roman"/>
          <w:lang w:val="fr-LU" w:eastAsia="fr-FR"/>
        </w:rPr>
        <w:t>, basée sur l’entraide entre enseignants et étudiants, mais aussi sur le souci de chacun d’aller dans le sens de l’ensemble. Réussir ensemble : chaque action étant évaluée, soit pour être rectifiée, soit pour être saluée.</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lastRenderedPageBreak/>
        <w:t>42</w:t>
      </w:r>
      <w:r w:rsidRPr="009C41AD">
        <w:rPr>
          <w:rFonts w:ascii="Times New Roman" w:eastAsia="Times New Roman" w:hAnsi="Times New Roman" w:cs="Times New Roman"/>
          <w:lang w:val="fr-LU" w:eastAsia="fr-FR"/>
        </w:rPr>
        <w:t>On peut interpréter ainsi les signes de gratitude – les remerciements – qui ponctuent une séance d’enseignement à distance réussie. Parlera-t-on d’une forme de complicité ? Peut-être. Jamais, en tout cas, l’université n’a été autant à l’écoute des étudiants, multipliant les annonces et les tutorials destinés à mettre des savoir-faire techniques à la portée de tous, installant des plateformes d’échange, aménageant les programmes en donnant des délais supplémentaires et réagissant de manière constructive aux résultats du sondage à large échelle qui a permis de déterminer le coefficient de satisfaction, voire de bien-être des étudiants. Jamais peut-être les étudiants ne nous ont paru aussi « concernés » par les enseignements, rivalisant d’ingéniosité pour faire contre mauvaise fortune bon coeur, aussi soucieux d’atteindre des objectifs communs. Faut-il y voir les ferments d’une nouvelle solidarité, de cette éthique du </w:t>
      </w:r>
      <w:r w:rsidRPr="009C41AD">
        <w:rPr>
          <w:rFonts w:ascii="Times New Roman" w:eastAsia="Times New Roman" w:hAnsi="Times New Roman" w:cs="Times New Roman"/>
          <w:i/>
          <w:iCs/>
          <w:lang w:val="fr-LU" w:eastAsia="fr-FR"/>
        </w:rPr>
        <w:t>care </w:t>
      </w:r>
      <w:r w:rsidRPr="009C41AD">
        <w:rPr>
          <w:rFonts w:ascii="Times New Roman" w:eastAsia="Times New Roman" w:hAnsi="Times New Roman" w:cs="Times New Roman"/>
          <w:lang w:val="fr-LU" w:eastAsia="fr-FR"/>
        </w:rPr>
        <w:t>dont parle Sandra Laugier (2020) ? Les effets de cette « redistribution » égalitaire des rôles vont-ils perdurer ? Il est trop tôt pour le dire.</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43</w:t>
      </w:r>
      <w:r w:rsidRPr="009C41AD">
        <w:rPr>
          <w:rFonts w:ascii="Times New Roman" w:eastAsia="Times New Roman" w:hAnsi="Times New Roman" w:cs="Times New Roman"/>
          <w:lang w:val="fr-LU" w:eastAsia="fr-FR"/>
        </w:rPr>
        <w:t>En même temps, les routines menacent de s’installer et peuvent donner lieu à un processus de désémantisation. Ainsi, on notera que, depuis le début de la pandémie, les emails se terminent quasi systématiquement par des formules du type « prenez bien soin de vous », « ne prenez aucun risque ». Trop sollicitées, ces formules figées commencent à se vider de leur sens et à endosser, tout au plus, une fonction phatique. Seuls le renouvellement constant des pratiques et leur re-valorisation continue permettent d’y résister.</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44</w:t>
      </w:r>
      <w:r w:rsidRPr="009C41AD">
        <w:rPr>
          <w:rFonts w:ascii="Times New Roman" w:eastAsia="Times New Roman" w:hAnsi="Times New Roman" w:cs="Times New Roman"/>
          <w:lang w:val="fr-LU" w:eastAsia="fr-FR"/>
        </w:rPr>
        <w:t>Pour mieux comprendre les mécanismes qui sont en jeu dans cette re-valorisation, sollicitons les travaux de Gabriel Tarde. À leur tour, mais à partir de bases théoriques très différentes, ils nous permettent de rendre compte des communautés-multitudes. Rejetons avec Tarde l’existence d’un tout englobant et supérieur aux parties et prenons au sérieux une « entre-possession de tous par chacun » (Latour 2011 : 8). Bruno Latour (ibid. : 18–19) note ainsi : </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À l’inverse de ce que croient aussi bien les marxistes que les néo-libéraux (auxquels Tarde fait les mêmes objections puisqu’ils sont, à ses yeux, d’accord sur tout sauf sur l’égalité), on ne peut obtenir de société et même tout simplement d’action organisée qu’à la seule condition que chacun « se mêle de tout », mais « sous des formes extrêmement variées ».</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45</w:t>
      </w:r>
      <w:r w:rsidRPr="009C41AD">
        <w:rPr>
          <w:rFonts w:ascii="Times New Roman" w:eastAsia="Times New Roman" w:hAnsi="Times New Roman" w:cs="Times New Roman"/>
          <w:lang w:val="fr-LU" w:eastAsia="fr-FR"/>
        </w:rPr>
        <w:t>Dans cela, aucun chef charismatique, aucune cause supra-individuelle, aucun Destinateur manipulateur et judicateur garant des valeurs, dirons-nous, en nous rapportant au modèle narratif, mais une « entre-possession ».</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46</w:t>
      </w:r>
      <w:r w:rsidRPr="009C41AD">
        <w:rPr>
          <w:rFonts w:ascii="Times New Roman" w:eastAsia="Times New Roman" w:hAnsi="Times New Roman" w:cs="Times New Roman"/>
          <w:lang w:val="fr-LU" w:eastAsia="fr-FR"/>
        </w:rPr>
        <w:t>Certes, les enseignants sont aux commandes en ce qu’ils gèrent leur enseignement. Certes, des appels sont lancés, par le président Macron, par ses ministres, par les médecins en chef … Des décisions sont prises en haut lieu, qui façonnent le quotidien (par exemple, à travers l’ouverture programmée des écoles, des parcs …), en fonction du taux d’exposition de la région au virus. Cependant, scruter l’émergence de ces communautés embryonnaires provisoires qui échappent encore au processus de la totalisation, à une organisation de type hiérarchique qui répartit les rôles et les fonctions, invite à mettre en avant la fonction de </w:t>
      </w:r>
      <w:r w:rsidRPr="009C41AD">
        <w:rPr>
          <w:rFonts w:ascii="Times New Roman" w:eastAsia="Times New Roman" w:hAnsi="Times New Roman" w:cs="Times New Roman"/>
          <w:i/>
          <w:iCs/>
          <w:lang w:val="fr-LU" w:eastAsia="fr-FR"/>
        </w:rPr>
        <w:t>chef d’orchestre</w:t>
      </w:r>
      <w:r w:rsidRPr="009C41AD">
        <w:rPr>
          <w:rFonts w:ascii="Times New Roman" w:eastAsia="Times New Roman" w:hAnsi="Times New Roman" w:cs="Times New Roman"/>
          <w:lang w:val="fr-LU" w:eastAsia="fr-FR"/>
        </w:rPr>
        <w:t>, plutôt que de dirigeant. Et il ne s’agit pas que d’une métaphore. Précisément, le confinement et la distanciation sociale voient l’éclosion d’initiatives originales, comme celle de demander aux musiciens de l’Orchestre National de France d’interpréter le </w:t>
      </w:r>
      <w:r w:rsidRPr="009C41AD">
        <w:rPr>
          <w:rFonts w:ascii="Times New Roman" w:eastAsia="Times New Roman" w:hAnsi="Times New Roman" w:cs="Times New Roman"/>
          <w:i/>
          <w:iCs/>
          <w:lang w:val="fr-LU" w:eastAsia="fr-FR"/>
        </w:rPr>
        <w:t>Boléro</w:t>
      </w:r>
      <w:r w:rsidRPr="009C41AD">
        <w:rPr>
          <w:rFonts w:ascii="Times New Roman" w:eastAsia="Times New Roman" w:hAnsi="Times New Roman" w:cs="Times New Roman"/>
          <w:lang w:val="fr-LU" w:eastAsia="fr-FR"/>
        </w:rPr>
        <w:t> de Ravel, chacun chez soi, loin de la Maison de la Radio qui les accueille habituellement. Une véritable prouesse technique et un symbole : une orchestration parfaite d’actions isolées, loin de la cacophonie mise en scène dans </w:t>
      </w:r>
      <w:r w:rsidRPr="009C41AD">
        <w:rPr>
          <w:rFonts w:ascii="Times New Roman" w:eastAsia="Times New Roman" w:hAnsi="Times New Roman" w:cs="Times New Roman"/>
          <w:i/>
          <w:iCs/>
          <w:lang w:val="fr-LU" w:eastAsia="fr-FR"/>
        </w:rPr>
        <w:t>Prova d’orchestra</w:t>
      </w:r>
      <w:r w:rsidRPr="009C41AD">
        <w:rPr>
          <w:rFonts w:ascii="Times New Roman" w:eastAsia="Times New Roman" w:hAnsi="Times New Roman" w:cs="Times New Roman"/>
          <w:lang w:val="fr-LU" w:eastAsia="fr-FR"/>
        </w:rPr>
        <w:t xml:space="preserve"> de Fellini. Dans ce dernier cas, analysé par Bruno Latour, si les artistes ne jouent pas tout de suite « à l’unisson », il ne faut voir dans ce film ni une apologie du désordre, ni un plébiscite pour l’ordre : on assiste plutôt à </w:t>
      </w:r>
      <w:r w:rsidRPr="009C41AD">
        <w:rPr>
          <w:rFonts w:ascii="Times New Roman" w:eastAsia="Times New Roman" w:hAnsi="Times New Roman" w:cs="Times New Roman"/>
          <w:lang w:val="fr-LU" w:eastAsia="fr-FR"/>
        </w:rPr>
        <w:lastRenderedPageBreak/>
        <w:t>une « dissolution », écrit Bruno Latour, avant que, sous l’effet de circonstances particulières, l’orchestre ne joue </w:t>
      </w:r>
      <w:r w:rsidRPr="009C41AD">
        <w:rPr>
          <w:rFonts w:ascii="Times New Roman" w:eastAsia="Times New Roman" w:hAnsi="Times New Roman" w:cs="Times New Roman"/>
          <w:i/>
          <w:iCs/>
          <w:lang w:val="fr-LU" w:eastAsia="fr-FR"/>
        </w:rPr>
        <w:t>juste</w:t>
      </w:r>
      <w:r w:rsidRPr="009C41AD">
        <w:rPr>
          <w:rFonts w:ascii="Times New Roman" w:eastAsia="Times New Roman" w:hAnsi="Times New Roman" w:cs="Times New Roman"/>
          <w:lang w:val="fr-LU" w:eastAsia="fr-FR"/>
        </w:rPr>
        <w:t>. Quelle morale faut-il en tirer ? « Le pandémonium, note encore Bruno Latour, c’est ce qui se passe quand chacun reste strictement dans sa boite et n’en sort plus » (ibid. : 17).</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47</w:t>
      </w:r>
      <w:r w:rsidRPr="009C41AD">
        <w:rPr>
          <w:rFonts w:ascii="Times New Roman" w:eastAsia="Times New Roman" w:hAnsi="Times New Roman" w:cs="Times New Roman"/>
          <w:lang w:val="fr-LU" w:eastAsia="fr-FR"/>
        </w:rPr>
        <w:t>« Entre-possession » : nous retrouvons la question, éminemment délicate, de l’« horizontalisation », de la « symétrisation des acteurs » (Bertin/Granier 2105) dans une communauté-multitude fondée sur le principe de la réticularité. Sont-elles effectives ou relèvent-elles d’une douce illusion, le voile de l’illusion étant aussitôt levé par le contrôle et l’évaluation omniprésents ? Sont-elles faites pour perdurer, ou condamnées à disparaître avec la fin de la pandémie ? Laisseront-elles des traces pérennes ? Il nous faudra davantage de recul pour apporter des réponses.</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48</w:t>
      </w:r>
      <w:r w:rsidRPr="009C41AD">
        <w:rPr>
          <w:rFonts w:ascii="Times New Roman" w:eastAsia="Times New Roman" w:hAnsi="Times New Roman" w:cs="Times New Roman"/>
          <w:lang w:val="fr-LU" w:eastAsia="fr-FR"/>
        </w:rPr>
        <w:t>La question qui se pose avec une acuité nouvelle peut être résumée ainsi : comment rendre compte davantage des liens qui s’établissent ainsi dans une situation d’exception, des relations inédites qui refaçonnent les positions de vis-à-vis et de face à face, de cette éthique du care dont il a été question ? La troisième partie sera consacrée aux liens faibles.</w:t>
      </w:r>
    </w:p>
    <w:p w:rsidR="009C41AD" w:rsidRPr="009C41AD" w:rsidRDefault="009C41AD" w:rsidP="009C41AD">
      <w:pPr>
        <w:spacing w:before="100" w:beforeAutospacing="1" w:after="100" w:afterAutospacing="1"/>
        <w:outlineLvl w:val="0"/>
        <w:rPr>
          <w:rFonts w:ascii="Times New Roman" w:eastAsia="Times New Roman" w:hAnsi="Times New Roman" w:cs="Times New Roman"/>
          <w:b/>
          <w:bCs/>
          <w:kern w:val="36"/>
          <w:sz w:val="38"/>
          <w:szCs w:val="38"/>
          <w:lang w:val="fr-LU" w:eastAsia="fr-FR"/>
        </w:rPr>
      </w:pPr>
      <w:r w:rsidRPr="009C41AD">
        <w:rPr>
          <w:rFonts w:ascii="Times New Roman" w:eastAsia="Times New Roman" w:hAnsi="Times New Roman" w:cs="Times New Roman"/>
          <w:b/>
          <w:bCs/>
          <w:kern w:val="36"/>
          <w:sz w:val="38"/>
          <w:szCs w:val="38"/>
          <w:lang w:val="fr-LU" w:eastAsia="fr-FR"/>
        </w:rPr>
        <w:t>3. Les liens faibles</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49</w:t>
      </w:r>
      <w:r w:rsidRPr="009C41AD">
        <w:rPr>
          <w:rFonts w:ascii="Times New Roman" w:eastAsia="Times New Roman" w:hAnsi="Times New Roman" w:cs="Times New Roman"/>
          <w:lang w:val="fr-LU" w:eastAsia="fr-FR"/>
        </w:rPr>
        <w:t>Nous l’avons suggéré </w:t>
      </w:r>
      <w:r w:rsidRPr="009C41AD">
        <w:rPr>
          <w:rFonts w:ascii="Times New Roman" w:eastAsia="Times New Roman" w:hAnsi="Times New Roman" w:cs="Times New Roman"/>
          <w:i/>
          <w:iCs/>
          <w:lang w:val="fr-LU" w:eastAsia="fr-FR"/>
        </w:rPr>
        <w:t>supra</w:t>
      </w:r>
      <w:r w:rsidRPr="009C41AD">
        <w:rPr>
          <w:rFonts w:ascii="Times New Roman" w:eastAsia="Times New Roman" w:hAnsi="Times New Roman" w:cs="Times New Roman"/>
          <w:lang w:val="fr-LU" w:eastAsia="fr-FR"/>
        </w:rPr>
        <w:t> : la communauté-multitude ne se laisse réduire ni à une totalité, ni à une "somme d’individus" (Citton 2010). Plus exactement, dirons-nous, des singularités plurielles deviennent des individus à travers le collectif, au sens où l’entend Gilbert Simondon (2017 : 293) : l’existence d’un « groupe d’intériorité » exige en plus de la relation avec la nature ou le monde « une autre relation qui fasse exister chaque homme comme personne sociale, et pour cela, il faut cette deuxième genèse qui est l’individuation de groupe ».</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50</w:t>
      </w:r>
      <w:r w:rsidRPr="009C41AD">
        <w:rPr>
          <w:rFonts w:ascii="Times New Roman" w:eastAsia="Times New Roman" w:hAnsi="Times New Roman" w:cs="Times New Roman"/>
          <w:lang w:val="fr-LU" w:eastAsia="fr-FR"/>
        </w:rPr>
        <w:t>L’individuation de groupe est alors un rempart contre la dividualité à contrôler selon Deleuze (1990), dont seraient responsables une logique informationnelle algorithmique et, en particulier, les opérations de data mining quand elles produisent un émiettement de profils collectés désancrés et soustraits au contexte collectif, au mépris du qualitatif. À moins que, justement, le dividualisme n’opère dans le sens d’un collectif dynamique et mouvant et fasse barrière à un individualisme qui rimerait avec centrement sur soi et exclusion de l’autre. Selon Massumi (2017), la « politique du dividualisme » aurait le pouvoir :</w:t>
      </w:r>
    </w:p>
    <w:p w:rsidR="009C41AD" w:rsidRPr="009C41AD" w:rsidRDefault="009C41AD" w:rsidP="009C41AD">
      <w:pPr>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51</w:t>
      </w:r>
    </w:p>
    <w:p w:rsidR="009C41AD" w:rsidRPr="009C41AD" w:rsidRDefault="009C41AD" w:rsidP="009C41AD">
      <w:pPr>
        <w:numPr>
          <w:ilvl w:val="0"/>
          <w:numId w:val="1"/>
        </w:numPr>
        <w:spacing w:before="100" w:beforeAutospacing="1" w:after="100" w:afterAutospacing="1"/>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d’agir contre une « politique de l’individualisme explicitement fondée sur une économie du choix personnel intéressé, qui postule que les unités de capital humain sont des animaux rationnels » ;</w:t>
      </w:r>
    </w:p>
    <w:p w:rsidR="009C41AD" w:rsidRPr="009C41AD" w:rsidRDefault="009C41AD" w:rsidP="009C41AD">
      <w:pPr>
        <w:numPr>
          <w:ilvl w:val="0"/>
          <w:numId w:val="1"/>
        </w:numPr>
        <w:spacing w:before="100" w:beforeAutospacing="1" w:after="100" w:afterAutospacing="1"/>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d’affirmer « la complexité ainsi que l’autonomie oscillatoire des décisions qui l’accompagne ». D’être sensible aux « modulations du devenir » et de sentir « le pouls de la vie éprouvé comme digne d’être vécu, en vertu de l’événement qu’il est, de son immanence à l’événement, comme fonction de la qualité expérientielle immédiate de celui-ci, sans tribunal de jugement au-dessus de sa tête prétendant souverainement le justifier sur un mode extrinsèque » ;</w:t>
      </w:r>
    </w:p>
    <w:p w:rsidR="009C41AD" w:rsidRPr="009C41AD" w:rsidRDefault="009C41AD" w:rsidP="009C41AD">
      <w:pPr>
        <w:numPr>
          <w:ilvl w:val="0"/>
          <w:numId w:val="1"/>
        </w:numPr>
        <w:spacing w:before="100" w:beforeAutospacing="1" w:after="100" w:afterAutospacing="1"/>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de reposer « sur le vecteur inquantifiable de l’intensité, en opposition à celui de la satisfaction. […] Ce serait une politique directement qualitative, relationnelle et situationnelle ».</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lastRenderedPageBreak/>
        <w:t>52</w:t>
      </w:r>
      <w:r w:rsidRPr="009C41AD">
        <w:rPr>
          <w:rFonts w:ascii="Times New Roman" w:eastAsia="Times New Roman" w:hAnsi="Times New Roman" w:cs="Times New Roman"/>
          <w:lang w:val="fr-LU" w:eastAsia="fr-FR"/>
        </w:rPr>
        <w:t>L’idée que nous souhaitons défendre est que la communauté dont le fonctionnement est de type réticulaire et qui, de surcroît, obéit à une politique du « dividualisme » repose sur des liens faibles, au sens où l’entendent Granovetter mais aussi, plus près de nous, Alexandre Gefen et Sandra Laugier (2020). Ces derniers commentent la thèse de Granovetter (1973) en ces termes :</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En démontrant que des liens étrangers aux solidarités familiales, professionnelles et amicales immédiats jouent un rôle déterminant dans nos socialités et que les liens indirects entre individus se connaissant mal sont « des instruments indispensables aux individus pour saisir certaines opportunités » et participent pleinement de « leur intégration au sein de la communauté », alors qu’au contraire, les liens forts peuvent isoler les individus dans des cliques encastrées et incapables de communiquer entre elles, Granovetter a profondément marqué la sociologie moderne […]. (Gefen/Laugier 2020: 12)</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53</w:t>
      </w:r>
      <w:r w:rsidRPr="009C41AD">
        <w:rPr>
          <w:rFonts w:ascii="Times New Roman" w:eastAsia="Times New Roman" w:hAnsi="Times New Roman" w:cs="Times New Roman"/>
          <w:lang w:val="fr-LU" w:eastAsia="fr-FR"/>
        </w:rPr>
        <w:t>Ces liens faibles seraient le garant, telle est notre hypothèse, de cette « entre-possession » dont nous avons parlé, qui peut présupposer le mode du dividualisme favorisant les relations qualitatives, contre la mise en avant d’individualités fortes qui n’ont conscience que de leur propre rôle. Les liens faibles ont alors une charge « officielle » faible, comme l’indique Sandra Laugier (2020 : 177). La charge affective est elle-même faible, par rapport à celle véhiculée par les liens forts. L’</w:t>
      </w:r>
      <w:r w:rsidRPr="009C41AD">
        <w:rPr>
          <w:rFonts w:ascii="Times New Roman" w:eastAsia="Times New Roman" w:hAnsi="Times New Roman" w:cs="Times New Roman"/>
          <w:i/>
          <w:iCs/>
          <w:lang w:val="fr-LU" w:eastAsia="fr-FR"/>
        </w:rPr>
        <w:t>attention</w:t>
      </w:r>
      <w:r w:rsidRPr="009C41AD">
        <w:rPr>
          <w:rFonts w:ascii="Times New Roman" w:eastAsia="Times New Roman" w:hAnsi="Times New Roman" w:cs="Times New Roman"/>
          <w:lang w:val="fr-LU" w:eastAsia="fr-FR"/>
        </w:rPr>
        <w:t> portée aux entours est plus ou moins (im)précise, plus ou moins flottante. Dans tous les cas, cet engagement n’est pas immédiat, il peut être plus lointain, comme le suppose aussi la notion d’</w:t>
      </w:r>
      <w:r w:rsidRPr="009C41AD">
        <w:rPr>
          <w:rFonts w:ascii="Times New Roman" w:eastAsia="Times New Roman" w:hAnsi="Times New Roman" w:cs="Times New Roman"/>
          <w:i/>
          <w:iCs/>
          <w:lang w:val="fr-LU" w:eastAsia="fr-FR"/>
        </w:rPr>
        <w:t>attachement</w:t>
      </w:r>
      <w:r w:rsidRPr="009C41AD">
        <w:rPr>
          <w:rFonts w:ascii="Times New Roman" w:eastAsia="Times New Roman" w:hAnsi="Times New Roman" w:cs="Times New Roman"/>
          <w:lang w:val="fr-LU" w:eastAsia="fr-FR"/>
        </w:rPr>
        <w:t> selon Bruno Latour (2000) : « Les réseaux – les rhizomes – permettent non seulement de distribuer l’action, mais aussi d’opérer des détachements et des arrachements à la proximité et, inversement, des rattachements au lointain. […] L’attachement désigne à la fois ce qui émeut, ce qui met en mouvement […] ».</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54</w:t>
      </w:r>
      <w:r w:rsidRPr="009C41AD">
        <w:rPr>
          <w:rFonts w:ascii="Times New Roman" w:eastAsia="Times New Roman" w:hAnsi="Times New Roman" w:cs="Times New Roman"/>
          <w:lang w:val="fr-LU" w:eastAsia="fr-FR"/>
        </w:rPr>
        <w:t>L’engagement est également flou et, dans une certaine manière, indéterminé (Hennion 2010, apud Gefen/Laugier 2020 : 13). On retrouve, par ce biais, le « on  » indéfini dont nous avons fait état.</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55</w:t>
      </w:r>
      <w:r w:rsidRPr="009C41AD">
        <w:rPr>
          <w:rFonts w:ascii="Times New Roman" w:eastAsia="Times New Roman" w:hAnsi="Times New Roman" w:cs="Times New Roman"/>
          <w:lang w:val="fr-LU" w:eastAsia="fr-FR"/>
        </w:rPr>
        <w:t>La situation extra-ordinaire du confinement et de la « guerre » contre un « ennemi invisible » donnerait ainsi lieu à l’émergence d’une forme de vie spécifique. La notion de forme de vie a été théorisée par Wittgenstein (2004) et réexaminée en sémiotique, surtout par Jacques Fontanille (2015 ; cf. aussi Colas-Blaise 2012). Elle correspond, dans ce cas, à une syntagmatique qui, comme plan d’expression, se solidarise avec des actions, des passions, des modes d’existence, des valeurs … « Ce que les membres et les groupes d’une société donnée ont en partage, ce sont donc des configurations sociales et symboliques du « vivre ensemble » – les formes de vie –, dont certaines, sous des conditions bien précises, produisent des objets culturels » (Fontanille 2015 : 201). La forme de vie n’a aucun caractère institutionnel ; éminemment provisoire, elle relaye d’autres formes de vie, entrant en résonance ou en conflit avec elles. Toujours projection, elle est impliquée dans le renouvellement des structures et témoigne de ce soubassement sensible où les valeurs sont réinventées.</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56</w:t>
      </w:r>
      <w:r w:rsidRPr="009C41AD">
        <w:rPr>
          <w:rFonts w:ascii="Times New Roman" w:eastAsia="Times New Roman" w:hAnsi="Times New Roman" w:cs="Times New Roman"/>
          <w:lang w:val="fr-LU" w:eastAsia="fr-FR"/>
        </w:rPr>
        <w:t>Nous postulons ainsi l’existence d’une forme de vie </w:t>
      </w:r>
      <w:r w:rsidRPr="009C41AD">
        <w:rPr>
          <w:rFonts w:ascii="Times New Roman" w:eastAsia="Times New Roman" w:hAnsi="Times New Roman" w:cs="Times New Roman"/>
          <w:i/>
          <w:iCs/>
          <w:lang w:val="fr-LU" w:eastAsia="fr-FR"/>
        </w:rPr>
        <w:t>care </w:t>
      </w:r>
      <w:r w:rsidRPr="009C41AD">
        <w:rPr>
          <w:rFonts w:ascii="Times New Roman" w:eastAsia="Times New Roman" w:hAnsi="Times New Roman" w:cs="Times New Roman"/>
          <w:lang w:val="fr-LU" w:eastAsia="fr-FR"/>
        </w:rPr>
        <w:t xml:space="preserve">associée, plus spécifiquement, aux formes du vivre- et de l’agir-ensemble qui trouvent à s’ancrer dans des communautés-multitudes. Une solidarité fondée sur des relations mutuelles (totalité partitive) mais aussi, en l’occurrence, sur des liens faibles, au sens où l’entend Sandra Laugier (2020). La forme de vie s’oppose alors au style de vie, au sens où l’entend Bourdieu. La forme de vie et le style de vie témoignent tous les deux d’efforts de structuration de l’être avec l’autre et avec le monde, rendant signifiantes un ensemble d’expériences individuelles et collectives. Cependant, alors que la forme de vie correspond à une visée ouvrante et apparaît comme une « déformation </w:t>
      </w:r>
      <w:r w:rsidRPr="009C41AD">
        <w:rPr>
          <w:rFonts w:ascii="Times New Roman" w:eastAsia="Times New Roman" w:hAnsi="Times New Roman" w:cs="Times New Roman"/>
          <w:lang w:val="fr-LU" w:eastAsia="fr-FR"/>
        </w:rPr>
        <w:lastRenderedPageBreak/>
        <w:t>cohérente » rompant avec les modes de signifier habituels, le style de vie met en œuvre une saisie clôturante, évaluant des actions </w:t>
      </w:r>
      <w:r w:rsidRPr="009C41AD">
        <w:rPr>
          <w:rFonts w:ascii="Times New Roman" w:eastAsia="Times New Roman" w:hAnsi="Times New Roman" w:cs="Times New Roman"/>
          <w:i/>
          <w:iCs/>
          <w:lang w:val="fr-LU" w:eastAsia="fr-FR"/>
        </w:rPr>
        <w:t>a posteriori</w:t>
      </w:r>
      <w:r w:rsidRPr="009C41AD">
        <w:rPr>
          <w:rFonts w:ascii="Times New Roman" w:eastAsia="Times New Roman" w:hAnsi="Times New Roman" w:cs="Times New Roman"/>
          <w:lang w:val="fr-LU" w:eastAsia="fr-FR"/>
        </w:rPr>
        <w:t>. Elles sont happées par un « principe unificateur et générateur des pratiques » (Bourdieu 1979 : 112), par l’« habitude de classe comme forme incorporée de la condition de classe et des conditionnements qu’elle impose ». En cela, le style de vie est conservateur, alors que la forme de vie autorise un renouvellement des valeurs par le biais d’une resensibilisation et d’une esthétisation de l’éthique (cf. Colas-Blaise 2015). En ce sens, la forme de vie du </w:t>
      </w:r>
      <w:r w:rsidRPr="009C41AD">
        <w:rPr>
          <w:rFonts w:ascii="Times New Roman" w:eastAsia="Times New Roman" w:hAnsi="Times New Roman" w:cs="Times New Roman"/>
          <w:i/>
          <w:iCs/>
          <w:lang w:val="fr-LU" w:eastAsia="fr-FR"/>
        </w:rPr>
        <w:t>care</w:t>
      </w:r>
      <w:r w:rsidRPr="009C41AD">
        <w:rPr>
          <w:rFonts w:ascii="Times New Roman" w:eastAsia="Times New Roman" w:hAnsi="Times New Roman" w:cs="Times New Roman"/>
          <w:lang w:val="fr-LU" w:eastAsia="fr-FR"/>
        </w:rPr>
        <w:t> peut ébranler les systèmes de pensée les mieux établis.</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57</w:t>
      </w:r>
      <w:r w:rsidRPr="009C41AD">
        <w:rPr>
          <w:rFonts w:ascii="Times New Roman" w:eastAsia="Times New Roman" w:hAnsi="Times New Roman" w:cs="Times New Roman"/>
          <w:lang w:val="fr-LU" w:eastAsia="fr-FR"/>
        </w:rPr>
        <w:t>Concluons en quelques mots. La pandémie donne ainsi un éclat particulier à la forme de vie </w:t>
      </w:r>
      <w:r w:rsidRPr="009C41AD">
        <w:rPr>
          <w:rFonts w:ascii="Times New Roman" w:eastAsia="Times New Roman" w:hAnsi="Times New Roman" w:cs="Times New Roman"/>
          <w:i/>
          <w:iCs/>
          <w:lang w:val="fr-LU" w:eastAsia="fr-FR"/>
        </w:rPr>
        <w:t>care</w:t>
      </w:r>
      <w:r w:rsidRPr="009C41AD">
        <w:rPr>
          <w:rFonts w:ascii="Times New Roman" w:eastAsia="Times New Roman" w:hAnsi="Times New Roman" w:cs="Times New Roman"/>
          <w:lang w:val="fr-LU" w:eastAsia="fr-FR"/>
        </w:rPr>
        <w:t>, qui combine attention et attachement à autrui. Au profit de l’entre-possession dont nous avons fait état. La situation de crise voit éclore de nouvelles formes de mutualité, en deçà du système de normes intériorisé, en amont des régularités programmées. C’est la forme de vie, dans sa fragilité et ses potentialités, qui est exemplaire. Finalement, les actions concrètes – distribuer des dessins à colorier, interpréter un morceau de musique, acclamer le personnel soignant… –, quelque importantes qu’elles soient, importent moins que ce qu’elles font voir : une </w:t>
      </w:r>
      <w:r w:rsidRPr="009C41AD">
        <w:rPr>
          <w:rFonts w:ascii="Times New Roman" w:eastAsia="Times New Roman" w:hAnsi="Times New Roman" w:cs="Times New Roman"/>
          <w:i/>
          <w:iCs/>
          <w:lang w:val="fr-LU" w:eastAsia="fr-FR"/>
        </w:rPr>
        <w:t>manière d’être </w:t>
      </w:r>
      <w:r w:rsidRPr="009C41AD">
        <w:rPr>
          <w:rFonts w:ascii="Times New Roman" w:eastAsia="Times New Roman" w:hAnsi="Times New Roman" w:cs="Times New Roman"/>
          <w:lang w:val="fr-LU" w:eastAsia="fr-FR"/>
        </w:rPr>
        <w:t>au monde et avec l’autre ; une manière de s’accorder ou de se désaccorder avec l’autre, une </w:t>
      </w:r>
      <w:r w:rsidRPr="009C41AD">
        <w:rPr>
          <w:rFonts w:ascii="Times New Roman" w:eastAsia="Times New Roman" w:hAnsi="Times New Roman" w:cs="Times New Roman"/>
          <w:i/>
          <w:iCs/>
          <w:lang w:val="fr-LU" w:eastAsia="fr-FR"/>
        </w:rPr>
        <w:t>Gestimmtheit </w:t>
      </w:r>
      <w:r w:rsidRPr="009C41AD">
        <w:rPr>
          <w:rFonts w:ascii="Times New Roman" w:eastAsia="Times New Roman" w:hAnsi="Times New Roman" w:cs="Times New Roman"/>
          <w:lang w:val="fr-LU" w:eastAsia="fr-FR"/>
        </w:rPr>
        <w:t>(dans un sens large, non spécifiquement heidégerrien), pourrait-on dire. L’image de l’orchestre est parlante, dans l’exacte mesure où l’interprétation de la pièce de musique témoigne de cette « possession réciproque, sous des formes extrêmement variées, de tous par chacun », selon Tarde (1999 : 85). Si Tarde en fait un élément définitionnel de la société, nous avons cherché à montrer, ici, que les communautés-multitudes auxquelles donne naissance la crise sanitaire créent l’espace et le temps où cette mutualité peut être testée, expérimentée, amplifiée, intensifiée.</w:t>
      </w:r>
    </w:p>
    <w:p w:rsidR="009C41AD" w:rsidRPr="009C41AD" w:rsidRDefault="009C41AD" w:rsidP="009C41AD">
      <w:pPr>
        <w:spacing w:before="240" w:after="240"/>
        <w:rPr>
          <w:rFonts w:ascii="Times New Roman" w:eastAsia="Times New Roman" w:hAnsi="Times New Roman" w:cs="Times New Roman"/>
          <w:lang w:val="fr-LU" w:eastAsia="fr-FR"/>
        </w:rPr>
      </w:pPr>
      <w:r w:rsidRPr="009C41AD">
        <w:rPr>
          <w:rFonts w:ascii="Times New Roman" w:eastAsia="Times New Roman" w:hAnsi="Times New Roman" w:cs="Times New Roman"/>
          <w:color w:val="BBBBBB"/>
          <w:lang w:val="fr-LU" w:eastAsia="fr-FR"/>
        </w:rPr>
        <w:t>58</w:t>
      </w:r>
      <w:r w:rsidRPr="009C41AD">
        <w:rPr>
          <w:rFonts w:ascii="Times New Roman" w:eastAsia="Times New Roman" w:hAnsi="Times New Roman" w:cs="Times New Roman"/>
          <w:lang w:val="fr-LU" w:eastAsia="fr-FR"/>
        </w:rPr>
        <w:t>Alors que, sous l’emprise de la pandémie, le non-sens menace, la prise en compte de l’autre, la gestion de l’altérité et l’entre-possession sont au départ de la construction du sens, plus que jamais.</w:t>
      </w:r>
    </w:p>
    <w:p w:rsidR="009C41AD" w:rsidRPr="009C41AD" w:rsidRDefault="009C41AD" w:rsidP="009C41AD">
      <w:pPr>
        <w:spacing w:before="100" w:beforeAutospacing="1" w:after="100" w:afterAutospacing="1"/>
        <w:outlineLvl w:val="0"/>
        <w:rPr>
          <w:rFonts w:ascii="Times New Roman" w:eastAsia="Times New Roman" w:hAnsi="Times New Roman" w:cs="Times New Roman"/>
          <w:b/>
          <w:bCs/>
          <w:kern w:val="36"/>
          <w:sz w:val="38"/>
          <w:szCs w:val="38"/>
          <w:lang w:val="fr-LU" w:eastAsia="fr-FR"/>
        </w:rPr>
      </w:pPr>
      <w:r w:rsidRPr="009C41AD">
        <w:rPr>
          <w:rFonts w:ascii="Times New Roman" w:eastAsia="Times New Roman" w:hAnsi="Times New Roman" w:cs="Times New Roman"/>
          <w:b/>
          <w:bCs/>
          <w:kern w:val="36"/>
          <w:sz w:val="38"/>
          <w:szCs w:val="38"/>
          <w:lang w:val="fr-LU" w:eastAsia="fr-FR"/>
        </w:rPr>
        <w:t>Bibliographie</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Akrich, Madeleine/Michel Callon/Bruno Latour (éds.) (2006) : Sociologie de la traduction : textes fondateurs. Paris : Presses des Mines.</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Bertin, Érik/Granier Jean-Maxence (2015) : La société de l’évaluation : nouveaux enjeux de l’âge numérique. En : Communication &amp; langages 2, n</w:t>
      </w:r>
      <w:r w:rsidRPr="009C41AD">
        <w:rPr>
          <w:rFonts w:ascii="Times New Roman" w:eastAsia="Times New Roman" w:hAnsi="Times New Roman" w:cs="Times New Roman"/>
          <w:vertAlign w:val="superscript"/>
          <w:lang w:val="fr-LU" w:eastAsia="fr-FR"/>
        </w:rPr>
        <w:t>o</w:t>
      </w:r>
      <w:r w:rsidRPr="009C41AD">
        <w:rPr>
          <w:rFonts w:ascii="Times New Roman" w:eastAsia="Times New Roman" w:hAnsi="Times New Roman" w:cs="Times New Roman"/>
          <w:lang w:val="fr-LU" w:eastAsia="fr-FR"/>
        </w:rPr>
        <w:t> 184 : 121–146.</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Bourdieu, Pierre (1979) : La distinction. Critique sociale du jugement. Paris : Éditions de Minuit.</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Citton, Yves (2010) :  Foules, nombres, multitudes : qu’est-ce qu’agir ensemble ? En: Revue internationale des Livres et des Idées, n</w:t>
      </w:r>
      <w:r w:rsidRPr="009C41AD">
        <w:rPr>
          <w:rFonts w:ascii="Times New Roman" w:eastAsia="Times New Roman" w:hAnsi="Times New Roman" w:cs="Times New Roman"/>
          <w:vertAlign w:val="superscript"/>
          <w:lang w:val="fr-LU" w:eastAsia="fr-FR"/>
        </w:rPr>
        <w:t>o</w:t>
      </w:r>
      <w:r w:rsidRPr="009C41AD">
        <w:rPr>
          <w:rFonts w:ascii="Times New Roman" w:eastAsia="Times New Roman" w:hAnsi="Times New Roman" w:cs="Times New Roman"/>
          <w:lang w:val="fr-LU" w:eastAsia="fr-FR"/>
        </w:rPr>
        <w:t> 17.</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Colas-Blaise, Marion (2012) : Forme de vie et formes de vie : vers une sémiotique des cultures. En : Actes Sémiotiques, n</w:t>
      </w:r>
      <w:r w:rsidRPr="009C41AD">
        <w:rPr>
          <w:rFonts w:ascii="Times New Roman" w:eastAsia="Times New Roman" w:hAnsi="Times New Roman" w:cs="Times New Roman"/>
          <w:vertAlign w:val="superscript"/>
          <w:lang w:val="fr-LU" w:eastAsia="fr-FR"/>
        </w:rPr>
        <w:t>o</w:t>
      </w:r>
      <w:r w:rsidRPr="009C41AD">
        <w:rPr>
          <w:rFonts w:ascii="Times New Roman" w:eastAsia="Times New Roman" w:hAnsi="Times New Roman" w:cs="Times New Roman"/>
          <w:lang w:val="fr-LU" w:eastAsia="fr-FR"/>
        </w:rPr>
        <w:t> 115. </w:t>
      </w:r>
      <w:hyperlink r:id="rId17" w:tgtFrame="_blank" w:history="1">
        <w:r w:rsidRPr="009C41AD">
          <w:rPr>
            <w:rFonts w:ascii="Times New Roman" w:eastAsia="Times New Roman" w:hAnsi="Times New Roman" w:cs="Times New Roman"/>
            <w:color w:val="0000FF"/>
            <w:u w:val="single"/>
            <w:lang w:val="fr-LU" w:eastAsia="fr-FR"/>
          </w:rPr>
          <w:t>www.unilim.fr/actes-semiotiques/2631</w:t>
        </w:r>
      </w:hyperlink>
      <w:r w:rsidRPr="009C41AD">
        <w:rPr>
          <w:rFonts w:ascii="Times New Roman" w:eastAsia="Times New Roman" w:hAnsi="Times New Roman" w:cs="Times New Roman"/>
          <w:lang w:val="fr-LU" w:eastAsia="fr-FR"/>
        </w:rPr>
        <w:t>.</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Colas-Blaise, Marion (2015) : Est-ce que le style, c’est l’homme ? Du lexème style à la forme de vie : entre sémiotique et sociologie. En: Éric Bordas/Georges Molinié (éds.) : Style, langue et société. Paris : Honoré Champion, p. 21–32.</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Debaise, Didier (2004) : Le langage de l’individuation. En : Multitudes 4, n</w:t>
      </w:r>
      <w:r w:rsidRPr="009C41AD">
        <w:rPr>
          <w:rFonts w:ascii="Times New Roman" w:eastAsia="Times New Roman" w:hAnsi="Times New Roman" w:cs="Times New Roman"/>
          <w:vertAlign w:val="superscript"/>
          <w:lang w:val="fr-LU" w:eastAsia="fr-FR"/>
        </w:rPr>
        <w:t>o</w:t>
      </w:r>
      <w:r w:rsidRPr="009C41AD">
        <w:rPr>
          <w:rFonts w:ascii="Times New Roman" w:eastAsia="Times New Roman" w:hAnsi="Times New Roman" w:cs="Times New Roman"/>
          <w:lang w:val="fr-LU" w:eastAsia="fr-FR"/>
        </w:rPr>
        <w:t> 18, p. 101–106.</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Deleuze, Gilles (1990) : Post-scriptum sur les sociétés de contrôle. En: L’autre journal, n</w:t>
      </w:r>
      <w:r w:rsidRPr="009C41AD">
        <w:rPr>
          <w:rFonts w:ascii="Times New Roman" w:eastAsia="Times New Roman" w:hAnsi="Times New Roman" w:cs="Times New Roman"/>
          <w:vertAlign w:val="superscript"/>
          <w:lang w:val="fr-LU" w:eastAsia="fr-FR"/>
        </w:rPr>
        <w:t>o</w:t>
      </w:r>
      <w:r w:rsidRPr="009C41AD">
        <w:rPr>
          <w:rFonts w:ascii="Times New Roman" w:eastAsia="Times New Roman" w:hAnsi="Times New Roman" w:cs="Times New Roman"/>
          <w:lang w:val="fr-LU" w:eastAsia="fr-FR"/>
        </w:rPr>
        <w:t> 1 : Pourparlers, p. 240–247.</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Deleuze, Gilles/Parnet, Claire (1996) : Dialogues. Paris : Flammarion.</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Dewey, John (2009): Le Public et ses problèmes [1927]. Trad. de l’anglais (États-Unis) par J. Zask. Pau : Publications de l’Université de Pau. Rééd. Paris : Gallimard.</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lastRenderedPageBreak/>
        <w:t>Fontanille, Jacques (2015) : Formes de vie. Liège : Presses universitaires de Liège.</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Fontanille, Jacques (2020) : La constitution de l’actant collectif comme préalable anthroposémiotique. En : Pierluigi Basso Fossali (ed.) : Créativité linguistique et institution du sens. Dans la dialectique entre l’individuel et le collectif. Limoges : PULIM (à paraître).</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Gefen, Alexandre/Laugier, Sandra (èds.) (2020) : Le pouvoir des liens faibles. Paris : CNRS Éditions.</w:t>
      </w:r>
    </w:p>
    <w:p w:rsidR="009C41AD" w:rsidRPr="009C41AD" w:rsidRDefault="009C41AD" w:rsidP="009C41AD">
      <w:pPr>
        <w:numPr>
          <w:ilvl w:val="0"/>
          <w:numId w:val="2"/>
        </w:numPr>
        <w:ind w:left="0"/>
        <w:rPr>
          <w:rFonts w:ascii="Times New Roman" w:eastAsia="Times New Roman" w:hAnsi="Times New Roman" w:cs="Times New Roman"/>
          <w:lang w:val="en-US" w:eastAsia="fr-FR"/>
        </w:rPr>
      </w:pPr>
      <w:r w:rsidRPr="009C41AD">
        <w:rPr>
          <w:rFonts w:ascii="Times New Roman" w:eastAsia="Times New Roman" w:hAnsi="Times New Roman" w:cs="Times New Roman"/>
          <w:lang w:val="en-US" w:eastAsia="fr-FR"/>
        </w:rPr>
        <w:t>Granovetter, Mark S. (1973) : The Strengh of Weak Ties. En : American Journal of Sociology 78, n</w:t>
      </w:r>
      <w:r w:rsidRPr="009C41AD">
        <w:rPr>
          <w:rFonts w:ascii="Times New Roman" w:eastAsia="Times New Roman" w:hAnsi="Times New Roman" w:cs="Times New Roman"/>
          <w:vertAlign w:val="superscript"/>
          <w:lang w:val="en-US" w:eastAsia="fr-FR"/>
        </w:rPr>
        <w:t>o </w:t>
      </w:r>
      <w:r w:rsidRPr="009C41AD">
        <w:rPr>
          <w:rFonts w:ascii="Times New Roman" w:eastAsia="Times New Roman" w:hAnsi="Times New Roman" w:cs="Times New Roman"/>
          <w:lang w:val="en-US" w:eastAsia="fr-FR"/>
        </w:rPr>
        <w:t>6, 1360–1380.</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Granovetter, Mark S. (2000): La force des liens faibles ». En : Le Marché autrement : les réseaux dans l’économie. Trad. de l’anglais (États-Unis) par Isabelle This-Saint-Jean. Paris : Desclée de Brouwer, p. 45–74.</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Hennion, Antoine (2010) : Vous avez dit attachements ? ... En : Madeleine Akrich/Yannick Barthe/Fabian Muniesa/Philippe Mustar (éds.) : Débordements : mélanges offerts à Michel Callon. Paris : Presses des Mines, p. 179–190.</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Ingold, Tim (2012) : Culture, nature et environnement. En : Tracés. Revue de Sciences Humaines, n</w:t>
      </w:r>
      <w:r w:rsidRPr="009C41AD">
        <w:rPr>
          <w:rFonts w:ascii="Times New Roman" w:eastAsia="Times New Roman" w:hAnsi="Times New Roman" w:cs="Times New Roman"/>
          <w:vertAlign w:val="superscript"/>
          <w:lang w:val="fr-LU" w:eastAsia="fr-FR"/>
        </w:rPr>
        <w:t>o </w:t>
      </w:r>
      <w:r w:rsidRPr="009C41AD">
        <w:rPr>
          <w:rFonts w:ascii="Times New Roman" w:eastAsia="Times New Roman" w:hAnsi="Times New Roman" w:cs="Times New Roman"/>
          <w:lang w:val="fr-LU" w:eastAsia="fr-FR"/>
        </w:rPr>
        <w:t xml:space="preserve">22, p. 169–187. </w:t>
      </w:r>
      <w:r w:rsidRPr="009C41AD">
        <w:rPr>
          <w:rFonts w:ascii="Times New Roman" w:eastAsia="Times New Roman" w:hAnsi="Times New Roman" w:cs="Times New Roman"/>
          <w:lang w:val="en-US" w:eastAsia="fr-FR"/>
        </w:rPr>
        <w:t xml:space="preserve">Trad. de P. Madelin : Culture, nature, environment : steps to an ecology of life. En : The Perception of the Environment. Essays on Lifelihood, Dwelling and Skill. </w:t>
      </w:r>
      <w:r w:rsidRPr="009C41AD">
        <w:rPr>
          <w:rFonts w:ascii="Times New Roman" w:eastAsia="Times New Roman" w:hAnsi="Times New Roman" w:cs="Times New Roman"/>
          <w:lang w:val="fr-LU" w:eastAsia="fr-FR"/>
        </w:rPr>
        <w:t>Londres : Routledge 2000, p. , 13–26.</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Latour, Bruno (2000) : Factures/fractures. De la notion de réseau à celle d’attachement. En :  André Micoud/Michel Peroni (éds.) : Ce qui nous relie. La Tour-d’Aigues : Éd. de l’Aube, p. 189–207.</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Latour, Bruno (2011) : Gabriel Tarde. La société comme possession. La « Preuve par l’orchestre ». En : Didier Debaise (éd.) : Philosophie des possessions. Dijon/Paris : Les presses du réel, p. 9–34.</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Latour, Bruno (2017) : Où atterrir ? Comment s’orienter en politique ? Paris : La Découverte.</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Laugier, Sandra (2020) : Une démocratie des liens faibles. En : Alexandre Gefen/Sandra Laugier (éds.) : Le pouvoir des liens faibles. Paris : CNRS Éditions, p. 177–206.</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Massumi, Brian (2017) : Vers une politique du dividualisme. Trad. de l’anglais par A. Chrétien. En : Multitudes 3, n</w:t>
      </w:r>
      <w:r w:rsidRPr="009C41AD">
        <w:rPr>
          <w:rFonts w:ascii="Times New Roman" w:eastAsia="Times New Roman" w:hAnsi="Times New Roman" w:cs="Times New Roman"/>
          <w:vertAlign w:val="superscript"/>
          <w:lang w:val="fr-LU" w:eastAsia="fr-FR"/>
        </w:rPr>
        <w:t>o</w:t>
      </w:r>
      <w:r w:rsidRPr="009C41AD">
        <w:rPr>
          <w:rFonts w:ascii="Times New Roman" w:eastAsia="Times New Roman" w:hAnsi="Times New Roman" w:cs="Times New Roman"/>
          <w:lang w:val="fr-LU" w:eastAsia="fr-FR"/>
        </w:rPr>
        <w:t> 68, p. 77–87.</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Morin Edgar (1976) :  Pour une crisologie. En : Communications, n</w:t>
      </w:r>
      <w:r w:rsidRPr="009C41AD">
        <w:rPr>
          <w:rFonts w:ascii="Times New Roman" w:eastAsia="Times New Roman" w:hAnsi="Times New Roman" w:cs="Times New Roman"/>
          <w:vertAlign w:val="superscript"/>
          <w:lang w:val="fr-LU" w:eastAsia="fr-FR"/>
        </w:rPr>
        <w:t>o </w:t>
      </w:r>
      <w:r w:rsidRPr="009C41AD">
        <w:rPr>
          <w:rFonts w:ascii="Times New Roman" w:eastAsia="Times New Roman" w:hAnsi="Times New Roman" w:cs="Times New Roman"/>
          <w:lang w:val="fr-LU" w:eastAsia="fr-FR"/>
        </w:rPr>
        <w:t>25, p. 149–163.</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Negri, Antonio (2006) : L’anomalie sauvage, Puissance et pouvoir chez Spinoza (1982). Paris : Éditions Amsterdam.</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Nicolas-Le Strat, Pascal (2009a) : Expérimentations politiques [2007]. Montpellier : Fulenn.</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Nicolas-Le Strat, Pascal (2009b) : Moments de l’expérimentation. Montpellier : Fulenn.</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Paveau, Marie-Anne (2014/15) :  Ce qui s’écrit dans les univers numériques. Matières technolangagières et formes technodiscursives. En : Textualités numériques. </w:t>
      </w:r>
      <w:hyperlink r:id="rId18" w:tgtFrame="_blank" w:history="1">
        <w:r w:rsidRPr="009C41AD">
          <w:rPr>
            <w:rFonts w:ascii="Times New Roman" w:eastAsia="Times New Roman" w:hAnsi="Times New Roman" w:cs="Times New Roman"/>
            <w:color w:val="0000FF"/>
            <w:u w:val="single"/>
            <w:lang w:val="fr-LU" w:eastAsia="fr-FR"/>
          </w:rPr>
          <w:t>https://journals.openedition.org/itineraires/2313</w:t>
        </w:r>
      </w:hyperlink>
      <w:r w:rsidRPr="009C41AD">
        <w:rPr>
          <w:rFonts w:ascii="Times New Roman" w:eastAsia="Times New Roman" w:hAnsi="Times New Roman" w:cs="Times New Roman"/>
          <w:lang w:val="fr-LU" w:eastAsia="fr-FR"/>
        </w:rPr>
        <w:t>.</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Paveau, Marie-Anne (2015) :  Ouverture. En naviguant, en écrivant. Réflexions sur les textualités numériques. En : Jean-Michel Adam (éd.) : Faire texte. Frontières textuelles et opérations de textualisation. Besançon : Presses universitaires de Franche-Comté, p. 337–353.</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Paveau, Marie-Anne (2017) : Lʼanalyse du discours numérique. Dictionnaire des formes et des pratiques. Paris : Hermann.</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Simondon, Gilbert (1989) : L’individuation psychique et collective. Paris : Aubier.</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Simondon, Gilbert (2017) : L’individuation à la lumière des notions de forme et d’information [2005]. Grenoble : Jérôme Million.</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Tarde, Gabriel (1999) : Monadologie et sociologie. Paris : Les Empêcheurs de penser en rond.</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Tore, Gian Maria (2020) : La question du « re- ». Ou ce que nous apprennent les arts et médias aujourd’hui. En : Marion Colas-Blaise/Eadem (éds.) : « Re-» : répétition et reproduction dans les arts et les médias. Paris : Mimésis (2021).</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lastRenderedPageBreak/>
        <w:t>Virno, Paolo (2001) :  Multitude et principe d’individuation. En: Multitudes 4, n</w:t>
      </w:r>
      <w:r w:rsidRPr="009C41AD">
        <w:rPr>
          <w:rFonts w:ascii="Times New Roman" w:eastAsia="Times New Roman" w:hAnsi="Times New Roman" w:cs="Times New Roman"/>
          <w:vertAlign w:val="superscript"/>
          <w:lang w:val="fr-LU" w:eastAsia="fr-FR"/>
        </w:rPr>
        <w:t>o</w:t>
      </w:r>
      <w:r w:rsidRPr="009C41AD">
        <w:rPr>
          <w:rFonts w:ascii="Times New Roman" w:eastAsia="Times New Roman" w:hAnsi="Times New Roman" w:cs="Times New Roman"/>
          <w:lang w:val="fr-LU" w:eastAsia="fr-FR"/>
        </w:rPr>
        <w:t> 7, p. 103–117. </w:t>
      </w:r>
      <w:hyperlink r:id="rId19" w:tgtFrame="_blank" w:history="1">
        <w:r w:rsidRPr="009C41AD">
          <w:rPr>
            <w:rFonts w:ascii="Times New Roman" w:eastAsia="Times New Roman" w:hAnsi="Times New Roman" w:cs="Times New Roman"/>
            <w:color w:val="0000FF"/>
            <w:u w:val="single"/>
            <w:lang w:val="fr-LU" w:eastAsia="fr-FR"/>
          </w:rPr>
          <w:t>https://www.cairn.info/revue-multitudes-2001-4-page-103.htm</w:t>
        </w:r>
      </w:hyperlink>
      <w:r w:rsidRPr="009C41AD">
        <w:rPr>
          <w:rFonts w:ascii="Times New Roman" w:eastAsia="Times New Roman" w:hAnsi="Times New Roman" w:cs="Times New Roman"/>
          <w:lang w:val="fr-LU" w:eastAsia="fr-FR"/>
        </w:rPr>
        <w:t>.</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Virno, Paolo (2007): Grammaire de la multitude Pour une analyse des formes de vie contemporaines [2001]. Nîmes : Éditions de l’Éclat.</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Wittgenstein, Ludwig (1961) : Tractatus logico-philosophicus suivi dʼInvestigations philosophiques. Trad. par Pierre Klossowski. Paris : Gallimard.</w:t>
      </w:r>
    </w:p>
    <w:p w:rsidR="009C41AD" w:rsidRPr="009C41AD" w:rsidRDefault="009C41AD" w:rsidP="009C41AD">
      <w:pPr>
        <w:numPr>
          <w:ilvl w:val="0"/>
          <w:numId w:val="2"/>
        </w:numPr>
        <w:ind w:left="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Wittgenstein, Ludwig (2004) : Recherches philosophiques. Trad. par Franҫoise Dastur, Maurice Élie, Jean-Luc Gautero, Dominique Janicaud et Élisabeth Rigal. Paris : Gallimard.</w:t>
      </w:r>
    </w:p>
    <w:p w:rsidR="009C41AD" w:rsidRPr="009C41AD" w:rsidRDefault="009C41AD" w:rsidP="009C41AD">
      <w:pPr>
        <w:rPr>
          <w:rFonts w:ascii="Times New Roman" w:eastAsia="Times New Roman" w:hAnsi="Times New Roman" w:cs="Times New Roman"/>
          <w:color w:val="FFFFFF"/>
          <w:lang w:val="fr-LU" w:eastAsia="fr-FR"/>
        </w:rPr>
      </w:pPr>
      <w:r w:rsidRPr="009C41AD">
        <w:rPr>
          <w:rFonts w:ascii="Times New Roman" w:eastAsia="Times New Roman" w:hAnsi="Times New Roman" w:cs="Times New Roman"/>
          <w:color w:val="FFFFFF"/>
          <w:lang w:val="fr-LU" w:eastAsia="fr-FR"/>
        </w:rPr>
        <w:t>Notes</w:t>
      </w:r>
    </w:p>
    <w:p w:rsidR="009C41AD" w:rsidRPr="009C41AD" w:rsidRDefault="009C41AD" w:rsidP="009C41AD">
      <w:pPr>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w:t>
      </w:r>
      <w:hyperlink r:id="rId20" w:anchor="ftn1_return" w:tooltip="Go back to text" w:history="1">
        <w:r w:rsidRPr="009C41AD">
          <w:rPr>
            <w:rFonts w:ascii="Times New Roman" w:eastAsia="Times New Roman" w:hAnsi="Times New Roman" w:cs="Times New Roman"/>
            <w:color w:val="0000FF"/>
            <w:u w:val="single"/>
            <w:lang w:val="fr-LU" w:eastAsia="fr-FR"/>
          </w:rPr>
          <w:t>1]</w:t>
        </w:r>
      </w:hyperlink>
      <w:r w:rsidRPr="009C41AD">
        <w:rPr>
          <w:rFonts w:ascii="Times New Roman" w:eastAsia="Times New Roman" w:hAnsi="Times New Roman" w:cs="Times New Roman"/>
          <w:lang w:val="fr-LU" w:eastAsia="fr-FR"/>
        </w:rPr>
        <w:t> </w:t>
      </w:r>
    </w:p>
    <w:p w:rsidR="009C41AD" w:rsidRPr="009C41AD" w:rsidRDefault="009C41AD" w:rsidP="009C41AD">
      <w:pPr>
        <w:spacing w:before="24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Cet article a été rédigé pendant la période de confinement. Il se veut un témoignage et une réflexion sur les défis que la crise sanitaire COVID-19 demande aux populations de relever ainsi que sur les impacts qu’elle peut avoir sur les formes de socialité.</w:t>
      </w:r>
    </w:p>
    <w:p w:rsidR="009C41AD" w:rsidRPr="009C41AD" w:rsidRDefault="009C41AD" w:rsidP="009C41AD">
      <w:pPr>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w:t>
      </w:r>
      <w:hyperlink r:id="rId21" w:anchor="ftn2_return" w:tooltip="Go back to text" w:history="1">
        <w:r w:rsidRPr="009C41AD">
          <w:rPr>
            <w:rFonts w:ascii="Times New Roman" w:eastAsia="Times New Roman" w:hAnsi="Times New Roman" w:cs="Times New Roman"/>
            <w:color w:val="0000FF"/>
            <w:u w:val="single"/>
            <w:lang w:val="fr-LU" w:eastAsia="fr-FR"/>
          </w:rPr>
          <w:t>2]</w:t>
        </w:r>
      </w:hyperlink>
      <w:r w:rsidRPr="009C41AD">
        <w:rPr>
          <w:rFonts w:ascii="Times New Roman" w:eastAsia="Times New Roman" w:hAnsi="Times New Roman" w:cs="Times New Roman"/>
          <w:lang w:val="fr-LU" w:eastAsia="fr-FR"/>
        </w:rPr>
        <w:t> </w:t>
      </w:r>
    </w:p>
    <w:p w:rsidR="009C41AD" w:rsidRPr="009C41AD" w:rsidRDefault="009C41AD" w:rsidP="009C41AD">
      <w:pPr>
        <w:spacing w:before="24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Cf. Gilbert Simondon (1989 : 49) : « en tous domaines, l’état le plus stable est un état de mort ; c’est un état dégradé à partir duquel aucune transformation n’est plus possible sans intervention d’une énergie extérieure au système dégradé ». Et Didier Debaise (2004) d’ajouter : « Un état stable est un état qui n’est pas susceptible de changements, si ce n’est par une impulsion externe. Dès lors, dans la mesure où la réalité première est celle des ‹ régimes d’individuation ›, il faut substituer à la stabilité des notions telles que ‹ potentiels ›, ‹ tensions ›, ‹ instabilité ›, etc., qui visent à mettre en évidence les possibilités de transformation inhérentes à chaque élément du réel. Un système physique est en équilibre ‹ métastable › lorsque certaines variations peuvent entraîner une rupture de l’équilibre ». </w:t>
      </w:r>
    </w:p>
    <w:p w:rsidR="009C41AD" w:rsidRPr="009C41AD" w:rsidRDefault="009C41AD" w:rsidP="009C41AD">
      <w:pPr>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w:t>
      </w:r>
      <w:hyperlink r:id="rId22" w:anchor="ftn3_return" w:tooltip="Go back to text" w:history="1">
        <w:r w:rsidRPr="009C41AD">
          <w:rPr>
            <w:rFonts w:ascii="Times New Roman" w:eastAsia="Times New Roman" w:hAnsi="Times New Roman" w:cs="Times New Roman"/>
            <w:color w:val="0000FF"/>
            <w:u w:val="single"/>
            <w:lang w:val="fr-LU" w:eastAsia="fr-FR"/>
          </w:rPr>
          <w:t>3]</w:t>
        </w:r>
      </w:hyperlink>
      <w:r w:rsidRPr="009C41AD">
        <w:rPr>
          <w:rFonts w:ascii="Times New Roman" w:eastAsia="Times New Roman" w:hAnsi="Times New Roman" w:cs="Times New Roman"/>
          <w:lang w:val="fr-LU" w:eastAsia="fr-FR"/>
        </w:rPr>
        <w:t> </w:t>
      </w:r>
    </w:p>
    <w:p w:rsidR="009C41AD" w:rsidRPr="009C41AD" w:rsidRDefault="009C41AD" w:rsidP="009C41AD">
      <w:pPr>
        <w:spacing w:before="24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Nous avons ainsi en vue </w:t>
      </w:r>
      <w:r w:rsidRPr="009C41AD">
        <w:rPr>
          <w:rFonts w:ascii="Times New Roman" w:eastAsia="Times New Roman" w:hAnsi="Times New Roman" w:cs="Times New Roman"/>
          <w:i/>
          <w:iCs/>
          <w:lang w:val="fr-LU" w:eastAsia="fr-FR"/>
        </w:rPr>
        <w:t>un</w:t>
      </w:r>
      <w:r w:rsidRPr="009C41AD">
        <w:rPr>
          <w:rFonts w:ascii="Times New Roman" w:eastAsia="Times New Roman" w:hAnsi="Times New Roman" w:cs="Times New Roman"/>
          <w:lang w:val="fr-LU" w:eastAsia="fr-FR"/>
        </w:rPr>
        <w:t> type de communauté, qu’il faut distinguer soigneusement d’autres types (par exemple, de la communauté religieuse).</w:t>
      </w:r>
    </w:p>
    <w:p w:rsidR="009C41AD" w:rsidRPr="009C41AD" w:rsidRDefault="009C41AD" w:rsidP="009C41AD">
      <w:pPr>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w:t>
      </w:r>
      <w:hyperlink r:id="rId23" w:anchor="ftn4_return" w:tooltip="Go back to text" w:history="1">
        <w:r w:rsidRPr="009C41AD">
          <w:rPr>
            <w:rFonts w:ascii="Times New Roman" w:eastAsia="Times New Roman" w:hAnsi="Times New Roman" w:cs="Times New Roman"/>
            <w:color w:val="0000FF"/>
            <w:u w:val="single"/>
            <w:lang w:val="fr-LU" w:eastAsia="fr-FR"/>
          </w:rPr>
          <w:t>4]</w:t>
        </w:r>
      </w:hyperlink>
      <w:r w:rsidRPr="009C41AD">
        <w:rPr>
          <w:rFonts w:ascii="Times New Roman" w:eastAsia="Times New Roman" w:hAnsi="Times New Roman" w:cs="Times New Roman"/>
          <w:lang w:val="fr-LU" w:eastAsia="fr-FR"/>
        </w:rPr>
        <w:t> </w:t>
      </w:r>
    </w:p>
    <w:p w:rsidR="009C41AD" w:rsidRPr="009C41AD" w:rsidRDefault="009C41AD" w:rsidP="009C41AD">
      <w:pPr>
        <w:spacing w:before="24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Notre réflexion portera sur les communautés que nous appelons des communautés-multitudes, en nous inspirant très librement des définitions de la multitude par Yves Citton (2010) ou par Pascal Nicolas-Le Strat (2007 et 2009a/b). Ainsi, tout en adaptant la notion de multitude à notre contexte, nous montrerons que, par certains côtés, les manières d’être et d’agir ensemble sous la menace du COVID-19 rappellent celles de la multitude analysée par ces théoriciens. </w:t>
      </w:r>
    </w:p>
    <w:p w:rsidR="009C41AD" w:rsidRPr="009C41AD" w:rsidRDefault="009C41AD" w:rsidP="009C41AD">
      <w:pPr>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w:t>
      </w:r>
      <w:hyperlink r:id="rId24" w:anchor="ftn5_return" w:tooltip="Go back to text" w:history="1">
        <w:r w:rsidRPr="009C41AD">
          <w:rPr>
            <w:rFonts w:ascii="Times New Roman" w:eastAsia="Times New Roman" w:hAnsi="Times New Roman" w:cs="Times New Roman"/>
            <w:color w:val="0000FF"/>
            <w:u w:val="single"/>
            <w:lang w:val="fr-LU" w:eastAsia="fr-FR"/>
          </w:rPr>
          <w:t>5]</w:t>
        </w:r>
      </w:hyperlink>
      <w:r w:rsidRPr="009C41AD">
        <w:rPr>
          <w:rFonts w:ascii="Times New Roman" w:eastAsia="Times New Roman" w:hAnsi="Times New Roman" w:cs="Times New Roman"/>
          <w:lang w:val="fr-LU" w:eastAsia="fr-FR"/>
        </w:rPr>
        <w:t> </w:t>
      </w:r>
    </w:p>
    <w:p w:rsidR="009C41AD" w:rsidRPr="009C41AD" w:rsidRDefault="009C41AD" w:rsidP="009C41AD">
      <w:pPr>
        <w:spacing w:before="24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Citton (2010) cite Toni Negri : la multitude peut être définie comme « </w:t>
      </w:r>
      <w:r w:rsidRPr="009C41AD">
        <w:rPr>
          <w:rFonts w:ascii="Times New Roman" w:eastAsia="Times New Roman" w:hAnsi="Times New Roman" w:cs="Times New Roman"/>
          <w:i/>
          <w:iCs/>
          <w:lang w:val="fr-LU" w:eastAsia="fr-FR"/>
        </w:rPr>
        <w:t>puissance propre à l’interaction de puissances singulières </w:t>
      </w:r>
      <w:r w:rsidRPr="009C41AD">
        <w:rPr>
          <w:rFonts w:ascii="Times New Roman" w:eastAsia="Times New Roman" w:hAnsi="Times New Roman" w:cs="Times New Roman"/>
          <w:lang w:val="fr-LU" w:eastAsia="fr-FR"/>
        </w:rPr>
        <w:t>». La puissance de la multitude repose sur celle des singularités à sa base.</w:t>
      </w:r>
    </w:p>
    <w:p w:rsidR="009C41AD" w:rsidRPr="009C41AD" w:rsidRDefault="009C41AD" w:rsidP="009C41AD">
      <w:pPr>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w:t>
      </w:r>
      <w:hyperlink r:id="rId25" w:anchor="ftn6_return" w:tooltip="Go back to text" w:history="1">
        <w:r w:rsidRPr="009C41AD">
          <w:rPr>
            <w:rFonts w:ascii="Times New Roman" w:eastAsia="Times New Roman" w:hAnsi="Times New Roman" w:cs="Times New Roman"/>
            <w:color w:val="0000FF"/>
            <w:u w:val="single"/>
            <w:lang w:val="fr-LU" w:eastAsia="fr-FR"/>
          </w:rPr>
          <w:t>6]</w:t>
        </w:r>
      </w:hyperlink>
      <w:r w:rsidRPr="009C41AD">
        <w:rPr>
          <w:rFonts w:ascii="Times New Roman" w:eastAsia="Times New Roman" w:hAnsi="Times New Roman" w:cs="Times New Roman"/>
          <w:lang w:val="fr-LU" w:eastAsia="fr-FR"/>
        </w:rPr>
        <w:t> </w:t>
      </w:r>
    </w:p>
    <w:p w:rsidR="009C41AD" w:rsidRPr="009C41AD" w:rsidRDefault="009C41AD" w:rsidP="009C41AD">
      <w:pPr>
        <w:spacing w:before="24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En cela, la communauté-multitude que nous avons en vue se distingue des associations ou clubs de supporters davantage structurés. On s’intéressera ailleurs aux différents degrés de structuration et aux formes plurielles qui ponctuent un continuum. </w:t>
      </w:r>
    </w:p>
    <w:p w:rsidR="009C41AD" w:rsidRPr="009C41AD" w:rsidRDefault="009C41AD" w:rsidP="009C41AD">
      <w:pPr>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w:t>
      </w:r>
      <w:hyperlink r:id="rId26" w:anchor="ftn7_return" w:tooltip="Go back to text" w:history="1">
        <w:r w:rsidRPr="009C41AD">
          <w:rPr>
            <w:rFonts w:ascii="Times New Roman" w:eastAsia="Times New Roman" w:hAnsi="Times New Roman" w:cs="Times New Roman"/>
            <w:color w:val="0000FF"/>
            <w:u w:val="single"/>
            <w:lang w:val="fr-LU" w:eastAsia="fr-FR"/>
          </w:rPr>
          <w:t>7]</w:t>
        </w:r>
      </w:hyperlink>
      <w:r w:rsidRPr="009C41AD">
        <w:rPr>
          <w:rFonts w:ascii="Times New Roman" w:eastAsia="Times New Roman" w:hAnsi="Times New Roman" w:cs="Times New Roman"/>
          <w:lang w:val="fr-LU" w:eastAsia="fr-FR"/>
        </w:rPr>
        <w:t> </w:t>
      </w:r>
    </w:p>
    <w:p w:rsidR="009C41AD" w:rsidRPr="009C41AD" w:rsidRDefault="009C41AD" w:rsidP="009C41AD">
      <w:pPr>
        <w:spacing w:before="24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Même si, comme nous le verrons, les liens faibles se caractérisent par un degré d’affectivité plus faible (cf. Gefen/Laugier 2020). </w:t>
      </w:r>
    </w:p>
    <w:p w:rsidR="009C41AD" w:rsidRPr="009C41AD" w:rsidRDefault="009C41AD" w:rsidP="009C41AD">
      <w:pPr>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w:t>
      </w:r>
      <w:hyperlink r:id="rId27" w:anchor="ftn8_return" w:tooltip="Go back to text" w:history="1">
        <w:r w:rsidRPr="009C41AD">
          <w:rPr>
            <w:rFonts w:ascii="Times New Roman" w:eastAsia="Times New Roman" w:hAnsi="Times New Roman" w:cs="Times New Roman"/>
            <w:color w:val="0000FF"/>
            <w:u w:val="single"/>
            <w:lang w:val="fr-LU" w:eastAsia="fr-FR"/>
          </w:rPr>
          <w:t>8]</w:t>
        </w:r>
      </w:hyperlink>
      <w:r w:rsidRPr="009C41AD">
        <w:rPr>
          <w:rFonts w:ascii="Times New Roman" w:eastAsia="Times New Roman" w:hAnsi="Times New Roman" w:cs="Times New Roman"/>
          <w:lang w:val="fr-LU" w:eastAsia="fr-FR"/>
        </w:rPr>
        <w:t> </w:t>
      </w:r>
    </w:p>
    <w:p w:rsidR="009C41AD" w:rsidRPr="009C41AD" w:rsidRDefault="009C41AD" w:rsidP="009C41AD">
      <w:pPr>
        <w:spacing w:before="24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lastRenderedPageBreak/>
        <w:t>Il faut cependant faire un pas de plus, au-delà de l’amour du prochain au sens le plus immédiat du terme : Sandra Laugier parle de « désentimentalisation », cette forme de liens ne se réduisant pas à la « reconnaissance du semblable », ni au « seul souci du proche ». Le </w:t>
      </w:r>
      <w:r w:rsidRPr="009C41AD">
        <w:rPr>
          <w:rFonts w:ascii="Times New Roman" w:eastAsia="Times New Roman" w:hAnsi="Times New Roman" w:cs="Times New Roman"/>
          <w:i/>
          <w:iCs/>
          <w:lang w:val="fr-LU" w:eastAsia="fr-FR"/>
        </w:rPr>
        <w:t>care</w:t>
      </w:r>
      <w:r w:rsidRPr="009C41AD">
        <w:rPr>
          <w:rFonts w:ascii="Times New Roman" w:eastAsia="Times New Roman" w:hAnsi="Times New Roman" w:cs="Times New Roman"/>
          <w:lang w:val="fr-LU" w:eastAsia="fr-FR"/>
        </w:rPr>
        <w:t> peut conduire à la subversion des modèles de pensée, des « hiérarchies de la pensée, morale et politique » (2020 : 198).</w:t>
      </w:r>
    </w:p>
    <w:p w:rsidR="009C41AD" w:rsidRPr="009C41AD" w:rsidRDefault="009C41AD" w:rsidP="009C41AD">
      <w:pPr>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w:t>
      </w:r>
      <w:hyperlink r:id="rId28" w:anchor="ftn9_return" w:tooltip="Go back to text" w:history="1">
        <w:r w:rsidRPr="009C41AD">
          <w:rPr>
            <w:rFonts w:ascii="Times New Roman" w:eastAsia="Times New Roman" w:hAnsi="Times New Roman" w:cs="Times New Roman"/>
            <w:color w:val="0000FF"/>
            <w:u w:val="single"/>
            <w:lang w:val="fr-LU" w:eastAsia="fr-FR"/>
          </w:rPr>
          <w:t>9]</w:t>
        </w:r>
      </w:hyperlink>
      <w:r w:rsidRPr="009C41AD">
        <w:rPr>
          <w:rFonts w:ascii="Times New Roman" w:eastAsia="Times New Roman" w:hAnsi="Times New Roman" w:cs="Times New Roman"/>
          <w:lang w:val="fr-LU" w:eastAsia="fr-FR"/>
        </w:rPr>
        <w:t> </w:t>
      </w:r>
    </w:p>
    <w:p w:rsidR="009C41AD" w:rsidRPr="009C41AD" w:rsidRDefault="009C41AD" w:rsidP="009C41AD">
      <w:pPr>
        <w:spacing w:before="240"/>
        <w:rPr>
          <w:rFonts w:ascii="Times New Roman" w:eastAsia="Times New Roman" w:hAnsi="Times New Roman" w:cs="Times New Roman"/>
          <w:lang w:val="fr-LU" w:eastAsia="fr-FR"/>
        </w:rPr>
      </w:pPr>
      <w:r w:rsidRPr="009C41AD">
        <w:rPr>
          <w:rFonts w:ascii="Times New Roman" w:eastAsia="Times New Roman" w:hAnsi="Times New Roman" w:cs="Times New Roman"/>
          <w:lang w:val="fr-LU" w:eastAsia="fr-FR"/>
        </w:rPr>
        <w:t>Penser le réseau du point de vue de la théorie de l’acteur-réseau, c’est mettre en avant le </w:t>
      </w:r>
      <w:r w:rsidRPr="009C41AD">
        <w:rPr>
          <w:rFonts w:ascii="Times New Roman" w:eastAsia="Times New Roman" w:hAnsi="Times New Roman" w:cs="Times New Roman"/>
          <w:i/>
          <w:iCs/>
          <w:lang w:val="fr-LU" w:eastAsia="fr-FR"/>
        </w:rPr>
        <w:t>faire faire</w:t>
      </w:r>
      <w:r w:rsidRPr="009C41AD">
        <w:rPr>
          <w:rFonts w:ascii="Times New Roman" w:eastAsia="Times New Roman" w:hAnsi="Times New Roman" w:cs="Times New Roman"/>
          <w:lang w:val="fr-LU" w:eastAsia="fr-FR"/>
        </w:rPr>
        <w:t> : « les carnets que je fais écrire me font faire ce que je suis », note Bruno Latour (2000). La situation extra-ordinaire que je vis, plus précisément, la pandémie qui, à l’extérieur, fait rage, me font faire ce que je suis, pourrait-on avancer. Moi en tant qu’autre qui m’engage pour l’autre.</w:t>
      </w:r>
    </w:p>
    <w:p w:rsidR="009C41AD" w:rsidRPr="009C41AD" w:rsidRDefault="009C41AD" w:rsidP="009C41AD">
      <w:pPr>
        <w:spacing w:line="336" w:lineRule="atLeast"/>
        <w:textAlignment w:val="top"/>
        <w:rPr>
          <w:rFonts w:ascii="var(--font-family-copy)" w:eastAsia="Times New Roman" w:hAnsi="var(--font-family-copy)" w:cs="Times New Roman"/>
          <w:sz w:val="26"/>
          <w:szCs w:val="26"/>
          <w:lang w:val="fr-LU" w:eastAsia="fr-FR"/>
        </w:rPr>
      </w:pPr>
      <w:r w:rsidRPr="009C41AD">
        <w:rPr>
          <w:rFonts w:ascii="var(--font-family-copy)" w:eastAsia="Times New Roman" w:hAnsi="var(--font-family-copy)" w:cs="Times New Roman"/>
          <w:sz w:val="26"/>
          <w:szCs w:val="26"/>
          <w:lang w:val="fr-LU" w:eastAsia="fr-FR"/>
        </w:rPr>
        <w:t>CC BY-SA 4.0</w:t>
      </w:r>
    </w:p>
    <w:p w:rsidR="009C41AD" w:rsidRPr="009C41AD" w:rsidRDefault="009C41AD" w:rsidP="009C41AD">
      <w:pPr>
        <w:spacing w:line="336" w:lineRule="atLeast"/>
        <w:textAlignment w:val="top"/>
        <w:rPr>
          <w:rFonts w:ascii="var(--font-family-copy)" w:eastAsia="Times New Roman" w:hAnsi="var(--font-family-copy)" w:cs="Times New Roman"/>
          <w:sz w:val="20"/>
          <w:szCs w:val="20"/>
          <w:lang w:val="en-US" w:eastAsia="fr-FR"/>
        </w:rPr>
      </w:pPr>
      <w:r w:rsidRPr="009C41AD">
        <w:rPr>
          <w:rFonts w:ascii="var(--font-family-copy)" w:eastAsia="Times New Roman" w:hAnsi="var(--font-family-copy)" w:cs="Times New Roman"/>
          <w:sz w:val="20"/>
          <w:szCs w:val="20"/>
          <w:lang w:val="en-US" w:eastAsia="fr-FR"/>
        </w:rPr>
        <w:t>Powered by Manifold Scholarship. Learn more at </w:t>
      </w:r>
      <w:hyperlink r:id="rId29" w:tgtFrame="_blank" w:history="1">
        <w:r w:rsidRPr="009C41AD">
          <w:rPr>
            <w:rFonts w:ascii="var(--font-family-copy)" w:eastAsia="Times New Roman" w:hAnsi="var(--font-family-copy)" w:cs="Times New Roman"/>
            <w:color w:val="0000FF"/>
            <w:sz w:val="20"/>
            <w:szCs w:val="20"/>
            <w:u w:val="single"/>
            <w:lang w:val="en-US" w:eastAsia="fr-FR"/>
          </w:rPr>
          <w:t>manifoldapp.org</w:t>
        </w:r>
      </w:hyperlink>
    </w:p>
    <w:p w:rsidR="008A77B9" w:rsidRPr="009C41AD" w:rsidRDefault="008A77B9">
      <w:pPr>
        <w:rPr>
          <w:lang w:val="en-US"/>
        </w:rPr>
      </w:pPr>
      <w:bookmarkStart w:id="0" w:name="_GoBack"/>
      <w:bookmarkEnd w:id="0"/>
    </w:p>
    <w:sectPr w:rsidR="008A77B9" w:rsidRPr="009C41AD" w:rsidSect="0078610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0002AFF" w:usb1="C000247B" w:usb2="00000009" w:usb3="00000000" w:csb0="000001FF" w:csb1="00000000"/>
  </w:font>
  <w:font w:name="Times New Roman">
    <w:altName w:val="Times New Roman PSMT"/>
    <w:panose1 w:val="02020603050405020304"/>
    <w:charset w:val="00"/>
    <w:family w:val="roman"/>
    <w:pitch w:val="variable"/>
    <w:sig w:usb0="E0002AFF" w:usb1="C0007841" w:usb2="00000009" w:usb3="00000000" w:csb0="000001FF" w:csb1="00000000"/>
  </w:font>
  <w:font w:name="var(--font-family-copy)">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8E7C67"/>
    <w:multiLevelType w:val="multilevel"/>
    <w:tmpl w:val="BBD8D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96F031A"/>
    <w:multiLevelType w:val="multilevel"/>
    <w:tmpl w:val="4516A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1AD"/>
    <w:rsid w:val="0078610D"/>
    <w:rsid w:val="008A77B9"/>
    <w:rsid w:val="009C41AD"/>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37F8BC9A-4C23-1747-AED3-8AB24A454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L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fr-FR"/>
    </w:rPr>
  </w:style>
  <w:style w:type="paragraph" w:styleId="Titre1">
    <w:name w:val="heading 1"/>
    <w:basedOn w:val="Normal"/>
    <w:link w:val="Titre1Car"/>
    <w:uiPriority w:val="9"/>
    <w:qFormat/>
    <w:rsid w:val="009C41AD"/>
    <w:pPr>
      <w:spacing w:before="100" w:beforeAutospacing="1" w:after="100" w:afterAutospacing="1"/>
      <w:outlineLvl w:val="0"/>
    </w:pPr>
    <w:rPr>
      <w:rFonts w:ascii="Times New Roman" w:eastAsia="Times New Roman" w:hAnsi="Times New Roman" w:cs="Times New Roman"/>
      <w:b/>
      <w:bCs/>
      <w:kern w:val="36"/>
      <w:sz w:val="48"/>
      <w:szCs w:val="48"/>
      <w:lang w:val="fr-LU"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C41AD"/>
    <w:rPr>
      <w:rFonts w:ascii="Times New Roman" w:eastAsia="Times New Roman" w:hAnsi="Times New Roman" w:cs="Times New Roman"/>
      <w:b/>
      <w:bCs/>
      <w:kern w:val="36"/>
      <w:sz w:val="48"/>
      <w:szCs w:val="48"/>
      <w:lang w:eastAsia="fr-FR"/>
    </w:rPr>
  </w:style>
  <w:style w:type="character" w:customStyle="1" w:styleId="head">
    <w:name w:val="head"/>
    <w:basedOn w:val="Policepardfaut"/>
    <w:rsid w:val="009C41AD"/>
  </w:style>
  <w:style w:type="paragraph" w:customStyle="1" w:styleId="authors">
    <w:name w:val="authors"/>
    <w:basedOn w:val="Normal"/>
    <w:rsid w:val="009C41AD"/>
    <w:pPr>
      <w:spacing w:before="100" w:beforeAutospacing="1" w:after="100" w:afterAutospacing="1"/>
    </w:pPr>
    <w:rPr>
      <w:rFonts w:ascii="Times New Roman" w:eastAsia="Times New Roman" w:hAnsi="Times New Roman" w:cs="Times New Roman"/>
      <w:lang w:val="fr-LU" w:eastAsia="fr-FR"/>
    </w:rPr>
  </w:style>
  <w:style w:type="paragraph" w:customStyle="1" w:styleId="abstract">
    <w:name w:val="abstract"/>
    <w:basedOn w:val="Normal"/>
    <w:rsid w:val="009C41AD"/>
    <w:pPr>
      <w:spacing w:before="100" w:beforeAutospacing="1" w:after="100" w:afterAutospacing="1"/>
    </w:pPr>
    <w:rPr>
      <w:rFonts w:ascii="Times New Roman" w:eastAsia="Times New Roman" w:hAnsi="Times New Roman" w:cs="Times New Roman"/>
      <w:lang w:val="fr-LU" w:eastAsia="fr-FR"/>
    </w:rPr>
  </w:style>
  <w:style w:type="character" w:customStyle="1" w:styleId="numberparagraph">
    <w:name w:val="numberparagraph"/>
    <w:basedOn w:val="Policepardfaut"/>
    <w:rsid w:val="009C41AD"/>
  </w:style>
  <w:style w:type="paragraph" w:styleId="NormalWeb">
    <w:name w:val="Normal (Web)"/>
    <w:basedOn w:val="Normal"/>
    <w:uiPriority w:val="99"/>
    <w:semiHidden/>
    <w:unhideWhenUsed/>
    <w:rsid w:val="009C41AD"/>
    <w:pPr>
      <w:spacing w:before="100" w:beforeAutospacing="1" w:after="100" w:afterAutospacing="1"/>
    </w:pPr>
    <w:rPr>
      <w:rFonts w:ascii="Times New Roman" w:eastAsia="Times New Roman" w:hAnsi="Times New Roman" w:cs="Times New Roman"/>
      <w:lang w:val="fr-LU" w:eastAsia="fr-FR"/>
    </w:rPr>
  </w:style>
  <w:style w:type="character" w:styleId="Lienhypertexte">
    <w:name w:val="Hyperlink"/>
    <w:basedOn w:val="Policepardfaut"/>
    <w:uiPriority w:val="99"/>
    <w:semiHidden/>
    <w:unhideWhenUsed/>
    <w:rsid w:val="009C41AD"/>
    <w:rPr>
      <w:color w:val="0000FF"/>
      <w:u w:val="single"/>
    </w:rPr>
  </w:style>
  <w:style w:type="character" w:customStyle="1" w:styleId="apple-converted-space">
    <w:name w:val="apple-converted-space"/>
    <w:basedOn w:val="Policepardfaut"/>
    <w:rsid w:val="009C41AD"/>
  </w:style>
  <w:style w:type="character" w:styleId="Accentuation">
    <w:name w:val="Emphasis"/>
    <w:basedOn w:val="Policepardfaut"/>
    <w:uiPriority w:val="20"/>
    <w:qFormat/>
    <w:rsid w:val="009C41AD"/>
    <w:rPr>
      <w:i/>
      <w:iCs/>
    </w:rPr>
  </w:style>
  <w:style w:type="paragraph" w:customStyle="1" w:styleId="item">
    <w:name w:val="item"/>
    <w:basedOn w:val="Normal"/>
    <w:rsid w:val="009C41AD"/>
    <w:pPr>
      <w:spacing w:before="100" w:beforeAutospacing="1" w:after="100" w:afterAutospacing="1"/>
    </w:pPr>
    <w:rPr>
      <w:rFonts w:ascii="Times New Roman" w:eastAsia="Times New Roman" w:hAnsi="Times New Roman" w:cs="Times New Roman"/>
      <w:lang w:val="fr-LU" w:eastAsia="fr-FR"/>
    </w:rPr>
  </w:style>
  <w:style w:type="character" w:customStyle="1" w:styleId="notelabel">
    <w:name w:val="notelabel"/>
    <w:basedOn w:val="Policepardfaut"/>
    <w:rsid w:val="009C41AD"/>
  </w:style>
  <w:style w:type="paragraph" w:customStyle="1" w:styleId="footnote">
    <w:name w:val="footnote"/>
    <w:basedOn w:val="Normal"/>
    <w:rsid w:val="009C41AD"/>
    <w:pPr>
      <w:spacing w:before="100" w:beforeAutospacing="1" w:after="100" w:afterAutospacing="1"/>
    </w:pPr>
    <w:rPr>
      <w:rFonts w:ascii="Times New Roman" w:eastAsia="Times New Roman" w:hAnsi="Times New Roman" w:cs="Times New Roman"/>
      <w:lang w:val="fr-LU"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5763423">
      <w:bodyDiv w:val="1"/>
      <w:marLeft w:val="0"/>
      <w:marRight w:val="0"/>
      <w:marTop w:val="0"/>
      <w:marBottom w:val="0"/>
      <w:divBdr>
        <w:top w:val="none" w:sz="0" w:space="0" w:color="auto"/>
        <w:left w:val="none" w:sz="0" w:space="0" w:color="auto"/>
        <w:bottom w:val="none" w:sz="0" w:space="0" w:color="auto"/>
        <w:right w:val="none" w:sz="0" w:space="0" w:color="auto"/>
      </w:divBdr>
      <w:divsChild>
        <w:div w:id="834691228">
          <w:marLeft w:val="0"/>
          <w:marRight w:val="0"/>
          <w:marTop w:val="0"/>
          <w:marBottom w:val="0"/>
          <w:divBdr>
            <w:top w:val="none" w:sz="0" w:space="0" w:color="auto"/>
            <w:left w:val="none" w:sz="0" w:space="0" w:color="auto"/>
            <w:bottom w:val="none" w:sz="0" w:space="0" w:color="auto"/>
            <w:right w:val="none" w:sz="0" w:space="0" w:color="auto"/>
          </w:divBdr>
          <w:divsChild>
            <w:div w:id="132262803">
              <w:marLeft w:val="0"/>
              <w:marRight w:val="0"/>
              <w:marTop w:val="0"/>
              <w:marBottom w:val="0"/>
              <w:divBdr>
                <w:top w:val="none" w:sz="0" w:space="0" w:color="auto"/>
                <w:left w:val="none" w:sz="0" w:space="0" w:color="auto"/>
                <w:bottom w:val="none" w:sz="0" w:space="0" w:color="auto"/>
                <w:right w:val="none" w:sz="0" w:space="0" w:color="auto"/>
              </w:divBdr>
              <w:divsChild>
                <w:div w:id="601687701">
                  <w:marLeft w:val="0"/>
                  <w:marRight w:val="0"/>
                  <w:marTop w:val="0"/>
                  <w:marBottom w:val="0"/>
                  <w:divBdr>
                    <w:top w:val="none" w:sz="0" w:space="0" w:color="auto"/>
                    <w:left w:val="none" w:sz="0" w:space="0" w:color="auto"/>
                    <w:bottom w:val="none" w:sz="0" w:space="0" w:color="auto"/>
                    <w:right w:val="none" w:sz="0" w:space="0" w:color="auto"/>
                  </w:divBdr>
                  <w:divsChild>
                    <w:div w:id="2135323370">
                      <w:marLeft w:val="0"/>
                      <w:marRight w:val="0"/>
                      <w:marTop w:val="0"/>
                      <w:marBottom w:val="0"/>
                      <w:divBdr>
                        <w:top w:val="none" w:sz="0" w:space="0" w:color="auto"/>
                        <w:left w:val="none" w:sz="0" w:space="0" w:color="auto"/>
                        <w:bottom w:val="none" w:sz="0" w:space="0" w:color="auto"/>
                        <w:right w:val="none" w:sz="0" w:space="0" w:color="auto"/>
                      </w:divBdr>
                      <w:divsChild>
                        <w:div w:id="339814069">
                          <w:marLeft w:val="0"/>
                          <w:marRight w:val="0"/>
                          <w:marTop w:val="0"/>
                          <w:marBottom w:val="0"/>
                          <w:divBdr>
                            <w:top w:val="none" w:sz="0" w:space="0" w:color="auto"/>
                            <w:left w:val="none" w:sz="0" w:space="0" w:color="auto"/>
                            <w:bottom w:val="none" w:sz="0" w:space="0" w:color="auto"/>
                            <w:right w:val="none" w:sz="0" w:space="0" w:color="auto"/>
                          </w:divBdr>
                          <w:divsChild>
                            <w:div w:id="840314450">
                              <w:marLeft w:val="0"/>
                              <w:marRight w:val="0"/>
                              <w:marTop w:val="0"/>
                              <w:marBottom w:val="0"/>
                              <w:divBdr>
                                <w:top w:val="none" w:sz="0" w:space="0" w:color="auto"/>
                                <w:left w:val="none" w:sz="0" w:space="0" w:color="auto"/>
                                <w:bottom w:val="none" w:sz="0" w:space="0" w:color="auto"/>
                                <w:right w:val="none" w:sz="0" w:space="0" w:color="auto"/>
                              </w:divBdr>
                              <w:divsChild>
                                <w:div w:id="785387696">
                                  <w:marLeft w:val="0"/>
                                  <w:marRight w:val="0"/>
                                  <w:marTop w:val="0"/>
                                  <w:marBottom w:val="0"/>
                                  <w:divBdr>
                                    <w:top w:val="none" w:sz="0" w:space="0" w:color="auto"/>
                                    <w:left w:val="none" w:sz="0" w:space="0" w:color="auto"/>
                                    <w:bottom w:val="none" w:sz="0" w:space="0" w:color="auto"/>
                                    <w:right w:val="none" w:sz="0" w:space="0" w:color="auto"/>
                                  </w:divBdr>
                                  <w:divsChild>
                                    <w:div w:id="2051878611">
                                      <w:marLeft w:val="0"/>
                                      <w:marRight w:val="0"/>
                                      <w:marTop w:val="0"/>
                                      <w:marBottom w:val="0"/>
                                      <w:divBdr>
                                        <w:top w:val="none" w:sz="0" w:space="0" w:color="auto"/>
                                        <w:left w:val="none" w:sz="0" w:space="0" w:color="auto"/>
                                        <w:bottom w:val="none" w:sz="0" w:space="0" w:color="auto"/>
                                        <w:right w:val="none" w:sz="0" w:space="0" w:color="auto"/>
                                      </w:divBdr>
                                    </w:div>
                                    <w:div w:id="154499683">
                                      <w:marLeft w:val="0"/>
                                      <w:marRight w:val="0"/>
                                      <w:marTop w:val="0"/>
                                      <w:marBottom w:val="0"/>
                                      <w:divBdr>
                                        <w:top w:val="none" w:sz="0" w:space="0" w:color="auto"/>
                                        <w:left w:val="none" w:sz="0" w:space="0" w:color="auto"/>
                                        <w:bottom w:val="none" w:sz="0" w:space="0" w:color="auto"/>
                                        <w:right w:val="none" w:sz="0" w:space="0" w:color="auto"/>
                                      </w:divBdr>
                                      <w:divsChild>
                                        <w:div w:id="15383978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97094896">
                                      <w:marLeft w:val="0"/>
                                      <w:marRight w:val="0"/>
                                      <w:marTop w:val="0"/>
                                      <w:marBottom w:val="0"/>
                                      <w:divBdr>
                                        <w:top w:val="none" w:sz="0" w:space="0" w:color="auto"/>
                                        <w:left w:val="none" w:sz="0" w:space="0" w:color="auto"/>
                                        <w:bottom w:val="none" w:sz="0" w:space="0" w:color="auto"/>
                                        <w:right w:val="none" w:sz="0" w:space="0" w:color="auto"/>
                                      </w:divBdr>
                                      <w:divsChild>
                                        <w:div w:id="1626496899">
                                          <w:marLeft w:val="0"/>
                                          <w:marRight w:val="0"/>
                                          <w:marTop w:val="240"/>
                                          <w:marBottom w:val="240"/>
                                          <w:divBdr>
                                            <w:top w:val="none" w:sz="0" w:space="0" w:color="auto"/>
                                            <w:left w:val="none" w:sz="0" w:space="0" w:color="auto"/>
                                            <w:bottom w:val="none" w:sz="0" w:space="0" w:color="auto"/>
                                            <w:right w:val="none" w:sz="0" w:space="0" w:color="auto"/>
                                          </w:divBdr>
                                        </w:div>
                                        <w:div w:id="1436246468">
                                          <w:marLeft w:val="0"/>
                                          <w:marRight w:val="0"/>
                                          <w:marTop w:val="240"/>
                                          <w:marBottom w:val="240"/>
                                          <w:divBdr>
                                            <w:top w:val="none" w:sz="0" w:space="0" w:color="auto"/>
                                            <w:left w:val="none" w:sz="0" w:space="0" w:color="auto"/>
                                            <w:bottom w:val="none" w:sz="0" w:space="0" w:color="auto"/>
                                            <w:right w:val="none" w:sz="0" w:space="0" w:color="auto"/>
                                          </w:divBdr>
                                        </w:div>
                                        <w:div w:id="1257322012">
                                          <w:marLeft w:val="0"/>
                                          <w:marRight w:val="0"/>
                                          <w:marTop w:val="240"/>
                                          <w:marBottom w:val="240"/>
                                          <w:divBdr>
                                            <w:top w:val="none" w:sz="0" w:space="0" w:color="auto"/>
                                            <w:left w:val="none" w:sz="0" w:space="0" w:color="auto"/>
                                            <w:bottom w:val="none" w:sz="0" w:space="0" w:color="auto"/>
                                            <w:right w:val="none" w:sz="0" w:space="0" w:color="auto"/>
                                          </w:divBdr>
                                        </w:div>
                                        <w:div w:id="19493160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609664">
                                      <w:marLeft w:val="0"/>
                                      <w:marRight w:val="0"/>
                                      <w:marTop w:val="0"/>
                                      <w:marBottom w:val="0"/>
                                      <w:divBdr>
                                        <w:top w:val="none" w:sz="0" w:space="0" w:color="auto"/>
                                        <w:left w:val="none" w:sz="0" w:space="0" w:color="auto"/>
                                        <w:bottom w:val="none" w:sz="0" w:space="0" w:color="auto"/>
                                        <w:right w:val="none" w:sz="0" w:space="0" w:color="auto"/>
                                      </w:divBdr>
                                      <w:divsChild>
                                        <w:div w:id="2066949129">
                                          <w:blockQuote w:val="1"/>
                                          <w:marLeft w:val="0"/>
                                          <w:marRight w:val="0"/>
                                          <w:marTop w:val="0"/>
                                          <w:marBottom w:val="0"/>
                                          <w:divBdr>
                                            <w:top w:val="none" w:sz="0" w:space="0" w:color="auto"/>
                                            <w:left w:val="none" w:sz="0" w:space="0" w:color="auto"/>
                                            <w:bottom w:val="none" w:sz="0" w:space="0" w:color="auto"/>
                                            <w:right w:val="none" w:sz="0" w:space="0" w:color="auto"/>
                                          </w:divBdr>
                                        </w:div>
                                        <w:div w:id="19446541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1560393">
                                      <w:marLeft w:val="0"/>
                                      <w:marRight w:val="0"/>
                                      <w:marTop w:val="0"/>
                                      <w:marBottom w:val="0"/>
                                      <w:divBdr>
                                        <w:top w:val="none" w:sz="0" w:space="0" w:color="auto"/>
                                        <w:left w:val="none" w:sz="0" w:space="0" w:color="auto"/>
                                        <w:bottom w:val="none" w:sz="0" w:space="0" w:color="auto"/>
                                        <w:right w:val="none" w:sz="0" w:space="0" w:color="auto"/>
                                      </w:divBdr>
                                      <w:divsChild>
                                        <w:div w:id="198203484">
                                          <w:marLeft w:val="0"/>
                                          <w:marRight w:val="0"/>
                                          <w:marTop w:val="0"/>
                                          <w:marBottom w:val="0"/>
                                          <w:divBdr>
                                            <w:top w:val="none" w:sz="0" w:space="0" w:color="auto"/>
                                            <w:left w:val="none" w:sz="0" w:space="0" w:color="auto"/>
                                            <w:bottom w:val="none" w:sz="0" w:space="0" w:color="auto"/>
                                            <w:right w:val="none" w:sz="0" w:space="0" w:color="auto"/>
                                          </w:divBdr>
                                        </w:div>
                                        <w:div w:id="10962493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21236523">
                                      <w:marLeft w:val="0"/>
                                      <w:marRight w:val="0"/>
                                      <w:marTop w:val="0"/>
                                      <w:marBottom w:val="0"/>
                                      <w:divBdr>
                                        <w:top w:val="none" w:sz="0" w:space="0" w:color="auto"/>
                                        <w:left w:val="none" w:sz="0" w:space="0" w:color="auto"/>
                                        <w:bottom w:val="none" w:sz="0" w:space="0" w:color="auto"/>
                                        <w:right w:val="none" w:sz="0" w:space="0" w:color="auto"/>
                                      </w:divBdr>
                                    </w:div>
                                    <w:div w:id="1380974777">
                                      <w:marLeft w:val="0"/>
                                      <w:marRight w:val="0"/>
                                      <w:marTop w:val="0"/>
                                      <w:marBottom w:val="0"/>
                                      <w:divBdr>
                                        <w:top w:val="none" w:sz="0" w:space="0" w:color="auto"/>
                                        <w:left w:val="none" w:sz="0" w:space="0" w:color="auto"/>
                                        <w:bottom w:val="none" w:sz="0" w:space="0" w:color="auto"/>
                                        <w:right w:val="none" w:sz="0" w:space="0" w:color="auto"/>
                                      </w:divBdr>
                                      <w:divsChild>
                                        <w:div w:id="1500653708">
                                          <w:marLeft w:val="0"/>
                                          <w:marRight w:val="0"/>
                                          <w:marTop w:val="0"/>
                                          <w:marBottom w:val="0"/>
                                          <w:divBdr>
                                            <w:top w:val="none" w:sz="0" w:space="0" w:color="auto"/>
                                            <w:left w:val="none" w:sz="0" w:space="0" w:color="auto"/>
                                            <w:bottom w:val="none" w:sz="0" w:space="0" w:color="auto"/>
                                            <w:right w:val="none" w:sz="0" w:space="0" w:color="auto"/>
                                          </w:divBdr>
                                        </w:div>
                                        <w:div w:id="2055738299">
                                          <w:marLeft w:val="0"/>
                                          <w:marRight w:val="0"/>
                                          <w:marTop w:val="240"/>
                                          <w:marBottom w:val="240"/>
                                          <w:divBdr>
                                            <w:top w:val="none" w:sz="0" w:space="0" w:color="auto"/>
                                            <w:left w:val="none" w:sz="0" w:space="0" w:color="auto"/>
                                            <w:bottom w:val="none" w:sz="0" w:space="0" w:color="auto"/>
                                            <w:right w:val="none" w:sz="0" w:space="0" w:color="auto"/>
                                          </w:divBdr>
                                          <w:divsChild>
                                            <w:div w:id="496658052">
                                              <w:marLeft w:val="0"/>
                                              <w:marRight w:val="0"/>
                                              <w:marTop w:val="0"/>
                                              <w:marBottom w:val="0"/>
                                              <w:divBdr>
                                                <w:top w:val="none" w:sz="0" w:space="0" w:color="auto"/>
                                                <w:left w:val="none" w:sz="0" w:space="0" w:color="auto"/>
                                                <w:bottom w:val="none" w:sz="0" w:space="0" w:color="auto"/>
                                                <w:right w:val="none" w:sz="0" w:space="0" w:color="auto"/>
                                              </w:divBdr>
                                            </w:div>
                                          </w:divsChild>
                                        </w:div>
                                        <w:div w:id="292256673">
                                          <w:marLeft w:val="0"/>
                                          <w:marRight w:val="0"/>
                                          <w:marTop w:val="240"/>
                                          <w:marBottom w:val="240"/>
                                          <w:divBdr>
                                            <w:top w:val="none" w:sz="0" w:space="0" w:color="auto"/>
                                            <w:left w:val="none" w:sz="0" w:space="0" w:color="auto"/>
                                            <w:bottom w:val="none" w:sz="0" w:space="0" w:color="auto"/>
                                            <w:right w:val="none" w:sz="0" w:space="0" w:color="auto"/>
                                          </w:divBdr>
                                          <w:divsChild>
                                            <w:div w:id="81605916">
                                              <w:marLeft w:val="0"/>
                                              <w:marRight w:val="0"/>
                                              <w:marTop w:val="0"/>
                                              <w:marBottom w:val="0"/>
                                              <w:divBdr>
                                                <w:top w:val="none" w:sz="0" w:space="0" w:color="auto"/>
                                                <w:left w:val="none" w:sz="0" w:space="0" w:color="auto"/>
                                                <w:bottom w:val="none" w:sz="0" w:space="0" w:color="auto"/>
                                                <w:right w:val="none" w:sz="0" w:space="0" w:color="auto"/>
                                              </w:divBdr>
                                            </w:div>
                                          </w:divsChild>
                                        </w:div>
                                        <w:div w:id="1238902331">
                                          <w:marLeft w:val="0"/>
                                          <w:marRight w:val="0"/>
                                          <w:marTop w:val="240"/>
                                          <w:marBottom w:val="240"/>
                                          <w:divBdr>
                                            <w:top w:val="none" w:sz="0" w:space="0" w:color="auto"/>
                                            <w:left w:val="none" w:sz="0" w:space="0" w:color="auto"/>
                                            <w:bottom w:val="none" w:sz="0" w:space="0" w:color="auto"/>
                                            <w:right w:val="none" w:sz="0" w:space="0" w:color="auto"/>
                                          </w:divBdr>
                                          <w:divsChild>
                                            <w:div w:id="1997957539">
                                              <w:marLeft w:val="0"/>
                                              <w:marRight w:val="0"/>
                                              <w:marTop w:val="0"/>
                                              <w:marBottom w:val="0"/>
                                              <w:divBdr>
                                                <w:top w:val="none" w:sz="0" w:space="0" w:color="auto"/>
                                                <w:left w:val="none" w:sz="0" w:space="0" w:color="auto"/>
                                                <w:bottom w:val="none" w:sz="0" w:space="0" w:color="auto"/>
                                                <w:right w:val="none" w:sz="0" w:space="0" w:color="auto"/>
                                              </w:divBdr>
                                            </w:div>
                                          </w:divsChild>
                                        </w:div>
                                        <w:div w:id="98918969">
                                          <w:marLeft w:val="0"/>
                                          <w:marRight w:val="0"/>
                                          <w:marTop w:val="240"/>
                                          <w:marBottom w:val="240"/>
                                          <w:divBdr>
                                            <w:top w:val="none" w:sz="0" w:space="0" w:color="auto"/>
                                            <w:left w:val="none" w:sz="0" w:space="0" w:color="auto"/>
                                            <w:bottom w:val="none" w:sz="0" w:space="0" w:color="auto"/>
                                            <w:right w:val="none" w:sz="0" w:space="0" w:color="auto"/>
                                          </w:divBdr>
                                          <w:divsChild>
                                            <w:div w:id="885289785">
                                              <w:marLeft w:val="0"/>
                                              <w:marRight w:val="0"/>
                                              <w:marTop w:val="0"/>
                                              <w:marBottom w:val="0"/>
                                              <w:divBdr>
                                                <w:top w:val="none" w:sz="0" w:space="0" w:color="auto"/>
                                                <w:left w:val="none" w:sz="0" w:space="0" w:color="auto"/>
                                                <w:bottom w:val="none" w:sz="0" w:space="0" w:color="auto"/>
                                                <w:right w:val="none" w:sz="0" w:space="0" w:color="auto"/>
                                              </w:divBdr>
                                            </w:div>
                                          </w:divsChild>
                                        </w:div>
                                        <w:div w:id="2063674272">
                                          <w:marLeft w:val="0"/>
                                          <w:marRight w:val="0"/>
                                          <w:marTop w:val="240"/>
                                          <w:marBottom w:val="240"/>
                                          <w:divBdr>
                                            <w:top w:val="none" w:sz="0" w:space="0" w:color="auto"/>
                                            <w:left w:val="none" w:sz="0" w:space="0" w:color="auto"/>
                                            <w:bottom w:val="none" w:sz="0" w:space="0" w:color="auto"/>
                                            <w:right w:val="none" w:sz="0" w:space="0" w:color="auto"/>
                                          </w:divBdr>
                                          <w:divsChild>
                                            <w:div w:id="1017851313">
                                              <w:marLeft w:val="0"/>
                                              <w:marRight w:val="0"/>
                                              <w:marTop w:val="0"/>
                                              <w:marBottom w:val="0"/>
                                              <w:divBdr>
                                                <w:top w:val="none" w:sz="0" w:space="0" w:color="auto"/>
                                                <w:left w:val="none" w:sz="0" w:space="0" w:color="auto"/>
                                                <w:bottom w:val="none" w:sz="0" w:space="0" w:color="auto"/>
                                                <w:right w:val="none" w:sz="0" w:space="0" w:color="auto"/>
                                              </w:divBdr>
                                            </w:div>
                                          </w:divsChild>
                                        </w:div>
                                        <w:div w:id="1021933261">
                                          <w:marLeft w:val="0"/>
                                          <w:marRight w:val="0"/>
                                          <w:marTop w:val="240"/>
                                          <w:marBottom w:val="240"/>
                                          <w:divBdr>
                                            <w:top w:val="none" w:sz="0" w:space="0" w:color="auto"/>
                                            <w:left w:val="none" w:sz="0" w:space="0" w:color="auto"/>
                                            <w:bottom w:val="none" w:sz="0" w:space="0" w:color="auto"/>
                                            <w:right w:val="none" w:sz="0" w:space="0" w:color="auto"/>
                                          </w:divBdr>
                                          <w:divsChild>
                                            <w:div w:id="1089427474">
                                              <w:marLeft w:val="0"/>
                                              <w:marRight w:val="0"/>
                                              <w:marTop w:val="0"/>
                                              <w:marBottom w:val="0"/>
                                              <w:divBdr>
                                                <w:top w:val="none" w:sz="0" w:space="0" w:color="auto"/>
                                                <w:left w:val="none" w:sz="0" w:space="0" w:color="auto"/>
                                                <w:bottom w:val="none" w:sz="0" w:space="0" w:color="auto"/>
                                                <w:right w:val="none" w:sz="0" w:space="0" w:color="auto"/>
                                              </w:divBdr>
                                            </w:div>
                                          </w:divsChild>
                                        </w:div>
                                        <w:div w:id="884484123">
                                          <w:marLeft w:val="0"/>
                                          <w:marRight w:val="0"/>
                                          <w:marTop w:val="240"/>
                                          <w:marBottom w:val="240"/>
                                          <w:divBdr>
                                            <w:top w:val="none" w:sz="0" w:space="0" w:color="auto"/>
                                            <w:left w:val="none" w:sz="0" w:space="0" w:color="auto"/>
                                            <w:bottom w:val="none" w:sz="0" w:space="0" w:color="auto"/>
                                            <w:right w:val="none" w:sz="0" w:space="0" w:color="auto"/>
                                          </w:divBdr>
                                          <w:divsChild>
                                            <w:div w:id="898440449">
                                              <w:marLeft w:val="0"/>
                                              <w:marRight w:val="0"/>
                                              <w:marTop w:val="0"/>
                                              <w:marBottom w:val="0"/>
                                              <w:divBdr>
                                                <w:top w:val="none" w:sz="0" w:space="0" w:color="auto"/>
                                                <w:left w:val="none" w:sz="0" w:space="0" w:color="auto"/>
                                                <w:bottom w:val="none" w:sz="0" w:space="0" w:color="auto"/>
                                                <w:right w:val="none" w:sz="0" w:space="0" w:color="auto"/>
                                              </w:divBdr>
                                            </w:div>
                                          </w:divsChild>
                                        </w:div>
                                        <w:div w:id="754402251">
                                          <w:marLeft w:val="0"/>
                                          <w:marRight w:val="0"/>
                                          <w:marTop w:val="240"/>
                                          <w:marBottom w:val="240"/>
                                          <w:divBdr>
                                            <w:top w:val="none" w:sz="0" w:space="0" w:color="auto"/>
                                            <w:left w:val="none" w:sz="0" w:space="0" w:color="auto"/>
                                            <w:bottom w:val="none" w:sz="0" w:space="0" w:color="auto"/>
                                            <w:right w:val="none" w:sz="0" w:space="0" w:color="auto"/>
                                          </w:divBdr>
                                          <w:divsChild>
                                            <w:div w:id="571551348">
                                              <w:marLeft w:val="0"/>
                                              <w:marRight w:val="0"/>
                                              <w:marTop w:val="0"/>
                                              <w:marBottom w:val="0"/>
                                              <w:divBdr>
                                                <w:top w:val="none" w:sz="0" w:space="0" w:color="auto"/>
                                                <w:left w:val="none" w:sz="0" w:space="0" w:color="auto"/>
                                                <w:bottom w:val="none" w:sz="0" w:space="0" w:color="auto"/>
                                                <w:right w:val="none" w:sz="0" w:space="0" w:color="auto"/>
                                              </w:divBdr>
                                            </w:div>
                                          </w:divsChild>
                                        </w:div>
                                        <w:div w:id="550386784">
                                          <w:marLeft w:val="0"/>
                                          <w:marRight w:val="0"/>
                                          <w:marTop w:val="240"/>
                                          <w:marBottom w:val="240"/>
                                          <w:divBdr>
                                            <w:top w:val="none" w:sz="0" w:space="0" w:color="auto"/>
                                            <w:left w:val="none" w:sz="0" w:space="0" w:color="auto"/>
                                            <w:bottom w:val="none" w:sz="0" w:space="0" w:color="auto"/>
                                            <w:right w:val="none" w:sz="0" w:space="0" w:color="auto"/>
                                          </w:divBdr>
                                          <w:divsChild>
                                            <w:div w:id="181764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7381323">
          <w:marLeft w:val="0"/>
          <w:marRight w:val="0"/>
          <w:marTop w:val="0"/>
          <w:marBottom w:val="0"/>
          <w:divBdr>
            <w:top w:val="none" w:sz="0" w:space="0" w:color="auto"/>
            <w:left w:val="none" w:sz="0" w:space="0" w:color="auto"/>
            <w:bottom w:val="none" w:sz="0" w:space="0" w:color="auto"/>
            <w:right w:val="none" w:sz="0" w:space="0" w:color="auto"/>
          </w:divBdr>
          <w:divsChild>
            <w:div w:id="1737243332">
              <w:marLeft w:val="0"/>
              <w:marRight w:val="0"/>
              <w:marTop w:val="0"/>
              <w:marBottom w:val="0"/>
              <w:divBdr>
                <w:top w:val="none" w:sz="0" w:space="0" w:color="auto"/>
                <w:left w:val="none" w:sz="0" w:space="0" w:color="auto"/>
                <w:bottom w:val="none" w:sz="0" w:space="0" w:color="auto"/>
                <w:right w:val="none" w:sz="0" w:space="0" w:color="auto"/>
              </w:divBdr>
              <w:divsChild>
                <w:div w:id="671224953">
                  <w:marLeft w:val="90"/>
                  <w:marRight w:val="0"/>
                  <w:marTop w:val="0"/>
                  <w:marBottom w:val="0"/>
                  <w:divBdr>
                    <w:top w:val="none" w:sz="0" w:space="0" w:color="auto"/>
                    <w:left w:val="none" w:sz="0" w:space="0" w:color="auto"/>
                    <w:bottom w:val="none" w:sz="0" w:space="0" w:color="auto"/>
                    <w:right w:val="none" w:sz="0" w:space="0" w:color="auto"/>
                  </w:divBdr>
                  <w:divsChild>
                    <w:div w:id="1669484564">
                      <w:marLeft w:val="0"/>
                      <w:marRight w:val="0"/>
                      <w:marTop w:val="0"/>
                      <w:marBottom w:val="0"/>
                      <w:divBdr>
                        <w:top w:val="none" w:sz="0" w:space="0" w:color="auto"/>
                        <w:left w:val="none" w:sz="0" w:space="0" w:color="auto"/>
                        <w:bottom w:val="none" w:sz="0" w:space="0" w:color="auto"/>
                        <w:right w:val="none" w:sz="0" w:space="0" w:color="auto"/>
                      </w:divBdr>
                    </w:div>
                    <w:div w:id="59652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lusinapress.lu/" TargetMode="External"/><Relationship Id="rId13" Type="http://schemas.openxmlformats.org/officeDocument/2006/relationships/hyperlink" Target="https://www.melusinapress.lu/" TargetMode="External"/><Relationship Id="rId18" Type="http://schemas.openxmlformats.org/officeDocument/2006/relationships/hyperlink" Target="https://journals.openedition.org/itineraires/2313" TargetMode="External"/><Relationship Id="rId26" Type="http://schemas.openxmlformats.org/officeDocument/2006/relationships/hyperlink" Target="https://www.melusinapress.lu/" TargetMode="External"/><Relationship Id="rId3" Type="http://schemas.openxmlformats.org/officeDocument/2006/relationships/settings" Target="settings.xml"/><Relationship Id="rId21" Type="http://schemas.openxmlformats.org/officeDocument/2006/relationships/hyperlink" Target="https://www.melusinapress.lu/" TargetMode="External"/><Relationship Id="rId7" Type="http://schemas.openxmlformats.org/officeDocument/2006/relationships/hyperlink" Target="https://www.melusinapress.lu/" TargetMode="External"/><Relationship Id="rId12" Type="http://schemas.openxmlformats.org/officeDocument/2006/relationships/hyperlink" Target="https://www.melusinapress.lu/" TargetMode="External"/><Relationship Id="rId17" Type="http://schemas.openxmlformats.org/officeDocument/2006/relationships/hyperlink" Target="https://www.unilim.fr/actes-semiotiques/2631" TargetMode="External"/><Relationship Id="rId25" Type="http://schemas.openxmlformats.org/officeDocument/2006/relationships/hyperlink" Target="https://www.melusinapress.lu/" TargetMode="External"/><Relationship Id="rId2" Type="http://schemas.openxmlformats.org/officeDocument/2006/relationships/styles" Target="styles.xml"/><Relationship Id="rId16" Type="http://schemas.openxmlformats.org/officeDocument/2006/relationships/hyperlink" Target="https://www.melusinapress.lu/" TargetMode="External"/><Relationship Id="rId20" Type="http://schemas.openxmlformats.org/officeDocument/2006/relationships/hyperlink" Target="https://www.melusinapress.lu/" TargetMode="External"/><Relationship Id="rId29" Type="http://schemas.openxmlformats.org/officeDocument/2006/relationships/hyperlink" Target="http://manifoldapp.org" TargetMode="External"/><Relationship Id="rId1" Type="http://schemas.openxmlformats.org/officeDocument/2006/relationships/numbering" Target="numbering.xml"/><Relationship Id="rId6" Type="http://schemas.openxmlformats.org/officeDocument/2006/relationships/hyperlink" Target="https://www.melusinapress.lu/" TargetMode="External"/><Relationship Id="rId11" Type="http://schemas.openxmlformats.org/officeDocument/2006/relationships/image" Target="media/image3.png"/><Relationship Id="rId24" Type="http://schemas.openxmlformats.org/officeDocument/2006/relationships/hyperlink" Target="https://www.melusinapress.lu/" TargetMode="External"/><Relationship Id="rId5" Type="http://schemas.openxmlformats.org/officeDocument/2006/relationships/hyperlink" Target="https://www.melusinapress.lu/" TargetMode="External"/><Relationship Id="rId15" Type="http://schemas.openxmlformats.org/officeDocument/2006/relationships/hyperlink" Target="https://www.melusinapress.lu/" TargetMode="External"/><Relationship Id="rId23" Type="http://schemas.openxmlformats.org/officeDocument/2006/relationships/hyperlink" Target="https://www.melusinapress.lu/" TargetMode="External"/><Relationship Id="rId28" Type="http://schemas.openxmlformats.org/officeDocument/2006/relationships/hyperlink" Target="https://www.melusinapress.lu/" TargetMode="External"/><Relationship Id="rId10" Type="http://schemas.openxmlformats.org/officeDocument/2006/relationships/image" Target="media/image2.png"/><Relationship Id="rId19" Type="http://schemas.openxmlformats.org/officeDocument/2006/relationships/hyperlink" Target="https://www.cairn.info/revue-multitudes-2001-4-page-103.ht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melusinapress.lu/" TargetMode="External"/><Relationship Id="rId22" Type="http://schemas.openxmlformats.org/officeDocument/2006/relationships/hyperlink" Target="https://www.melusinapress.lu/" TargetMode="External"/><Relationship Id="rId27" Type="http://schemas.openxmlformats.org/officeDocument/2006/relationships/hyperlink" Target="https://www.melusinapress.lu/"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10053</Words>
  <Characters>55295</Characters>
  <Application>Microsoft Office Word</Application>
  <DocSecurity>0</DocSecurity>
  <Lines>460</Lines>
  <Paragraphs>130</Paragraphs>
  <ScaleCrop>false</ScaleCrop>
  <Company/>
  <LinksUpToDate>false</LinksUpToDate>
  <CharactersWithSpaces>65218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COLAS-BLAISE</dc:creator>
  <cp:keywords/>
  <dc:description/>
  <cp:lastModifiedBy>Marion COLAS-BLAISE</cp:lastModifiedBy>
  <cp:revision>1</cp:revision>
  <dcterms:created xsi:type="dcterms:W3CDTF">2023-12-29T10:56:00Z</dcterms:created>
  <dcterms:modified xsi:type="dcterms:W3CDTF">2023-12-29T10:57:00Z</dcterms:modified>
</cp:coreProperties>
</file>