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99C" w:rsidRPr="00BA0E6C" w:rsidRDefault="002C399C" w:rsidP="002C399C">
      <w:pPr>
        <w:spacing w:after="120" w:line="276" w:lineRule="auto"/>
        <w:jc w:val="center"/>
        <w:rPr>
          <w:b/>
        </w:rPr>
      </w:pPr>
      <w:bookmarkStart w:id="0" w:name="_GoBack"/>
      <w:bookmarkEnd w:id="0"/>
      <w:r w:rsidRPr="00BA0E6C">
        <w:rPr>
          <w:b/>
        </w:rPr>
        <w:t>L’œuvre d’art « augmentée » et ses formes de vie</w:t>
      </w:r>
    </w:p>
    <w:p w:rsidR="002C399C" w:rsidRPr="00BA0E6C" w:rsidRDefault="002C399C" w:rsidP="002C399C">
      <w:pPr>
        <w:spacing w:after="120" w:line="276" w:lineRule="auto"/>
        <w:jc w:val="center"/>
      </w:pPr>
      <w:r w:rsidRPr="00BA0E6C">
        <w:t xml:space="preserve">Marion Colas-Blaise </w:t>
      </w:r>
      <w:r>
        <w:t>(Université du Luxembourg)</w:t>
      </w:r>
    </w:p>
    <w:p w:rsidR="00FC4927" w:rsidRPr="00FC4927" w:rsidRDefault="00FC4927" w:rsidP="002C399C">
      <w:pPr>
        <w:spacing w:after="120" w:line="276" w:lineRule="auto"/>
        <w:jc w:val="both"/>
        <w:rPr>
          <w:b/>
        </w:rPr>
      </w:pPr>
      <w:r w:rsidRPr="00FC4927">
        <w:rPr>
          <w:b/>
        </w:rPr>
        <w:t>0. Introduction</w:t>
      </w:r>
    </w:p>
    <w:p w:rsidR="002C399C" w:rsidRDefault="002C399C" w:rsidP="002C399C">
      <w:pPr>
        <w:spacing w:after="120" w:line="276" w:lineRule="auto"/>
        <w:jc w:val="both"/>
      </w:pPr>
      <w:r w:rsidRPr="00BB2CD2">
        <w:t xml:space="preserve">S’interroger sur l’œuvre d’art </w:t>
      </w:r>
      <w:r>
        <w:t>« </w:t>
      </w:r>
      <w:r w:rsidRPr="00BB2CD2">
        <w:t>augmentée</w:t>
      </w:r>
      <w:r>
        <w:t> »</w:t>
      </w:r>
      <w:r w:rsidRPr="00BB2CD2">
        <w:t xml:space="preserve">, </w:t>
      </w:r>
      <w:r>
        <w:t xml:space="preserve">c’est-à-dire, pour nous, envisager des filiations et des généalogies de formes, ou, du moins, des interactions entre </w:t>
      </w:r>
      <w:r w:rsidR="00D76E30">
        <w:t>les formes</w:t>
      </w:r>
      <w:r>
        <w:t xml:space="preserve">, </w:t>
      </w:r>
      <w:r w:rsidRPr="00BB2CD2">
        <w:t>c’est, d’emblée, se confronter avec une complexité</w:t>
      </w:r>
      <w:r>
        <w:rPr>
          <w:rStyle w:val="Appelnotedebasdep"/>
        </w:rPr>
        <w:footnoteReference w:id="1"/>
      </w:r>
      <w:r w:rsidRPr="00BB2CD2">
        <w:t>. Celle créée par la multiplication et l’entrecroisement des points de vue et des lignes théoriques</w:t>
      </w:r>
      <w:r>
        <w:t xml:space="preserve"> : notre réflexion se situera, en effet, </w:t>
      </w:r>
      <w:r w:rsidRPr="00BB2CD2">
        <w:t xml:space="preserve">au carrefour de la sémiotique, de l’histoire de l’art et </w:t>
      </w:r>
      <w:r w:rsidR="00BE2569">
        <w:t>des Digital Humanities</w:t>
      </w:r>
      <w:r>
        <w:t xml:space="preserve">. Celle, également, d’un objet d’étude fuyant : quelles en sont les limites ? En particulier, en quoi l’interaction de l’homme et de la machine met-elle en résonance des peintures sur la base de critères formels et iconographiques, en quoi autorise-t-elle des découvertes qui ébranlent les frontières de l’œuvre comme texte clos, mais qui réclament également une vigilance accrue afin que l’aléatoire soit contenu et que les rapprochements entre œuvres d’art soient rendus signifiants ? Globalement, nous chercherons à creuser l’idée, déjà bien attestée dans la littérature, (i) du </w:t>
      </w:r>
      <w:r w:rsidRPr="00506166">
        <w:rPr>
          <w:i/>
        </w:rPr>
        <w:t>devenir-forme</w:t>
      </w:r>
      <w:r>
        <w:t xml:space="preserve"> et (ii) du </w:t>
      </w:r>
      <w:r w:rsidRPr="007A7007">
        <w:rPr>
          <w:i/>
        </w:rPr>
        <w:t>devenir</w:t>
      </w:r>
      <w:r>
        <w:t xml:space="preserve"> des </w:t>
      </w:r>
      <w:r w:rsidRPr="007A7007">
        <w:rPr>
          <w:i/>
        </w:rPr>
        <w:t>formes artistiques</w:t>
      </w:r>
      <w:r>
        <w:rPr>
          <w:i/>
        </w:rPr>
        <w:t xml:space="preserve"> </w:t>
      </w:r>
      <w:r>
        <w:t xml:space="preserve">atteignant un stade de réalisation sous la forme </w:t>
      </w:r>
      <w:r w:rsidR="00007126">
        <w:t>d’œuvres</w:t>
      </w:r>
      <w:r>
        <w:t xml:space="preserve"> d’art </w:t>
      </w:r>
      <w:r w:rsidR="00007126">
        <w:t>dotées d’une épaisseur</w:t>
      </w:r>
      <w:r>
        <w:t xml:space="preserve">. Nous nous inscrirons ainsi dans une certaine tradition tout en traçant de nouvelles perspectives. Enfin, les hypothèses seront mises à l’épreuve d’une étude de cas. </w:t>
      </w:r>
    </w:p>
    <w:p w:rsidR="00BE2569" w:rsidRDefault="002C399C" w:rsidP="002C399C">
      <w:pPr>
        <w:spacing w:after="120" w:line="276" w:lineRule="auto"/>
        <w:jc w:val="both"/>
      </w:pPr>
      <w:r>
        <w:t>Afin de circonscrire u</w:t>
      </w:r>
      <w:r w:rsidRPr="00BB2CD2">
        <w:t xml:space="preserve">n champ de questionnement </w:t>
      </w:r>
      <w:r>
        <w:t>et de cerner les</w:t>
      </w:r>
      <w:r w:rsidRPr="00BB2CD2">
        <w:t xml:space="preserve"> défis</w:t>
      </w:r>
      <w:r>
        <w:t xml:space="preserve"> à relever, entrons, immédiatement, dans le vif du sujet. Concrètement, comment « augmenter »</w:t>
      </w:r>
      <w:r w:rsidR="00BE2569">
        <w:rPr>
          <w:rStyle w:val="Appelnotedebasdep"/>
        </w:rPr>
        <w:footnoteReference w:id="2"/>
      </w:r>
      <w:r>
        <w:t xml:space="preserve"> le tableau intitulé </w:t>
      </w:r>
      <w:r w:rsidRPr="00A57E71">
        <w:rPr>
          <w:i/>
        </w:rPr>
        <w:t>Bacchus, Vénus et Cupidon</w:t>
      </w:r>
      <w:r>
        <w:t>, produit par Rosso Fiorentino ou un membre de son équipe d’exécutants vers 1531-1532 (Léotard-Sommer de 2019), sur invitation de François 1</w:t>
      </w:r>
      <w:r w:rsidRPr="005D5FFC">
        <w:rPr>
          <w:vertAlign w:val="superscript"/>
        </w:rPr>
        <w:t>er</w:t>
      </w:r>
      <w:r w:rsidR="00264110">
        <w:rPr>
          <w:rStyle w:val="Appelnotedebasdep"/>
          <w:color w:val="000000" w:themeColor="text1"/>
        </w:rPr>
        <w:footnoteReference w:id="3"/>
      </w:r>
      <w:r w:rsidR="00F2196C">
        <w:rPr>
          <w:vertAlign w:val="superscript"/>
        </w:rPr>
        <w:t> </w:t>
      </w:r>
      <w:r w:rsidR="00F2196C">
        <w:t>?</w:t>
      </w:r>
      <w:r>
        <w:t xml:space="preserve"> Il a d’abord orné la galerie François I</w:t>
      </w:r>
      <w:r w:rsidRPr="006734BA">
        <w:rPr>
          <w:vertAlign w:val="superscript"/>
        </w:rPr>
        <w:t>er</w:t>
      </w:r>
      <w:r>
        <w:t xml:space="preserve"> du château de Fontainebleau</w:t>
      </w:r>
      <w:r>
        <w:rPr>
          <w:rStyle w:val="Appelnotedebasdep"/>
        </w:rPr>
        <w:footnoteReference w:id="4"/>
      </w:r>
      <w:r>
        <w:t xml:space="preserve">. </w:t>
      </w:r>
    </w:p>
    <w:p w:rsidR="00BE2569" w:rsidRDefault="00BE2569" w:rsidP="002C399C">
      <w:pPr>
        <w:spacing w:after="120" w:line="276" w:lineRule="auto"/>
        <w:jc w:val="both"/>
      </w:pPr>
    </w:p>
    <w:p w:rsidR="00BE2569" w:rsidRDefault="00BE2569" w:rsidP="002C399C">
      <w:pPr>
        <w:spacing w:after="120" w:line="276" w:lineRule="auto"/>
        <w:jc w:val="both"/>
      </w:pPr>
    </w:p>
    <w:p w:rsidR="00BE2569" w:rsidRDefault="00BE2569" w:rsidP="002C399C">
      <w:pPr>
        <w:spacing w:after="120" w:line="276" w:lineRule="auto"/>
        <w:jc w:val="both"/>
      </w:pPr>
    </w:p>
    <w:p w:rsidR="00BE2569" w:rsidRDefault="00BE2569" w:rsidP="002C399C">
      <w:pPr>
        <w:spacing w:after="120" w:line="276" w:lineRule="auto"/>
        <w:jc w:val="both"/>
      </w:pPr>
    </w:p>
    <w:p w:rsidR="00BE2569" w:rsidRDefault="00BE2569" w:rsidP="002C399C">
      <w:pPr>
        <w:spacing w:after="120" w:line="276" w:lineRule="auto"/>
        <w:jc w:val="both"/>
      </w:pPr>
      <w:r>
        <w:t>Figure 1</w:t>
      </w:r>
    </w:p>
    <w:p w:rsidR="00BE2569" w:rsidRDefault="00BE2569" w:rsidP="002C399C">
      <w:pPr>
        <w:spacing w:after="120" w:line="276" w:lineRule="auto"/>
        <w:jc w:val="both"/>
      </w:pPr>
      <w:r w:rsidRPr="00CF5636">
        <w:rPr>
          <w:noProof/>
        </w:rPr>
        <w:drawing>
          <wp:inline distT="0" distB="0" distL="0" distR="0" wp14:anchorId="670CD984" wp14:editId="73017ECF">
            <wp:extent cx="3937000" cy="53721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37000" cy="5372100"/>
                    </a:xfrm>
                    <a:prstGeom prst="rect">
                      <a:avLst/>
                    </a:prstGeom>
                  </pic:spPr>
                </pic:pic>
              </a:graphicData>
            </a:graphic>
          </wp:inline>
        </w:drawing>
      </w:r>
    </w:p>
    <w:p w:rsidR="00BE2569" w:rsidRPr="00BE2569" w:rsidRDefault="00BE2569" w:rsidP="002C399C">
      <w:pPr>
        <w:spacing w:after="120" w:line="276" w:lineRule="auto"/>
        <w:jc w:val="both"/>
        <w:rPr>
          <w:sz w:val="20"/>
          <w:szCs w:val="20"/>
        </w:rPr>
      </w:pPr>
      <w:r w:rsidRPr="006A3C31">
        <w:rPr>
          <w:sz w:val="20"/>
          <w:szCs w:val="20"/>
        </w:rPr>
        <w:t xml:space="preserve">Rosso Fiorentino, </w:t>
      </w:r>
      <w:r w:rsidRPr="006A3C31">
        <w:rPr>
          <w:i/>
          <w:sz w:val="20"/>
          <w:szCs w:val="20"/>
        </w:rPr>
        <w:t>Bacchus, Vénus et Cupidon</w:t>
      </w:r>
      <w:r w:rsidRPr="006A3C31">
        <w:rPr>
          <w:sz w:val="20"/>
          <w:szCs w:val="20"/>
        </w:rPr>
        <w:t>, huile sur toile, 209 x 161</w:t>
      </w:r>
      <w:r>
        <w:rPr>
          <w:sz w:val="20"/>
          <w:szCs w:val="20"/>
        </w:rPr>
        <w:t xml:space="preserve"> </w:t>
      </w:r>
      <w:r w:rsidRPr="006A3C31">
        <w:rPr>
          <w:sz w:val="20"/>
          <w:szCs w:val="20"/>
        </w:rPr>
        <w:t>cm, Luxembourg, Musée national d’Histoire et d’Art</w:t>
      </w:r>
      <w:r>
        <w:rPr>
          <w:sz w:val="20"/>
          <w:szCs w:val="20"/>
        </w:rPr>
        <w:t>, entre 1531 et 1532.</w:t>
      </w:r>
      <w:r w:rsidRPr="006A3C31">
        <w:rPr>
          <w:sz w:val="20"/>
          <w:szCs w:val="20"/>
        </w:rPr>
        <w:t xml:space="preserve"> </w:t>
      </w:r>
    </w:p>
    <w:p w:rsidR="002C399C" w:rsidRDefault="002C399C" w:rsidP="002C399C">
      <w:pPr>
        <w:spacing w:after="120" w:line="276" w:lineRule="auto"/>
        <w:jc w:val="both"/>
      </w:pPr>
      <w:r>
        <w:t>Depuis 1989, il est exposé au Musée National d’Histoire et d’Art à Luxembourg (MNHA)</w:t>
      </w:r>
      <w:r>
        <w:rPr>
          <w:rStyle w:val="Appelnotedebasdep"/>
        </w:rPr>
        <w:footnoteReference w:id="5"/>
      </w:r>
      <w:r>
        <w:t xml:space="preserve">. On conçoit immédiatement la nécessité d’une circulation entre trois « sources » d’« informations » à même d’alimenter une analyse du tableau qui franchisse les limites définitoires du texte clos et clôturé. Soit, d’abord, l’introduction de métadonnées (notamment le nom de l’artiste, le titre, le rattachement à telle époque et à telle école/tel courant artistique, les matériaux utilisés, le support…). Sans surprise, elles projettent une première grille de lisibilité. Cela est bien connu. Ensuite, la restitution du « contexte » de la création et de celui ou ceux de l’exposition permet </w:t>
      </w:r>
      <w:r>
        <w:lastRenderedPageBreak/>
        <w:t>de montrer que l’« identité qualitative »</w:t>
      </w:r>
      <w:r w:rsidR="000F615F" w:rsidRPr="00E07190">
        <w:rPr>
          <w:rStyle w:val="Appelnotedebasdep"/>
        </w:rPr>
        <w:footnoteReference w:id="6"/>
      </w:r>
      <w:r>
        <w:t xml:space="preserve"> du tableau est affectée, notamment, par des relocalisations successives. On peut ainsi conjuguer les dimensions iconographique et iconologique (Panofsky 19</w:t>
      </w:r>
      <w:r w:rsidR="00007126">
        <w:t>39</w:t>
      </w:r>
      <w:r>
        <w:t xml:space="preserve">). Enfin – et ce point paraît plus novateur –, l’œuvre peut être « augmentée » à travers des filiations et des généalogies de formes, la prolifération des connexions insérant le tableau de départ dans un </w:t>
      </w:r>
      <w:r w:rsidRPr="007D123A">
        <w:rPr>
          <w:i/>
        </w:rPr>
        <w:t>réseau</w:t>
      </w:r>
      <w:r>
        <w:t xml:space="preserve"> propre à constituer un « musée complémentaire ». Ceci manuellement ou grâce à la génération assistée par ordinateur (traitement automatique des images). Nous aurons recours, notamment, à l’application SimArt-Datavalor</w:t>
      </w:r>
      <w:r>
        <w:rPr>
          <w:rStyle w:val="Appelnotedebasdep"/>
        </w:rPr>
        <w:footnoteReference w:id="7"/>
      </w:r>
      <w:r w:rsidR="001B7298">
        <w:t>.</w:t>
      </w:r>
    </w:p>
    <w:p w:rsidR="002C399C" w:rsidRDefault="002C399C" w:rsidP="002C399C">
      <w:pPr>
        <w:spacing w:after="120" w:line="276" w:lineRule="auto"/>
        <w:jc w:val="both"/>
      </w:pPr>
      <w:r>
        <w:t xml:space="preserve">Or, ces interventions assistées par la machine ne vont pas de soi. La méthode d’investigation et les présupposés sémiotiques demandent à être précisés sur de nouveaux frais, tant est grand le risque de la dérive et de la perte de pertinence d’excroissances </w:t>
      </w:r>
      <w:r w:rsidR="00BE2569">
        <w:t>qui ne garantissent pas</w:t>
      </w:r>
      <w:r>
        <w:t xml:space="preserve"> la cohérence des interprétations. On voit la nécessité du « calcul assisté par l’interprétation »</w:t>
      </w:r>
      <w:r>
        <w:rPr>
          <w:rStyle w:val="Appelnotedebasdep"/>
        </w:rPr>
        <w:footnoteReference w:id="8"/>
      </w:r>
      <w:r>
        <w:t xml:space="preserve">. En même temps, sous quelles conditions et selon quelles modalités est-il possible, du point de vue sémiotique, de voir dans les engendrements </w:t>
      </w:r>
      <w:r w:rsidR="00BE2569">
        <w:t>« </w:t>
      </w:r>
      <w:r>
        <w:t>spontané</w:t>
      </w:r>
      <w:r w:rsidR="00BE2569">
        <w:t>s » de la machine</w:t>
      </w:r>
      <w:r>
        <w:t xml:space="preserve"> moins un « défaut », un raté, qu’une sollicitation inédite, et l’opportunité d’explorations novatrices, dussent-elles déboucher, dans certains cas, sur des aberrations et sur l’abandon de l’hypothèse à confirmer ? Il s’agira de rendre compte du devenir des formes à travers les entrées en résonance ou en dissonance d’une pluralité d’œuvres ; les relations de proximité et d’éloignement seront considérées comme premières. Ensuite, une ressaisie de simultanéités permettra de focaliser l’attention sur l’</w:t>
      </w:r>
      <w:r w:rsidRPr="00934ADD">
        <w:rPr>
          <w:i/>
        </w:rPr>
        <w:t xml:space="preserve">épaisseur mémorielle </w:t>
      </w:r>
      <w:r>
        <w:t xml:space="preserve">de l’œuvre d’art source/requête. </w:t>
      </w:r>
    </w:p>
    <w:p w:rsidR="002C399C" w:rsidRDefault="002C399C" w:rsidP="002C399C">
      <w:pPr>
        <w:spacing w:after="120" w:line="276" w:lineRule="auto"/>
        <w:jc w:val="both"/>
      </w:pPr>
      <w:r>
        <w:t xml:space="preserve">Il faudra ainsi se doter des moyens d’organiser et de rendre signifiantes les </w:t>
      </w:r>
      <w:r w:rsidRPr="007D123A">
        <w:rPr>
          <w:i/>
        </w:rPr>
        <w:t>traces</w:t>
      </w:r>
      <w:r w:rsidRPr="00A57E71">
        <w:t xml:space="preserve"> </w:t>
      </w:r>
      <w:r>
        <w:t>laissées par la traversée des siècles et les nouvelles topographies. L’urgence sera de préciser la notion d’</w:t>
      </w:r>
      <w:r w:rsidRPr="00165B69">
        <w:rPr>
          <w:i/>
        </w:rPr>
        <w:t>interprétation</w:t>
      </w:r>
      <w:r>
        <w:t>, en convoquant également l’idée de l’exécution musicale.</w:t>
      </w:r>
    </w:p>
    <w:p w:rsidR="002C399C" w:rsidRDefault="002C399C" w:rsidP="002C399C">
      <w:pPr>
        <w:spacing w:after="120" w:line="276" w:lineRule="auto"/>
        <w:jc w:val="both"/>
      </w:pPr>
      <w:r>
        <w:t xml:space="preserve">Après ces considérations préliminaires, précisons les demandes théoriques qui nous sont adressées. On peut retenir quatre points : </w:t>
      </w:r>
    </w:p>
    <w:p w:rsidR="002C399C" w:rsidRPr="00A57E71" w:rsidRDefault="002C399C" w:rsidP="002C399C">
      <w:pPr>
        <w:pStyle w:val="Paragraphedeliste"/>
        <w:numPr>
          <w:ilvl w:val="0"/>
          <w:numId w:val="1"/>
        </w:numPr>
        <w:spacing w:after="120" w:line="276" w:lineRule="auto"/>
        <w:jc w:val="both"/>
        <w:rPr>
          <w:rFonts w:ascii="Times New Roman" w:hAnsi="Times New Roman" w:cs="Times New Roman"/>
        </w:rPr>
      </w:pPr>
      <w:r w:rsidRPr="00A57E71">
        <w:rPr>
          <w:rFonts w:ascii="Times New Roman" w:hAnsi="Times New Roman" w:cs="Times New Roman"/>
        </w:rPr>
        <w:t xml:space="preserve">En quoi les </w:t>
      </w:r>
      <w:r w:rsidRPr="00A57E71">
        <w:rPr>
          <w:rFonts w:ascii="Times New Roman" w:hAnsi="Times New Roman" w:cs="Times New Roman"/>
          <w:color w:val="1B1B1B"/>
        </w:rPr>
        <w:t xml:space="preserve">technologies numériques et les médias interactifs nous obligent-ils à définir l’œuvre d’art moins comme un tout de sens clôturé, et donc stabilisé, qui appelle une analyse avant tout immanente, que comme </w:t>
      </w:r>
      <w:r w:rsidR="000F615F">
        <w:rPr>
          <w:rFonts w:ascii="Times New Roman" w:hAnsi="Times New Roman" w:cs="Times New Roman"/>
          <w:color w:val="1B1B1B"/>
        </w:rPr>
        <w:t xml:space="preserve">prise dans </w:t>
      </w:r>
      <w:r w:rsidRPr="00A57E71">
        <w:rPr>
          <w:rFonts w:ascii="Times New Roman" w:hAnsi="Times New Roman" w:cs="Times New Roman"/>
          <w:color w:val="1B1B1B"/>
        </w:rPr>
        <w:t xml:space="preserve">un </w:t>
      </w:r>
      <w:r w:rsidRPr="00A57E71">
        <w:rPr>
          <w:rFonts w:ascii="Times New Roman" w:hAnsi="Times New Roman" w:cs="Times New Roman"/>
          <w:i/>
          <w:color w:val="1B1B1B"/>
        </w:rPr>
        <w:t>processus</w:t>
      </w:r>
      <w:r>
        <w:rPr>
          <w:rFonts w:ascii="Times New Roman" w:hAnsi="Times New Roman" w:cs="Times New Roman"/>
          <w:i/>
          <w:color w:val="1B1B1B"/>
        </w:rPr>
        <w:t xml:space="preserve"> </w:t>
      </w:r>
      <w:r>
        <w:rPr>
          <w:rFonts w:ascii="Times New Roman" w:hAnsi="Times New Roman" w:cs="Times New Roman"/>
          <w:color w:val="1B1B1B"/>
        </w:rPr>
        <w:t>régissant le devenir des formes</w:t>
      </w:r>
      <w:r w:rsidRPr="00A57E71">
        <w:rPr>
          <w:rFonts w:ascii="Times New Roman" w:hAnsi="Times New Roman" w:cs="Times New Roman"/>
          <w:color w:val="1B1B1B"/>
        </w:rPr>
        <w:t xml:space="preserve"> ? </w:t>
      </w:r>
      <w:r>
        <w:rPr>
          <w:rFonts w:ascii="Times New Roman" w:hAnsi="Times New Roman" w:cs="Times New Roman"/>
          <w:color w:val="1B1B1B"/>
        </w:rPr>
        <w:t xml:space="preserve">Celui-ci </w:t>
      </w:r>
      <w:r w:rsidRPr="00A57E71">
        <w:rPr>
          <w:rFonts w:ascii="Times New Roman" w:hAnsi="Times New Roman" w:cs="Times New Roman"/>
          <w:color w:val="1B1B1B"/>
        </w:rPr>
        <w:t xml:space="preserve">est-il guidé par l’artiste ou le spectateur </w:t>
      </w:r>
      <w:r w:rsidRPr="00A57E71">
        <w:rPr>
          <w:rFonts w:ascii="Times New Roman" w:hAnsi="Times New Roman" w:cs="Times New Roman"/>
          <w:color w:val="1B1B1B"/>
        </w:rPr>
        <w:lastRenderedPageBreak/>
        <w:t>interagissant avec la machine, ou ces derniers se trouvent-ils délestés, partiellement, de leur charge agentive</w:t>
      </w:r>
      <w:r>
        <w:rPr>
          <w:rFonts w:ascii="Times New Roman" w:hAnsi="Times New Roman" w:cs="Times New Roman"/>
          <w:color w:val="1B1B1B"/>
        </w:rPr>
        <w:t> ?</w:t>
      </w:r>
      <w:r w:rsidRPr="00A57E71">
        <w:rPr>
          <w:rFonts w:ascii="Times New Roman" w:hAnsi="Times New Roman" w:cs="Times New Roman"/>
          <w:color w:val="1B1B1B"/>
        </w:rPr>
        <w:t xml:space="preserve"> </w:t>
      </w:r>
      <w:r>
        <w:rPr>
          <w:rFonts w:ascii="Times New Roman" w:hAnsi="Times New Roman" w:cs="Times New Roman"/>
          <w:color w:val="1B1B1B"/>
        </w:rPr>
        <w:t>Enfin, en quoi cette génération (semi)automatique constitue-t-elle moins une fin que le point de départ d’une « enquête indiciaire »</w:t>
      </w:r>
      <w:r>
        <w:rPr>
          <w:rStyle w:val="Appelnotedebasdep"/>
          <w:rFonts w:ascii="Times New Roman" w:hAnsi="Times New Roman" w:cs="Times New Roman"/>
          <w:color w:val="1B1B1B"/>
        </w:rPr>
        <w:footnoteReference w:id="9"/>
      </w:r>
      <w:r>
        <w:rPr>
          <w:rFonts w:ascii="Times New Roman" w:hAnsi="Times New Roman" w:cs="Times New Roman"/>
          <w:color w:val="1B1B1B"/>
        </w:rPr>
        <w:t xml:space="preserve"> visant une légitimation ultime ? </w:t>
      </w:r>
    </w:p>
    <w:p w:rsidR="002C399C" w:rsidRPr="00D574E3" w:rsidRDefault="002C399C" w:rsidP="002C399C">
      <w:pPr>
        <w:pStyle w:val="Paragraphedeliste"/>
        <w:numPr>
          <w:ilvl w:val="0"/>
          <w:numId w:val="1"/>
        </w:numPr>
        <w:spacing w:after="120" w:line="276" w:lineRule="auto"/>
        <w:jc w:val="both"/>
        <w:rPr>
          <w:rFonts w:ascii="Times New Roman" w:hAnsi="Times New Roman" w:cs="Times New Roman"/>
        </w:rPr>
      </w:pPr>
      <w:r>
        <w:rPr>
          <w:rFonts w:ascii="Times New Roman" w:hAnsi="Times New Roman" w:cs="Times New Roman"/>
          <w:color w:val="1B1B1B"/>
        </w:rPr>
        <w:t>En quoi la notion d’</w:t>
      </w:r>
      <w:r w:rsidRPr="001A228F">
        <w:rPr>
          <w:rFonts w:ascii="Times New Roman" w:hAnsi="Times New Roman" w:cs="Times New Roman"/>
          <w:i/>
          <w:color w:val="1B1B1B"/>
        </w:rPr>
        <w:t>organicité</w:t>
      </w:r>
      <w:r w:rsidRPr="001A228F">
        <w:rPr>
          <w:rFonts w:ascii="Times New Roman" w:hAnsi="Times New Roman" w:cs="Times New Roman"/>
          <w:color w:val="1B1B1B"/>
        </w:rPr>
        <w:t xml:space="preserve"> fait-elle avancer les débats ? Les enjeux sont considérables : concevoir </w:t>
      </w:r>
      <w:r>
        <w:rPr>
          <w:rFonts w:ascii="Times New Roman" w:hAnsi="Times New Roman" w:cs="Times New Roman"/>
          <w:color w:val="1B1B1B"/>
        </w:rPr>
        <w:t>la forme en devenir</w:t>
      </w:r>
      <w:r w:rsidRPr="001A228F">
        <w:rPr>
          <w:rFonts w:ascii="Times New Roman" w:hAnsi="Times New Roman" w:cs="Times New Roman"/>
          <w:color w:val="1B1B1B"/>
        </w:rPr>
        <w:t xml:space="preserve">, est-ce envisager une </w:t>
      </w:r>
      <w:r>
        <w:rPr>
          <w:rFonts w:ascii="Times New Roman" w:hAnsi="Times New Roman" w:cs="Times New Roman"/>
          <w:color w:val="1B1B1B"/>
        </w:rPr>
        <w:t>génération</w:t>
      </w:r>
      <w:r w:rsidRPr="001A228F">
        <w:rPr>
          <w:rFonts w:ascii="Times New Roman" w:hAnsi="Times New Roman" w:cs="Times New Roman"/>
          <w:color w:val="1B1B1B"/>
        </w:rPr>
        <w:t xml:space="preserve"> vectorisée, orientée vers un but éventuellement compatible avec la notion de progrès, ou cette </w:t>
      </w:r>
      <w:r>
        <w:rPr>
          <w:rFonts w:ascii="Times New Roman" w:hAnsi="Times New Roman" w:cs="Times New Roman"/>
          <w:color w:val="1B1B1B"/>
        </w:rPr>
        <w:t>génération</w:t>
      </w:r>
      <w:r w:rsidRPr="001A228F">
        <w:rPr>
          <w:rFonts w:ascii="Times New Roman" w:hAnsi="Times New Roman" w:cs="Times New Roman"/>
          <w:color w:val="1B1B1B"/>
        </w:rPr>
        <w:t xml:space="preserve"> est-elle spontanée, c’est-à-dire soumise à des aléas</w:t>
      </w:r>
      <w:r w:rsidR="000F615F">
        <w:rPr>
          <w:rStyle w:val="Appelnotedebasdep"/>
        </w:rPr>
        <w:footnoteReference w:id="10"/>
      </w:r>
      <w:r w:rsidRPr="001A228F">
        <w:rPr>
          <w:rFonts w:ascii="Times New Roman" w:hAnsi="Times New Roman" w:cs="Times New Roman"/>
          <w:color w:val="1B1B1B"/>
        </w:rPr>
        <w:t> ?</w:t>
      </w:r>
      <w:r>
        <w:rPr>
          <w:rFonts w:ascii="Times New Roman" w:hAnsi="Times New Roman" w:cs="Times New Roman"/>
          <w:color w:val="1B1B1B"/>
        </w:rPr>
        <w:t xml:space="preserve"> Selon quelles rythmiques ? S</w:t>
      </w:r>
      <w:r w:rsidRPr="001A228F">
        <w:rPr>
          <w:rFonts w:ascii="Times New Roman" w:hAnsi="Times New Roman" w:cs="Times New Roman"/>
          <w:color w:val="1B1B1B"/>
        </w:rPr>
        <w:t>’agit-il, dans ces deux cas, d’un développement dont le moteur est interne à l’œuvre, certaines des potentialités inhérentes se trouvant conduites, de proche en proche, au stade de la réalisation ? Comme si une œuvre anticipait d’autres œuvres susceptibles de l</w:t>
      </w:r>
      <w:proofErr w:type="gramStart"/>
      <w:r w:rsidRPr="001A228F">
        <w:rPr>
          <w:rFonts w:ascii="Times New Roman" w:hAnsi="Times New Roman" w:cs="Times New Roman"/>
          <w:color w:val="1B1B1B"/>
        </w:rPr>
        <w:t>’«</w:t>
      </w:r>
      <w:proofErr w:type="gramEnd"/>
      <w:r w:rsidRPr="001A228F">
        <w:rPr>
          <w:rFonts w:ascii="Times New Roman" w:hAnsi="Times New Roman" w:cs="Times New Roman"/>
          <w:color w:val="1B1B1B"/>
        </w:rPr>
        <w:t xml:space="preserve"> accomplir » ou de la faire </w:t>
      </w:r>
      <w:r>
        <w:rPr>
          <w:rFonts w:ascii="Times New Roman" w:hAnsi="Times New Roman" w:cs="Times New Roman"/>
          <w:color w:val="1B1B1B"/>
        </w:rPr>
        <w:t>« </w:t>
      </w:r>
      <w:r w:rsidRPr="001A228F">
        <w:rPr>
          <w:rFonts w:ascii="Times New Roman" w:hAnsi="Times New Roman" w:cs="Times New Roman"/>
          <w:color w:val="1B1B1B"/>
        </w:rPr>
        <w:t>su</w:t>
      </w:r>
      <w:r>
        <w:rPr>
          <w:rFonts w:ascii="Times New Roman" w:hAnsi="Times New Roman" w:cs="Times New Roman"/>
          <w:color w:val="1B1B1B"/>
        </w:rPr>
        <w:t>r</w:t>
      </w:r>
      <w:r w:rsidRPr="001A228F">
        <w:rPr>
          <w:rFonts w:ascii="Times New Roman" w:hAnsi="Times New Roman" w:cs="Times New Roman"/>
          <w:color w:val="1B1B1B"/>
        </w:rPr>
        <w:t>vivre</w:t>
      </w:r>
      <w:r>
        <w:rPr>
          <w:rFonts w:ascii="Times New Roman" w:hAnsi="Times New Roman" w:cs="Times New Roman"/>
          <w:color w:val="1B1B1B"/>
        </w:rPr>
        <w:t> »</w:t>
      </w:r>
      <w:r w:rsidR="000F615F">
        <w:rPr>
          <w:rFonts w:ascii="Times New Roman" w:hAnsi="Times New Roman" w:cs="Times New Roman"/>
          <w:color w:val="1B1B1B"/>
        </w:rPr>
        <w:t>,</w:t>
      </w:r>
      <w:r w:rsidRPr="001A228F">
        <w:rPr>
          <w:rFonts w:ascii="Times New Roman" w:hAnsi="Times New Roman" w:cs="Times New Roman"/>
          <w:color w:val="1B1B1B"/>
        </w:rPr>
        <w:t xml:space="preserve"> chaque œuvre </w:t>
      </w:r>
      <w:r w:rsidRPr="001A228F">
        <w:rPr>
          <w:rFonts w:ascii="Times New Roman" w:hAnsi="Times New Roman" w:cs="Times New Roman"/>
          <w:i/>
          <w:color w:val="1B1B1B"/>
        </w:rPr>
        <w:t>profilant</w:t>
      </w:r>
      <w:r w:rsidRPr="001A228F">
        <w:rPr>
          <w:rFonts w:ascii="Times New Roman" w:hAnsi="Times New Roman" w:cs="Times New Roman"/>
          <w:color w:val="1B1B1B"/>
        </w:rPr>
        <w:t xml:space="preserve"> des œuvres ultérieures qui en gardent la mémoire et la réénoncent ? Mais aussi, quelle est la part prise par </w:t>
      </w:r>
      <w:r>
        <w:rPr>
          <w:rFonts w:ascii="Times New Roman" w:hAnsi="Times New Roman" w:cs="Times New Roman"/>
          <w:color w:val="1B1B1B"/>
        </w:rPr>
        <w:t xml:space="preserve">le sujet d’énonciation, en production et en réception, ainsi que par </w:t>
      </w:r>
      <w:r w:rsidRPr="001A228F">
        <w:rPr>
          <w:rFonts w:ascii="Times New Roman" w:hAnsi="Times New Roman" w:cs="Times New Roman"/>
          <w:color w:val="1B1B1B"/>
        </w:rPr>
        <w:t xml:space="preserve">le « contexte », qui exerce des pressions externes ? </w:t>
      </w:r>
    </w:p>
    <w:p w:rsidR="002C399C" w:rsidRPr="00DC2D6A" w:rsidRDefault="002C399C" w:rsidP="002C399C">
      <w:pPr>
        <w:pStyle w:val="Paragraphedeliste"/>
        <w:numPr>
          <w:ilvl w:val="0"/>
          <w:numId w:val="1"/>
        </w:numPr>
        <w:spacing w:after="120" w:line="276" w:lineRule="auto"/>
        <w:jc w:val="both"/>
        <w:rPr>
          <w:rFonts w:ascii="Times New Roman" w:hAnsi="Times New Roman" w:cs="Times New Roman"/>
        </w:rPr>
      </w:pPr>
      <w:r>
        <w:rPr>
          <w:rFonts w:ascii="Times New Roman" w:hAnsi="Times New Roman" w:cs="Times New Roman"/>
          <w:color w:val="1B1B1B"/>
        </w:rPr>
        <w:t xml:space="preserve">En ce qui concerne l’œuvre comme texte ou, mieux, comme composition, en quoi est-il judicieux de remonter vers le déploiement </w:t>
      </w:r>
      <w:r w:rsidR="00C526F3">
        <w:rPr>
          <w:rFonts w:ascii="Times New Roman" w:hAnsi="Times New Roman" w:cs="Times New Roman"/>
          <w:color w:val="1B1B1B"/>
        </w:rPr>
        <w:t xml:space="preserve">d’une </w:t>
      </w:r>
      <w:r w:rsidR="00C526F3" w:rsidRPr="00C526F3">
        <w:rPr>
          <w:rFonts w:ascii="Times New Roman" w:hAnsi="Times New Roman" w:cs="Times New Roman"/>
          <w:i/>
          <w:color w:val="1B1B1B"/>
        </w:rPr>
        <w:t>force</w:t>
      </w:r>
      <w:r w:rsidR="00C526F3">
        <w:rPr>
          <w:rFonts w:ascii="Times New Roman" w:hAnsi="Times New Roman" w:cs="Times New Roman"/>
          <w:color w:val="1B1B1B"/>
        </w:rPr>
        <w:t xml:space="preserve"> (Dekoninck &amp; Guiderdoni (dirs) 2017) ou de forces </w:t>
      </w:r>
      <w:r>
        <w:rPr>
          <w:rFonts w:ascii="Times New Roman" w:hAnsi="Times New Roman" w:cs="Times New Roman"/>
          <w:color w:val="1B1B1B"/>
        </w:rPr>
        <w:t>convergentes ou divergentes au sein de morphologies (Bordron 2019</w:t>
      </w:r>
      <w:r w:rsidR="00C526F3">
        <w:rPr>
          <w:rFonts w:ascii="Times New Roman" w:hAnsi="Times New Roman" w:cs="Times New Roman"/>
          <w:color w:val="1B1B1B"/>
        </w:rPr>
        <w:t xml:space="preserve"> ; </w:t>
      </w:r>
      <w:r>
        <w:rPr>
          <w:rFonts w:ascii="Times New Roman" w:hAnsi="Times New Roman" w:cs="Times New Roman"/>
          <w:color w:val="1B1B1B"/>
        </w:rPr>
        <w:t>Dondero</w:t>
      </w:r>
      <w:r w:rsidR="00C526F3">
        <w:rPr>
          <w:rFonts w:ascii="Times New Roman" w:hAnsi="Times New Roman" w:cs="Times New Roman"/>
          <w:color w:val="1B1B1B"/>
        </w:rPr>
        <w:t>, 2020,</w:t>
      </w:r>
      <w:r w:rsidR="001B7298">
        <w:rPr>
          <w:rFonts w:ascii="Times New Roman" w:hAnsi="Times New Roman" w:cs="Times New Roman"/>
          <w:color w:val="1B1B1B"/>
        </w:rPr>
        <w:t xml:space="preserve"> </w:t>
      </w:r>
      <w:r>
        <w:rPr>
          <w:rFonts w:ascii="Times New Roman" w:hAnsi="Times New Roman" w:cs="Times New Roman"/>
          <w:color w:val="1B1B1B"/>
        </w:rPr>
        <w:t xml:space="preserve">2022), en deçà même des formes symboliques et de leurs saillances morphosyntaxiques ? </w:t>
      </w:r>
    </w:p>
    <w:p w:rsidR="002C399C" w:rsidRDefault="002C399C" w:rsidP="002C399C">
      <w:pPr>
        <w:pStyle w:val="Paragraphedeliste"/>
        <w:numPr>
          <w:ilvl w:val="0"/>
          <w:numId w:val="1"/>
        </w:numPr>
        <w:spacing w:after="120" w:line="276" w:lineRule="auto"/>
        <w:jc w:val="both"/>
        <w:rPr>
          <w:rFonts w:ascii="Times New Roman" w:hAnsi="Times New Roman" w:cs="Times New Roman"/>
        </w:rPr>
      </w:pPr>
      <w:r w:rsidRPr="00DC2D6A">
        <w:rPr>
          <w:rFonts w:ascii="Times New Roman" w:hAnsi="Times New Roman" w:cs="Times New Roman"/>
        </w:rPr>
        <w:t xml:space="preserve">Dans la foulée, comment rendre compte </w:t>
      </w:r>
      <w:r>
        <w:rPr>
          <w:rFonts w:ascii="Times New Roman" w:hAnsi="Times New Roman" w:cs="Times New Roman"/>
        </w:rPr>
        <w:t>de l</w:t>
      </w:r>
      <w:proofErr w:type="gramStart"/>
      <w:r>
        <w:rPr>
          <w:rFonts w:ascii="Times New Roman" w:hAnsi="Times New Roman" w:cs="Times New Roman"/>
        </w:rPr>
        <w:t>’«</w:t>
      </w:r>
      <w:proofErr w:type="gramEnd"/>
      <w:r>
        <w:rPr>
          <w:rFonts w:ascii="Times New Roman" w:hAnsi="Times New Roman" w:cs="Times New Roman"/>
        </w:rPr>
        <w:t> augmentation » de</w:t>
      </w:r>
      <w:r w:rsidRPr="00DC2D6A">
        <w:rPr>
          <w:rFonts w:ascii="Times New Roman" w:hAnsi="Times New Roman" w:cs="Times New Roman"/>
        </w:rPr>
        <w:t xml:space="preserve"> l’œuvre d’art</w:t>
      </w:r>
      <w:r>
        <w:rPr>
          <w:rFonts w:ascii="Times New Roman" w:hAnsi="Times New Roman" w:cs="Times New Roman"/>
        </w:rPr>
        <w:t>,</w:t>
      </w:r>
      <w:r w:rsidRPr="00DC2D6A">
        <w:rPr>
          <w:rFonts w:ascii="Times New Roman" w:hAnsi="Times New Roman" w:cs="Times New Roman"/>
        </w:rPr>
        <w:t xml:space="preserve"> </w:t>
      </w:r>
      <w:r>
        <w:rPr>
          <w:rFonts w:ascii="Times New Roman" w:hAnsi="Times New Roman" w:cs="Times New Roman"/>
        </w:rPr>
        <w:t xml:space="preserve">approchée </w:t>
      </w:r>
      <w:r w:rsidRPr="00DC2D6A">
        <w:rPr>
          <w:rFonts w:ascii="Times New Roman" w:hAnsi="Times New Roman" w:cs="Times New Roman"/>
        </w:rPr>
        <w:t>dans sa singularité</w:t>
      </w:r>
      <w:r>
        <w:rPr>
          <w:rFonts w:ascii="Times New Roman" w:hAnsi="Times New Roman" w:cs="Times New Roman"/>
        </w:rPr>
        <w:t>,</w:t>
      </w:r>
      <w:r w:rsidRPr="00DC2D6A">
        <w:rPr>
          <w:rFonts w:ascii="Times New Roman" w:hAnsi="Times New Roman" w:cs="Times New Roman"/>
        </w:rPr>
        <w:t xml:space="preserve"> à travers </w:t>
      </w:r>
      <w:r>
        <w:rPr>
          <w:rFonts w:ascii="Times New Roman" w:hAnsi="Times New Roman" w:cs="Times New Roman"/>
        </w:rPr>
        <w:t>un corpus</w:t>
      </w:r>
      <w:r w:rsidRPr="00DC2D6A">
        <w:rPr>
          <w:rFonts w:ascii="Times New Roman" w:hAnsi="Times New Roman" w:cs="Times New Roman"/>
        </w:rPr>
        <w:t xml:space="preserve"> d’images ? Si notre objectif est d’appréhender le </w:t>
      </w:r>
      <w:r w:rsidRPr="00DC2D6A">
        <w:rPr>
          <w:rFonts w:ascii="Times New Roman" w:hAnsi="Times New Roman" w:cs="Times New Roman"/>
          <w:i/>
        </w:rPr>
        <w:t xml:space="preserve">devenir des motifs iconographiques et des </w:t>
      </w:r>
      <w:r>
        <w:rPr>
          <w:rFonts w:ascii="Times New Roman" w:hAnsi="Times New Roman" w:cs="Times New Roman"/>
          <w:i/>
        </w:rPr>
        <w:t>aspects formels,</w:t>
      </w:r>
      <w:r w:rsidRPr="00DC2D6A">
        <w:rPr>
          <w:rFonts w:ascii="Times New Roman" w:hAnsi="Times New Roman" w:cs="Times New Roman"/>
        </w:rPr>
        <w:t xml:space="preserve"> c’est-à-dire des formants à la fois figuratifs et plastiques</w:t>
      </w:r>
      <w:r>
        <w:rPr>
          <w:rFonts w:ascii="Times New Roman" w:hAnsi="Times New Roman" w:cs="Times New Roman"/>
        </w:rPr>
        <w:t xml:space="preserve"> (Greimas 1984)</w:t>
      </w:r>
      <w:r w:rsidRPr="00DC2D6A">
        <w:rPr>
          <w:rFonts w:ascii="Times New Roman" w:hAnsi="Times New Roman" w:cs="Times New Roman"/>
        </w:rPr>
        <w:t xml:space="preserve">, comment en retracer la mouvance à travers la génération de vastes </w:t>
      </w:r>
      <w:r w:rsidRPr="00DC2D6A">
        <w:rPr>
          <w:rFonts w:ascii="Times New Roman" w:hAnsi="Times New Roman" w:cs="Times New Roman"/>
          <w:i/>
        </w:rPr>
        <w:t xml:space="preserve">collections d’images </w:t>
      </w:r>
      <w:r w:rsidRPr="00DC2D6A">
        <w:rPr>
          <w:rFonts w:ascii="Times New Roman" w:hAnsi="Times New Roman" w:cs="Times New Roman"/>
        </w:rPr>
        <w:t xml:space="preserve">numérisées, qui peuvent alimenter </w:t>
      </w:r>
      <w:r>
        <w:rPr>
          <w:rFonts w:ascii="Times New Roman" w:hAnsi="Times New Roman" w:cs="Times New Roman"/>
        </w:rPr>
        <w:t>le</w:t>
      </w:r>
      <w:r w:rsidRPr="00DC2D6A">
        <w:rPr>
          <w:rFonts w:ascii="Times New Roman" w:hAnsi="Times New Roman" w:cs="Times New Roman"/>
        </w:rPr>
        <w:t xml:space="preserve"> musée </w:t>
      </w:r>
      <w:r>
        <w:rPr>
          <w:rFonts w:ascii="Times New Roman" w:hAnsi="Times New Roman" w:cs="Times New Roman"/>
        </w:rPr>
        <w:t>« </w:t>
      </w:r>
      <w:r w:rsidRPr="00DC2D6A">
        <w:rPr>
          <w:rFonts w:ascii="Times New Roman" w:hAnsi="Times New Roman" w:cs="Times New Roman"/>
        </w:rPr>
        <w:t>complémentaire »</w:t>
      </w:r>
      <w:r>
        <w:rPr>
          <w:rFonts w:ascii="Times New Roman" w:hAnsi="Times New Roman" w:cs="Times New Roman"/>
        </w:rPr>
        <w:t xml:space="preserve"> que nous avons en vue</w:t>
      </w:r>
      <w:r w:rsidRPr="00DC2D6A">
        <w:rPr>
          <w:rFonts w:ascii="Times New Roman" w:hAnsi="Times New Roman" w:cs="Times New Roman"/>
        </w:rPr>
        <w:t xml:space="preserve"> ? Quels sont les outils théoriques </w:t>
      </w:r>
      <w:r>
        <w:rPr>
          <w:rFonts w:ascii="Times New Roman" w:hAnsi="Times New Roman" w:cs="Times New Roman"/>
        </w:rPr>
        <w:t>permettant non seulement de</w:t>
      </w:r>
      <w:r w:rsidRPr="00DC2D6A">
        <w:rPr>
          <w:rFonts w:ascii="Times New Roman" w:hAnsi="Times New Roman" w:cs="Times New Roman"/>
        </w:rPr>
        <w:t xml:space="preserve"> </w:t>
      </w:r>
      <w:r>
        <w:rPr>
          <w:rFonts w:ascii="Times New Roman" w:hAnsi="Times New Roman" w:cs="Times New Roman"/>
        </w:rPr>
        <w:t>susciter</w:t>
      </w:r>
      <w:r w:rsidRPr="00DC2D6A">
        <w:rPr>
          <w:rFonts w:ascii="Times New Roman" w:hAnsi="Times New Roman" w:cs="Times New Roman"/>
        </w:rPr>
        <w:t xml:space="preserve"> des </w:t>
      </w:r>
      <w:r>
        <w:rPr>
          <w:rFonts w:ascii="Times New Roman" w:hAnsi="Times New Roman" w:cs="Times New Roman"/>
          <w:i/>
        </w:rPr>
        <w:t xml:space="preserve">analogies </w:t>
      </w:r>
      <w:r>
        <w:rPr>
          <w:rFonts w:ascii="Times New Roman" w:hAnsi="Times New Roman" w:cs="Times New Roman"/>
        </w:rPr>
        <w:t xml:space="preserve">entre images ou des </w:t>
      </w:r>
      <w:r w:rsidRPr="003B2428">
        <w:rPr>
          <w:rFonts w:ascii="Times New Roman" w:hAnsi="Times New Roman" w:cs="Times New Roman"/>
          <w:i/>
        </w:rPr>
        <w:t>homologies,</w:t>
      </w:r>
      <w:r>
        <w:rPr>
          <w:rFonts w:ascii="Times New Roman" w:hAnsi="Times New Roman" w:cs="Times New Roman"/>
        </w:rPr>
        <w:t xml:space="preserve"> mais encore d’</w:t>
      </w:r>
      <w:r w:rsidRPr="00DC2D6A">
        <w:rPr>
          <w:rFonts w:ascii="Times New Roman" w:hAnsi="Times New Roman" w:cs="Times New Roman"/>
        </w:rPr>
        <w:t>évaluer la pertinence des rapprochements opérés par la machine (</w:t>
      </w:r>
      <w:r>
        <w:rPr>
          <w:rFonts w:ascii="Times New Roman" w:hAnsi="Times New Roman" w:cs="Times New Roman"/>
        </w:rPr>
        <w:t xml:space="preserve">observation et </w:t>
      </w:r>
      <w:r w:rsidRPr="00DC2D6A">
        <w:rPr>
          <w:rFonts w:ascii="Times New Roman" w:hAnsi="Times New Roman" w:cs="Times New Roman"/>
        </w:rPr>
        <w:t xml:space="preserve">interprétation) ? </w:t>
      </w:r>
    </w:p>
    <w:p w:rsidR="002C399C" w:rsidRDefault="002C399C" w:rsidP="002C399C">
      <w:pPr>
        <w:spacing w:after="120" w:line="276" w:lineRule="auto"/>
        <w:jc w:val="both"/>
      </w:pPr>
      <w:r w:rsidRPr="00DC2D6A">
        <w:t xml:space="preserve">Ces questions ne sont pas nouvelles. Elles n’en appellent pas moins des réponses </w:t>
      </w:r>
      <w:r>
        <w:t xml:space="preserve">qui se voudront parfois </w:t>
      </w:r>
      <w:r w:rsidRPr="00DC2D6A">
        <w:t xml:space="preserve">plus </w:t>
      </w:r>
      <w:r>
        <w:t>exploratoires</w:t>
      </w:r>
      <w:r w:rsidRPr="00DC2D6A">
        <w:t xml:space="preserve">, un certain nombre de points restant en suspens. </w:t>
      </w:r>
    </w:p>
    <w:p w:rsidR="002C399C" w:rsidRDefault="002C399C" w:rsidP="002C399C">
      <w:pPr>
        <w:spacing w:after="120" w:line="276" w:lineRule="auto"/>
        <w:jc w:val="both"/>
      </w:pPr>
      <w:r>
        <w:t>D’abord, i</w:t>
      </w:r>
      <w:r w:rsidRPr="00DC2D6A">
        <w:t>l s’agira</w:t>
      </w:r>
      <w:r>
        <w:t xml:space="preserve"> de réexaminer la notion de forme et sa constitution, sur le fond à la fois d’un formalisme repensé (Gal 2015, 2022, </w:t>
      </w:r>
      <w:r w:rsidRPr="001D608E">
        <w:rPr>
          <w:i/>
        </w:rPr>
        <w:t xml:space="preserve">Deep </w:t>
      </w:r>
      <w:r>
        <w:rPr>
          <w:i/>
        </w:rPr>
        <w:t>F</w:t>
      </w:r>
      <w:r w:rsidRPr="001D608E">
        <w:rPr>
          <w:i/>
        </w:rPr>
        <w:t>ormalism</w:t>
      </w:r>
      <w:r>
        <w:t>), de l’attribution aux formes d’une charge symbolique (Cassirer 1922, 1923-1929) et d’un « constructivisme génétique</w:t>
      </w:r>
      <w:r w:rsidR="00FC4927">
        <w:t> </w:t>
      </w:r>
      <w:r>
        <w:t xml:space="preserve">» inspiré, en partie, par la théorie de la </w:t>
      </w:r>
      <w:r w:rsidRPr="00803733">
        <w:rPr>
          <w:i/>
        </w:rPr>
        <w:t>Gestalt</w:t>
      </w:r>
      <w:r>
        <w:t xml:space="preserve"> (Visetti 2003). Ces aspects feront l’objet de la première partie. </w:t>
      </w:r>
    </w:p>
    <w:p w:rsidR="002C399C" w:rsidRDefault="002C399C" w:rsidP="002C399C">
      <w:pPr>
        <w:spacing w:after="120" w:line="276" w:lineRule="auto"/>
        <w:jc w:val="both"/>
      </w:pPr>
      <w:r>
        <w:t xml:space="preserve">Ensuite, dans la deuxième partie, l’accent sera mis sur le devenir des formes. Plus exactement : sur les conditions de possibilité et les modalités de la constitution de généalogies. L’attention </w:t>
      </w:r>
      <w:r>
        <w:lastRenderedPageBreak/>
        <w:t>se portera sur la nature du temps (Focillon 1943), sur un devenir « tourbillonnaire » (Benjamin 1928) et sur le principe de la variabilité intrinsèque</w:t>
      </w:r>
      <w:r>
        <w:rPr>
          <w:rStyle w:val="Appelnotedebasdep"/>
        </w:rPr>
        <w:footnoteReference w:id="11"/>
      </w:r>
      <w:r>
        <w:t xml:space="preserve">. Nous nous demanderons, plus spécifiquement, en quoi le </w:t>
      </w:r>
      <w:r w:rsidRPr="00EB7868">
        <w:rPr>
          <w:i/>
        </w:rPr>
        <w:t>mouvement</w:t>
      </w:r>
      <w:r>
        <w:t xml:space="preserve"> de l’image peut trouver son origine dans la juxtaposition des images dans des plages ou planches (Warburg 1924-1929).  </w:t>
      </w:r>
    </w:p>
    <w:p w:rsidR="002C399C" w:rsidRDefault="002C399C" w:rsidP="002C399C">
      <w:pPr>
        <w:spacing w:after="120" w:line="276" w:lineRule="auto"/>
        <w:jc w:val="both"/>
      </w:pPr>
      <w:r>
        <w:t xml:space="preserve">Adoptant, ensuite, un point de vue plus étroitement sémiotique, nous nous demanderons, dans la troisième partie, en quoi la notion de </w:t>
      </w:r>
      <w:r w:rsidRPr="004C25EE">
        <w:rPr>
          <w:i/>
        </w:rPr>
        <w:t>configuration</w:t>
      </w:r>
      <w:r>
        <w:t xml:space="preserve"> visuelle mouvante (morphologie et forme), étayée par l’entrejeu de formants plastiques et figuratifs (Greimas 1984), dirige notre attention sur les différents </w:t>
      </w:r>
      <w:r w:rsidRPr="00126AEB">
        <w:rPr>
          <w:i/>
        </w:rPr>
        <w:t>moments</w:t>
      </w:r>
      <w:r>
        <w:t xml:space="preserve"> (i) de la </w:t>
      </w:r>
      <w:r w:rsidRPr="007D123A">
        <w:rPr>
          <w:i/>
        </w:rPr>
        <w:t xml:space="preserve">constitution </w:t>
      </w:r>
      <w:r>
        <w:rPr>
          <w:i/>
        </w:rPr>
        <w:t xml:space="preserve">d’une généalogie </w:t>
      </w:r>
      <w:r>
        <w:t xml:space="preserve">et (ii) de son </w:t>
      </w:r>
      <w:r w:rsidRPr="003855B6">
        <w:rPr>
          <w:i/>
        </w:rPr>
        <w:t>analyse</w:t>
      </w:r>
      <w:r>
        <w:t>.</w:t>
      </w:r>
      <w:r>
        <w:rPr>
          <w:i/>
        </w:rPr>
        <w:t xml:space="preserve"> </w:t>
      </w:r>
      <w:r>
        <w:t>Nous nous demanderons, plus spécifiquement, en quoi la distinction entre deux sémioses</w:t>
      </w:r>
      <w:r w:rsidR="00FC4927">
        <w:t>,</w:t>
      </w:r>
      <w:r>
        <w:t xml:space="preserve"> iconique et plastique</w:t>
      </w:r>
      <w:r w:rsidR="00FC4927">
        <w:t>,</w:t>
      </w:r>
      <w:r>
        <w:t xml:space="preserve"> et entre deux mouvements aspecto-temporels, de « reconnaissance » des unités existantes (le point de vue du </w:t>
      </w:r>
      <w:r w:rsidRPr="009524FC">
        <w:rPr>
          <w:i/>
        </w:rPr>
        <w:t>déjà</w:t>
      </w:r>
      <w:r>
        <w:t xml:space="preserve">) et de « projection » de propriétés plastiques (le point de vue du </w:t>
      </w:r>
      <w:r w:rsidRPr="009524FC">
        <w:rPr>
          <w:i/>
        </w:rPr>
        <w:t>pas encore</w:t>
      </w:r>
      <w:r>
        <w:t>) (Fontanille juin 2022)</w:t>
      </w:r>
      <w:r w:rsidR="001A7293" w:rsidRPr="00601F71">
        <w:rPr>
          <w:rStyle w:val="Appelnotedebasdep"/>
        </w:rPr>
        <w:footnoteReference w:id="12"/>
      </w:r>
      <w:r>
        <w:t xml:space="preserve">, est propre à </w:t>
      </w:r>
      <w:r w:rsidRPr="00F33D27">
        <w:rPr>
          <w:i/>
        </w:rPr>
        <w:t>lancer</w:t>
      </w:r>
      <w:r>
        <w:t xml:space="preserve"> le processus de l’analyse à la fois de grands corpus et d’images ciblées. En d’autres termes, en quoi la « suspension » de l’iconicité (Fontanille </w:t>
      </w:r>
      <w:r w:rsidRPr="00BC0C99">
        <w:rPr>
          <w:i/>
        </w:rPr>
        <w:t>ibid.</w:t>
      </w:r>
      <w:r>
        <w:t xml:space="preserve">) constitue-t-elle un facteur non seulement déclencheur, mais </w:t>
      </w:r>
      <w:r w:rsidR="00914484">
        <w:t xml:space="preserve">encore </w:t>
      </w:r>
      <w:r>
        <w:t xml:space="preserve">facilitant la production de réseaux d’images ? Cela sous l’égide d’une étude sémiotique des formes signifiantes qui articule l’un avec l’autre les versants quantitatif et qualitatif. </w:t>
      </w:r>
    </w:p>
    <w:p w:rsidR="002C399C" w:rsidRDefault="002C399C" w:rsidP="002C399C">
      <w:pPr>
        <w:spacing w:after="120" w:line="276" w:lineRule="auto"/>
        <w:jc w:val="both"/>
      </w:pPr>
      <w:r>
        <w:t xml:space="preserve">Enfin, les propositions théoriques seront mises à l’épreuve d’un cas concret : du tableau </w:t>
      </w:r>
      <w:r w:rsidRPr="004C25EE">
        <w:rPr>
          <w:i/>
        </w:rPr>
        <w:t xml:space="preserve">Bacchus, Venus et Cupidon </w:t>
      </w:r>
      <w:r>
        <w:t>de Fiorentino et des exemples de filiation ou de généalogie des images obtenus par</w:t>
      </w:r>
      <w:r w:rsidR="000149CE">
        <w:t xml:space="preserve"> des recherches sur Google (avec mots-clefs) et </w:t>
      </w:r>
      <w:r w:rsidR="000149CE" w:rsidRPr="000149CE">
        <w:t>par SimArt-Datavalor</w:t>
      </w:r>
      <w:r w:rsidR="000149CE">
        <w:t xml:space="preserve">. </w:t>
      </w:r>
      <w:r>
        <w:t>Aussi viserons-nous, dans la quatrième partie, à en préciser l’arrière-plan théorique, en traçant un parcours interprétatif propre à construire certaines des « formes de vie » (Basso Fossali 2012a et b, 2019</w:t>
      </w:r>
      <w:r>
        <w:rPr>
          <w:rStyle w:val="Appelnotedebasdep"/>
        </w:rPr>
        <w:footnoteReference w:id="13"/>
      </w:r>
      <w:r>
        <w:t xml:space="preserve"> ; Mitchell 2005) du tableau. </w:t>
      </w:r>
      <w:r w:rsidR="00C96214">
        <w:t>F</w:t>
      </w:r>
      <w:r>
        <w:t xml:space="preserve">ace au foisonnement des images qui ont été extraites de grands corpus par la machine, comment soumettre la multiplicité des connexions à une procédure de tri guidée par le principe de pertinence ? Comment se laisser surprendre par de l’inattendu « attendu » ? </w:t>
      </w:r>
    </w:p>
    <w:p w:rsidR="002C399C" w:rsidRPr="00BA0E6C" w:rsidRDefault="002C399C" w:rsidP="002C399C">
      <w:pPr>
        <w:spacing w:after="120" w:line="276" w:lineRule="auto"/>
        <w:jc w:val="both"/>
        <w:rPr>
          <w:b/>
        </w:rPr>
      </w:pPr>
      <w:r w:rsidRPr="00BA0E6C">
        <w:rPr>
          <w:b/>
        </w:rPr>
        <w:t>1. La forme signifiante : éclairages croisés</w:t>
      </w:r>
    </w:p>
    <w:p w:rsidR="002C399C" w:rsidRPr="003A4A54" w:rsidRDefault="002C399C" w:rsidP="002C399C">
      <w:pPr>
        <w:spacing w:after="120" w:line="276" w:lineRule="auto"/>
        <w:jc w:val="both"/>
      </w:pPr>
      <w:r>
        <w:t xml:space="preserve">Très sollicitée, la notion de forme risque de perdre de son acuité. Afin de la cerner davantage, nous convoquerons des cadres théoriques suffisamment différents pour engager le dialogue. Il s’agira ainsi de montrer en quoi notre réflexion se nourrit d’un formalisme renouvelé (Gal), mais aussi en quoi elle prend appui sur la théorie des formes symboliques (Cassirer), revue par Jean Lassègue, et sur celle des formes signifiantes happées par un devenir gestaltique (Visetti). </w:t>
      </w:r>
    </w:p>
    <w:p w:rsidR="002C399C" w:rsidRDefault="002C399C" w:rsidP="002C399C">
      <w:pPr>
        <w:spacing w:after="120" w:line="276" w:lineRule="auto"/>
        <w:jc w:val="both"/>
      </w:pPr>
      <w:r>
        <w:t>Entamons ce parcours par la théorie esthétique défendue par Michall</w:t>
      </w:r>
      <w:r w:rsidR="000149CE">
        <w:t>e</w:t>
      </w:r>
      <w:r>
        <w:t xml:space="preserve"> Gal (2015, 2022), qui souhaite prendre le contre-pied d’approches privilégiant les relations mimétiques. Gal met en </w:t>
      </w:r>
      <w:r>
        <w:lastRenderedPageBreak/>
        <w:t>avant un « formalisme profond » (</w:t>
      </w:r>
      <w:r w:rsidRPr="007A7007">
        <w:rPr>
          <w:i/>
        </w:rPr>
        <w:t>Deep Formalism</w:t>
      </w:r>
      <w:r>
        <w:t xml:space="preserve">), c’est-à-dire un formalisme symbolique fondé sur l’esthétisme philosophique. Selon cette chercheuse, l’œuvre d’art constitue une pensée « incarnée » ou « exécutée », le contenu ne pouvant être saisi qu’à travers le médium artistique. La notion d’« opacité productive », que Gal préfère à celle d’abstraction artistique, met l’accent (i) sur la productivité de l’œuvre d’art, le contenu n’étant « donné » que dans ou par la forme, (ii) sur l’autonomie de l’œuvre d’art et (iii) sur l’expérience particulière produite par la « saturation » de la forme par un contenu que l’on peut dire culturel dans un sens large. Le symbole ainsi introduit est « opaque-productif », c’est-à-dire réfractaire à l’établissement de relations icono-visuelles avec des référents préexistants, et propre à créer des significations nouvelles, non prédéterminées. Ceci à travers des arrangements d’éléments inédits, le sens « dérivant » d’une structure profonde qui interpelle le sujet non seulement cognitif, mais proprement sensible. </w:t>
      </w:r>
    </w:p>
    <w:p w:rsidR="002C399C" w:rsidRDefault="002C399C" w:rsidP="002C399C">
      <w:pPr>
        <w:spacing w:after="120" w:line="276" w:lineRule="auto"/>
        <w:jc w:val="both"/>
      </w:pPr>
      <w:r>
        <w:t>Retenons, pour notre propos, l’idée que le contenu ne préexiste pas à la forme, mais – pour le dire avec nos mots</w:t>
      </w:r>
      <w:r w:rsidR="000149CE">
        <w:t> </w:t>
      </w:r>
      <w:r>
        <w:t xml:space="preserve">– </w:t>
      </w:r>
      <w:r w:rsidRPr="00347CEC">
        <w:rPr>
          <w:i/>
        </w:rPr>
        <w:t>co-émerge</w:t>
      </w:r>
      <w:r>
        <w:t xml:space="preserve"> avec elle. Telle sera notre position théorique : considérer la sémiose non point comme une solidarisation ou une jonction entre un contenu donné et une expression, mais comme un processus de co</w:t>
      </w:r>
      <w:r w:rsidR="001A7293">
        <w:t>-</w:t>
      </w:r>
      <w:r>
        <w:t>détermination et de co</w:t>
      </w:r>
      <w:r w:rsidR="001A7293">
        <w:t>-</w:t>
      </w:r>
      <w:r>
        <w:t>fondation. Ensuite, l’œuvre d’art comme forme signifiante est pourvue d’une force qui la rend productive. Plutôt qu’une interprétation, elle appelle l’« évocation » médiée non seulement par l’intellect, mais encore par la perception sensible. Enfin, ajoutons que Gal met l’accent sur le syntaxique, au détriment du sémantique, et qu’elle vise à dégager une « </w:t>
      </w:r>
      <w:r w:rsidRPr="00347CEC">
        <w:rPr>
          <w:i/>
        </w:rPr>
        <w:t>grammaire</w:t>
      </w:r>
      <w:r>
        <w:t xml:space="preserve"> » inhérente à l’image. Ce déplacement d’accent, qui subordonne le contenu à la forme saturée et rompt avec toutes les approches référentialistes, peut être porteur, du moins comme passage obligé : nous nous demanderons, ultérieurement, s’il ne facilite pas l’établissement d’analogies et de filiations entre les images. </w:t>
      </w:r>
    </w:p>
    <w:p w:rsidR="002C399C" w:rsidRDefault="002C399C" w:rsidP="002C399C">
      <w:pPr>
        <w:spacing w:after="120" w:line="276" w:lineRule="auto"/>
        <w:jc w:val="both"/>
      </w:pPr>
      <w:r>
        <w:t>Il n’en demeure pas moins que la vision de l’esthéticisme ainsi prôné reste trop statique, la prise en compte de la structure finissant par l’emporter sur le processus de la structuration. L’approche reste inféodée à l’idée de l’assemblage et de l’</w:t>
      </w:r>
      <w:r w:rsidRPr="00347CEC">
        <w:rPr>
          <w:i/>
        </w:rPr>
        <w:t xml:space="preserve">arrangement </w:t>
      </w:r>
      <w:r>
        <w:t xml:space="preserve">d’éléments, les relations étant d’abord des relations de juxtaposition, voire des relations d’ordre logique. Afin de saisir le devenir des formes, au-delà même de la constitution de la forme, nous substituerons à la notion de combinaison celle de </w:t>
      </w:r>
      <w:r w:rsidRPr="00DE43BE">
        <w:rPr>
          <w:i/>
        </w:rPr>
        <w:t>configuration</w:t>
      </w:r>
      <w:r>
        <w:t xml:space="preserve"> précaire et foncièrement mouvante. </w:t>
      </w:r>
    </w:p>
    <w:p w:rsidR="002C399C" w:rsidRDefault="00C96214" w:rsidP="002C399C">
      <w:pPr>
        <w:spacing w:after="120" w:line="276" w:lineRule="auto"/>
        <w:jc w:val="both"/>
      </w:pPr>
      <w:r>
        <w:t>T</w:t>
      </w:r>
      <w:r w:rsidR="002C399C">
        <w:t xml:space="preserve">ournons-nous également vers la théorie de la forme symbolique selon Cassirer, au fondement de conceptions contemporaines de la </w:t>
      </w:r>
      <w:r w:rsidR="002C399C" w:rsidRPr="006F2920">
        <w:rPr>
          <w:i/>
        </w:rPr>
        <w:t>dynamicité</w:t>
      </w:r>
      <w:r w:rsidR="002C399C">
        <w:t xml:space="preserve"> des systèmes. Certes, entendre par « forme symbolique » l’« énergie universelle de l’esprit par laquelle un contenu de signification spirituelle est accolé à un signe sensible concret et intrinsèquement adapté à ce signe » (Cassirer 1922, p. 13), c’est apparemment conforter l’idée de la jonction entre le plan du contenu et le plan de l’expression, plutôt que celle de leur co</w:t>
      </w:r>
      <w:r w:rsidR="00FC4927">
        <w:t>-</w:t>
      </w:r>
      <w:r w:rsidR="002C399C">
        <w:t>constitution. Selon Cassirer, l’image artistique comprend un contenu spirituel qui est « </w:t>
      </w:r>
      <w:r w:rsidR="002C399C" w:rsidRPr="003055F7">
        <w:rPr>
          <w:i/>
        </w:rPr>
        <w:t>transporté</w:t>
      </w:r>
      <w:r w:rsidR="002C399C">
        <w:t xml:space="preserve"> dans une forme sensible, visible, audible ou tactile » (nous soulignons). Ou encore, la « donnée de la sensation ou de la perception » sert de « support, comme moyen d’expression » (1923, p. 49). La notion de </w:t>
      </w:r>
      <w:r w:rsidR="002C399C" w:rsidRPr="00DE43BE">
        <w:rPr>
          <w:i/>
        </w:rPr>
        <w:t>direction</w:t>
      </w:r>
      <w:r w:rsidR="002C399C">
        <w:t>, définitoire de la forme symbolique selon Cassirer, n’en devient que plus précieuse. Elle invite, en effet, à considérer l’étroite intrication des plans du contenu et de l’expression à nouveaux frais : « […] les choses, les états, les propriétés et les activités ne sont pas des contenus donnés dans la conscience, mais les modes et les directions de la mise en forme qu’elle opère » (</w:t>
      </w:r>
      <w:r w:rsidR="002C399C" w:rsidRPr="009A4D1D">
        <w:rPr>
          <w:i/>
        </w:rPr>
        <w:t>ibid</w:t>
      </w:r>
      <w:r w:rsidR="002C399C">
        <w:t xml:space="preserve">., p. 234). </w:t>
      </w:r>
      <w:r w:rsidR="002C399C">
        <w:lastRenderedPageBreak/>
        <w:t>Mise en forme ou façonnage, comme le propose Jean Lassègue (2002) dans son article sur l’actualité de la forme symbolique. Osons rapprocher les « faits de langue » et le langage visuel pour repérer dans l’œuvre d’art la « condensation » d’une « </w:t>
      </w:r>
      <w:r w:rsidR="002C399C" w:rsidRPr="002B1AE1">
        <w:rPr>
          <w:i/>
        </w:rPr>
        <w:t>activité</w:t>
      </w:r>
      <w:r w:rsidR="002C399C">
        <w:t xml:space="preserve"> qui ne renvoie pas à un sens déjà tout constitué, mais qui au contraire le façonne au cours d’un procès dont on peut étudier la générativité en distinguant les différents opérateurs qui la constituent […] » (</w:t>
      </w:r>
      <w:r w:rsidR="002C399C" w:rsidRPr="00DE43BE">
        <w:rPr>
          <w:i/>
        </w:rPr>
        <w:t>ibid.</w:t>
      </w:r>
      <w:r w:rsidR="002C399C">
        <w:t xml:space="preserve"> ; l’italique est dans le texte). </w:t>
      </w:r>
    </w:p>
    <w:p w:rsidR="002C399C" w:rsidRDefault="002C399C" w:rsidP="002C399C">
      <w:pPr>
        <w:spacing w:after="120" w:line="276" w:lineRule="auto"/>
        <w:jc w:val="both"/>
      </w:pPr>
      <w:r>
        <w:t xml:space="preserve">Mais si la générativité est centrale, comment la concevoir ? Retournons à Cassirer : en plaçant la conscience sous le signe de l’« anticipation » qui permet d’« empiéte[r] sur la représentation d’un à-venir » (1923, p. 255), ce dernier insiste sur la dimension temporelle à la base, nous le confirmerons, de toute dynamique de stabilisations et de déstabilisations successives. </w:t>
      </w:r>
    </w:p>
    <w:p w:rsidR="002C399C" w:rsidRDefault="002C399C" w:rsidP="002C399C">
      <w:pPr>
        <w:spacing w:after="120" w:line="276" w:lineRule="auto"/>
        <w:jc w:val="both"/>
      </w:pPr>
      <w:r>
        <w:t xml:space="preserve">La notion d’anticipation gagne à être interrogée à la lumière – entre autres – de la théorie de la </w:t>
      </w:r>
      <w:r w:rsidRPr="002B1AE1">
        <w:rPr>
          <w:i/>
        </w:rPr>
        <w:t>Gestalt</w:t>
      </w:r>
      <w:r>
        <w:t xml:space="preserve">. Il n’est pas anodin que Lassègue renvoie, dans le passage cité ci-dessus, à Cadiot et Visetti (2001a), qui distinguent dans la théorie des formes sémantiques trois phases correspondant à trois « régimes de sens » : les motifs, les profils et les thèmes. Supposant possibles l’ouverture sur le non-verbal, voire une transposition des concepts, associons-y des formes d’anticipation dites « privilégiées » : si les motifs comme « germes de signification chaotiques » font valoir des </w:t>
      </w:r>
      <w:r w:rsidRPr="002B1AE1">
        <w:rPr>
          <w:i/>
        </w:rPr>
        <w:t>affinités</w:t>
      </w:r>
      <w:r>
        <w:t xml:space="preserve">, les profils, liés à des parcours de stabilisation sont mis en relation avec des </w:t>
      </w:r>
      <w:r w:rsidRPr="002B1AE1">
        <w:rPr>
          <w:i/>
        </w:rPr>
        <w:t>horizons,</w:t>
      </w:r>
      <w:r>
        <w:t xml:space="preserve"> les thèmes étant structurés par des </w:t>
      </w:r>
      <w:r w:rsidRPr="002B1AE1">
        <w:rPr>
          <w:i/>
        </w:rPr>
        <w:t>enchaînements</w:t>
      </w:r>
      <w:r>
        <w:t xml:space="preserve"> et des </w:t>
      </w:r>
      <w:r w:rsidRPr="002B1AE1">
        <w:rPr>
          <w:i/>
        </w:rPr>
        <w:t>transformations</w:t>
      </w:r>
      <w:r>
        <w:rPr>
          <w:i/>
        </w:rPr>
        <w:t xml:space="preserve"> </w:t>
      </w:r>
      <w:r>
        <w:t xml:space="preserve">(2002b, p. 5-6). </w:t>
      </w:r>
    </w:p>
    <w:p w:rsidR="002C399C" w:rsidRDefault="002C399C" w:rsidP="002C399C">
      <w:pPr>
        <w:spacing w:after="120" w:line="276" w:lineRule="auto"/>
        <w:jc w:val="both"/>
      </w:pPr>
      <w:r>
        <w:t>Pour qui cherche à établir, à terme, des filiations et des généalogies de formes « augmentant » l’image de départ, la notion de motif associée à celle de thème est immédiatement parlante. Fût-ce à la faveur d’un changement de cadre théorique : face à des tableaux, il nous faudra en effet déterminer la manière dont le repérage de motifs artistiques que Panofsky (1939) dit « pré-iconographiques »</w:t>
      </w:r>
      <w:r w:rsidR="009B3366">
        <w:t xml:space="preserve"> ainsi que </w:t>
      </w:r>
      <w:r>
        <w:t>de thèmes et de types au niveau de la signification secondaire (iconographie au sens strict)</w:t>
      </w:r>
      <w:r w:rsidR="009B3366">
        <w:t>, mais aussi</w:t>
      </w:r>
      <w:r>
        <w:t xml:space="preserve"> la prise en considération de l’arrière-fond culturel (iconographie au sens large, iconologie) interagiront avec la mise à nu d’éléments « plastiques ».  </w:t>
      </w:r>
    </w:p>
    <w:p w:rsidR="002C399C" w:rsidRDefault="002C399C" w:rsidP="002C399C">
      <w:pPr>
        <w:pStyle w:val="NormalWeb"/>
        <w:spacing w:before="0" w:beforeAutospacing="0" w:after="120" w:afterAutospacing="0" w:line="276" w:lineRule="auto"/>
        <w:jc w:val="both"/>
      </w:pPr>
      <w:r>
        <w:t xml:space="preserve">Une des questions les plus délicates concernera alors le couple « nécessité </w:t>
      </w:r>
      <w:r w:rsidRPr="005D5E38">
        <w:rPr>
          <w:i/>
        </w:rPr>
        <w:t>vs</w:t>
      </w:r>
      <w:r>
        <w:t xml:space="preserve"> contingence », le balisage de la production du sens, la norme pouvant la valider ou l’invalider, mais aussi l’irruption du nouveau. Or, la production d’un effet de surprise peut être pensée à partir d’un « constructivisme génétique » (Visetti 2004) qui met à profit, entre autres, les enseignements de la théorie de la </w:t>
      </w:r>
      <w:r w:rsidRPr="00D7779A">
        <w:rPr>
          <w:i/>
        </w:rPr>
        <w:t>Gestalt</w:t>
      </w:r>
      <w:r>
        <w:t xml:space="preserve">. Précisons-en les conditions de possibilité : </w:t>
      </w:r>
    </w:p>
    <w:p w:rsidR="002C399C" w:rsidRPr="00506166" w:rsidRDefault="002C399C" w:rsidP="002C399C">
      <w:pPr>
        <w:pStyle w:val="NormalWeb"/>
        <w:spacing w:before="0" w:beforeAutospacing="0" w:after="120" w:afterAutospacing="0" w:line="276" w:lineRule="auto"/>
        <w:ind w:left="567"/>
        <w:jc w:val="both"/>
      </w:pPr>
      <w:r w:rsidRPr="00506166">
        <w:t>Pour le constructivisme génétique, […], il faut reproduire d’une façon qui se sait toujours incomplète et marquée par un vague irréductible, l'actualisation d'un potentiel global qui se transforme lui-même chemin faisant. La description génétique d’une construction présente donc deux faces</w:t>
      </w:r>
      <w:r w:rsidR="0062053E">
        <w:t> </w:t>
      </w:r>
      <w:r w:rsidRPr="00506166">
        <w:t>: l'une détermine quantitativement ce potentiel implicite au départ, en acceptant que sa détermination, même très précise, aille de pair avec une certaine opacité (comme c’est le cas lorsque le potentiel est reconstruit par inférence statistique)</w:t>
      </w:r>
      <w:r w:rsidR="0062053E">
        <w:t> </w:t>
      </w:r>
      <w:r w:rsidRPr="00506166">
        <w:t>; l'autre, plus qualitative et la première sur le plan phénoménologique, explicite ce qui s'actualise, et fait sens pour l'observateur qui distingue des morphologies, des organisations, des stades (</w:t>
      </w:r>
      <w:r w:rsidRPr="00540E39">
        <w:rPr>
          <w:i/>
        </w:rPr>
        <w:t>ibid</w:t>
      </w:r>
      <w:r w:rsidRPr="00506166">
        <w:t>., p.</w:t>
      </w:r>
      <w:r>
        <w:t> </w:t>
      </w:r>
      <w:r w:rsidRPr="00506166">
        <w:t xml:space="preserve">234). </w:t>
      </w:r>
    </w:p>
    <w:p w:rsidR="002C399C" w:rsidRPr="00540E39" w:rsidRDefault="002C399C" w:rsidP="00C96214">
      <w:pPr>
        <w:pStyle w:val="NormalWeb"/>
        <w:spacing w:before="0" w:beforeAutospacing="0" w:after="120" w:afterAutospacing="0" w:line="276" w:lineRule="auto"/>
        <w:jc w:val="both"/>
      </w:pPr>
      <w:r w:rsidRPr="00540E39">
        <w:lastRenderedPageBreak/>
        <w:t>Dans ce cas, aucune détermination immanente du processus, mais bien des potentialités prévues au départ, dont certaines seront menées au stade de la réalisation. La notion de « vague » est nodale.</w:t>
      </w:r>
      <w:r w:rsidR="00C96214">
        <w:t xml:space="preserve"> </w:t>
      </w:r>
      <w:r w:rsidRPr="00540E39">
        <w:t xml:space="preserve">Ainsi, ultérieurement, nous nous demanderons comment produire un tel « vague » et nous réexaminerons, d’un point de vue sémiotique et phénoménologique, la notion de morphologie, en y voyant un type d’organisation bien particulier, qui peut être capté à </w:t>
      </w:r>
      <w:r w:rsidR="009B3366">
        <w:t>l’</w:t>
      </w:r>
      <w:r w:rsidRPr="00540E39">
        <w:t xml:space="preserve">un des stades du processus de l’advenir des formes. </w:t>
      </w:r>
    </w:p>
    <w:p w:rsidR="00C96214" w:rsidRDefault="002C399C" w:rsidP="002C399C">
      <w:pPr>
        <w:pStyle w:val="NormalWeb"/>
        <w:spacing w:before="0" w:beforeAutospacing="0" w:after="120" w:afterAutospacing="0" w:line="276" w:lineRule="auto"/>
        <w:jc w:val="both"/>
      </w:pPr>
      <w:r>
        <w:t xml:space="preserve">Dans l’immédiat, retenons, pour clore cette première partie, </w:t>
      </w:r>
      <w:r w:rsidRPr="00D93339">
        <w:t xml:space="preserve">des </w:t>
      </w:r>
      <w:r>
        <w:t xml:space="preserve">postulats et des </w:t>
      </w:r>
      <w:r w:rsidRPr="00D93339">
        <w:t xml:space="preserve">choix épistémologiques propres à la théorie de la </w:t>
      </w:r>
      <w:r w:rsidRPr="00D93339">
        <w:rPr>
          <w:i/>
        </w:rPr>
        <w:t>Gestalt</w:t>
      </w:r>
      <w:r>
        <w:t>. La différenciation des images, mais aussi l’établissement d’analogies, à partir de potentialités conduites au stade de la réalisation, pourront prendre fond sur eux. Des principes résumés et commentés par Visetti (2003) de manière critique, au-delà même de la théorie gestaltiste au sens étroit du terme. Nous les reformulons ici, en laissant voir l’horizon de nos investigations : (i) la continuité doit être rétablie en-deçà ou au-delà de la production de discontinuités, c’est-à-dire de la discrétisation ; (ii) la notion de champ permet de renvoyer au fond vital dont la dynamique est pourvue ; (iii) le champ doit assurer les échanges entre un extérieur et un intérieur ; (iv) si la forme donne au sens son « profil », c’est en conjuguant la perception, l’expression, mais aussi l’action, auxquelles des valeurs sont associées ; (v) différents points de vue sont nécessaires, inspirés par l’échelle micro-temporelle, où le risque d’une structure statique persiste, par l’échelle méso-temporelle, où les stabilisations alternent avec les transitions et les transformations, enfin par l’échelle macro-temporelle, caractérisée par des organisations culturelles qui peuvent être de type textuel ; (vi) la générativité et la différenciation des morphologies n’est pas totalement aléatoire, mais guidée par des anticipations, grâce aux tensions qui parcourent le champ ; (vii) il est possible de remonter vers une strate perceptive « antéprédicative »</w:t>
      </w:r>
      <w:r w:rsidR="00C96214">
        <w:t>.</w:t>
      </w:r>
    </w:p>
    <w:p w:rsidR="002C399C" w:rsidRPr="00912E7D" w:rsidRDefault="002C399C" w:rsidP="002C399C">
      <w:pPr>
        <w:pStyle w:val="NormalWeb"/>
        <w:spacing w:before="0" w:beforeAutospacing="0" w:after="120" w:afterAutospacing="0" w:line="276" w:lineRule="auto"/>
        <w:jc w:val="both"/>
      </w:pPr>
      <w:r w:rsidRPr="00912E7D">
        <w:t>Nous avons voulu, dans cette première partie, éclairer les différentes facettes de la notion de forme en renforçant notre ancrage théorique</w:t>
      </w:r>
      <w:r w:rsidR="00E96363">
        <w:t>,</w:t>
      </w:r>
      <w:r>
        <w:t xml:space="preserve"> tout en traçant, déjà, la ligne d’horizon vers laquelle nous tendons</w:t>
      </w:r>
      <w:r w:rsidRPr="00912E7D">
        <w:t xml:space="preserve">. </w:t>
      </w:r>
      <w:r>
        <w:t>A</w:t>
      </w:r>
      <w:r w:rsidRPr="00912E7D">
        <w:t>u terme de ce survol, on considérera moins la forme comme une organisation ou un arrangement d’éléments encore statique que l’</w:t>
      </w:r>
      <w:r w:rsidRPr="00BA0E6C">
        <w:rPr>
          <w:i/>
        </w:rPr>
        <w:t>advenue</w:t>
      </w:r>
      <w:r w:rsidRPr="00912E7D">
        <w:t xml:space="preserve"> de la </w:t>
      </w:r>
      <w:r w:rsidRPr="00BA0E6C">
        <w:rPr>
          <w:i/>
        </w:rPr>
        <w:t>forme sémantique</w:t>
      </w:r>
      <w:r w:rsidRPr="00912E7D">
        <w:t xml:space="preserve"> dans un champ parcouru de tensions</w:t>
      </w:r>
      <w:r>
        <w:t> :</w:t>
      </w:r>
      <w:r w:rsidRPr="00912E7D">
        <w:t xml:space="preserve"> sa genèse ou sa constitution sur un fond continu, quand des contenus émergent à travers des mises en forme dynamiques obéissant à une « direction » et aptes, en cela, à construire le sens </w:t>
      </w:r>
      <w:r w:rsidRPr="00912E7D">
        <w:rPr>
          <w:i/>
        </w:rPr>
        <w:t>à-venir</w:t>
      </w:r>
      <w:r w:rsidRPr="00912E7D">
        <w:t xml:space="preserve"> en le « profilant ». Ceci grâce à des échanges entre </w:t>
      </w:r>
      <w:r>
        <w:t xml:space="preserve">zones intérieures au champ – le champ comporte un centre et une périphérie, avec des baisses et des regains d’intensité en fonction des régions parcourues – et des passages entre </w:t>
      </w:r>
      <w:r w:rsidRPr="00912E7D">
        <w:t>l’intérieur et l’extérieur d</w:t>
      </w:r>
      <w:r>
        <w:t>u</w:t>
      </w:r>
      <w:r w:rsidRPr="00912E7D">
        <w:t xml:space="preserve"> champ</w:t>
      </w:r>
      <w:r>
        <w:t>. Ces derniers sont</w:t>
      </w:r>
      <w:r w:rsidRPr="00912E7D">
        <w:t xml:space="preserve"> responsables, entre autres, de l’historicisation des formes. </w:t>
      </w:r>
    </w:p>
    <w:p w:rsidR="002C399C" w:rsidRPr="00912E7D" w:rsidRDefault="002C399C" w:rsidP="002C399C">
      <w:pPr>
        <w:pStyle w:val="NormalWeb"/>
        <w:spacing w:before="0" w:beforeAutospacing="0" w:after="120" w:afterAutospacing="0" w:line="276" w:lineRule="auto"/>
        <w:jc w:val="both"/>
      </w:pPr>
      <w:r w:rsidRPr="00912E7D">
        <w:t xml:space="preserve">Cependant, </w:t>
      </w:r>
      <w:r>
        <w:t>l’urgence est</w:t>
      </w:r>
      <w:r w:rsidR="00C96214">
        <w:t xml:space="preserve"> </w:t>
      </w:r>
      <w:r>
        <w:t xml:space="preserve">de réfléchir davantage aux </w:t>
      </w:r>
      <w:r w:rsidRPr="00BA0E6C">
        <w:rPr>
          <w:i/>
        </w:rPr>
        <w:t>modalités</w:t>
      </w:r>
      <w:r>
        <w:t xml:space="preserve"> de </w:t>
      </w:r>
      <w:r w:rsidR="00C96214">
        <w:t xml:space="preserve">la </w:t>
      </w:r>
      <w:r w:rsidR="00C96214" w:rsidRPr="00D738B1">
        <w:rPr>
          <w:i/>
        </w:rPr>
        <w:t>reconfiguration</w:t>
      </w:r>
      <w:r w:rsidR="00C96214">
        <w:t xml:space="preserve"> de la forme, de sa « réénonciation »</w:t>
      </w:r>
      <w:r>
        <w:t xml:space="preserve">, au-delà de la genèse de la forme. Cédons, une fois encore, la parole à Visetti (2004, p. 231), qui résume les linéaments théoriques du constructivisme génétique : </w:t>
      </w:r>
    </w:p>
    <w:p w:rsidR="002C399C" w:rsidRDefault="002C399C" w:rsidP="002C399C">
      <w:pPr>
        <w:pStyle w:val="NormalWeb"/>
        <w:spacing w:before="0" w:beforeAutospacing="0" w:after="120" w:afterAutospacing="0" w:line="276" w:lineRule="auto"/>
        <w:ind w:left="567"/>
        <w:jc w:val="both"/>
      </w:pPr>
      <w:r w:rsidRPr="00912E7D">
        <w:t>Construire est toujours en même temps reconstruire en décalant, et toute répétition se fait dans la différence</w:t>
      </w:r>
      <w:r w:rsidR="0062053E">
        <w:t> </w:t>
      </w:r>
      <w:r w:rsidRPr="00912E7D">
        <w:t>: que cela s’appelle «</w:t>
      </w:r>
      <w:r w:rsidR="0062053E">
        <w:t> </w:t>
      </w:r>
      <w:r w:rsidRPr="00912E7D">
        <w:t>se reproduire</w:t>
      </w:r>
      <w:r w:rsidR="0062053E">
        <w:t> </w:t>
      </w:r>
      <w:r w:rsidRPr="00912E7D">
        <w:t>», ou «</w:t>
      </w:r>
      <w:r w:rsidR="0062053E">
        <w:t> </w:t>
      </w:r>
      <w:r w:rsidRPr="00912E7D">
        <w:t>autopoièse</w:t>
      </w:r>
      <w:r w:rsidR="0062053E">
        <w:t> </w:t>
      </w:r>
      <w:r w:rsidRPr="00912E7D">
        <w:t>». De même les traces, qui survivent aux procès de construction, doivent être réactivées, reconstruites, et peut-être reconfigurées, pour jouer à nouveau un rôle en situation.</w:t>
      </w:r>
    </w:p>
    <w:p w:rsidR="002C399C" w:rsidRPr="00912E7D" w:rsidRDefault="002C399C" w:rsidP="002C399C">
      <w:pPr>
        <w:pStyle w:val="NormalWeb"/>
        <w:spacing w:before="0" w:beforeAutospacing="0" w:after="120" w:afterAutospacing="0" w:line="276" w:lineRule="auto"/>
        <w:jc w:val="both"/>
      </w:pPr>
      <w:r>
        <w:lastRenderedPageBreak/>
        <w:t xml:space="preserve">La question du </w:t>
      </w:r>
      <w:r w:rsidRPr="000771B3">
        <w:rPr>
          <w:i/>
        </w:rPr>
        <w:t>devenir des formes</w:t>
      </w:r>
      <w:r>
        <w:t xml:space="preserve"> fera l’objet d’un réexamen dans la deuxième partie. </w:t>
      </w:r>
    </w:p>
    <w:p w:rsidR="002C399C" w:rsidRPr="00BA0E6C" w:rsidRDefault="002C399C" w:rsidP="002C399C">
      <w:pPr>
        <w:pStyle w:val="NormalWeb"/>
        <w:spacing w:line="276" w:lineRule="auto"/>
        <w:jc w:val="both"/>
        <w:rPr>
          <w:b/>
        </w:rPr>
      </w:pPr>
      <w:r w:rsidRPr="00BA0E6C">
        <w:rPr>
          <w:b/>
        </w:rPr>
        <w:t>2. De la vie des formes aux formes de vie</w:t>
      </w:r>
    </w:p>
    <w:p w:rsidR="002C399C" w:rsidRDefault="002C399C" w:rsidP="002C399C">
      <w:pPr>
        <w:tabs>
          <w:tab w:val="left" w:pos="1000"/>
        </w:tabs>
        <w:spacing w:after="120" w:line="276" w:lineRule="auto"/>
        <w:jc w:val="both"/>
      </w:pPr>
      <w:r w:rsidRPr="00A562C2">
        <w:t>Mettre au jour des généalogies et des filiations d’images, c’est, d’office, introduire le temps</w:t>
      </w:r>
      <w:r w:rsidR="00C96214">
        <w:t xml:space="preserve">, </w:t>
      </w:r>
      <w:r w:rsidRPr="00A562C2">
        <w:t>qu’Henri Focillon ([1943] 2010) qualifie à la fois de « norme de mesure » – associant le temps également à l’« architecture » dont témoignent des « milieux chronologiques stables » (</w:t>
      </w:r>
      <w:r w:rsidRPr="00A562C2">
        <w:rPr>
          <w:i/>
        </w:rPr>
        <w:t>ibid</w:t>
      </w:r>
      <w:r w:rsidRPr="00A562C2">
        <w:t>., p</w:t>
      </w:r>
      <w:r>
        <w:t>. </w:t>
      </w:r>
      <w:r w:rsidRPr="00A562C2">
        <w:t xml:space="preserve">85), tels ceux attestés par le musée – et de « mouvement », de « devenir ». Comment concevoir l’évolution ? </w:t>
      </w:r>
      <w:r>
        <w:t>Le</w:t>
      </w:r>
      <w:r w:rsidRPr="00A562C2">
        <w:t xml:space="preserve"> croquis ou le dessin préparatoire </w:t>
      </w:r>
      <w:r>
        <w:t>préparent-ils</w:t>
      </w:r>
      <w:r w:rsidRPr="00A562C2">
        <w:t xml:space="preserve"> et annonce</w:t>
      </w:r>
      <w:r>
        <w:t>nt-ils</w:t>
      </w:r>
      <w:r w:rsidRPr="00A562C2">
        <w:t xml:space="preserve"> un </w:t>
      </w:r>
      <w:r>
        <w:t>« </w:t>
      </w:r>
      <w:r w:rsidRPr="00A562C2">
        <w:t>mieux-dire</w:t>
      </w:r>
      <w:r>
        <w:t> » ?</w:t>
      </w:r>
      <w:r w:rsidRPr="00A562C2">
        <w:t xml:space="preserve"> </w:t>
      </w:r>
    </w:p>
    <w:p w:rsidR="002C399C" w:rsidRPr="00A562C2" w:rsidRDefault="002C399C" w:rsidP="002C399C">
      <w:pPr>
        <w:tabs>
          <w:tab w:val="left" w:pos="1000"/>
        </w:tabs>
        <w:spacing w:after="120" w:line="276" w:lineRule="auto"/>
        <w:jc w:val="both"/>
      </w:pPr>
      <w:r>
        <w:t>D’une part, c</w:t>
      </w:r>
      <w:r w:rsidRPr="00A562C2">
        <w:t>haque œuvre d’art, écrit Focillon (</w:t>
      </w:r>
      <w:r w:rsidRPr="00410291">
        <w:rPr>
          <w:i/>
        </w:rPr>
        <w:t>ibid.</w:t>
      </w:r>
      <w:r w:rsidRPr="00A562C2">
        <w:t>, p.</w:t>
      </w:r>
      <w:r>
        <w:t> </w:t>
      </w:r>
      <w:r w:rsidRPr="00A562C2">
        <w:t xml:space="preserve">8), « n’est qu’apparemment immobile. Elle exprime un vœu de fixité, elle est un arrêt, mais comme un moment dans le passé. En réalité elle naît d’un changement et elle en prépare un autre ». </w:t>
      </w:r>
      <w:r>
        <w:t>Et il</w:t>
      </w:r>
      <w:r w:rsidRPr="00A562C2">
        <w:t xml:space="preserve"> est donc possible de suivre </w:t>
      </w:r>
      <w:r>
        <w:t>la « fantaisie » d</w:t>
      </w:r>
      <w:r w:rsidRPr="00A562C2">
        <w:t>es métamorphoses de la forme</w:t>
      </w:r>
      <w:r>
        <w:t>, « renouvelées » indéfiniment (</w:t>
      </w:r>
      <w:r w:rsidRPr="00410291">
        <w:rPr>
          <w:i/>
        </w:rPr>
        <w:t>ibid</w:t>
      </w:r>
      <w:r>
        <w:t>., p. 8-9). D’autre part</w:t>
      </w:r>
      <w:r w:rsidRPr="00A562C2">
        <w:t xml:space="preserve">, le devenir n’est assimilable ni au progrès, ni à l’évolution, qui a quelque chose de </w:t>
      </w:r>
    </w:p>
    <w:p w:rsidR="002C399C" w:rsidRPr="00A562C2" w:rsidRDefault="002C399C" w:rsidP="002C399C">
      <w:pPr>
        <w:tabs>
          <w:tab w:val="left" w:pos="1000"/>
        </w:tabs>
        <w:spacing w:after="120" w:line="276" w:lineRule="auto"/>
        <w:ind w:left="567"/>
        <w:jc w:val="both"/>
      </w:pPr>
      <w:r w:rsidRPr="00A562C2">
        <w:t>dangereux par son caractère faussement harmonique, par son parcours unilinéaire, par l’emploi dans les cas douteux, où l’on voit l’avenir aux prises avec le passé, de l’expédient des « transitions », par l’incapacité de faire place à l’énergie révolutionnaire des inventeurs (</w:t>
      </w:r>
      <w:r w:rsidRPr="00A562C2">
        <w:rPr>
          <w:i/>
        </w:rPr>
        <w:t>ibid</w:t>
      </w:r>
      <w:r w:rsidRPr="00A562C2">
        <w:t>., p. 13).</w:t>
      </w:r>
    </w:p>
    <w:p w:rsidR="002C399C" w:rsidRDefault="002C399C" w:rsidP="002C399C">
      <w:pPr>
        <w:pStyle w:val="NormalWeb"/>
        <w:spacing w:before="0" w:beforeAutospacing="0" w:after="120" w:afterAutospacing="0" w:line="276" w:lineRule="auto"/>
        <w:jc w:val="both"/>
      </w:pPr>
      <w:r>
        <w:rPr>
          <w:lang w:val="fr-FR"/>
        </w:rPr>
        <w:t xml:space="preserve">À trop prêter aux schémas téléologiques, on finirait par </w:t>
      </w:r>
      <w:r>
        <w:t xml:space="preserve">se rabattre sur un </w:t>
      </w:r>
      <w:r w:rsidRPr="00E353D8">
        <w:rPr>
          <w:lang w:val="fr-FR"/>
        </w:rPr>
        <w:t xml:space="preserve">devenir unilinéaire, voire rectiligne, </w:t>
      </w:r>
      <w:r>
        <w:t xml:space="preserve">au détriment du </w:t>
      </w:r>
      <w:r w:rsidRPr="00E353D8">
        <w:rPr>
          <w:lang w:val="fr-FR"/>
        </w:rPr>
        <w:t xml:space="preserve">passage </w:t>
      </w:r>
      <w:r>
        <w:t>et</w:t>
      </w:r>
      <w:r w:rsidRPr="00E353D8">
        <w:rPr>
          <w:lang w:val="fr-FR"/>
        </w:rPr>
        <w:t xml:space="preserve"> </w:t>
      </w:r>
      <w:r>
        <w:rPr>
          <w:lang w:val="fr-FR"/>
        </w:rPr>
        <w:t>d’une vraie</w:t>
      </w:r>
      <w:r>
        <w:t xml:space="preserve"> </w:t>
      </w:r>
      <w:r w:rsidRPr="00E353D8">
        <w:rPr>
          <w:lang w:val="fr-FR"/>
        </w:rPr>
        <w:t>transition</w:t>
      </w:r>
      <w:r>
        <w:t xml:space="preserve">, aux dépens de la </w:t>
      </w:r>
      <w:r w:rsidRPr="00FE6235">
        <w:rPr>
          <w:i/>
        </w:rPr>
        <w:t xml:space="preserve">fluidité </w:t>
      </w:r>
      <w:r>
        <w:t xml:space="preserve">qui accepte, dirons-nous, une plurilinéarité, c’est-à-dire l’entrecroisement de lignes temporelles non seulement « sinueuses » </w:t>
      </w:r>
      <w:r w:rsidRPr="00D4736C">
        <w:rPr>
          <w:i/>
        </w:rPr>
        <w:t>(ibid</w:t>
      </w:r>
      <w:r>
        <w:t>., p. 86), mais encore en partie indépendantes les unes des autres. Grâce au ferment « révolutionnaire » (</w:t>
      </w:r>
      <w:r w:rsidRPr="00410291">
        <w:rPr>
          <w:i/>
        </w:rPr>
        <w:t>ibid</w:t>
      </w:r>
      <w:r>
        <w:t xml:space="preserve">., p. 13), celles-ci peuvent provoquer, au moment de la rencontre, ce que nous appelons des bifurcations inattendues, des </w:t>
      </w:r>
      <w:r w:rsidRPr="00410291">
        <w:rPr>
          <w:i/>
        </w:rPr>
        <w:t>pas de côté</w:t>
      </w:r>
      <w:r>
        <w:t>, des imprévus et des improvisations.</w:t>
      </w:r>
    </w:p>
    <w:p w:rsidR="00C96214" w:rsidRDefault="002C399C" w:rsidP="00C96214">
      <w:pPr>
        <w:pStyle w:val="NormalWeb"/>
        <w:spacing w:before="0" w:beforeAutospacing="0" w:after="120" w:afterAutospacing="0" w:line="276" w:lineRule="auto"/>
        <w:jc w:val="both"/>
      </w:pPr>
      <w:r>
        <w:t xml:space="preserve">Les schémas évolutifs, même s’ils n’obéissent pas au principe du progrès, soulèvent également la délicate question du </w:t>
      </w:r>
      <w:r w:rsidRPr="00FE6235">
        <w:rPr>
          <w:i/>
        </w:rPr>
        <w:t>moteur</w:t>
      </w:r>
      <w:r>
        <w:t xml:space="preserve"> du devenir : avons-nous affaire à une logique interne, dissociée de toute intentionnalité, régie par la plus ou moins grande adaptation au contexte (sélection de potentialités inhérentes conduites au stade la réalisation) ? Dans ce cas, quel est le poids de facteurs externes, tels que le milieu socioculturel et historique (un </w:t>
      </w:r>
      <w:r w:rsidR="00FC4927">
        <w:t xml:space="preserve">format, un </w:t>
      </w:r>
      <w:r>
        <w:t xml:space="preserve">genre, un canon, un courant, un style sociolectal…) ? Et/ou la différenciation progressive est-elle liée à des choix que l’on peut dire « énonciatifs », qui allient imitation et renouvellement ? </w:t>
      </w:r>
    </w:p>
    <w:p w:rsidR="002C399C" w:rsidRPr="007C7F8D" w:rsidRDefault="002C399C" w:rsidP="00C96214">
      <w:pPr>
        <w:pStyle w:val="NormalWeb"/>
        <w:spacing w:before="0" w:beforeAutospacing="0" w:after="120" w:afterAutospacing="0" w:line="276" w:lineRule="auto"/>
        <w:jc w:val="both"/>
      </w:pPr>
      <w:r w:rsidRPr="007C7F8D">
        <w:t>Une autre question, tout aussi difficile, concerne la nature des métamorphoses : sont-elles nécessairement totales, affectant tous les éléments, ou un nœud structural commun aux formes peut-il opposer une résistance ? La notion de transposition, au sens où l’entendent les gestaltistes, peut être utile</w:t>
      </w:r>
      <w:r>
        <w:t xml:space="preserve"> </w:t>
      </w:r>
      <w:r w:rsidRPr="007C7F8D">
        <w:t>pour rendre compte de transitions qui retiennent « une invariance des organisations à travers leurs variations » (Rosenthal et Visetti 1999, p. 16</w:t>
      </w:r>
      <w:r>
        <w:t>9</w:t>
      </w:r>
      <w:r w:rsidRPr="007C7F8D">
        <w:t xml:space="preserve">). Mais si la reconfiguration n’est pas totale, ni la réinvention à chaque fois radicale, il faudra rendre compte d’états transitoires, intermédiaires, tendus entre ce qui </w:t>
      </w:r>
      <w:r w:rsidRPr="007C7F8D">
        <w:rPr>
          <w:i/>
        </w:rPr>
        <w:t>n’est plus</w:t>
      </w:r>
      <w:r w:rsidRPr="007C7F8D">
        <w:t xml:space="preserve"> et ce qui </w:t>
      </w:r>
      <w:r w:rsidRPr="007C7F8D">
        <w:rPr>
          <w:i/>
        </w:rPr>
        <w:t>n’est pas encore</w:t>
      </w:r>
      <w:r w:rsidRPr="007C7F8D">
        <w:t xml:space="preserve">, le moment présent nouant ensemble rétentions et protentions.  </w:t>
      </w:r>
    </w:p>
    <w:p w:rsidR="002C399C" w:rsidRDefault="002C399C" w:rsidP="002C399C">
      <w:pPr>
        <w:autoSpaceDE w:val="0"/>
        <w:autoSpaceDN w:val="0"/>
        <w:adjustRightInd w:val="0"/>
        <w:spacing w:after="120" w:line="276" w:lineRule="auto"/>
        <w:jc w:val="both"/>
      </w:pPr>
      <w:r w:rsidRPr="007C7F8D">
        <w:lastRenderedPageBreak/>
        <w:t xml:space="preserve">Franchissant </w:t>
      </w:r>
      <w:r>
        <w:t xml:space="preserve">un </w:t>
      </w:r>
      <w:r w:rsidRPr="007C7F8D">
        <w:t>pas, l’on se donne les moyens de « déhistoriciser » la génération des images</w:t>
      </w:r>
      <w:r>
        <w:t>.</w:t>
      </w:r>
      <w:r w:rsidRPr="00C869B0">
        <w:t xml:space="preserve"> </w:t>
      </w:r>
      <w:r>
        <w:t>D’emblée, o</w:t>
      </w:r>
      <w:r w:rsidRPr="00C869B0">
        <w:t xml:space="preserve">n y </w:t>
      </w:r>
      <w:r>
        <w:t>voit</w:t>
      </w:r>
      <w:r w:rsidRPr="00C869B0">
        <w:t xml:space="preserve"> un antidote efficace contre la théorie des influences</w:t>
      </w:r>
      <w:r>
        <w:t>. D’où</w:t>
      </w:r>
      <w:r w:rsidRPr="00C869B0">
        <w:t xml:space="preserve"> la possibilité de jeter des ponts, par exemple, chez Warburg, entre Giotto et Ghirlandaio. Davantage même : de </w:t>
      </w:r>
      <w:r w:rsidRPr="007C7F8D">
        <w:rPr>
          <w:i/>
        </w:rPr>
        <w:t>juxtaposer</w:t>
      </w:r>
      <w:r w:rsidRPr="00C869B0">
        <w:t xml:space="preserve"> dans des planches, comme dans l’« Atlas en images » </w:t>
      </w:r>
      <w:r w:rsidRPr="00C869B0">
        <w:rPr>
          <w:i/>
        </w:rPr>
        <w:t>Mn</w:t>
      </w:r>
      <w:r>
        <w:rPr>
          <w:i/>
        </w:rPr>
        <w:t>é</w:t>
      </w:r>
      <w:r w:rsidRPr="00C869B0">
        <w:rPr>
          <w:i/>
        </w:rPr>
        <w:t xml:space="preserve">mosyne </w:t>
      </w:r>
      <w:r w:rsidRPr="00C869B0">
        <w:t>de Warburg, des reproductions d’œuvres d’art, mais aussi des cartes postales, des timbres ou encore des photographies</w:t>
      </w:r>
      <w:r>
        <w:t> ;</w:t>
      </w:r>
      <w:r w:rsidRPr="00C869B0">
        <w:t xml:space="preserve"> pour mieux traiter la question de la survivance (</w:t>
      </w:r>
      <w:r w:rsidRPr="00C869B0">
        <w:rPr>
          <w:i/>
        </w:rPr>
        <w:t>Nachleben</w:t>
      </w:r>
      <w:r w:rsidRPr="00C869B0">
        <w:t>)</w:t>
      </w:r>
      <w:r>
        <w:rPr>
          <w:rStyle w:val="Appelnotedebasdep"/>
          <w:color w:val="1B1B1B"/>
        </w:rPr>
        <w:footnoteReference w:id="14"/>
      </w:r>
      <w:r>
        <w:rPr>
          <w:color w:val="1B1B1B"/>
        </w:rPr>
        <w:t xml:space="preserve"> </w:t>
      </w:r>
      <w:r w:rsidRPr="00C869B0">
        <w:t xml:space="preserve">des </w:t>
      </w:r>
      <w:r w:rsidR="0062053E">
        <w:t>formes</w:t>
      </w:r>
      <w:r w:rsidRPr="00C869B0">
        <w:t xml:space="preserve"> à travers l’établissement de relations inédites. </w:t>
      </w:r>
      <w:r>
        <w:t>Une</w:t>
      </w:r>
      <w:r w:rsidRPr="00C869B0">
        <w:t xml:space="preserve"> « déshistoricisation »</w:t>
      </w:r>
      <w:r>
        <w:t xml:space="preserve">, selon nos termes, </w:t>
      </w:r>
      <w:r w:rsidRPr="00C869B0">
        <w:t>est facilitée</w:t>
      </w:r>
      <w:r w:rsidR="00E96363">
        <w:t xml:space="preserve"> par ce que </w:t>
      </w:r>
      <w:r w:rsidR="00C96214">
        <w:t xml:space="preserve">Philippe-Alain Michaud </w:t>
      </w:r>
      <w:r w:rsidR="00FC4927">
        <w:t xml:space="preserve">commentant Warburg </w:t>
      </w:r>
      <w:r w:rsidR="00C96214">
        <w:t>([1998] 2022, p. 23)</w:t>
      </w:r>
      <w:r w:rsidR="00E96363">
        <w:t xml:space="preserve"> appelle </w:t>
      </w:r>
      <w:r w:rsidRPr="00C869B0">
        <w:t>la technique du « montage »</w:t>
      </w:r>
      <w:r w:rsidR="00C96214">
        <w:t xml:space="preserve"> : </w:t>
      </w:r>
      <w:r>
        <w:t xml:space="preserve">« inventer un </w:t>
      </w:r>
      <w:r w:rsidRPr="007C7F8D">
        <w:rPr>
          <w:i/>
        </w:rPr>
        <w:t>savoir-montage</w:t>
      </w:r>
      <w:r>
        <w:t>, c’était […] renoncer à des matrices d’intelligibilité, briser de séculaires garde-fous ». Désormais, l’</w:t>
      </w:r>
      <w:r w:rsidRPr="00C67D8A">
        <w:t>image</w:t>
      </w:r>
      <w:r w:rsidRPr="00C67D8A">
        <w:rPr>
          <w:i/>
        </w:rPr>
        <w:t xml:space="preserve"> </w:t>
      </w:r>
      <w:r>
        <w:t xml:space="preserve">dite </w:t>
      </w:r>
      <w:r w:rsidRPr="00C67D8A">
        <w:rPr>
          <w:i/>
        </w:rPr>
        <w:t xml:space="preserve">en mouvement </w:t>
      </w:r>
      <w:r>
        <w:t>bénéficie de ce que Warburg appelle dans son journal, en 1929, l’« iconologie des intervalles »</w:t>
      </w:r>
      <w:r>
        <w:rPr>
          <w:rStyle w:val="Appelnotedebasdep"/>
        </w:rPr>
        <w:footnoteReference w:id="15"/>
      </w:r>
      <w:r w:rsidR="00E96363">
        <w:t>. C</w:t>
      </w:r>
      <w:r>
        <w:t>e dispositif spatial donne-t-il lieu à des vibrations et des oscillations </w:t>
      </w:r>
      <w:r w:rsidRPr="00A562C2">
        <w:t>–</w:t>
      </w:r>
      <w:r>
        <w:t xml:space="preserve"> des rapprochements et des éloignements </w:t>
      </w:r>
      <w:r w:rsidRPr="00A562C2">
        <w:t>–</w:t>
      </w:r>
      <w:r>
        <w:t xml:space="preserve"> entre des images d’abord découpées et disjointes ? Ceci grâce au tissage de relations souvent surprenantes, qui redynamisent des formes possiblement figées, car entreposées dans la mémoire</w:t>
      </w:r>
      <w:r w:rsidR="00E96363">
        <w:t>.</w:t>
      </w:r>
      <w:r>
        <w:t xml:space="preserve"> </w:t>
      </w:r>
    </w:p>
    <w:p w:rsidR="002C399C" w:rsidRDefault="002C399C" w:rsidP="002C399C">
      <w:pPr>
        <w:autoSpaceDE w:val="0"/>
        <w:autoSpaceDN w:val="0"/>
        <w:adjustRightInd w:val="0"/>
        <w:spacing w:after="120" w:line="276" w:lineRule="auto"/>
        <w:jc w:val="both"/>
      </w:pPr>
      <w:r>
        <w:t xml:space="preserve">Il faudra se demander, au moment de l’analyse de </w:t>
      </w:r>
      <w:r w:rsidRPr="00B57A3B">
        <w:rPr>
          <w:i/>
        </w:rPr>
        <w:t>Bacchus, Venus et Cupidon</w:t>
      </w:r>
      <w:r>
        <w:t xml:space="preserve"> de Fiorentino, (i) </w:t>
      </w:r>
      <w:r w:rsidR="004302FE">
        <w:t xml:space="preserve">dans quelle mesure la photographie et la numérisation peuvent rendre commensurables des </w:t>
      </w:r>
      <w:r w:rsidR="00A77AC3">
        <w:t>tableaux</w:t>
      </w:r>
      <w:r w:rsidR="004302FE">
        <w:t xml:space="preserve"> qu’</w:t>
      </w:r>
      <w:r w:rsidR="004302FE" w:rsidRPr="004302FE">
        <w:rPr>
          <w:i/>
        </w:rPr>
        <w:t xml:space="preserve">a priori </w:t>
      </w:r>
      <w:r w:rsidR="004302FE">
        <w:t>on n’aurait pas rapprochés </w:t>
      </w:r>
      <w:r>
        <w:t xml:space="preserve">; (ii) en quoi les formes émergentes ont besoin d’une instance d’énonciation intervenant dans le processus ; (iii) quelle est la part prise par le regard du spectateur, qui recule ou qui avance dans l’espace : il adopte un point de vue tantôt surplombant, tantôt détaillant ; il extrait un aspect jugé représentatif ou il considère un enchaînement (Fontanille 1999, p. 51). </w:t>
      </w:r>
      <w:r w:rsidR="00E96363">
        <w:t>On peut</w:t>
      </w:r>
      <w:r>
        <w:t xml:space="preserve"> montrer en quoi le mouvement du spectateur entre en résonance avec celui, interne à l’image, produit par des compositions jouant à la fois sur la juxtaposition et sur des déplacements qui profitent de mises en accord et en désaccord dans la simultanéité. Enfin, (iv), il </w:t>
      </w:r>
      <w:r w:rsidR="00E96363">
        <w:t>faut</w:t>
      </w:r>
      <w:r>
        <w:t xml:space="preserve"> </w:t>
      </w:r>
      <w:r w:rsidR="00E96363">
        <w:t>s</w:t>
      </w:r>
      <w:r>
        <w:t xml:space="preserve">’interroger sur les éléments – des composantes plastiques aux motifs iconographiques et aux choix iconologiques – qui accrochent le regard : un détail, une singularité, une répétition, un contraste, etc. </w:t>
      </w:r>
    </w:p>
    <w:p w:rsidR="002C399C" w:rsidRDefault="002C399C" w:rsidP="002C399C">
      <w:pPr>
        <w:autoSpaceDE w:val="0"/>
        <w:autoSpaceDN w:val="0"/>
        <w:adjustRightInd w:val="0"/>
        <w:spacing w:after="120" w:line="276" w:lineRule="auto"/>
        <w:jc w:val="both"/>
      </w:pPr>
      <w:r>
        <w:t xml:space="preserve">Dans le cas de Warburg, l’image du </w:t>
      </w:r>
      <w:r w:rsidRPr="00FA5647">
        <w:rPr>
          <w:i/>
        </w:rPr>
        <w:t xml:space="preserve">tourbillon </w:t>
      </w:r>
      <w:r>
        <w:t>peut expliquer le sentiment de vertige créé par le déploiement de forces à la fois centripètes et centrifuges</w:t>
      </w:r>
      <w:r>
        <w:rPr>
          <w:rStyle w:val="Appelnotedebasdep"/>
        </w:rPr>
        <w:footnoteReference w:id="16"/>
      </w:r>
      <w:r>
        <w:t>. Rappelons la théorisation du tourbillon par Walter Benjamin : elle permet de saisir davantage les enjeux de l’</w:t>
      </w:r>
      <w:r w:rsidRPr="00D738B1">
        <w:rPr>
          <w:i/>
        </w:rPr>
        <w:t>Atlas</w:t>
      </w:r>
      <w:r>
        <w:t xml:space="preserve">. </w:t>
      </w:r>
    </w:p>
    <w:p w:rsidR="002C399C" w:rsidRPr="00F02EFE" w:rsidRDefault="002C399C" w:rsidP="002C399C">
      <w:pPr>
        <w:spacing w:after="120" w:line="276" w:lineRule="auto"/>
        <w:jc w:val="both"/>
        <w:rPr>
          <w:color w:val="000000"/>
          <w:shd w:val="clear" w:color="auto" w:fill="FFFFFF"/>
        </w:rPr>
      </w:pPr>
      <w:r w:rsidRPr="007351AC">
        <w:rPr>
          <w:color w:val="000000"/>
          <w:shd w:val="clear" w:color="auto" w:fill="FFFFFF"/>
        </w:rPr>
        <w:t xml:space="preserve">Dans la « Préface épistémo-critique » à </w:t>
      </w:r>
      <w:r w:rsidRPr="007351AC">
        <w:rPr>
          <w:rFonts w:eastAsiaTheme="majorEastAsia"/>
          <w:i/>
          <w:iCs/>
          <w:color w:val="000000"/>
        </w:rPr>
        <w:t>Origine du drame baroque allemand</w:t>
      </w:r>
      <w:r w:rsidRPr="007351AC">
        <w:rPr>
          <w:color w:val="000000"/>
          <w:shd w:val="clear" w:color="auto" w:fill="FFFFFF"/>
        </w:rPr>
        <w:t xml:space="preserve">, </w:t>
      </w:r>
      <w:r w:rsidRPr="007351AC">
        <w:t>Walter Benjamin (</w:t>
      </w:r>
      <w:r w:rsidR="00E96363">
        <w:t>1928</w:t>
      </w:r>
      <w:r w:rsidR="008345C8">
        <w:t xml:space="preserve"> ; </w:t>
      </w:r>
      <w:r w:rsidR="008345C8" w:rsidRPr="007351AC">
        <w:t>1974, p.</w:t>
      </w:r>
      <w:r w:rsidR="008345C8">
        <w:t xml:space="preserve">  </w:t>
      </w:r>
      <w:r w:rsidR="008345C8" w:rsidRPr="007351AC">
        <w:t>226</w:t>
      </w:r>
      <w:r w:rsidR="008345C8">
        <w:t xml:space="preserve"> ; </w:t>
      </w:r>
      <w:r w:rsidRPr="007351AC">
        <w:t>1985</w:t>
      </w:r>
      <w:r w:rsidR="008345C8">
        <w:t>,</w:t>
      </w:r>
      <w:r w:rsidRPr="007351AC">
        <w:t xml:space="preserve"> p. 43-44)</w:t>
      </w:r>
      <w:r w:rsidRPr="007351AC">
        <w:rPr>
          <w:color w:val="000000"/>
          <w:shd w:val="clear" w:color="auto" w:fill="FFFFFF"/>
        </w:rPr>
        <w:t xml:space="preserve"> distingue l’origine (</w:t>
      </w:r>
      <w:r w:rsidRPr="007351AC">
        <w:rPr>
          <w:i/>
          <w:color w:val="000000"/>
          <w:shd w:val="clear" w:color="auto" w:fill="FFFFFF"/>
        </w:rPr>
        <w:t>Ursprung</w:t>
      </w:r>
      <w:r w:rsidRPr="007351AC">
        <w:rPr>
          <w:color w:val="000000"/>
          <w:shd w:val="clear" w:color="auto" w:fill="FFFFFF"/>
        </w:rPr>
        <w:t>) de la genèse (</w:t>
      </w:r>
      <w:r w:rsidRPr="007351AC">
        <w:rPr>
          <w:i/>
          <w:color w:val="000000"/>
          <w:shd w:val="clear" w:color="auto" w:fill="FFFFFF"/>
        </w:rPr>
        <w:t>Entstehung</w:t>
      </w:r>
      <w:r w:rsidRPr="007351AC">
        <w:rPr>
          <w:color w:val="000000"/>
          <w:shd w:val="clear" w:color="auto" w:fill="FFFFFF"/>
        </w:rPr>
        <w:t>)</w:t>
      </w:r>
      <w:r w:rsidR="00F02EFE">
        <w:rPr>
          <w:color w:val="000000"/>
          <w:shd w:val="clear" w:color="auto" w:fill="FFFFFF"/>
        </w:rPr>
        <w:t xml:space="preserve">. </w:t>
      </w:r>
      <w:r w:rsidRPr="007351AC">
        <w:rPr>
          <w:color w:val="000000"/>
          <w:shd w:val="clear" w:color="auto" w:fill="FFFFFF"/>
        </w:rPr>
        <w:t xml:space="preserve">L’accent est mis sur </w:t>
      </w:r>
      <w:r w:rsidRPr="007351AC">
        <w:rPr>
          <w:color w:val="3A3A3A"/>
          <w:bdr w:val="none" w:sz="0" w:space="0" w:color="auto" w:frame="1"/>
        </w:rPr>
        <w:t>l’imprévisible du « tourbillon dans le fleuve du devenir » (</w:t>
      </w:r>
      <w:r w:rsidRPr="007351AC">
        <w:rPr>
          <w:rFonts w:eastAsiaTheme="majorEastAsia"/>
          <w:i/>
          <w:iCs/>
          <w:color w:val="3A3A3A"/>
          <w:bdr w:val="none" w:sz="0" w:space="0" w:color="auto" w:frame="1"/>
        </w:rPr>
        <w:t>Ursprung steht im Fluss des Werdens als Strudel</w:t>
      </w:r>
      <w:r w:rsidRPr="007351AC">
        <w:rPr>
          <w:color w:val="3A3A3A"/>
          <w:bdr w:val="none" w:sz="0" w:space="0" w:color="auto" w:frame="1"/>
        </w:rPr>
        <w:t>)</w:t>
      </w:r>
      <w:r w:rsidRPr="007351AC">
        <w:rPr>
          <w:rStyle w:val="Appelnotedebasdep"/>
        </w:rPr>
        <w:footnoteReference w:id="17"/>
      </w:r>
      <w:r w:rsidRPr="007351AC">
        <w:rPr>
          <w:color w:val="3A3A3A"/>
          <w:bdr w:val="none" w:sz="0" w:space="0" w:color="auto" w:frame="1"/>
        </w:rPr>
        <w:t>, sur la « pré- et la post-histoire des faits » (</w:t>
      </w:r>
      <w:r w:rsidRPr="007351AC">
        <w:rPr>
          <w:rFonts w:eastAsiaTheme="majorEastAsia"/>
          <w:i/>
          <w:iCs/>
          <w:color w:val="3A3A3A"/>
          <w:bdr w:val="none" w:sz="0" w:space="0" w:color="auto" w:frame="1"/>
        </w:rPr>
        <w:t>Vor- und Nachgeschichte</w:t>
      </w:r>
      <w:r w:rsidRPr="007351AC">
        <w:rPr>
          <w:color w:val="3A3A3A"/>
          <w:bdr w:val="none" w:sz="0" w:space="0" w:color="auto" w:frame="1"/>
        </w:rPr>
        <w:t>) et sur ce qu’elle présuppose : l’inachevé et l’éternellement ouvert. La « détermination réciproque de l’unique et de la répétition » est révélée par une dialectique qui témoigne de l’origine, entre restitution du passé (</w:t>
      </w:r>
      <w:r w:rsidRPr="007351AC">
        <w:rPr>
          <w:i/>
          <w:color w:val="3A3A3A"/>
          <w:bdr w:val="none" w:sz="0" w:space="0" w:color="auto" w:frame="1"/>
        </w:rPr>
        <w:t>Wiederherstellung</w:t>
      </w:r>
      <w:r w:rsidRPr="007351AC">
        <w:rPr>
          <w:color w:val="3A3A3A"/>
          <w:bdr w:val="none" w:sz="0" w:space="0" w:color="auto" w:frame="1"/>
        </w:rPr>
        <w:t xml:space="preserve">) et inachèvement (« l’inachevé, toujours ouvert », </w:t>
      </w:r>
      <w:r w:rsidRPr="007351AC">
        <w:rPr>
          <w:rStyle w:val="Accentuation"/>
          <w:rFonts w:eastAsiaTheme="majorEastAsia"/>
          <w:color w:val="3A3A3A"/>
          <w:bdr w:val="none" w:sz="0" w:space="0" w:color="auto" w:frame="1"/>
        </w:rPr>
        <w:t>Unvollendetes</w:t>
      </w:r>
      <w:r w:rsidRPr="007351AC">
        <w:rPr>
          <w:color w:val="3A3A3A"/>
          <w:bdr w:val="none" w:sz="0" w:space="0" w:color="auto" w:frame="1"/>
        </w:rPr>
        <w:t xml:space="preserve">, </w:t>
      </w:r>
      <w:r w:rsidRPr="007351AC">
        <w:rPr>
          <w:rStyle w:val="Accentuation"/>
          <w:rFonts w:eastAsiaTheme="majorEastAsia"/>
          <w:color w:val="3A3A3A"/>
          <w:bdr w:val="none" w:sz="0" w:space="0" w:color="auto" w:frame="1"/>
        </w:rPr>
        <w:t>Unabgeschlossenes</w:t>
      </w:r>
      <w:r w:rsidRPr="007351AC">
        <w:rPr>
          <w:color w:val="3A3A3A"/>
          <w:bdr w:val="none" w:sz="0" w:space="0" w:color="auto" w:frame="1"/>
        </w:rPr>
        <w:t xml:space="preserve">). D’où une dialectique </w:t>
      </w:r>
      <w:r w:rsidRPr="007351AC">
        <w:rPr>
          <w:color w:val="3A3A3A"/>
          <w:bdr w:val="none" w:sz="0" w:space="0" w:color="auto" w:frame="1"/>
        </w:rPr>
        <w:lastRenderedPageBreak/>
        <w:t>dont la synthèse élude la « réconciliation », car l’« image dialectique n’est synthèse qu’à la condition d’imaginer celle-ci comme un cristal – fragment détaché du rocher, débris, mais absolument pur dans sa structure – où brille la “sublime violence du vrai” » (Didi-Huberman, 1992, p. 133). D’un point de vue aspectuel, la « fulgurance »</w:t>
      </w:r>
      <w:r w:rsidRPr="007351AC">
        <w:rPr>
          <w:rStyle w:val="Appelnotedebasdep"/>
          <w:color w:val="3A3A3A"/>
          <w:bdr w:val="none" w:sz="0" w:space="0" w:color="auto" w:frame="1"/>
        </w:rPr>
        <w:footnoteReference w:id="18"/>
      </w:r>
      <w:r w:rsidRPr="007351AC">
        <w:rPr>
          <w:color w:val="3A3A3A"/>
          <w:bdr w:val="none" w:sz="0" w:space="0" w:color="auto" w:frame="1"/>
        </w:rPr>
        <w:t xml:space="preserve"> de l’image dialectique, en sa fragilité et sa négativité complexe, est d’abord inchoativité. L’image </w:t>
      </w:r>
      <w:r w:rsidRPr="007351AC">
        <w:rPr>
          <w:color w:val="111111"/>
          <w:shd w:val="clear" w:color="auto" w:fill="FFFFFF"/>
        </w:rPr>
        <w:t xml:space="preserve">« n’est pas l’imitation des choses, mais l’intervalle rendu visible, la ligne de fracture entre les choses » (Didi-Huberman, 2000, p. 114). </w:t>
      </w:r>
    </w:p>
    <w:p w:rsidR="002C399C" w:rsidRPr="007351AC" w:rsidRDefault="002C399C" w:rsidP="002C399C">
      <w:pPr>
        <w:spacing w:after="120" w:line="276" w:lineRule="auto"/>
        <w:jc w:val="both"/>
        <w:textAlignment w:val="baseline"/>
        <w:rPr>
          <w:color w:val="3A3A3A"/>
          <w:bdr w:val="none" w:sz="0" w:space="0" w:color="auto" w:frame="1"/>
        </w:rPr>
      </w:pPr>
      <w:r w:rsidRPr="007351AC">
        <w:rPr>
          <w:color w:val="3A3A3A"/>
          <w:bdr w:val="none" w:sz="0" w:space="0" w:color="auto" w:frame="1"/>
        </w:rPr>
        <w:t xml:space="preserve">La linéarité vectorisée et la causalité </w:t>
      </w:r>
      <w:r>
        <w:rPr>
          <w:color w:val="3A3A3A"/>
          <w:bdr w:val="none" w:sz="0" w:space="0" w:color="auto" w:frame="1"/>
        </w:rPr>
        <w:t xml:space="preserve">strictes </w:t>
      </w:r>
      <w:r w:rsidRPr="007351AC">
        <w:rPr>
          <w:color w:val="3A3A3A"/>
          <w:bdr w:val="none" w:sz="0" w:space="0" w:color="auto" w:frame="1"/>
        </w:rPr>
        <w:t>sont ainsi remises en question. Au-delà même de l’idée d’une progression le long de lignes enchevêtrées, le tourbillon spiralaire</w:t>
      </w:r>
      <w:r w:rsidR="00F02EFE">
        <w:rPr>
          <w:color w:val="3A3A3A"/>
          <w:bdr w:val="none" w:sz="0" w:space="0" w:color="auto" w:frame="1"/>
        </w:rPr>
        <w:t xml:space="preserve"> </w:t>
      </w:r>
      <w:r w:rsidRPr="007351AC">
        <w:rPr>
          <w:color w:val="3A3A3A"/>
          <w:bdr w:val="none" w:sz="0" w:space="0" w:color="auto" w:frame="1"/>
        </w:rPr>
        <w:t xml:space="preserve">signifie l’élan entre pré- et post-histoire, entre répétition et prévision. Le devenir n’est pas nié, mais l’élan naît </w:t>
      </w:r>
      <w:r w:rsidRPr="007351AC">
        <w:rPr>
          <w:i/>
          <w:color w:val="3A3A3A"/>
          <w:bdr w:val="none" w:sz="0" w:space="0" w:color="auto" w:frame="1"/>
        </w:rPr>
        <w:t>dans</w:t>
      </w:r>
      <w:r w:rsidRPr="007351AC">
        <w:rPr>
          <w:color w:val="3A3A3A"/>
          <w:bdr w:val="none" w:sz="0" w:space="0" w:color="auto" w:frame="1"/>
        </w:rPr>
        <w:t xml:space="preserve"> le devenir, tout comme l’origine-tourbillon, la trace étant la restitution fulgurante de l’autrefois dans le maintenant. Une manière d’être dans ce que Didi-Huberman (1992, p. 132) appelle le « présent réminiscent » : le passé </w:t>
      </w:r>
      <w:r w:rsidRPr="007351AC">
        <w:rPr>
          <w:i/>
          <w:color w:val="3A3A3A"/>
          <w:bdr w:val="none" w:sz="0" w:space="0" w:color="auto" w:frame="1"/>
        </w:rPr>
        <w:t xml:space="preserve">a lieu </w:t>
      </w:r>
      <w:r w:rsidRPr="007351AC">
        <w:rPr>
          <w:color w:val="3A3A3A"/>
          <w:bdr w:val="none" w:sz="0" w:space="0" w:color="auto" w:frame="1"/>
        </w:rPr>
        <w:t>à nouveau</w:t>
      </w:r>
      <w:r w:rsidRPr="007351AC">
        <w:rPr>
          <w:rStyle w:val="Appelnotedebasdep"/>
          <w:color w:val="3A3A3A"/>
          <w:bdr w:val="none" w:sz="0" w:space="0" w:color="auto" w:frame="1"/>
        </w:rPr>
        <w:footnoteReference w:id="19"/>
      </w:r>
      <w:r w:rsidRPr="007351AC">
        <w:rPr>
          <w:color w:val="3A3A3A"/>
          <w:bdr w:val="none" w:sz="0" w:space="0" w:color="auto" w:frame="1"/>
        </w:rPr>
        <w:t xml:space="preserve">. </w:t>
      </w:r>
    </w:p>
    <w:p w:rsidR="002C399C" w:rsidRPr="00B75CA0" w:rsidRDefault="002C399C" w:rsidP="002C399C">
      <w:pPr>
        <w:autoSpaceDE w:val="0"/>
        <w:autoSpaceDN w:val="0"/>
        <w:adjustRightInd w:val="0"/>
        <w:spacing w:after="120" w:line="276" w:lineRule="auto"/>
        <w:jc w:val="both"/>
      </w:pPr>
      <w:r w:rsidRPr="007351AC">
        <w:t>Mais franchissons un dernier pas</w:t>
      </w:r>
      <w:r>
        <w:t xml:space="preserve"> : il est possible </w:t>
      </w:r>
      <w:r w:rsidRPr="00C869B0">
        <w:t xml:space="preserve">de saisir </w:t>
      </w:r>
      <w:r w:rsidRPr="009C4025">
        <w:rPr>
          <w:i/>
        </w:rPr>
        <w:t>dans l’instant</w:t>
      </w:r>
      <w:r w:rsidRPr="00C869B0">
        <w:t xml:space="preserve"> un ensemble de </w:t>
      </w:r>
      <w:r w:rsidRPr="009C4025">
        <w:rPr>
          <w:i/>
        </w:rPr>
        <w:t>variantes co-présentes</w:t>
      </w:r>
      <w:r w:rsidRPr="00C869B0">
        <w:t>. En troquant l’axe des successivités contre l’axe paradigmatique</w:t>
      </w:r>
      <w:r>
        <w:t xml:space="preserve">, en déplaçant l’accent des développements historiques, ordonnancés dans le temps, sur l’espace et ses topographies. Confortons davantage encore l’idée d’un présent « multiple », densifié, pourvu d’une épaisseur. Pour nous, celle-ci est constituée de couches de profondeur où se logent des images saisies dans leur simultanéité, en vertu d’un </w:t>
      </w:r>
      <w:r w:rsidRPr="00C869B0">
        <w:rPr>
          <w:i/>
        </w:rPr>
        <w:t>principe de variation</w:t>
      </w:r>
      <w:r w:rsidRPr="00C869B0">
        <w:t xml:space="preserve"> interne</w:t>
      </w:r>
      <w:r>
        <w:t xml:space="preserve">. En </w:t>
      </w:r>
      <w:r w:rsidRPr="00C869B0">
        <w:t>témoignent les « croquis de Rembrandt</w:t>
      </w:r>
      <w:r w:rsidRPr="0028086D">
        <w:t xml:space="preserve"> fourmill[a]nt dans la peinture de Rembrandt » (</w:t>
      </w:r>
      <w:r>
        <w:t xml:space="preserve">Focillon, </w:t>
      </w:r>
      <w:r w:rsidRPr="0028086D">
        <w:t>[1943] 2010, p. 8)</w:t>
      </w:r>
      <w:r>
        <w:t xml:space="preserve"> : </w:t>
      </w:r>
      <w:r w:rsidRPr="0028086D">
        <w:t>« Dans la même figure, il y en a beaucoup, comme dans ces dessins où les maîtres, cherchant la justesse ou la beauté d’un mouvement, superposent plusieurs bras, attachés à la même épaule » (</w:t>
      </w:r>
      <w:r w:rsidRPr="0028086D">
        <w:rPr>
          <w:i/>
        </w:rPr>
        <w:t>idem</w:t>
      </w:r>
      <w:r w:rsidRPr="0028086D">
        <w:t>). D’où, sur l’axe paradi</w:t>
      </w:r>
      <w:r>
        <w:t>g</w:t>
      </w:r>
      <w:r w:rsidRPr="0028086D">
        <w:t xml:space="preserve">matique, </w:t>
      </w:r>
      <w:r>
        <w:t>à la fois un rapprochement</w:t>
      </w:r>
      <w:r w:rsidRPr="0028086D">
        <w:t xml:space="preserve"> </w:t>
      </w:r>
      <w:r>
        <w:t>de formes riche</w:t>
      </w:r>
      <w:r w:rsidR="008345C8">
        <w:t>s</w:t>
      </w:r>
      <w:r w:rsidRPr="0028086D">
        <w:t xml:space="preserve"> de possibles et de potentialités </w:t>
      </w:r>
      <w:r>
        <w:t xml:space="preserve">et </w:t>
      </w:r>
      <w:r w:rsidRPr="0028086D">
        <w:t>le maintien de l’</w:t>
      </w:r>
      <w:r>
        <w:t xml:space="preserve">écart </w:t>
      </w:r>
      <w:r w:rsidRPr="0028086D">
        <w:t>ou de la béance, qui fait que le sens circule entre les couches de profondeur</w:t>
      </w:r>
      <w:r>
        <w:t xml:space="preserve"> et agit </w:t>
      </w:r>
      <w:r w:rsidRPr="0028086D">
        <w:t>contre la compacité d’un tout de sens à jamais stabilisé.</w:t>
      </w:r>
      <w:r>
        <w:t xml:space="preserve"> </w:t>
      </w:r>
    </w:p>
    <w:p w:rsidR="002C399C" w:rsidRDefault="002C399C" w:rsidP="002C399C">
      <w:pPr>
        <w:pStyle w:val="NormalWeb"/>
        <w:spacing w:before="0" w:beforeAutospacing="0" w:after="120" w:afterAutospacing="0" w:line="276" w:lineRule="auto"/>
        <w:jc w:val="both"/>
      </w:pPr>
      <w:r>
        <w:t>Dans ce cas, il ne suffit plus de rappeler l’aspectualisation d’une (pluri)linéarité, des rythmiques particulières qui témoignent de ralentissements et d’accélérations, de précocités, pour citer Focillon (</w:t>
      </w:r>
      <w:r>
        <w:rPr>
          <w:i/>
        </w:rPr>
        <w:t>idem)</w:t>
      </w:r>
      <w:r>
        <w:t xml:space="preserve">, et de retards, de mouvements qui ne sont pas uniformes et de mises en résonance harmonieuses, couplées avec des mises en dissonance dotées d’un soubassement conflictuel. Dès lors que le point de vue diachronique est conjugué avec le point de vue </w:t>
      </w:r>
      <w:r w:rsidRPr="00FD3A0A">
        <w:rPr>
          <w:i/>
        </w:rPr>
        <w:t>synchronique</w:t>
      </w:r>
      <w:r>
        <w:t>, la succession, plus ou moins libre et déliée, peut s’ajuster à la « </w:t>
      </w:r>
      <w:r w:rsidRPr="00FD3A0A">
        <w:rPr>
          <w:i/>
        </w:rPr>
        <w:t>superposition</w:t>
      </w:r>
      <w:r>
        <w:t xml:space="preserve"> de présents largement étendus » (</w:t>
      </w:r>
      <w:r w:rsidRPr="00AB1869">
        <w:rPr>
          <w:i/>
        </w:rPr>
        <w:t>idem</w:t>
      </w:r>
      <w:r>
        <w:t xml:space="preserve"> ; nous soulignons). Focillon est particulièrement explicite à cet égard : « L’histoire de l’art nous montre, </w:t>
      </w:r>
      <w:r w:rsidRPr="00B75CA0">
        <w:rPr>
          <w:i/>
        </w:rPr>
        <w:t>juxtaposées dans le même moment</w:t>
      </w:r>
      <w:r>
        <w:t>, des survivances et des anticipations, des formes lentes, retardataires, contemporaines de formes hardies et rapides » (</w:t>
      </w:r>
      <w:r w:rsidRPr="004C1D5B">
        <w:rPr>
          <w:i/>
        </w:rPr>
        <w:t>ibid.</w:t>
      </w:r>
      <w:r>
        <w:t xml:space="preserve">, p. 87 ; nous soulignons). Nous faisons un pas de plus en envisageant </w:t>
      </w:r>
      <w:r>
        <w:lastRenderedPageBreak/>
        <w:t xml:space="preserve">des images </w:t>
      </w:r>
      <w:r w:rsidRPr="00AF46B7">
        <w:rPr>
          <w:i/>
        </w:rPr>
        <w:t>superposées</w:t>
      </w:r>
      <w:r>
        <w:t>. D’où aussi une reconception du « moment », au-delà de toute succession : il « n’est pas un point quelconque sur une droite, mais un renflement, un nœud » (</w:t>
      </w:r>
      <w:r w:rsidRPr="00A110A7">
        <w:rPr>
          <w:i/>
        </w:rPr>
        <w:t>ibid</w:t>
      </w:r>
      <w:r>
        <w:t>., p. 97). Et c’est en cela qu’il peut accueillir l’événement, cette « brusquerie efficace » (</w:t>
      </w:r>
      <w:r w:rsidRPr="00A110A7">
        <w:rPr>
          <w:i/>
        </w:rPr>
        <w:t>ibid.</w:t>
      </w:r>
      <w:r>
        <w:t>, p. 99), absolue ou relative, qui pourvoit la forme d’une « qualité novatrice et révolutionnaire » en mettant à profit une structure du temps « mobile » (</w:t>
      </w:r>
      <w:r w:rsidRPr="0014450E">
        <w:rPr>
          <w:i/>
        </w:rPr>
        <w:t>ibid</w:t>
      </w:r>
      <w:r>
        <w:t xml:space="preserve">., p. 99-100). </w:t>
      </w:r>
      <w:r w:rsidR="00F02EFE">
        <w:t>Dans le présent</w:t>
      </w:r>
      <w:r w:rsidR="008345C8">
        <w:t>, disons-nous</w:t>
      </w:r>
      <w:r w:rsidR="00F02EFE">
        <w:t xml:space="preserve">. </w:t>
      </w:r>
      <w:r>
        <w:t xml:space="preserve">Secouant le joug du « déterminisme », la forme s’expose à la « fissure » et au « désaccord », en toute liberté. </w:t>
      </w:r>
    </w:p>
    <w:p w:rsidR="002C399C" w:rsidRDefault="002C399C" w:rsidP="002C399C">
      <w:pPr>
        <w:pStyle w:val="NormalWeb"/>
        <w:spacing w:before="0" w:beforeAutospacing="0" w:after="120" w:afterAutospacing="0" w:line="276" w:lineRule="auto"/>
        <w:jc w:val="both"/>
      </w:pPr>
      <w:r>
        <w:t xml:space="preserve">On mentionnera, enfin, le </w:t>
      </w:r>
      <w:r w:rsidRPr="0084026B">
        <w:rPr>
          <w:i/>
        </w:rPr>
        <w:t>tressage</w:t>
      </w:r>
      <w:r>
        <w:t xml:space="preserve"> de fils, de couleurs, de formes, décrit par Damisch (1984) à propos de François Rouan. Grâce à son pouvoir de création et d’engendrement, il </w:t>
      </w:r>
      <w:r w:rsidR="00F02EFE">
        <w:t>conjugue ensemble une tempora</w:t>
      </w:r>
      <w:r w:rsidR="00A77AC3">
        <w:t>l</w:t>
      </w:r>
      <w:r w:rsidR="00F02EFE">
        <w:t xml:space="preserve">ité plurielle et l’attribution à </w:t>
      </w:r>
      <w:r>
        <w:t>l’image d’une épaisseur. Dépassant la théorie traditionnelle des sources</w:t>
      </w:r>
      <w:r>
        <w:rPr>
          <w:rStyle w:val="Appelnotedebasdep"/>
        </w:rPr>
        <w:footnoteReference w:id="20"/>
      </w:r>
      <w:r>
        <w:t xml:space="preserve"> et des influences, réexaminant les pratiques de la citation elles-mêmes, au profit de la réénonciation, l’on se rapproche alors de l’« histoire des œuvres elles-mêmes » (</w:t>
      </w:r>
      <w:r w:rsidR="00472C92">
        <w:t xml:space="preserve">même si </w:t>
      </w:r>
      <w:r w:rsidRPr="00472C92">
        <w:t>Benjamin</w:t>
      </w:r>
      <w:r>
        <w:t xml:space="preserve">, </w:t>
      </w:r>
      <w:r w:rsidR="00472C92">
        <w:t xml:space="preserve">dans sa </w:t>
      </w:r>
      <w:r w:rsidR="00324007">
        <w:t>lettre à F</w:t>
      </w:r>
      <w:r w:rsidR="00472C92">
        <w:t>l</w:t>
      </w:r>
      <w:r w:rsidR="00324007">
        <w:t xml:space="preserve">orens Christian Rang, le 9 décembre </w:t>
      </w:r>
      <w:r>
        <w:t>1923</w:t>
      </w:r>
      <w:r w:rsidR="00472C92">
        <w:t xml:space="preserve">, refuse à l’œuvre d’art toute historicité : </w:t>
      </w:r>
      <w:r w:rsidR="00472C92" w:rsidRPr="00472C92">
        <w:rPr>
          <w:i/>
        </w:rPr>
        <w:t>Das Kunstwerk […] ist seinem Wesentlichen nach geschichtslos</w:t>
      </w:r>
      <w:r w:rsidR="00472C92">
        <w:rPr>
          <w:i/>
        </w:rPr>
        <w:t xml:space="preserve">. </w:t>
      </w:r>
      <w:r w:rsidR="00472C92" w:rsidRPr="00BE2569">
        <w:rPr>
          <w:i/>
          <w:lang w:val="de-DE"/>
        </w:rPr>
        <w:t>[…] eine Geschichte der Kunstwerke selbst kommt dabei nicht in Frage</w:t>
      </w:r>
      <w:r w:rsidR="00472C92" w:rsidRPr="00BE2569">
        <w:rPr>
          <w:lang w:val="de-DE"/>
        </w:rPr>
        <w:t>)</w:t>
      </w:r>
      <w:r>
        <w:rPr>
          <w:rStyle w:val="Appelnotedebasdep"/>
        </w:rPr>
        <w:footnoteReference w:id="21"/>
      </w:r>
      <w:r w:rsidRPr="00BE2569">
        <w:rPr>
          <w:lang w:val="de-DE"/>
        </w:rPr>
        <w:t>)</w:t>
      </w:r>
      <w:r w:rsidR="00472C92" w:rsidRPr="00BE2569">
        <w:rPr>
          <w:lang w:val="de-DE"/>
        </w:rPr>
        <w:t xml:space="preserve">. </w:t>
      </w:r>
      <w:r w:rsidR="00472C92">
        <w:t xml:space="preserve">Nous envisageons, pour notre part, </w:t>
      </w:r>
      <w:r>
        <w:t xml:space="preserve">des </w:t>
      </w:r>
      <w:r w:rsidRPr="00912BD9">
        <w:rPr>
          <w:i/>
        </w:rPr>
        <w:t>formes de vie</w:t>
      </w:r>
      <w:r>
        <w:t xml:space="preserve"> des œuvres (Basso Fossali</w:t>
      </w:r>
      <w:r w:rsidR="00F02EFE">
        <w:t xml:space="preserve"> 2012a et b, 2019</w:t>
      </w:r>
      <w:r>
        <w:t>)</w:t>
      </w:r>
      <w:r w:rsidR="00472C92">
        <w:t>,</w:t>
      </w:r>
      <w:r>
        <w:t xml:space="preserve"> qu’on peut appréhender successivement ou simultanément.  </w:t>
      </w:r>
    </w:p>
    <w:p w:rsidR="002C399C" w:rsidRDefault="002C399C" w:rsidP="002C399C">
      <w:pPr>
        <w:pStyle w:val="NormalWeb"/>
        <w:spacing w:before="0" w:beforeAutospacing="0" w:after="120" w:afterAutospacing="0" w:line="276" w:lineRule="auto"/>
        <w:jc w:val="both"/>
      </w:pPr>
      <w:r>
        <w:t xml:space="preserve">Il faudra </w:t>
      </w:r>
      <w:r w:rsidR="00F02EFE">
        <w:t xml:space="preserve">maintenant </w:t>
      </w:r>
      <w:r>
        <w:t xml:space="preserve">creuser </w:t>
      </w:r>
      <w:r w:rsidR="00F02EFE">
        <w:t xml:space="preserve">cette idée davantage. </w:t>
      </w:r>
      <w:r>
        <w:t xml:space="preserve">Les formes de vie (Fontanille 2015) entrent en collision, se relayent et se substituent les unes aux autres. Cela ne suffit pas. À un moment donné, une syntagmatique congruente avec des rôles actantiels, des passions, des valeurs… entre en résonance ou en dissonance, paradigmatiquement, avec d’autres syntagmatiques – d’autres valeurs, d’autres passions… – plus ou moins latentes. Il incombe au </w:t>
      </w:r>
      <w:r w:rsidRPr="00917749">
        <w:rPr>
          <w:i/>
        </w:rPr>
        <w:t>montage</w:t>
      </w:r>
      <w:r>
        <w:t xml:space="preserve"> d’images plurielles juxtaposées, avec leurs fissures et leurs fractures, mais aussi </w:t>
      </w:r>
      <w:r w:rsidR="00472C92">
        <w:t xml:space="preserve">aux </w:t>
      </w:r>
      <w:r w:rsidRPr="00AF46B7">
        <w:rPr>
          <w:i/>
        </w:rPr>
        <w:t>stratifications</w:t>
      </w:r>
      <w:r>
        <w:t xml:space="preserve"> de les </w:t>
      </w:r>
      <w:r w:rsidRPr="00917749">
        <w:rPr>
          <w:i/>
        </w:rPr>
        <w:t>révéler</w:t>
      </w:r>
      <w:r>
        <w:t xml:space="preserve">. </w:t>
      </w:r>
    </w:p>
    <w:p w:rsidR="002C399C" w:rsidRPr="00003600" w:rsidRDefault="002C399C" w:rsidP="002C399C">
      <w:pPr>
        <w:pStyle w:val="NormalWeb"/>
        <w:spacing w:before="0" w:beforeAutospacing="0" w:after="120" w:afterAutospacing="0" w:line="276" w:lineRule="auto"/>
        <w:jc w:val="both"/>
        <w:rPr>
          <w:b/>
          <w:lang w:val="fr-FR"/>
        </w:rPr>
      </w:pPr>
      <w:r w:rsidRPr="00003600">
        <w:rPr>
          <w:b/>
          <w:lang w:val="fr-FR"/>
        </w:rPr>
        <w:t>3. Le figuratif et le plastique</w:t>
      </w:r>
      <w:r>
        <w:rPr>
          <w:b/>
          <w:lang w:val="fr-FR"/>
        </w:rPr>
        <w:t xml:space="preserve"> : les promesses de sens </w:t>
      </w:r>
    </w:p>
    <w:p w:rsidR="002C399C" w:rsidRDefault="002C399C" w:rsidP="002C399C">
      <w:pPr>
        <w:pStyle w:val="NormalWeb"/>
        <w:spacing w:before="0" w:beforeAutospacing="0" w:after="120" w:afterAutospacing="0" w:line="276" w:lineRule="auto"/>
        <w:jc w:val="both"/>
        <w:rPr>
          <w:lang w:val="fr-FR"/>
        </w:rPr>
      </w:pPr>
      <w:r>
        <w:rPr>
          <w:lang w:val="fr-FR"/>
        </w:rPr>
        <w:t>Parler de « révélation » d’images enfouies dans l’épaisseur notamment mémorielle, c’est élargir le champ de questionnement davantage</w:t>
      </w:r>
      <w:r w:rsidR="00472C92">
        <w:rPr>
          <w:lang w:val="fr-FR"/>
        </w:rPr>
        <w:t>. Q</w:t>
      </w:r>
      <w:r>
        <w:rPr>
          <w:lang w:val="fr-FR"/>
        </w:rPr>
        <w:t xml:space="preserve">ue nous suggère tel commentaire de Michaud ([1998] 2022, p.  330), qui détecte chez Warburg une « critique implicite de la philosophie du sujet », faisant de l’auteur moins un « maître de ses énoncés » qu’une « surface d’impression où viennent </w:t>
      </w:r>
      <w:r w:rsidRPr="00AF46B7">
        <w:rPr>
          <w:i/>
          <w:lang w:val="fr-FR"/>
        </w:rPr>
        <w:t>se révéler</w:t>
      </w:r>
      <w:r>
        <w:rPr>
          <w:lang w:val="fr-FR"/>
        </w:rPr>
        <w:t xml:space="preserve"> des images ressurgies du passé » (nous soulignons) ? Faudra-t-il penser la destitution (partielle) du sujet, qui peut être un sujet d’énonciation, mais aussi un « révélateur » ? </w:t>
      </w:r>
      <w:r w:rsidR="005A0462">
        <w:rPr>
          <w:lang w:val="fr-FR"/>
        </w:rPr>
        <w:t xml:space="preserve">La question aura son importance quand </w:t>
      </w:r>
      <w:r w:rsidR="004510AC">
        <w:rPr>
          <w:lang w:val="fr-FR"/>
        </w:rPr>
        <w:t xml:space="preserve">l’analyste sera </w:t>
      </w:r>
      <w:r w:rsidR="005A0462">
        <w:rPr>
          <w:lang w:val="fr-FR"/>
        </w:rPr>
        <w:t xml:space="preserve">face à la génération des images par la machine. </w:t>
      </w:r>
    </w:p>
    <w:p w:rsidR="00ED140D" w:rsidRPr="00601F71" w:rsidRDefault="00ED140D" w:rsidP="00ED140D">
      <w:pPr>
        <w:spacing w:after="120" w:line="276" w:lineRule="auto"/>
        <w:jc w:val="both"/>
      </w:pPr>
      <w:r>
        <w:rPr>
          <w:lang w:val="fr-FR"/>
        </w:rPr>
        <w:t xml:space="preserve">Bien plus, </w:t>
      </w:r>
      <w:r w:rsidR="004510AC">
        <w:rPr>
          <w:lang w:val="fr-FR"/>
        </w:rPr>
        <w:t>si les plages warburgiennes témoignent d’une « fonction prédiscursive » (</w:t>
      </w:r>
      <w:r w:rsidR="004510AC" w:rsidRPr="00B016A7">
        <w:rPr>
          <w:i/>
          <w:lang w:val="fr-FR"/>
        </w:rPr>
        <w:t>ibid</w:t>
      </w:r>
      <w:r w:rsidR="004510AC">
        <w:rPr>
          <w:lang w:val="fr-FR"/>
        </w:rPr>
        <w:t xml:space="preserve">., p. 323), </w:t>
      </w:r>
      <w:r>
        <w:rPr>
          <w:lang w:val="fr-FR"/>
        </w:rPr>
        <w:t>la focalisation de</w:t>
      </w:r>
      <w:r w:rsidRPr="00601F71">
        <w:rPr>
          <w:lang w:val="fr-FR"/>
        </w:rPr>
        <w:t xml:space="preserve"> l’attention sur les propriétés plastiques des </w:t>
      </w:r>
      <w:r>
        <w:rPr>
          <w:lang w:val="fr-FR"/>
        </w:rPr>
        <w:t>œuvres d’art (</w:t>
      </w:r>
      <w:r w:rsidRPr="00601F71">
        <w:rPr>
          <w:lang w:val="fr-FR"/>
        </w:rPr>
        <w:t>essentiellement, les traits éidétiques, chromatiques et topologiques</w:t>
      </w:r>
      <w:r>
        <w:rPr>
          <w:lang w:val="fr-FR"/>
        </w:rPr>
        <w:t xml:space="preserve">, des constellations et des énergies, voire des formats, des supports et des matériaux) faciliterait </w:t>
      </w:r>
      <w:r w:rsidRPr="00601F71">
        <w:rPr>
          <w:lang w:val="fr-FR"/>
        </w:rPr>
        <w:t>l’établissement d’analogies entre les images</w:t>
      </w:r>
      <w:r>
        <w:rPr>
          <w:lang w:val="fr-FR"/>
        </w:rPr>
        <w:t xml:space="preserve"> et d’homologies</w:t>
      </w:r>
      <w:r w:rsidRPr="00601F71">
        <w:rPr>
          <w:lang w:val="fr-FR"/>
        </w:rPr>
        <w:t xml:space="preserve">, en-deçà de la migration des motifs iconographiques. </w:t>
      </w:r>
      <w:r>
        <w:rPr>
          <w:lang w:val="fr-FR"/>
        </w:rPr>
        <w:t xml:space="preserve">Cette idée peut être argumentée à partir de deux cadres théoriques différents. </w:t>
      </w:r>
      <w:r>
        <w:rPr>
          <w:lang w:val="fr-FR"/>
        </w:rPr>
        <w:lastRenderedPageBreak/>
        <w:t xml:space="preserve">D’une part, </w:t>
      </w:r>
      <w:r w:rsidR="002C399C">
        <w:rPr>
          <w:lang w:val="fr-FR"/>
        </w:rPr>
        <w:t xml:space="preserve">le débat gagne à distinguer, à la suite de Jean-François Bordron (2019), la forme de la </w:t>
      </w:r>
      <w:r w:rsidR="002C399C" w:rsidRPr="007F1729">
        <w:rPr>
          <w:i/>
          <w:lang w:val="fr-FR"/>
        </w:rPr>
        <w:t>morphologie</w:t>
      </w:r>
      <w:r w:rsidR="002F098B" w:rsidRPr="00CB7FDF">
        <w:rPr>
          <w:rStyle w:val="Appelnotedebasdep"/>
          <w:lang w:val="fr-FR"/>
        </w:rPr>
        <w:footnoteReference w:id="22"/>
      </w:r>
      <w:r w:rsidR="002C399C" w:rsidRPr="00CB7FDF">
        <w:rPr>
          <w:lang w:val="fr-FR"/>
        </w:rPr>
        <w:t> </w:t>
      </w:r>
      <w:r w:rsidR="002C399C">
        <w:rPr>
          <w:lang w:val="fr-FR"/>
        </w:rPr>
        <w:t>: il s’agira alors de voir comment des relations entre les parties et le tout et entre les parties contribuent à faire naître des compositions méréologiques et en quoi ces relations reposent sur des tensions, des forces convergentes et divergentes</w:t>
      </w:r>
      <w:r>
        <w:rPr>
          <w:lang w:val="fr-FR"/>
        </w:rPr>
        <w:t xml:space="preserve">. D’autre part, </w:t>
      </w:r>
      <w:r w:rsidRPr="00601F71">
        <w:t>Jacques Fontanille (</w:t>
      </w:r>
      <w:r>
        <w:t xml:space="preserve">juin </w:t>
      </w:r>
      <w:r w:rsidRPr="00601F71">
        <w:t>2022</w:t>
      </w:r>
      <w:r w:rsidR="00CB7FDF">
        <w:t>)</w:t>
      </w:r>
      <w:r w:rsidRPr="00601F71">
        <w:t xml:space="preserve"> réexamine les spécificités et l’articulation des plans iconique et plastique : </w:t>
      </w:r>
    </w:p>
    <w:p w:rsidR="00ED140D" w:rsidRPr="00601F71" w:rsidRDefault="00ED140D" w:rsidP="00ED140D">
      <w:pPr>
        <w:spacing w:after="120" w:line="276" w:lineRule="auto"/>
        <w:ind w:left="567"/>
        <w:jc w:val="both"/>
      </w:pPr>
      <w:r w:rsidRPr="00601F71">
        <w:t xml:space="preserve">[…] l’iconique et le plastique sont deux manières différentes et complémentaires de construire la signification du sensible, l’une procédant par </w:t>
      </w:r>
      <w:r w:rsidRPr="00601F71">
        <w:rPr>
          <w:i/>
        </w:rPr>
        <w:t>reconnaissance</w:t>
      </w:r>
      <w:r w:rsidRPr="00601F71">
        <w:t xml:space="preserve"> des entités sensibles (l’iconisation), et l’autre par la </w:t>
      </w:r>
      <w:r w:rsidRPr="00601F71">
        <w:rPr>
          <w:i/>
        </w:rPr>
        <w:t xml:space="preserve">projection </w:t>
      </w:r>
      <w:r w:rsidRPr="00601F71">
        <w:t xml:space="preserve">d’un réseau de relations entre les propriétés sensibles élémentaires (les propriétés plastiques). La dimension iconique procède d’une stabilisation des figures en vue de la </w:t>
      </w:r>
      <w:r w:rsidRPr="00601F71">
        <w:rPr>
          <w:i/>
        </w:rPr>
        <w:t>reconnaissance</w:t>
      </w:r>
      <w:r w:rsidRPr="00601F71">
        <w:t xml:space="preserve"> d’une signification </w:t>
      </w:r>
      <w:r w:rsidRPr="00601F71">
        <w:rPr>
          <w:i/>
        </w:rPr>
        <w:t>déjà disponible</w:t>
      </w:r>
      <w:r w:rsidRPr="00601F71">
        <w:t xml:space="preserve">, et la dimension plastique procède d’une stabilisation des figures en vue de leur </w:t>
      </w:r>
      <w:r w:rsidRPr="00601F71">
        <w:rPr>
          <w:i/>
        </w:rPr>
        <w:t>remplissement</w:t>
      </w:r>
      <w:r w:rsidRPr="00601F71">
        <w:t xml:space="preserve"> par une signification qui n’est </w:t>
      </w:r>
      <w:r w:rsidRPr="00601F71">
        <w:rPr>
          <w:i/>
        </w:rPr>
        <w:t>pas encore disponible</w:t>
      </w:r>
      <w:r w:rsidRPr="00601F71">
        <w:t xml:space="preserve">, qui est seulement </w:t>
      </w:r>
      <w:r w:rsidRPr="00601F71">
        <w:rPr>
          <w:i/>
        </w:rPr>
        <w:t>en projet</w:t>
      </w:r>
      <w:r w:rsidRPr="00601F71">
        <w:t xml:space="preserve"> dans l’énonciation même. </w:t>
      </w:r>
    </w:p>
    <w:p w:rsidR="002C399C" w:rsidRPr="00ED140D" w:rsidRDefault="00ED140D" w:rsidP="00ED140D">
      <w:pPr>
        <w:spacing w:after="120" w:line="276" w:lineRule="auto"/>
        <w:jc w:val="both"/>
        <w:rPr>
          <w:lang w:val="fr-FR"/>
        </w:rPr>
      </w:pPr>
      <w:r>
        <w:t>D’où, pour la sémiose plastique, une</w:t>
      </w:r>
      <w:r w:rsidR="002C399C" w:rsidRPr="00601F71">
        <w:t xml:space="preserve"> tension vers un </w:t>
      </w:r>
      <w:r w:rsidR="002C399C" w:rsidRPr="00601F71">
        <w:rPr>
          <w:i/>
        </w:rPr>
        <w:t>à-venir</w:t>
      </w:r>
      <w:r w:rsidR="002C399C" w:rsidRPr="00601F71">
        <w:t xml:space="preserve"> qui n’émergera que progressivement</w:t>
      </w:r>
      <w:r>
        <w:t>. D’où l’idée qu’en isolant des diagonales ou des lignes courbes, des plages chromatiques, des dispositions dans l’espace du tableau…, bref, en « suspendant la sémiose iconique », temporairement</w:t>
      </w:r>
      <w:r w:rsidRPr="00D26DBE">
        <w:rPr>
          <w:rStyle w:val="Appelnotedebasdep"/>
        </w:rPr>
        <w:footnoteReference w:id="23"/>
      </w:r>
      <w:r>
        <w:t xml:space="preserve">, en mettant entre parenthèses la reconnaissance de motifs, pour mieux capter des « promesse[s] de forme </w:t>
      </w:r>
      <w:r w:rsidRPr="00D26DBE">
        <w:t>et de sémiose »</w:t>
      </w:r>
      <w:r>
        <w:t xml:space="preserve"> (Fontanille </w:t>
      </w:r>
      <w:r w:rsidR="00753AD4">
        <w:rPr>
          <w:i/>
        </w:rPr>
        <w:t>ibid</w:t>
      </w:r>
      <w:r w:rsidR="00CB7FDF">
        <w:t>.</w:t>
      </w:r>
      <w:r>
        <w:t xml:space="preserve">), nous pouvons générer des rapprochements et des éloignements entre tableaux que la seule reconnaissance de motifs </w:t>
      </w:r>
      <w:r w:rsidR="003B4DA0">
        <w:t xml:space="preserve">figuratifs </w:t>
      </w:r>
      <w:r>
        <w:t xml:space="preserve">déposés dans la mémoire pourrait freiner. </w:t>
      </w:r>
    </w:p>
    <w:p w:rsidR="002C399C" w:rsidRPr="002F098B" w:rsidRDefault="002C399C" w:rsidP="002F098B">
      <w:pPr>
        <w:pStyle w:val="Paragrapheavecretraitapr4"/>
        <w:spacing w:after="120" w:line="276" w:lineRule="auto"/>
        <w:ind w:firstLine="0"/>
        <w:rPr>
          <w:sz w:val="24"/>
          <w:szCs w:val="24"/>
        </w:rPr>
      </w:pPr>
      <w:r w:rsidRPr="00146999">
        <w:rPr>
          <w:sz w:val="24"/>
          <w:szCs w:val="24"/>
        </w:rPr>
        <w:t>Poursuivons sur notre lancée</w:t>
      </w:r>
      <w:r w:rsidR="00ED140D">
        <w:rPr>
          <w:sz w:val="24"/>
          <w:szCs w:val="24"/>
        </w:rPr>
        <w:t xml:space="preserve">, en </w:t>
      </w:r>
      <w:r w:rsidR="002F098B">
        <w:rPr>
          <w:sz w:val="24"/>
          <w:szCs w:val="24"/>
        </w:rPr>
        <w:t>adaptant les deux</w:t>
      </w:r>
      <w:r w:rsidR="00ED140D">
        <w:rPr>
          <w:sz w:val="24"/>
          <w:szCs w:val="24"/>
        </w:rPr>
        <w:t xml:space="preserve"> point</w:t>
      </w:r>
      <w:r w:rsidR="002F098B">
        <w:rPr>
          <w:sz w:val="24"/>
          <w:szCs w:val="24"/>
        </w:rPr>
        <w:t>s</w:t>
      </w:r>
      <w:r w:rsidR="00ED140D">
        <w:rPr>
          <w:sz w:val="24"/>
          <w:szCs w:val="24"/>
        </w:rPr>
        <w:t xml:space="preserve"> de vue</w:t>
      </w:r>
      <w:r w:rsidR="002F098B">
        <w:rPr>
          <w:sz w:val="24"/>
          <w:szCs w:val="24"/>
        </w:rPr>
        <w:t xml:space="preserve"> à notre propos</w:t>
      </w:r>
      <w:r>
        <w:rPr>
          <w:sz w:val="24"/>
          <w:szCs w:val="24"/>
        </w:rPr>
        <w:t> </w:t>
      </w:r>
      <w:r w:rsidRPr="00146999">
        <w:rPr>
          <w:sz w:val="24"/>
          <w:szCs w:val="24"/>
        </w:rPr>
        <w:t>: une telle « suspension de la sémiose iconique » nous permet</w:t>
      </w:r>
      <w:r w:rsidR="00ED140D">
        <w:rPr>
          <w:sz w:val="24"/>
          <w:szCs w:val="24"/>
        </w:rPr>
        <w:t>-elle</w:t>
      </w:r>
      <w:r w:rsidRPr="00146999">
        <w:rPr>
          <w:sz w:val="24"/>
          <w:szCs w:val="24"/>
        </w:rPr>
        <w:t xml:space="preserve"> de remonter vers les </w:t>
      </w:r>
      <w:r w:rsidRPr="00146999">
        <w:rPr>
          <w:i/>
          <w:sz w:val="24"/>
          <w:szCs w:val="24"/>
        </w:rPr>
        <w:t>morphologies</w:t>
      </w:r>
      <w:r w:rsidRPr="00146999">
        <w:rPr>
          <w:sz w:val="24"/>
          <w:szCs w:val="24"/>
        </w:rPr>
        <w:t>, qui</w:t>
      </w:r>
      <w:r>
        <w:rPr>
          <w:sz w:val="24"/>
          <w:szCs w:val="24"/>
        </w:rPr>
        <w:t xml:space="preserve">, nous l’avons suggéré plus haut, </w:t>
      </w:r>
      <w:r w:rsidRPr="00146999">
        <w:rPr>
          <w:i/>
          <w:sz w:val="24"/>
          <w:szCs w:val="24"/>
        </w:rPr>
        <w:t>annoncent</w:t>
      </w:r>
      <w:r w:rsidRPr="00146999">
        <w:rPr>
          <w:sz w:val="24"/>
          <w:szCs w:val="24"/>
        </w:rPr>
        <w:t xml:space="preserve"> les formes symboliques ? </w:t>
      </w:r>
      <w:r w:rsidR="002F098B" w:rsidRPr="002F098B">
        <w:rPr>
          <w:sz w:val="24"/>
          <w:szCs w:val="24"/>
        </w:rPr>
        <w:t>Vers</w:t>
      </w:r>
      <w:r w:rsidRPr="002F098B">
        <w:rPr>
          <w:sz w:val="24"/>
          <w:szCs w:val="24"/>
        </w:rPr>
        <w:t xml:space="preserve"> l’« image </w:t>
      </w:r>
      <w:r w:rsidR="002F098B" w:rsidRPr="002F098B">
        <w:rPr>
          <w:sz w:val="24"/>
          <w:szCs w:val="24"/>
        </w:rPr>
        <w:t xml:space="preserve">[qui] </w:t>
      </w:r>
      <w:r w:rsidRPr="002F098B">
        <w:rPr>
          <w:sz w:val="24"/>
          <w:szCs w:val="24"/>
        </w:rPr>
        <w:t>ne prédique pas, mais compose » (Bordron</w:t>
      </w:r>
      <w:r w:rsidR="009B2176">
        <w:rPr>
          <w:sz w:val="24"/>
          <w:szCs w:val="24"/>
        </w:rPr>
        <w:t xml:space="preserve"> 2019</w:t>
      </w:r>
      <w:r w:rsidRPr="002F098B">
        <w:rPr>
          <w:sz w:val="24"/>
          <w:szCs w:val="24"/>
        </w:rPr>
        <w:t>)</w:t>
      </w:r>
      <w:r w:rsidR="002F098B" w:rsidRPr="002F098B">
        <w:rPr>
          <w:rStyle w:val="Appelnotedebasdep"/>
          <w:sz w:val="24"/>
          <w:szCs w:val="24"/>
        </w:rPr>
        <w:footnoteReference w:id="24"/>
      </w:r>
      <w:r w:rsidR="002F098B">
        <w:rPr>
          <w:sz w:val="24"/>
          <w:szCs w:val="24"/>
        </w:rPr>
        <w:t> ?</w:t>
      </w:r>
    </w:p>
    <w:p w:rsidR="00FC4927" w:rsidRPr="00146999" w:rsidRDefault="00FC4927" w:rsidP="00FC4927">
      <w:pPr>
        <w:spacing w:after="120" w:line="276" w:lineRule="auto"/>
        <w:jc w:val="both"/>
      </w:pPr>
      <w:r>
        <w:t>Mais</w:t>
      </w:r>
      <w:r w:rsidR="002C399C">
        <w:t xml:space="preserve"> </w:t>
      </w:r>
      <w:r w:rsidR="002F098B">
        <w:t>si</w:t>
      </w:r>
      <w:r w:rsidR="002C399C">
        <w:t xml:space="preserve"> les forces sous-tendent et animent la forme comme « effet de globalité compositionnelle en équilibre dynamique » (Dondero </w:t>
      </w:r>
      <w:r w:rsidR="00CB7FDF">
        <w:t>2022</w:t>
      </w:r>
      <w:r w:rsidR="002C399C">
        <w:t>)</w:t>
      </w:r>
      <w:r w:rsidR="002F098B">
        <w:t>, qu</w:t>
      </w:r>
      <w:r>
        <w:t>e</w:t>
      </w:r>
      <w:r w:rsidR="002F098B">
        <w:t xml:space="preserve">lle est la place du </w:t>
      </w:r>
      <w:r w:rsidR="002C399C">
        <w:t>vague dont il a été question</w:t>
      </w:r>
      <w:r w:rsidR="002F098B">
        <w:t> ?</w:t>
      </w:r>
      <w:r w:rsidR="002C399C">
        <w:t xml:space="preserve"> </w:t>
      </w:r>
      <w:r w:rsidR="002F098B">
        <w:t>En quoi faut-il</w:t>
      </w:r>
      <w:r w:rsidR="002C399C">
        <w:t xml:space="preserve"> prévoir un moment d’incertitude qui ouvre grand </w:t>
      </w:r>
      <w:r>
        <w:t>l’</w:t>
      </w:r>
      <w:r w:rsidR="002C399C">
        <w:t>espace de</w:t>
      </w:r>
      <w:r>
        <w:t>s</w:t>
      </w:r>
      <w:r w:rsidR="002C399C">
        <w:t xml:space="preserve"> possibles et de</w:t>
      </w:r>
      <w:r>
        <w:t>s</w:t>
      </w:r>
      <w:r w:rsidR="002C399C">
        <w:t xml:space="preserve"> potentialités</w:t>
      </w:r>
      <w:r w:rsidR="002F098B">
        <w:t> ?</w:t>
      </w:r>
      <w:r w:rsidR="002C399C">
        <w:t xml:space="preserve"> Poussons notre réflexion dans ses derniers retranchements</w:t>
      </w:r>
      <w:r w:rsidR="002F098B">
        <w:t xml:space="preserve">, en nous demandant, </w:t>
      </w:r>
      <w:r w:rsidR="002C399C">
        <w:t>de manière plus exploratoire, s’il n’est pas avantageux</w:t>
      </w:r>
      <w:r w:rsidR="002F098B">
        <w:t>, pour rendre compte des filiation</w:t>
      </w:r>
      <w:r w:rsidR="007E08A8">
        <w:t>s</w:t>
      </w:r>
      <w:r w:rsidR="002F098B">
        <w:t xml:space="preserve"> de formes, </w:t>
      </w:r>
      <w:r w:rsidR="002C399C">
        <w:t>de prévoir une étape de « </w:t>
      </w:r>
      <w:r w:rsidR="002C399C" w:rsidRPr="00146999">
        <w:rPr>
          <w:i/>
        </w:rPr>
        <w:t>désaturation</w:t>
      </w:r>
      <w:r w:rsidR="002C399C">
        <w:t> » de l’image. Elle implique un appauvrissement de l’image par réduction de sa densité sémantique et syntaxique. Mais le vague ainsi produit est dépassé, dans un deuxième temps, par la mise à nu de l’« </w:t>
      </w:r>
      <w:r w:rsidR="002C399C" w:rsidRPr="007E08A8">
        <w:rPr>
          <w:i/>
        </w:rPr>
        <w:t>ossature</w:t>
      </w:r>
      <w:r w:rsidR="002C399C">
        <w:t> ». Non seulement retrouvons-nous l’idée d’un nœud – structur</w:t>
      </w:r>
      <w:r w:rsidR="00191173">
        <w:t>a</w:t>
      </w:r>
      <w:r w:rsidR="002C399C">
        <w:t>l – de base</w:t>
      </w:r>
      <w:r w:rsidR="002F098B">
        <w:t xml:space="preserve"> commun à plusieurs images</w:t>
      </w:r>
      <w:r w:rsidR="002C399C">
        <w:t xml:space="preserve">, mais encore disposons-nous d’un premier critère pour sélectionner les variantes pertinentes sur le </w:t>
      </w:r>
      <w:r w:rsidR="002C399C">
        <w:lastRenderedPageBreak/>
        <w:t xml:space="preserve">fond de celles qui le sont moins ou pas du tout. Le troisième moment correspond </w:t>
      </w:r>
      <w:r w:rsidR="00CB7FDF">
        <w:t xml:space="preserve">en effet </w:t>
      </w:r>
      <w:r w:rsidR="002C399C">
        <w:t xml:space="preserve">à l’établissement d’analogies, suite à une </w:t>
      </w:r>
      <w:r w:rsidR="002C399C" w:rsidRPr="007E08A8">
        <w:rPr>
          <w:i/>
        </w:rPr>
        <w:t>redensification</w:t>
      </w:r>
      <w:r>
        <w:t>, avant la co-fondation sémiosique de</w:t>
      </w:r>
      <w:r w:rsidR="00CB7FDF">
        <w:t xml:space="preserve">s plans du contenu et de l’expression </w:t>
      </w:r>
      <w:r>
        <w:t xml:space="preserve">que nous érigeons en critère définitoire de la forme signifiante. </w:t>
      </w:r>
    </w:p>
    <w:p w:rsidR="002C399C" w:rsidRPr="00BD4F55" w:rsidRDefault="002C399C" w:rsidP="002C399C">
      <w:pPr>
        <w:spacing w:after="120" w:line="312" w:lineRule="auto"/>
        <w:jc w:val="both"/>
        <w:rPr>
          <w:b/>
        </w:rPr>
      </w:pPr>
      <w:r w:rsidRPr="00BD4F55">
        <w:rPr>
          <w:b/>
        </w:rPr>
        <w:t xml:space="preserve">4. </w:t>
      </w:r>
      <w:r w:rsidR="00963C11">
        <w:rPr>
          <w:b/>
        </w:rPr>
        <w:t>É</w:t>
      </w:r>
      <w:r>
        <w:rPr>
          <w:b/>
        </w:rPr>
        <w:t xml:space="preserve">tude de cas : </w:t>
      </w:r>
      <w:r w:rsidRPr="003F45A7">
        <w:rPr>
          <w:b/>
          <w:i/>
        </w:rPr>
        <w:t>Bacchus, Vénus et Cupidon</w:t>
      </w:r>
      <w:r>
        <w:rPr>
          <w:b/>
        </w:rPr>
        <w:t xml:space="preserve">, une </w:t>
      </w:r>
      <w:r w:rsidRPr="00BD4F55">
        <w:rPr>
          <w:b/>
        </w:rPr>
        <w:t>œuvre « augmentée »</w:t>
      </w:r>
      <w:r>
        <w:rPr>
          <w:b/>
        </w:rPr>
        <w:t xml:space="preserve"> </w:t>
      </w:r>
    </w:p>
    <w:p w:rsidR="008F5EFE" w:rsidRPr="004424D4" w:rsidRDefault="002C399C" w:rsidP="00434D18">
      <w:pPr>
        <w:spacing w:after="120" w:line="276" w:lineRule="auto"/>
        <w:jc w:val="both"/>
        <w:rPr>
          <w:sz w:val="20"/>
          <w:szCs w:val="20"/>
        </w:rPr>
      </w:pPr>
      <w:r>
        <w:t xml:space="preserve">Passons à l’étude d’un cas concret : l’« augmentation » du tableau </w:t>
      </w:r>
      <w:r w:rsidRPr="00193442">
        <w:rPr>
          <w:i/>
        </w:rPr>
        <w:t>Bacchus, Vénus et Cupidon</w:t>
      </w:r>
      <w:r>
        <w:t xml:space="preserve"> de Rosso Fiorentino</w:t>
      </w:r>
      <w:r w:rsidR="00A77AC3">
        <w:t xml:space="preserve">. </w:t>
      </w:r>
      <w:r w:rsidR="003C6BA4" w:rsidRPr="00F66B09">
        <w:t>Les enjeux sont majeurs</w:t>
      </w:r>
      <w:r w:rsidR="003C6BA4" w:rsidRPr="003C6BA4">
        <w:t xml:space="preserve">. </w:t>
      </w:r>
      <w:r w:rsidR="00D85973">
        <w:t>Dès lors qu’on fait intervenir la machine, l</w:t>
      </w:r>
      <w:r w:rsidR="003C6BA4" w:rsidRPr="00434D18">
        <w:t xml:space="preserve">’horizon est celui de la </w:t>
      </w:r>
      <w:r w:rsidR="003C6BA4" w:rsidRPr="00434D18">
        <w:rPr>
          <w:i/>
        </w:rPr>
        <w:t>Feature Extraction</w:t>
      </w:r>
      <w:r w:rsidR="003C6BA4" w:rsidRPr="00434D18">
        <w:t xml:space="preserve">, c’est-à-dire de l’extraction automatique des qualités plastiques et formelles des collections d’images, ou encore des techniques du </w:t>
      </w:r>
      <w:r w:rsidR="003C6BA4" w:rsidRPr="00434D18">
        <w:rPr>
          <w:i/>
        </w:rPr>
        <w:t>Deep Learning</w:t>
      </w:r>
      <w:r w:rsidR="003C6BA4" w:rsidRPr="00434D18">
        <w:t xml:space="preserve"> (sollicitation des réseaux neuronaux convolutifs (CNN))</w:t>
      </w:r>
      <w:r w:rsidR="00434D18" w:rsidRPr="00434D18">
        <w:t xml:space="preserve">. </w:t>
      </w:r>
      <w:r w:rsidR="00D54113">
        <w:t>C</w:t>
      </w:r>
      <w:r w:rsidR="003C6BA4" w:rsidRPr="00434D18">
        <w:t xml:space="preserve">onsidérons le projet de la </w:t>
      </w:r>
      <w:r w:rsidR="003C6BA4" w:rsidRPr="00434D18">
        <w:rPr>
          <w:i/>
        </w:rPr>
        <w:t>Media Visualization</w:t>
      </w:r>
      <w:r w:rsidR="003C6BA4" w:rsidRPr="00434D18">
        <w:t xml:space="preserve"> du </w:t>
      </w:r>
      <w:r w:rsidR="003C6BA4" w:rsidRPr="00434D18">
        <w:rPr>
          <w:i/>
        </w:rPr>
        <w:t>Cultural Analytics Lab</w:t>
      </w:r>
      <w:r w:rsidR="003C6BA4" w:rsidRPr="00434D18">
        <w:t xml:space="preserve"> dirigé par Lev Manovich</w:t>
      </w:r>
      <w:r w:rsidR="003C6BA4">
        <w:t xml:space="preserve">. </w:t>
      </w:r>
      <w:r w:rsidR="003C6BA4" w:rsidRPr="00434D18">
        <w:t>Une démarche se précise : souhaitant mettre l’accent sur des rapprochements ainsi que sur les déviations responsables de l’émergence</w:t>
      </w:r>
      <w:r w:rsidR="003C6BA4" w:rsidRPr="00093B21">
        <w:t xml:space="preserve"> de singularités</w:t>
      </w:r>
      <w:r w:rsidR="003C6BA4">
        <w:t xml:space="preserve">, Lev Manovich a </w:t>
      </w:r>
      <w:r w:rsidR="003C6BA4" w:rsidRPr="00F66B09">
        <w:t xml:space="preserve">recours à des outils statistiques ainsi que numériques </w:t>
      </w:r>
      <w:r w:rsidR="003C6BA4">
        <w:t xml:space="preserve">(adoption de critères précis et construction de </w:t>
      </w:r>
      <w:r w:rsidR="003C6BA4" w:rsidRPr="000E0525">
        <w:t>diagrammes d’images</w:t>
      </w:r>
      <w:r w:rsidR="003B4DA0">
        <w:t xml:space="preserve">, </w:t>
      </w:r>
      <w:r w:rsidR="003C6BA4" w:rsidRPr="000E0525">
        <w:t>par exemple des tableaux de Van Gogh,</w:t>
      </w:r>
      <w:r w:rsidR="003C6BA4">
        <w:t xml:space="preserve"> </w:t>
      </w:r>
      <w:r w:rsidR="003C6BA4" w:rsidRPr="000E0525">
        <w:t>sur la sélection de paramètres plastiques dont la représentation est organisée en fonction des axes d’abscisses et d’ordo</w:t>
      </w:r>
      <w:r w:rsidR="003C6BA4">
        <w:t>nnée</w:t>
      </w:r>
      <w:r w:rsidR="003C6BA4" w:rsidRPr="000E0525">
        <w:t>s</w:t>
      </w:r>
      <w:r w:rsidR="003C6BA4">
        <w:t>)</w:t>
      </w:r>
      <w:r w:rsidR="008F5EFE">
        <w:t xml:space="preserve">. Il peut ainsi </w:t>
      </w:r>
      <w:r w:rsidR="003C6BA4" w:rsidRPr="00F66B09">
        <w:t xml:space="preserve">rendre compte des engendrements au sein de vastes corpus, </w:t>
      </w:r>
      <w:r w:rsidR="003C6BA4" w:rsidRPr="00093B21">
        <w:t>soit au sein de l’œuvre d’un même artiste, soit dans les œuvres d’artistes différents</w:t>
      </w:r>
      <w:r w:rsidR="00434D18">
        <w:rPr>
          <w:rStyle w:val="Appelnotedebasdep"/>
        </w:rPr>
        <w:footnoteReference w:id="25"/>
      </w:r>
      <w:r w:rsidR="003C6BA4" w:rsidRPr="00093B21">
        <w:t xml:space="preserve">. </w:t>
      </w:r>
    </w:p>
    <w:p w:rsidR="00DD153D" w:rsidRDefault="00434D18" w:rsidP="00434D18">
      <w:pPr>
        <w:spacing w:after="120" w:line="276" w:lineRule="auto"/>
        <w:jc w:val="both"/>
      </w:pPr>
      <w:r w:rsidRPr="00434D18">
        <w:t xml:space="preserve">Plus modestement, notre objectif est de mettre à l’épreuve du concret des recherches « grand public », que l’amateur d’art plus ou moins averti peut réaliser aisément. Ceci pour comprendre le potentiel de l’engendrement d’images par la machine, en évaluer la pertinence et en tracer les limites. </w:t>
      </w:r>
    </w:p>
    <w:p w:rsidR="00DD153D" w:rsidRDefault="002C399C" w:rsidP="00434D18">
      <w:pPr>
        <w:spacing w:after="120" w:line="276" w:lineRule="auto"/>
        <w:jc w:val="both"/>
      </w:pPr>
      <w:r w:rsidRPr="00434D18">
        <w:t xml:space="preserve">Pour étayer notre argumentation, rappelons les conditions de possibilité </w:t>
      </w:r>
      <w:r w:rsidR="00434D18">
        <w:t xml:space="preserve">et </w:t>
      </w:r>
      <w:r w:rsidRPr="007500C5">
        <w:t xml:space="preserve">les modalités de </w:t>
      </w:r>
      <w:r w:rsidR="00434D18">
        <w:t>la</w:t>
      </w:r>
      <w:r w:rsidRPr="007500C5">
        <w:t xml:space="preserve"> constitution </w:t>
      </w:r>
      <w:r w:rsidR="00434D18">
        <w:t xml:space="preserve">des images </w:t>
      </w:r>
      <w:r w:rsidRPr="007500C5">
        <w:t xml:space="preserve">et </w:t>
      </w:r>
      <w:r>
        <w:t xml:space="preserve">de leur </w:t>
      </w:r>
      <w:r w:rsidRPr="007500C5">
        <w:t>interprétation</w:t>
      </w:r>
      <w:r w:rsidR="008F5EFE">
        <w:t>. D</w:t>
      </w:r>
      <w:r w:rsidR="00DD153D">
        <w:t>’abord,</w:t>
      </w:r>
      <w:r w:rsidR="00434D18">
        <w:t xml:space="preserve"> le fait que </w:t>
      </w:r>
      <w:r w:rsidRPr="00434D18">
        <w:t>les segmentations et discrétisations, qui affecteront les deux sémioses, iconique ou figurative</w:t>
      </w:r>
      <w:r>
        <w:rPr>
          <w:rStyle w:val="Appelnotedebasdep"/>
        </w:rPr>
        <w:footnoteReference w:id="26"/>
      </w:r>
      <w:r w:rsidRPr="00434D18">
        <w:t xml:space="preserve"> et plastique, et qui appelleront des regroupements des propriétés isolées au sein de configurations</w:t>
      </w:r>
      <w:r w:rsidR="00434D18">
        <w:t>,</w:t>
      </w:r>
      <w:r w:rsidRPr="00434D18">
        <w:t xml:space="preserve"> se profilent sur un fond continu</w:t>
      </w:r>
      <w:r w:rsidR="00DD153D">
        <w:t>. Ensuite</w:t>
      </w:r>
      <w:r w:rsidR="00434D18">
        <w:t xml:space="preserve"> la nécessité de prendre en considération </w:t>
      </w:r>
      <w:r w:rsidR="00DD153D">
        <w:t xml:space="preserve">un ensemble de niveaux de pertinence organisés sur le principe de l’intégration descendante (Fontanille 2008), cela </w:t>
      </w:r>
      <w:r w:rsidRPr="00434D18">
        <w:t>au-delà des motifs iconographiques migrant d’un tableau à un autre et des traits plastiques d’abord isolés, ensuite réunis dans des formants éidétiques, chromatiques, topologiques…</w:t>
      </w:r>
      <w:r w:rsidR="00DD153D">
        <w:t xml:space="preserve"> : </w:t>
      </w:r>
      <w:r w:rsidRPr="00434D18">
        <w:t xml:space="preserve">(i) le contexte iconologique, l’environnement et le milieu de sa production et circulation, (ii) les médias de diffusion tels que le musée et </w:t>
      </w:r>
      <w:r w:rsidR="003B4DA0">
        <w:t>les archives des collections que l’on peut solliciter grâce à des algorithmes</w:t>
      </w:r>
      <w:r w:rsidRPr="00434D18">
        <w:t xml:space="preserve">, (iii) le support, le médium, voire le tableau comme objet : la substance </w:t>
      </w:r>
      <w:r w:rsidRPr="00434D18">
        <w:lastRenderedPageBreak/>
        <w:t>et le matériau transformé en matière mise en forme (par exemple, la peinture et ses pigments, le bronze, le bois…), mais aussi le cadre</w:t>
      </w:r>
      <w:r w:rsidR="00D85973">
        <w:t>, (iv) le format, (v) la textualité</w:t>
      </w:r>
      <w:r w:rsidR="00DD153D">
        <w:t>.</w:t>
      </w:r>
    </w:p>
    <w:p w:rsidR="00DD153D" w:rsidRPr="007E08A8" w:rsidRDefault="00DD153D" w:rsidP="00434D18">
      <w:pPr>
        <w:spacing w:after="120" w:line="276" w:lineRule="auto"/>
        <w:jc w:val="both"/>
        <w:rPr>
          <w:color w:val="000000" w:themeColor="text1"/>
        </w:rPr>
      </w:pPr>
      <w:r>
        <w:t xml:space="preserve">Enfin, </w:t>
      </w:r>
      <w:r w:rsidR="00D85973">
        <w:t>esquissons</w:t>
      </w:r>
      <w:r>
        <w:t xml:space="preserve"> </w:t>
      </w:r>
      <w:r w:rsidR="008F5EFE">
        <w:t xml:space="preserve">une </w:t>
      </w:r>
      <w:r>
        <w:t>démarche</w:t>
      </w:r>
      <w:r w:rsidR="007E08A8">
        <w:t>. On peut procéder</w:t>
      </w:r>
      <w:r>
        <w:t xml:space="preserve"> en trois temps, comme nous l’avons suggéré plus haut : (i) la dédensification ou désaturation des images proposées </w:t>
      </w:r>
      <w:r w:rsidR="008532A3">
        <w:t>(r</w:t>
      </w:r>
      <w:r w:rsidR="008532A3">
        <w:rPr>
          <w:color w:val="000000" w:themeColor="text1"/>
        </w:rPr>
        <w:t xml:space="preserve">aréfaction des traits signifiants pris en considération) </w:t>
      </w:r>
      <w:r>
        <w:t xml:space="preserve">permet (ii) la mise à nu d’une </w:t>
      </w:r>
      <w:r w:rsidR="007E08A8">
        <w:t>« </w:t>
      </w:r>
      <w:r>
        <w:t>ossature</w:t>
      </w:r>
      <w:r w:rsidR="007E08A8">
        <w:t> »</w:t>
      </w:r>
      <w:r>
        <w:t>, d’un invariant structural commun</w:t>
      </w:r>
      <w:r w:rsidR="008532A3">
        <w:t xml:space="preserve"> ou « squelette »</w:t>
      </w:r>
      <w:r>
        <w:t>, avant (iii) une redensification permettant de statuer sur les similarités et les dissimilarités entre les tableaux réunis dans la plage ou la planche</w:t>
      </w:r>
      <w:r w:rsidR="007E08A8">
        <w:t xml:space="preserve">. </w:t>
      </w:r>
      <w:r w:rsidR="008532A3">
        <w:rPr>
          <w:color w:val="000000" w:themeColor="text1"/>
        </w:rPr>
        <w:t xml:space="preserve">Passant de l’œuvre </w:t>
      </w:r>
      <w:r w:rsidR="007E08A8">
        <w:rPr>
          <w:color w:val="000000" w:themeColor="text1"/>
        </w:rPr>
        <w:t>« </w:t>
      </w:r>
      <w:r w:rsidR="008532A3">
        <w:rPr>
          <w:color w:val="000000" w:themeColor="text1"/>
        </w:rPr>
        <w:t>autographique</w:t>
      </w:r>
      <w:r w:rsidR="007E08A8">
        <w:rPr>
          <w:color w:val="000000" w:themeColor="text1"/>
        </w:rPr>
        <w:t> »</w:t>
      </w:r>
      <w:r w:rsidR="008532A3">
        <w:rPr>
          <w:color w:val="000000" w:themeColor="text1"/>
        </w:rPr>
        <w:t xml:space="preserve"> à un « schéma imagé » (ou représentationnel), selon Goodman</w:t>
      </w:r>
      <w:r w:rsidR="007E08A8">
        <w:rPr>
          <w:color w:val="000000" w:themeColor="text1"/>
        </w:rPr>
        <w:t xml:space="preserve"> (1976 [1990], p. 273)</w:t>
      </w:r>
      <w:r w:rsidR="008532A3">
        <w:rPr>
          <w:color w:val="000000" w:themeColor="text1"/>
        </w:rPr>
        <w:t>, c’est-à-dire à une image dont les « symboles sont relativement saturés »</w:t>
      </w:r>
      <w:r w:rsidR="007E08A8">
        <w:rPr>
          <w:color w:val="000000" w:themeColor="text1"/>
        </w:rPr>
        <w:t xml:space="preserve"> </w:t>
      </w:r>
      <w:r w:rsidR="008532A3">
        <w:rPr>
          <w:color w:val="000000" w:themeColor="text1"/>
        </w:rPr>
        <w:t>et, finalement, à un « diagramme » syntaxiquement dense, mais dont les aspects constitutifs sont soumis à une « restriction expresse et étroite » (</w:t>
      </w:r>
      <w:r w:rsidR="008532A3" w:rsidRPr="004A1F54">
        <w:rPr>
          <w:i/>
          <w:color w:val="000000" w:themeColor="text1"/>
        </w:rPr>
        <w:t>idem</w:t>
      </w:r>
      <w:r w:rsidR="008532A3">
        <w:rPr>
          <w:color w:val="000000" w:themeColor="text1"/>
        </w:rPr>
        <w:t>), il s’agit avant tout de faire ressortir des relations (focalisation sur la composition, sur les lignes (abstraction faite, par exemple, de leur épaisseur), sur les forces convergentes et divergentes, etc.).</w:t>
      </w:r>
    </w:p>
    <w:p w:rsidR="00093B21" w:rsidRDefault="002C399C" w:rsidP="002C399C">
      <w:pPr>
        <w:spacing w:after="120" w:line="276" w:lineRule="auto"/>
        <w:jc w:val="both"/>
      </w:pPr>
      <w:r w:rsidRPr="0050177E">
        <w:t xml:space="preserve">Vérifions la pertinence de ces considérations à propos du tableau </w:t>
      </w:r>
      <w:r w:rsidRPr="0050177E">
        <w:rPr>
          <w:i/>
        </w:rPr>
        <w:t>Bacchus, Vénus et Cupidon</w:t>
      </w:r>
      <w:r w:rsidRPr="0050177E">
        <w:t xml:space="preserve"> de Fiorentino. </w:t>
      </w:r>
      <w:r w:rsidR="00F66B09" w:rsidRPr="0050177E">
        <w:t>Nous ne visons aucune exhaustivité</w:t>
      </w:r>
      <w:r w:rsidR="003B4DA0">
        <w:t> </w:t>
      </w:r>
      <w:r w:rsidR="00F66B09" w:rsidRPr="0050177E">
        <w:t>: l’analyse doit rester inachevée, les filiations n’étant jamais stabilisées</w:t>
      </w:r>
      <w:r w:rsidR="00DD153D">
        <w:t>.</w:t>
      </w:r>
      <w:r w:rsidR="00F66B09">
        <w:t xml:space="preserve"> </w:t>
      </w:r>
    </w:p>
    <w:p w:rsidR="002C399C" w:rsidRPr="000026E7" w:rsidRDefault="002C399C" w:rsidP="002C399C">
      <w:pPr>
        <w:spacing w:after="120" w:line="276" w:lineRule="auto"/>
        <w:jc w:val="both"/>
        <w:rPr>
          <w:i/>
        </w:rPr>
      </w:pPr>
      <w:r w:rsidRPr="000026E7">
        <w:rPr>
          <w:i/>
        </w:rPr>
        <w:t>Recherches sur Google</w:t>
      </w:r>
      <w:r>
        <w:rPr>
          <w:i/>
        </w:rPr>
        <w:t xml:space="preserve"> (avec mots-clefs)</w:t>
      </w:r>
    </w:p>
    <w:p w:rsidR="00191173" w:rsidRDefault="00533540" w:rsidP="002C399C">
      <w:pPr>
        <w:spacing w:after="120" w:line="276" w:lineRule="auto"/>
        <w:jc w:val="both"/>
      </w:pPr>
      <w:r>
        <w:t xml:space="preserve">Les repérages à travers des groupes de </w:t>
      </w:r>
      <w:r w:rsidRPr="00DD153D">
        <w:rPr>
          <w:i/>
        </w:rPr>
        <w:t>mots-clefs</w:t>
      </w:r>
      <w:r>
        <w:t xml:space="preserve"> se complexifiant au fur et à mesure s’appuient sur des </w:t>
      </w:r>
      <w:r w:rsidR="002C399C" w:rsidRPr="00B24381">
        <w:rPr>
          <w:i/>
        </w:rPr>
        <w:t>cadrages</w:t>
      </w:r>
      <w:r w:rsidR="002C399C">
        <w:t xml:space="preserve"> successifs</w:t>
      </w:r>
      <w:r w:rsidR="00621D32">
        <w:t xml:space="preserve">. </w:t>
      </w:r>
      <w:r>
        <w:t xml:space="preserve">Ils présupposent une </w:t>
      </w:r>
      <w:r w:rsidR="002C399C">
        <w:t>étude du tableau source</w:t>
      </w:r>
      <w:r w:rsidR="00F66B09">
        <w:t xml:space="preserve">. </w:t>
      </w:r>
      <w:r w:rsidR="008F5EFE">
        <w:t xml:space="preserve">Commençons par les éléments plastiques, avant toute reconnaissance des figures iconiques. </w:t>
      </w:r>
    </w:p>
    <w:p w:rsidR="004424D4" w:rsidRDefault="004424D4" w:rsidP="00191173">
      <w:pPr>
        <w:spacing w:after="120" w:line="276" w:lineRule="auto"/>
        <w:jc w:val="both"/>
      </w:pPr>
    </w:p>
    <w:p w:rsidR="004424D4" w:rsidRDefault="004424D4" w:rsidP="00191173">
      <w:pPr>
        <w:spacing w:after="120" w:line="276" w:lineRule="auto"/>
        <w:jc w:val="both"/>
      </w:pPr>
    </w:p>
    <w:p w:rsidR="004424D4" w:rsidRDefault="004424D4" w:rsidP="00191173">
      <w:pPr>
        <w:spacing w:after="120" w:line="276" w:lineRule="auto"/>
        <w:jc w:val="both"/>
      </w:pPr>
    </w:p>
    <w:p w:rsidR="004424D4" w:rsidRDefault="004424D4" w:rsidP="00191173">
      <w:pPr>
        <w:spacing w:after="120" w:line="276" w:lineRule="auto"/>
        <w:jc w:val="both"/>
      </w:pPr>
    </w:p>
    <w:p w:rsidR="004424D4" w:rsidRDefault="004424D4" w:rsidP="00191173">
      <w:pPr>
        <w:spacing w:after="120" w:line="276" w:lineRule="auto"/>
        <w:jc w:val="both"/>
      </w:pPr>
    </w:p>
    <w:p w:rsidR="004424D4" w:rsidRDefault="004424D4" w:rsidP="00191173">
      <w:pPr>
        <w:spacing w:after="120" w:line="276" w:lineRule="auto"/>
        <w:jc w:val="both"/>
      </w:pPr>
    </w:p>
    <w:p w:rsidR="004424D4" w:rsidRDefault="004424D4" w:rsidP="00191173">
      <w:pPr>
        <w:spacing w:after="120" w:line="276" w:lineRule="auto"/>
        <w:jc w:val="both"/>
      </w:pPr>
    </w:p>
    <w:p w:rsidR="004424D4" w:rsidRDefault="004424D4" w:rsidP="00191173">
      <w:pPr>
        <w:spacing w:after="120" w:line="276" w:lineRule="auto"/>
        <w:jc w:val="both"/>
      </w:pPr>
    </w:p>
    <w:p w:rsidR="004424D4" w:rsidRDefault="004424D4" w:rsidP="00191173">
      <w:pPr>
        <w:spacing w:after="120" w:line="276" w:lineRule="auto"/>
        <w:jc w:val="both"/>
      </w:pPr>
    </w:p>
    <w:p w:rsidR="004424D4" w:rsidRDefault="004424D4" w:rsidP="00191173">
      <w:pPr>
        <w:spacing w:after="120" w:line="276" w:lineRule="auto"/>
        <w:jc w:val="both"/>
      </w:pPr>
    </w:p>
    <w:p w:rsidR="004424D4" w:rsidRDefault="004424D4" w:rsidP="00191173">
      <w:pPr>
        <w:spacing w:after="120" w:line="276" w:lineRule="auto"/>
        <w:jc w:val="both"/>
      </w:pPr>
    </w:p>
    <w:p w:rsidR="004424D4" w:rsidRDefault="004424D4" w:rsidP="00191173">
      <w:pPr>
        <w:spacing w:after="120" w:line="276" w:lineRule="auto"/>
        <w:jc w:val="both"/>
      </w:pPr>
    </w:p>
    <w:p w:rsidR="004424D4" w:rsidRDefault="004424D4" w:rsidP="00191173">
      <w:pPr>
        <w:spacing w:after="120" w:line="276" w:lineRule="auto"/>
        <w:jc w:val="both"/>
      </w:pPr>
    </w:p>
    <w:p w:rsidR="004424D4" w:rsidRDefault="004424D4" w:rsidP="00191173">
      <w:pPr>
        <w:spacing w:after="120" w:line="276" w:lineRule="auto"/>
        <w:jc w:val="both"/>
      </w:pPr>
    </w:p>
    <w:p w:rsidR="004424D4" w:rsidRDefault="004424D4" w:rsidP="00191173">
      <w:pPr>
        <w:spacing w:after="120" w:line="276" w:lineRule="auto"/>
        <w:jc w:val="both"/>
      </w:pPr>
    </w:p>
    <w:p w:rsidR="004424D4" w:rsidRDefault="004424D4" w:rsidP="00191173">
      <w:pPr>
        <w:spacing w:after="120" w:line="276" w:lineRule="auto"/>
        <w:jc w:val="both"/>
      </w:pPr>
    </w:p>
    <w:p w:rsidR="00191173" w:rsidRDefault="00191173" w:rsidP="00191173">
      <w:pPr>
        <w:spacing w:after="120" w:line="276" w:lineRule="auto"/>
        <w:jc w:val="both"/>
      </w:pPr>
      <w:r>
        <w:lastRenderedPageBreak/>
        <w:t xml:space="preserve">Figure 2  </w:t>
      </w:r>
    </w:p>
    <w:p w:rsidR="00191173" w:rsidRDefault="00191173" w:rsidP="00191173">
      <w:pPr>
        <w:spacing w:after="120" w:line="276" w:lineRule="auto"/>
        <w:jc w:val="both"/>
      </w:pPr>
      <w:r w:rsidRPr="00CF5636">
        <w:rPr>
          <w:noProof/>
        </w:rPr>
        <w:drawing>
          <wp:inline distT="0" distB="0" distL="0" distR="0" wp14:anchorId="77B72B84" wp14:editId="490D4DFB">
            <wp:extent cx="3937000" cy="53721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37000" cy="5372100"/>
                    </a:xfrm>
                    <a:prstGeom prst="rect">
                      <a:avLst/>
                    </a:prstGeom>
                  </pic:spPr>
                </pic:pic>
              </a:graphicData>
            </a:graphic>
          </wp:inline>
        </w:drawing>
      </w:r>
    </w:p>
    <w:p w:rsidR="00191173" w:rsidRPr="004424D4" w:rsidRDefault="004424D4" w:rsidP="002C399C">
      <w:pPr>
        <w:spacing w:after="120" w:line="276" w:lineRule="auto"/>
        <w:jc w:val="both"/>
        <w:rPr>
          <w:sz w:val="20"/>
          <w:szCs w:val="20"/>
        </w:rPr>
      </w:pPr>
      <w:r w:rsidRPr="006A3C31">
        <w:rPr>
          <w:sz w:val="20"/>
          <w:szCs w:val="20"/>
        </w:rPr>
        <w:t xml:space="preserve">Rosso Fiorentino, </w:t>
      </w:r>
      <w:r w:rsidRPr="006A3C31">
        <w:rPr>
          <w:i/>
          <w:sz w:val="20"/>
          <w:szCs w:val="20"/>
        </w:rPr>
        <w:t>Bacchus, Vénus et Cupidon</w:t>
      </w:r>
      <w:r w:rsidRPr="006A3C31">
        <w:rPr>
          <w:sz w:val="20"/>
          <w:szCs w:val="20"/>
        </w:rPr>
        <w:t>, huile sur toile, 209 x 161</w:t>
      </w:r>
      <w:r>
        <w:rPr>
          <w:sz w:val="20"/>
          <w:szCs w:val="20"/>
        </w:rPr>
        <w:t xml:space="preserve"> </w:t>
      </w:r>
      <w:r w:rsidRPr="006A3C31">
        <w:rPr>
          <w:sz w:val="20"/>
          <w:szCs w:val="20"/>
        </w:rPr>
        <w:t>cm, Luxembourg, Musée national d’Histoire et d’Art</w:t>
      </w:r>
      <w:r>
        <w:rPr>
          <w:sz w:val="20"/>
          <w:szCs w:val="20"/>
        </w:rPr>
        <w:t>, entre 1531 et 1532.</w:t>
      </w:r>
      <w:r w:rsidRPr="006A3C31">
        <w:rPr>
          <w:sz w:val="20"/>
          <w:szCs w:val="20"/>
        </w:rPr>
        <w:t xml:space="preserve"> </w:t>
      </w:r>
    </w:p>
    <w:p w:rsidR="002C399C" w:rsidRPr="00F66B09" w:rsidRDefault="00F66B09" w:rsidP="002C399C">
      <w:pPr>
        <w:spacing w:after="120" w:line="276" w:lineRule="auto"/>
        <w:jc w:val="both"/>
      </w:pPr>
      <w:r>
        <w:t>Ainsi, on notera que, d</w:t>
      </w:r>
      <w:r w:rsidR="002C399C">
        <w:t>u point de vue des couleurs, le blanc crémeux des corps de Bacchus, de Vénus et d</w:t>
      </w:r>
      <w:r w:rsidR="004424D4">
        <w:t>e</w:t>
      </w:r>
      <w:r w:rsidR="002C399C">
        <w:t xml:space="preserve"> Cupidon contraste vivement avec le rouge soutenu de l’étoffe du satyre, auquel répond le rouge plus pâle, tirant sur le rose, du vase, de la langue du lion et du carquois. On constate ainsi une gradation au niveau de la teinte, de la saturation et de la brillance de la couleur</w:t>
      </w:r>
      <w:r w:rsidR="002C399C">
        <w:rPr>
          <w:rStyle w:val="Appelnotedebasdep"/>
        </w:rPr>
        <w:footnoteReference w:id="27"/>
      </w:r>
      <w:r w:rsidR="002C399C">
        <w:t xml:space="preserve">. Une rime chromatique s’établit entre le jaune plus ou moins alourdi de brun du vase et la robe du lion. Du point de vue de la composition et des lignes, on est frappé par la disposition des personnages mythologiques à droite et à gauche de Cupidon, dont la position </w:t>
      </w:r>
      <w:r w:rsidR="002C399C">
        <w:lastRenderedPageBreak/>
        <w:t xml:space="preserve">est centrale. L’attitude penchée de Vénus, en équilibre instable sur le vase disposé à droite de l’image, produit une impression de clôture, qui est renforcée par le geste de Bacchus, rapprochant la coupe de son visage, ainsi que par l’arrondi (demi-cercle) formé par le siège sur lequel s’appuie Bacchus, </w:t>
      </w:r>
      <w:r w:rsidR="008F5EFE">
        <w:t xml:space="preserve">par </w:t>
      </w:r>
      <w:r w:rsidR="002C399C">
        <w:t>le lion couché (même si des pattes dépassent) et le vase. L</w:t>
      </w:r>
      <w:r w:rsidR="002C399C" w:rsidRPr="002D72A3">
        <w:t>es courbures voulues, déjà, par la forme ovale du tableau</w:t>
      </w:r>
      <w:r w:rsidR="002C399C" w:rsidRPr="002D72A3">
        <w:rPr>
          <w:rStyle w:val="Appelnotedebasdep"/>
        </w:rPr>
        <w:footnoteReference w:id="28"/>
      </w:r>
      <w:r w:rsidR="002C399C">
        <w:t xml:space="preserve"> – </w:t>
      </w:r>
      <w:r w:rsidR="002C399C" w:rsidRPr="002D72A3">
        <w:t xml:space="preserve">le tableau </w:t>
      </w:r>
      <w:r w:rsidR="002C399C">
        <w:t>est</w:t>
      </w:r>
      <w:r w:rsidR="002C399C" w:rsidRPr="002D72A3">
        <w:t xml:space="preserve"> coupé juste au-dessus de la tête des personnages, et près de leurs pieds</w:t>
      </w:r>
      <w:r w:rsidR="002C399C">
        <w:t xml:space="preserve"> – semblent dominer : en témoignent </w:t>
      </w:r>
      <w:r w:rsidR="002C399C" w:rsidRPr="002D72A3">
        <w:t>la courbe de l’urne</w:t>
      </w:r>
      <w:r w:rsidR="002C399C">
        <w:t>/vase</w:t>
      </w:r>
      <w:r w:rsidR="002C399C" w:rsidRPr="002D72A3">
        <w:t xml:space="preserve"> au premier plan, le support courbe du siège, le mouvement fait par le bras de Bacchus, la courbe de la cuisse et du dos du satyre</w:t>
      </w:r>
      <w:r w:rsidR="002C399C" w:rsidRPr="002D72A3">
        <w:rPr>
          <w:rStyle w:val="Appelnotedebasdep"/>
        </w:rPr>
        <w:footnoteReference w:id="29"/>
      </w:r>
      <w:r w:rsidR="002C399C" w:rsidRPr="002D72A3">
        <w:t xml:space="preserve">. Cependant, </w:t>
      </w:r>
      <w:r w:rsidR="002C399C">
        <w:t>cette impression de fermeture et de concentration, en écho à une composition circulaire, est immédiatement combattue par le bras droit du satyre, tendu vers un hors-champ, ainsi que par le carquois vide, qui prolonge une des jambes du lion en direction du bord du tableau. E</w:t>
      </w:r>
      <w:r w:rsidR="002C399C" w:rsidRPr="002D72A3">
        <w:t xml:space="preserve">n dépit de la posture quelque peu instable de Bacchus et de Vénus sur leurs sièges, </w:t>
      </w:r>
      <w:r w:rsidR="002C399C">
        <w:t>les cou</w:t>
      </w:r>
      <w:r w:rsidR="00575E52">
        <w:t>r</w:t>
      </w:r>
      <w:r w:rsidR="002C399C">
        <w:t xml:space="preserve">bures entrent immédiatement en tension avec la ligne oblique formée par </w:t>
      </w:r>
      <w:r w:rsidR="002C399C" w:rsidRPr="002D72A3">
        <w:rPr>
          <w:color w:val="1B1B1B"/>
        </w:rPr>
        <w:t xml:space="preserve">l’alignement </w:t>
      </w:r>
      <w:r w:rsidR="002C399C">
        <w:rPr>
          <w:color w:val="1B1B1B"/>
        </w:rPr>
        <w:t xml:space="preserve">et l’élongation des jambes de Bacchus et de Vénus, mais aussi avec la diagonale reliant </w:t>
      </w:r>
      <w:r w:rsidR="002C399C" w:rsidRPr="002D72A3">
        <w:rPr>
          <w:color w:val="1B1B1B"/>
        </w:rPr>
        <w:t xml:space="preserve">Cupidon </w:t>
      </w:r>
      <w:r w:rsidR="002C399C">
        <w:rPr>
          <w:color w:val="1B1B1B"/>
        </w:rPr>
        <w:t xml:space="preserve">enfourchant le lion au satyre à l’arrière-plan, en passant par la main gauche de Bacchus. Enfin, les </w:t>
      </w:r>
      <w:r w:rsidR="002C399C" w:rsidRPr="002D72A3">
        <w:rPr>
          <w:color w:val="1B1B1B"/>
        </w:rPr>
        <w:t>diagonale</w:t>
      </w:r>
      <w:r w:rsidR="002C399C">
        <w:rPr>
          <w:color w:val="1B1B1B"/>
        </w:rPr>
        <w:t xml:space="preserve">s, dont le tableau peut indiquer la direction, entrent en tension </w:t>
      </w:r>
      <w:r w:rsidR="002C399C" w:rsidRPr="002D72A3">
        <w:rPr>
          <w:color w:val="1B1B1B"/>
        </w:rPr>
        <w:t xml:space="preserve">avec </w:t>
      </w:r>
      <w:r w:rsidR="002C399C">
        <w:rPr>
          <w:color w:val="1B1B1B"/>
        </w:rPr>
        <w:t xml:space="preserve">la </w:t>
      </w:r>
      <w:r w:rsidR="002C399C" w:rsidRPr="002D72A3">
        <w:rPr>
          <w:color w:val="1B1B1B"/>
        </w:rPr>
        <w:t xml:space="preserve">ligne zigzagante, tracée par les regards (de Bacchus vers Vénus, de celle-ci vers Cupidon). </w:t>
      </w:r>
    </w:p>
    <w:p w:rsidR="00533540" w:rsidRDefault="00F66B09" w:rsidP="002C399C">
      <w:pPr>
        <w:spacing w:after="120" w:line="276" w:lineRule="auto"/>
        <w:jc w:val="both"/>
        <w:rPr>
          <w:color w:val="1B1B1B"/>
        </w:rPr>
      </w:pPr>
      <w:r>
        <w:t>D</w:t>
      </w:r>
      <w:r w:rsidR="002C399C">
        <w:t>euxième étape</w:t>
      </w:r>
      <w:r>
        <w:t xml:space="preserve">, nous </w:t>
      </w:r>
      <w:r w:rsidR="002C399C">
        <w:t xml:space="preserve">faisons correspondre aux traits plastiques extraits du tableau source, en particulier aux choix chromatiques, des </w:t>
      </w:r>
      <w:r w:rsidR="00533540">
        <w:t xml:space="preserve">constellations de </w:t>
      </w:r>
      <w:r w:rsidR="002C399C" w:rsidRPr="00A53F3A">
        <w:rPr>
          <w:i/>
        </w:rPr>
        <w:t>mots-clefs</w:t>
      </w:r>
      <w:r w:rsidR="002C399C">
        <w:t xml:space="preserve"> </w:t>
      </w:r>
      <w:r w:rsidR="002C399C">
        <w:rPr>
          <w:color w:val="1B1B1B"/>
        </w:rPr>
        <w:t xml:space="preserve">de plus en </w:t>
      </w:r>
      <w:r w:rsidR="008F5EFE">
        <w:rPr>
          <w:color w:val="1B1B1B"/>
        </w:rPr>
        <w:t xml:space="preserve">plus </w:t>
      </w:r>
      <w:r w:rsidR="002C399C">
        <w:rPr>
          <w:color w:val="1B1B1B"/>
        </w:rPr>
        <w:t>fournies</w:t>
      </w:r>
      <w:r>
        <w:rPr>
          <w:color w:val="1B1B1B"/>
        </w:rPr>
        <w:t xml:space="preserve"> (</w:t>
      </w:r>
      <w:r>
        <w:t>« Rosso Fiorentino », « Tableaux », « Blanc », « Rouge » ; « Rosso Fiorentino », « Tableaux », « Blanc », « Rouge », « Vert », « Bleu », « Jaune », etc.)</w:t>
      </w:r>
      <w:r w:rsidR="00533540">
        <w:t>,</w:t>
      </w:r>
      <w:r>
        <w:t xml:space="preserve"> avant que ne soient ciblées la composition de l’image</w:t>
      </w:r>
      <w:r w:rsidR="00575E52">
        <w:t xml:space="preserve"> </w:t>
      </w:r>
      <w:r>
        <w:t xml:space="preserve">ainsi que la nature et la </w:t>
      </w:r>
      <w:r>
        <w:rPr>
          <w:color w:val="1B1B1B"/>
        </w:rPr>
        <w:t xml:space="preserve">directionalité des lignes. </w:t>
      </w:r>
    </w:p>
    <w:p w:rsidR="00A77AC3" w:rsidRDefault="00F66B09" w:rsidP="002C399C">
      <w:pPr>
        <w:spacing w:after="120" w:line="276" w:lineRule="auto"/>
        <w:jc w:val="both"/>
      </w:pPr>
      <w:r>
        <w:t xml:space="preserve">Résultat des recherches : </w:t>
      </w:r>
      <w:r w:rsidR="002C399C">
        <w:t xml:space="preserve">Google </w:t>
      </w:r>
      <w:r w:rsidR="00533540">
        <w:t xml:space="preserve">attire l’attention sur </w:t>
      </w:r>
      <w:r w:rsidR="008F5EFE">
        <w:t>d</w:t>
      </w:r>
      <w:r w:rsidR="00533540">
        <w:t xml:space="preserve">es </w:t>
      </w:r>
      <w:r w:rsidR="00533540" w:rsidRPr="00533540">
        <w:rPr>
          <w:i/>
        </w:rPr>
        <w:t>récurrences signifiantes</w:t>
      </w:r>
      <w:r w:rsidR="00533540">
        <w:t xml:space="preserve">. En l’occurrence, </w:t>
      </w:r>
      <w:r w:rsidR="002C399C">
        <w:t xml:space="preserve">la </w:t>
      </w:r>
      <w:r w:rsidR="002C399C" w:rsidRPr="00EF334F">
        <w:rPr>
          <w:i/>
        </w:rPr>
        <w:t>Pietà</w:t>
      </w:r>
      <w:r w:rsidR="002C399C">
        <w:t xml:space="preserve"> (vers 1530-1540)</w:t>
      </w:r>
      <w:r w:rsidR="002C399C">
        <w:rPr>
          <w:rStyle w:val="Appelnotedebasdep"/>
        </w:rPr>
        <w:footnoteReference w:id="30"/>
      </w:r>
      <w:r w:rsidR="00533540">
        <w:t xml:space="preserve"> figure e</w:t>
      </w:r>
      <w:r w:rsidR="002C399C">
        <w:t>n première position</w:t>
      </w:r>
      <w:r w:rsidR="00533540">
        <w:t xml:space="preserve"> ; elle est suivie de </w:t>
      </w:r>
      <w:r w:rsidR="002C399C" w:rsidRPr="003C0EB1">
        <w:rPr>
          <w:i/>
        </w:rPr>
        <w:t>La Déposition de Croix de Volterra</w:t>
      </w:r>
      <w:r w:rsidR="002C399C">
        <w:t xml:space="preserve"> (1521)</w:t>
      </w:r>
      <w:r w:rsidR="002C399C">
        <w:rPr>
          <w:rStyle w:val="Appelnotedebasdep"/>
        </w:rPr>
        <w:footnoteReference w:id="31"/>
      </w:r>
      <w:r w:rsidR="00533540">
        <w:t xml:space="preserve">. </w:t>
      </w:r>
    </w:p>
    <w:p w:rsidR="00A334C5" w:rsidRDefault="00A334C5" w:rsidP="002C399C">
      <w:pPr>
        <w:spacing w:after="120" w:line="276" w:lineRule="auto"/>
        <w:jc w:val="both"/>
      </w:pPr>
    </w:p>
    <w:p w:rsidR="00A334C5" w:rsidRDefault="00A334C5" w:rsidP="002C399C">
      <w:pPr>
        <w:spacing w:after="120" w:line="276" w:lineRule="auto"/>
        <w:jc w:val="both"/>
      </w:pPr>
    </w:p>
    <w:p w:rsidR="00A334C5" w:rsidRDefault="00A334C5" w:rsidP="002C399C">
      <w:pPr>
        <w:spacing w:after="120" w:line="276" w:lineRule="auto"/>
        <w:jc w:val="both"/>
      </w:pPr>
    </w:p>
    <w:p w:rsidR="00A334C5" w:rsidRDefault="00A334C5" w:rsidP="002C399C">
      <w:pPr>
        <w:spacing w:after="120" w:line="276" w:lineRule="auto"/>
        <w:jc w:val="both"/>
      </w:pPr>
    </w:p>
    <w:p w:rsidR="00A334C5" w:rsidRDefault="00A334C5" w:rsidP="002C399C">
      <w:pPr>
        <w:spacing w:after="120" w:line="276" w:lineRule="auto"/>
        <w:jc w:val="both"/>
      </w:pPr>
    </w:p>
    <w:p w:rsidR="00A334C5" w:rsidRDefault="00A334C5" w:rsidP="002C399C">
      <w:pPr>
        <w:spacing w:after="120" w:line="276" w:lineRule="auto"/>
        <w:jc w:val="both"/>
      </w:pPr>
    </w:p>
    <w:p w:rsidR="00A334C5" w:rsidRDefault="00A334C5" w:rsidP="002C399C">
      <w:pPr>
        <w:spacing w:after="120" w:line="276" w:lineRule="auto"/>
        <w:jc w:val="both"/>
      </w:pPr>
    </w:p>
    <w:p w:rsidR="00A77AC3" w:rsidRDefault="00A77AC3" w:rsidP="00DA3314">
      <w:pPr>
        <w:spacing w:after="120" w:line="276" w:lineRule="auto"/>
        <w:jc w:val="both"/>
      </w:pPr>
      <w:r>
        <w:lastRenderedPageBreak/>
        <w:t>Figure 3</w:t>
      </w:r>
    </w:p>
    <w:p w:rsidR="00A77AC3" w:rsidRDefault="007E2032" w:rsidP="002C399C">
      <w:pPr>
        <w:spacing w:after="120" w:line="276" w:lineRule="auto"/>
        <w:jc w:val="both"/>
      </w:pPr>
      <w:r>
        <w:fldChar w:fldCharType="begin"/>
      </w:r>
      <w:r>
        <w:instrText xml:space="preserve"> INCLUDEPICTURE "/var/folders/db/q9vpnpcn05l6dpqgvxtv24940000gn/T/com.microsoft.Word/WebArchiveCopyPasteTempFiles/Rosso_Fiorentino_-_Descent_from_the_Cross_-_WGA20117.jpg" \* MERGEFORMATINET </w:instrText>
      </w:r>
      <w:r>
        <w:fldChar w:fldCharType="separate"/>
      </w:r>
      <w:r>
        <w:rPr>
          <w:noProof/>
        </w:rPr>
        <w:drawing>
          <wp:inline distT="0" distB="0" distL="0" distR="0" wp14:anchorId="23AF5288" wp14:editId="17FDF211">
            <wp:extent cx="2785533" cy="4668443"/>
            <wp:effectExtent l="0" t="0" r="0" b="5715"/>
            <wp:docPr id="2" name="Image 2" descr="Déposition de Croix (Rosso Fiorentino)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position de Croix (Rosso Fiorentino) — Wikipé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649" cy="4740703"/>
                    </a:xfrm>
                    <a:prstGeom prst="rect">
                      <a:avLst/>
                    </a:prstGeom>
                    <a:noFill/>
                    <a:ln>
                      <a:noFill/>
                    </a:ln>
                  </pic:spPr>
                </pic:pic>
              </a:graphicData>
            </a:graphic>
          </wp:inline>
        </w:drawing>
      </w:r>
      <w:r>
        <w:fldChar w:fldCharType="end"/>
      </w:r>
    </w:p>
    <w:p w:rsidR="00A77AC3" w:rsidRPr="00A77AC3" w:rsidRDefault="00A77AC3" w:rsidP="002C399C">
      <w:pPr>
        <w:spacing w:after="120" w:line="276" w:lineRule="auto"/>
        <w:jc w:val="both"/>
        <w:rPr>
          <w:sz w:val="20"/>
          <w:szCs w:val="20"/>
        </w:rPr>
      </w:pPr>
      <w:r w:rsidRPr="00A77AC3">
        <w:rPr>
          <w:sz w:val="20"/>
          <w:szCs w:val="20"/>
        </w:rPr>
        <w:t xml:space="preserve">Rosso Fiorentino, </w:t>
      </w:r>
      <w:r w:rsidRPr="00A77AC3">
        <w:rPr>
          <w:i/>
          <w:sz w:val="20"/>
          <w:szCs w:val="20"/>
        </w:rPr>
        <w:t>La Déposition de Croix de Volterra</w:t>
      </w:r>
      <w:r w:rsidRPr="00A77AC3">
        <w:rPr>
          <w:sz w:val="20"/>
          <w:szCs w:val="20"/>
        </w:rPr>
        <w:t>, huile sur bois, 375 x 196 cm, Italie, Pinacothèque de Volterra</w:t>
      </w:r>
      <w:r>
        <w:rPr>
          <w:sz w:val="20"/>
          <w:szCs w:val="20"/>
        </w:rPr>
        <w:t>.</w:t>
      </w:r>
    </w:p>
    <w:p w:rsidR="00DA3314" w:rsidRDefault="00F66B09" w:rsidP="002C399C">
      <w:pPr>
        <w:spacing w:after="120" w:line="276" w:lineRule="auto"/>
        <w:jc w:val="both"/>
      </w:pPr>
      <w:r>
        <w:t>L’enjeu de ce type d’analyse réside alors dans la pertinence des choix</w:t>
      </w:r>
      <w:r w:rsidR="00533540">
        <w:t xml:space="preserve"> gagée sur la mise à nu de convergences, mais aussi de divergences, qui peuvent créer une crise interprétative, mais aussi dynamiser davantage l’enquête indiciaire.</w:t>
      </w:r>
      <w:r>
        <w:t xml:space="preserve"> </w:t>
      </w:r>
      <w:r w:rsidR="00533540">
        <w:t>Par exemple, associera-t-on</w:t>
      </w:r>
      <w:r w:rsidR="002C399C">
        <w:t xml:space="preserve"> la couleur rouge saturée et brillante</w:t>
      </w:r>
      <w:r w:rsidR="00A77AC3">
        <w:t>, opposée à la couleur</w:t>
      </w:r>
      <w:r w:rsidR="002C399C">
        <w:t xml:space="preserve"> </w:t>
      </w:r>
      <w:r w:rsidR="00A77AC3">
        <w:t xml:space="preserve">grisâtre du fond, </w:t>
      </w:r>
      <w:r w:rsidR="002C399C">
        <w:t xml:space="preserve">à un effet de dramatisation de la scène ? Ainsi, dans </w:t>
      </w:r>
      <w:r w:rsidR="00A334C5">
        <w:t xml:space="preserve">la </w:t>
      </w:r>
      <w:r w:rsidR="002C399C">
        <w:t xml:space="preserve">partie inférieure de </w:t>
      </w:r>
      <w:r w:rsidR="002C399C" w:rsidRPr="00E5037C">
        <w:rPr>
          <w:i/>
        </w:rPr>
        <w:t>La</w:t>
      </w:r>
      <w:r w:rsidR="002C399C">
        <w:t xml:space="preserve"> </w:t>
      </w:r>
      <w:r w:rsidR="002C399C" w:rsidRPr="00185A92">
        <w:rPr>
          <w:i/>
        </w:rPr>
        <w:t>Déposition de Croix de Volterra</w:t>
      </w:r>
      <w:r w:rsidR="00575E52">
        <w:t>,</w:t>
      </w:r>
      <w:r w:rsidR="002C399C">
        <w:t xml:space="preserve"> une sainte femme vêtue de rouge s’agrippe aux genoux de la Vierge et, dans la partie supérieure du tableau, un personnage drapé dans un tissu rouge, au visage émacié, est couché sur la partie horizontale du « T » de la croix. Dire que le rouge </w:t>
      </w:r>
      <w:r w:rsidR="00A334C5">
        <w:t xml:space="preserve">(opposé par exemple au jaune pâle) </w:t>
      </w:r>
      <w:r w:rsidR="002C399C">
        <w:t xml:space="preserve">symbolise la passion du Christ, c’est établir des relations de type semi-symbolique. </w:t>
      </w:r>
    </w:p>
    <w:p w:rsidR="00A334C5" w:rsidRDefault="002C399C" w:rsidP="002C399C">
      <w:pPr>
        <w:spacing w:after="120" w:line="276" w:lineRule="auto"/>
        <w:jc w:val="both"/>
      </w:pPr>
      <w:r w:rsidRPr="00E96193">
        <w:t xml:space="preserve">Pour peu que l’on ajoute d’autres cadrages – en direction, par exemple, des artistes contemporains de Fiorentino – </w:t>
      </w:r>
      <w:r w:rsidR="00F66B09">
        <w:t>d’autres voies</w:t>
      </w:r>
      <w:r w:rsidRPr="00E96193">
        <w:t xml:space="preserve"> s’ouvrent à nous, sans que, pour le moment, la distance avec le tableau source soit mesurée. Ainsi, on peut noter la présence du bracelet de corail rouge de l’Enfant tenant un globe dans la </w:t>
      </w:r>
      <w:r w:rsidR="00A334C5">
        <w:rPr>
          <w:i/>
        </w:rPr>
        <w:t xml:space="preserve">Vierge </w:t>
      </w:r>
      <w:r w:rsidRPr="00E96193">
        <w:rPr>
          <w:i/>
        </w:rPr>
        <w:t>à la Rose</w:t>
      </w:r>
      <w:r w:rsidRPr="00E96193">
        <w:t xml:space="preserve"> d</w:t>
      </w:r>
      <w:r w:rsidR="00A334C5">
        <w:t>e Francesco Mazzola dit Parmigianino</w:t>
      </w:r>
      <w:r w:rsidRPr="00E96193">
        <w:t xml:space="preserve"> (1530). </w:t>
      </w:r>
    </w:p>
    <w:p w:rsidR="00A334C5" w:rsidRDefault="00A334C5" w:rsidP="002C399C">
      <w:pPr>
        <w:spacing w:after="120" w:line="276" w:lineRule="auto"/>
        <w:jc w:val="both"/>
      </w:pPr>
    </w:p>
    <w:p w:rsidR="00A334C5" w:rsidRDefault="00A334C5" w:rsidP="002C399C">
      <w:pPr>
        <w:spacing w:after="120" w:line="276" w:lineRule="auto"/>
        <w:jc w:val="both"/>
      </w:pPr>
    </w:p>
    <w:p w:rsidR="00A334C5" w:rsidRDefault="00A334C5" w:rsidP="002C399C">
      <w:pPr>
        <w:spacing w:after="120" w:line="276" w:lineRule="auto"/>
        <w:jc w:val="both"/>
      </w:pPr>
    </w:p>
    <w:p w:rsidR="00A334C5" w:rsidRDefault="00A334C5" w:rsidP="002C399C">
      <w:pPr>
        <w:spacing w:after="120" w:line="276" w:lineRule="auto"/>
        <w:jc w:val="both"/>
      </w:pPr>
    </w:p>
    <w:p w:rsidR="00DA3314" w:rsidRDefault="00A334C5" w:rsidP="002C399C">
      <w:pPr>
        <w:spacing w:after="120" w:line="276" w:lineRule="auto"/>
        <w:jc w:val="both"/>
      </w:pPr>
      <w:r>
        <w:t>Figure 4</w:t>
      </w:r>
      <w:r w:rsidR="00874679">
        <w:t xml:space="preserve"> </w:t>
      </w:r>
    </w:p>
    <w:p w:rsidR="00DA3314" w:rsidRDefault="00DA3314" w:rsidP="00DA3314">
      <w:r>
        <w:fldChar w:fldCharType="begin"/>
      </w:r>
      <w:r>
        <w:instrText xml:space="preserve"> INCLUDEPICTURE "/var/folders/db/q9vpnpcn05l6dpqgvxtv24940000gn/T/com.microsoft.Word/WebArchiveCopyPasteTempFiles/011434.jpg?itok=usehu1Ig" \* MERGEFORMATINET </w:instrText>
      </w:r>
      <w:r>
        <w:fldChar w:fldCharType="separate"/>
      </w:r>
      <w:r>
        <w:rPr>
          <w:noProof/>
        </w:rPr>
        <w:drawing>
          <wp:inline distT="0" distB="0" distL="0" distR="0" wp14:anchorId="434B33F5" wp14:editId="37150975">
            <wp:extent cx="3217333" cy="3860800"/>
            <wp:effectExtent l="0" t="0" r="0" b="0"/>
            <wp:docPr id="8" name="Image 8" descr="/var/folders/db/q9vpnpcn05l6dpqgvxtv24940000gn/T/com.microsoft.Word/WebArchiveCopyPasteTempFiles/011434.jpg?itok=usehu1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db/q9vpnpcn05l6dpqgvxtv24940000gn/T/com.microsoft.Word/WebArchiveCopyPasteTempFiles/011434.jpg?itok=usehu1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3755" cy="3880507"/>
                    </a:xfrm>
                    <a:prstGeom prst="rect">
                      <a:avLst/>
                    </a:prstGeom>
                    <a:noFill/>
                    <a:ln>
                      <a:noFill/>
                    </a:ln>
                  </pic:spPr>
                </pic:pic>
              </a:graphicData>
            </a:graphic>
          </wp:inline>
        </w:drawing>
      </w:r>
      <w:r>
        <w:fldChar w:fldCharType="end"/>
      </w:r>
    </w:p>
    <w:p w:rsidR="00A334C5" w:rsidRDefault="00A334C5" w:rsidP="002C399C">
      <w:pPr>
        <w:spacing w:after="120" w:line="276" w:lineRule="auto"/>
        <w:jc w:val="both"/>
      </w:pPr>
    </w:p>
    <w:p w:rsidR="00A334C5" w:rsidRPr="00A334C5" w:rsidRDefault="00A334C5" w:rsidP="002C399C">
      <w:pPr>
        <w:spacing w:after="120" w:line="276" w:lineRule="auto"/>
        <w:jc w:val="both"/>
        <w:rPr>
          <w:sz w:val="20"/>
          <w:szCs w:val="20"/>
        </w:rPr>
      </w:pPr>
      <w:r w:rsidRPr="00A334C5">
        <w:rPr>
          <w:sz w:val="20"/>
          <w:szCs w:val="20"/>
        </w:rPr>
        <w:t xml:space="preserve">Francesco Mazzola Parmesan, dit Parmigianino, </w:t>
      </w:r>
      <w:r w:rsidRPr="00A334C5">
        <w:rPr>
          <w:i/>
          <w:sz w:val="20"/>
          <w:szCs w:val="20"/>
        </w:rPr>
        <w:t>La Vierge à la rose</w:t>
      </w:r>
      <w:r w:rsidRPr="00A334C5">
        <w:rPr>
          <w:sz w:val="20"/>
          <w:szCs w:val="20"/>
        </w:rPr>
        <w:t>, huile sur panneau de peuplier, 109 x 88,5 cm, Dresde, Staatliche Kunstsammlung Dresden, Gemäldegalerie Alte Meister</w:t>
      </w:r>
      <w:r>
        <w:rPr>
          <w:sz w:val="20"/>
          <w:szCs w:val="20"/>
        </w:rPr>
        <w:t>, 1530.</w:t>
      </w:r>
    </w:p>
    <w:p w:rsidR="00BD5326" w:rsidRDefault="002C399C" w:rsidP="002C399C">
      <w:pPr>
        <w:spacing w:after="120" w:line="276" w:lineRule="auto"/>
        <w:jc w:val="both"/>
      </w:pPr>
      <w:r w:rsidRPr="00E96193">
        <w:t xml:space="preserve">En effet, dans ce dernier tableau, l’écho chromatique entre le tissu rouge drapé dans le coin supérieur droit </w:t>
      </w:r>
      <w:r w:rsidR="00DA3314">
        <w:t>du tableau</w:t>
      </w:r>
      <w:r w:rsidRPr="00E96193">
        <w:t xml:space="preserve"> et le bracelet, qui est relié au premier par une ligne diagonale, se double, dans la tradition iconographique, de l’attribution d’une charge symbolique : face à la passion du Christ, la rose et le globe représenteraient le salut du monde. </w:t>
      </w:r>
    </w:p>
    <w:p w:rsidR="00515D5C" w:rsidRDefault="008F5EFE" w:rsidP="002C399C">
      <w:pPr>
        <w:spacing w:after="120" w:line="276" w:lineRule="auto"/>
        <w:jc w:val="both"/>
      </w:pPr>
      <w:r>
        <w:t xml:space="preserve">Immédiatement, la dramatisation entre en conflit avec l’atmosphère plus pacifiée dans le tableau source. </w:t>
      </w:r>
    </w:p>
    <w:p w:rsidR="00A77AC3" w:rsidRDefault="008F5EFE" w:rsidP="00515D5C">
      <w:pPr>
        <w:spacing w:after="120" w:line="276" w:lineRule="auto"/>
        <w:jc w:val="both"/>
      </w:pPr>
      <w:r>
        <w:t>Continuons.</w:t>
      </w:r>
      <w:r w:rsidR="00515D5C">
        <w:t xml:space="preserve"> </w:t>
      </w:r>
      <w:r>
        <w:t>D</w:t>
      </w:r>
      <w:r w:rsidR="00515D5C">
        <w:t xml:space="preserve">ans la </w:t>
      </w:r>
      <w:r w:rsidR="00515D5C" w:rsidRPr="00FD55B3">
        <w:rPr>
          <w:i/>
        </w:rPr>
        <w:t>Pietà</w:t>
      </w:r>
      <w:r w:rsidR="00515D5C">
        <w:t>, l’on note des similarités au niveau de la disposition des personnages à droite et à gauche du Christ, personnage « central », une ligne diagonale reliant la main gauche de la Vierge, l’épaule droite du Christ et ses jambes allongées</w:t>
      </w:r>
      <w:r w:rsidR="00DA3314">
        <w:t>.</w:t>
      </w:r>
      <w:r w:rsidR="00A77AC3">
        <w:t xml:space="preserve"> </w:t>
      </w:r>
    </w:p>
    <w:p w:rsidR="00DA3314" w:rsidRDefault="00DA3314" w:rsidP="00515D5C">
      <w:pPr>
        <w:spacing w:after="120" w:line="276" w:lineRule="auto"/>
        <w:jc w:val="both"/>
      </w:pPr>
    </w:p>
    <w:p w:rsidR="00DA3314" w:rsidRDefault="00DA3314" w:rsidP="00515D5C">
      <w:pPr>
        <w:spacing w:after="120" w:line="276" w:lineRule="auto"/>
        <w:jc w:val="both"/>
      </w:pPr>
    </w:p>
    <w:p w:rsidR="00DA3314" w:rsidRDefault="00DA3314" w:rsidP="00515D5C">
      <w:pPr>
        <w:spacing w:after="120" w:line="276" w:lineRule="auto"/>
        <w:jc w:val="both"/>
      </w:pPr>
    </w:p>
    <w:p w:rsidR="00DA3314" w:rsidRDefault="00DA3314" w:rsidP="00515D5C">
      <w:pPr>
        <w:spacing w:after="120" w:line="276" w:lineRule="auto"/>
        <w:jc w:val="both"/>
      </w:pPr>
    </w:p>
    <w:p w:rsidR="00DA3314" w:rsidRDefault="00DA3314" w:rsidP="00515D5C">
      <w:pPr>
        <w:spacing w:after="120" w:line="276" w:lineRule="auto"/>
        <w:jc w:val="both"/>
      </w:pPr>
    </w:p>
    <w:p w:rsidR="00DA3314" w:rsidRDefault="00DA3314" w:rsidP="00515D5C">
      <w:pPr>
        <w:spacing w:after="120" w:line="276" w:lineRule="auto"/>
        <w:jc w:val="both"/>
      </w:pPr>
    </w:p>
    <w:p w:rsidR="00A77AC3" w:rsidRDefault="00A77AC3" w:rsidP="00515D5C">
      <w:pPr>
        <w:spacing w:after="120" w:line="276" w:lineRule="auto"/>
        <w:jc w:val="both"/>
      </w:pPr>
      <w:r>
        <w:t xml:space="preserve">Figure </w:t>
      </w:r>
      <w:r w:rsidR="00DA3314">
        <w:t>5</w:t>
      </w:r>
      <w:r w:rsidR="00874679">
        <w:t xml:space="preserve"> </w:t>
      </w:r>
    </w:p>
    <w:p w:rsidR="00A77AC3" w:rsidRDefault="00A77AC3" w:rsidP="00A77AC3">
      <w:r>
        <w:fldChar w:fldCharType="begin"/>
      </w:r>
      <w:r>
        <w:instrText xml:space="preserve"> INCLUDEPICTURE "/var/folders/db/q9vpnpcn05l6dpqgvxtv24940000gn/T/com.microsoft.Word/WebArchiveCopyPasteTempFiles/1200px-Rosso_Fiorentino_-_Piet%C3%A0_-_WGA20135.jpg" \* MERGEFORMATINET </w:instrText>
      </w:r>
      <w:r>
        <w:fldChar w:fldCharType="separate"/>
      </w:r>
      <w:r>
        <w:rPr>
          <w:noProof/>
        </w:rPr>
        <w:drawing>
          <wp:inline distT="0" distB="0" distL="0" distR="0" wp14:anchorId="503877DC" wp14:editId="215B06EB">
            <wp:extent cx="4318000" cy="3298273"/>
            <wp:effectExtent l="0" t="0" r="0" b="3810"/>
            <wp:docPr id="5" name="Image 5" descr="Fichier:Rosso Fiorentino - Pietà - WGA20135.jp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chier:Rosso Fiorentino - Pietà - WGA20135.jpg — Wikipé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3163" cy="3317493"/>
                    </a:xfrm>
                    <a:prstGeom prst="rect">
                      <a:avLst/>
                    </a:prstGeom>
                    <a:noFill/>
                    <a:ln>
                      <a:noFill/>
                    </a:ln>
                  </pic:spPr>
                </pic:pic>
              </a:graphicData>
            </a:graphic>
          </wp:inline>
        </w:drawing>
      </w:r>
      <w:r>
        <w:fldChar w:fldCharType="end"/>
      </w:r>
    </w:p>
    <w:p w:rsidR="00A77AC3" w:rsidRDefault="00A77AC3" w:rsidP="00515D5C">
      <w:pPr>
        <w:spacing w:after="120" w:line="276" w:lineRule="auto"/>
        <w:jc w:val="both"/>
      </w:pPr>
    </w:p>
    <w:p w:rsidR="00A77AC3" w:rsidRPr="00A77AC3" w:rsidRDefault="00A77AC3" w:rsidP="00515D5C">
      <w:pPr>
        <w:spacing w:after="120" w:line="276" w:lineRule="auto"/>
        <w:jc w:val="both"/>
        <w:rPr>
          <w:sz w:val="20"/>
          <w:szCs w:val="20"/>
        </w:rPr>
      </w:pPr>
      <w:r w:rsidRPr="00A77AC3">
        <w:rPr>
          <w:sz w:val="20"/>
          <w:szCs w:val="20"/>
        </w:rPr>
        <w:t xml:space="preserve">Rosso Fiorentino, </w:t>
      </w:r>
      <w:r w:rsidRPr="00A77AC3">
        <w:rPr>
          <w:i/>
          <w:sz w:val="20"/>
          <w:szCs w:val="20"/>
        </w:rPr>
        <w:t>Pietà</w:t>
      </w:r>
      <w:r w:rsidRPr="00A77AC3">
        <w:rPr>
          <w:sz w:val="20"/>
          <w:szCs w:val="20"/>
        </w:rPr>
        <w:t>, huile sur toile (bois transposé sur toile), 1,27 x 1,465 x 1,63 cm, Musée du Louvre.</w:t>
      </w:r>
    </w:p>
    <w:p w:rsidR="00DA3314" w:rsidRDefault="00515D5C" w:rsidP="00515D5C">
      <w:pPr>
        <w:spacing w:after="120" w:line="276" w:lineRule="auto"/>
        <w:jc w:val="both"/>
        <w:rPr>
          <w:color w:val="1B1B1B"/>
        </w:rPr>
      </w:pPr>
      <w:r>
        <w:t>À cela s’ajoute l’absence de</w:t>
      </w:r>
      <w:r>
        <w:rPr>
          <w:color w:val="1B1B1B"/>
        </w:rPr>
        <w:t xml:space="preserve"> convergence des regards, qui rappelle la ligne zigzagante dans le tableau requête. </w:t>
      </w:r>
    </w:p>
    <w:p w:rsidR="00DA3314" w:rsidRDefault="00DA3314" w:rsidP="00515D5C">
      <w:pPr>
        <w:spacing w:after="120" w:line="276" w:lineRule="auto"/>
        <w:jc w:val="both"/>
        <w:rPr>
          <w:color w:val="1B1B1B"/>
        </w:rPr>
      </w:pPr>
      <w:r>
        <w:rPr>
          <w:color w:val="1B1B1B"/>
        </w:rPr>
        <w:t xml:space="preserve">Retournons à </w:t>
      </w:r>
      <w:r w:rsidR="00515D5C" w:rsidRPr="003C0EB1">
        <w:rPr>
          <w:i/>
        </w:rPr>
        <w:t>La Déposition de Croix de Volterra</w:t>
      </w:r>
      <w:r w:rsidR="00515D5C">
        <w:rPr>
          <w:color w:val="1B1B1B"/>
        </w:rPr>
        <w:t xml:space="preserve">, </w:t>
      </w:r>
      <w:r>
        <w:rPr>
          <w:color w:val="1B1B1B"/>
        </w:rPr>
        <w:t xml:space="preserve">en abordant le tableau sous l’angle de la composition. </w:t>
      </w:r>
    </w:p>
    <w:p w:rsidR="00DA3314" w:rsidRDefault="00DA3314" w:rsidP="00515D5C">
      <w:pPr>
        <w:spacing w:after="120" w:line="276" w:lineRule="auto"/>
        <w:jc w:val="both"/>
      </w:pPr>
    </w:p>
    <w:p w:rsidR="00DA3314" w:rsidRDefault="00DA3314" w:rsidP="00515D5C">
      <w:pPr>
        <w:spacing w:after="120" w:line="276" w:lineRule="auto"/>
        <w:jc w:val="both"/>
      </w:pPr>
    </w:p>
    <w:p w:rsidR="00DA3314" w:rsidRDefault="00DA3314" w:rsidP="00515D5C">
      <w:pPr>
        <w:spacing w:after="120" w:line="276" w:lineRule="auto"/>
        <w:jc w:val="both"/>
      </w:pPr>
    </w:p>
    <w:p w:rsidR="00DA3314" w:rsidRDefault="00DA3314" w:rsidP="00515D5C">
      <w:pPr>
        <w:spacing w:after="120" w:line="276" w:lineRule="auto"/>
        <w:jc w:val="both"/>
      </w:pPr>
    </w:p>
    <w:p w:rsidR="00DA3314" w:rsidRDefault="00DA3314" w:rsidP="00515D5C">
      <w:pPr>
        <w:spacing w:after="120" w:line="276" w:lineRule="auto"/>
        <w:jc w:val="both"/>
      </w:pPr>
    </w:p>
    <w:p w:rsidR="00DA3314" w:rsidRDefault="00DA3314" w:rsidP="00515D5C">
      <w:pPr>
        <w:spacing w:after="120" w:line="276" w:lineRule="auto"/>
        <w:jc w:val="both"/>
      </w:pPr>
    </w:p>
    <w:p w:rsidR="00DA3314" w:rsidRDefault="00DA3314" w:rsidP="00515D5C">
      <w:pPr>
        <w:spacing w:after="120" w:line="276" w:lineRule="auto"/>
        <w:jc w:val="both"/>
      </w:pPr>
    </w:p>
    <w:p w:rsidR="00DA3314" w:rsidRDefault="00DA3314" w:rsidP="00515D5C">
      <w:pPr>
        <w:spacing w:after="120" w:line="276" w:lineRule="auto"/>
        <w:jc w:val="both"/>
      </w:pPr>
    </w:p>
    <w:p w:rsidR="00DA3314" w:rsidRDefault="00DA3314" w:rsidP="00515D5C">
      <w:pPr>
        <w:spacing w:after="120" w:line="276" w:lineRule="auto"/>
        <w:jc w:val="both"/>
      </w:pPr>
    </w:p>
    <w:p w:rsidR="00DA3314" w:rsidRDefault="00DA3314" w:rsidP="00515D5C">
      <w:pPr>
        <w:spacing w:after="120" w:line="276" w:lineRule="auto"/>
        <w:jc w:val="both"/>
      </w:pPr>
    </w:p>
    <w:p w:rsidR="00DA3314" w:rsidRDefault="00DA3314" w:rsidP="00515D5C">
      <w:pPr>
        <w:spacing w:after="120" w:line="276" w:lineRule="auto"/>
        <w:jc w:val="both"/>
      </w:pPr>
    </w:p>
    <w:p w:rsidR="00DA3314" w:rsidRDefault="00DA3314" w:rsidP="00515D5C">
      <w:pPr>
        <w:spacing w:after="120" w:line="276" w:lineRule="auto"/>
        <w:jc w:val="both"/>
      </w:pPr>
    </w:p>
    <w:p w:rsidR="00DA3314" w:rsidRDefault="00DA3314" w:rsidP="00515D5C">
      <w:pPr>
        <w:spacing w:after="120" w:line="276" w:lineRule="auto"/>
        <w:jc w:val="both"/>
      </w:pPr>
    </w:p>
    <w:p w:rsidR="00DA3314" w:rsidRDefault="00DA3314" w:rsidP="00515D5C">
      <w:pPr>
        <w:spacing w:after="120" w:line="276" w:lineRule="auto"/>
        <w:jc w:val="both"/>
      </w:pPr>
    </w:p>
    <w:p w:rsidR="00DA3314" w:rsidRDefault="00DA3314" w:rsidP="00515D5C">
      <w:pPr>
        <w:spacing w:after="120" w:line="276" w:lineRule="auto"/>
        <w:jc w:val="both"/>
      </w:pPr>
      <w:r>
        <w:t>Figure 6</w:t>
      </w:r>
    </w:p>
    <w:p w:rsidR="00DA3314" w:rsidRDefault="00DA3314" w:rsidP="00515D5C">
      <w:pPr>
        <w:spacing w:after="120" w:line="276" w:lineRule="auto"/>
        <w:jc w:val="both"/>
      </w:pPr>
      <w:r>
        <w:fldChar w:fldCharType="begin"/>
      </w:r>
      <w:r>
        <w:instrText xml:space="preserve"> INCLUDEPICTURE "/var/folders/db/q9vpnpcn05l6dpqgvxtv24940000gn/T/com.microsoft.Word/WebArchiveCopyPasteTempFiles/Rosso_Fiorentino_-_Descent_from_the_Cross_-_WGA20117.jpg" \* MERGEFORMATINET </w:instrText>
      </w:r>
      <w:r>
        <w:fldChar w:fldCharType="separate"/>
      </w:r>
      <w:r>
        <w:rPr>
          <w:noProof/>
        </w:rPr>
        <w:drawing>
          <wp:inline distT="0" distB="0" distL="0" distR="0" wp14:anchorId="198379F0" wp14:editId="63E9BEAF">
            <wp:extent cx="2734733" cy="4583304"/>
            <wp:effectExtent l="0" t="0" r="0" b="1905"/>
            <wp:docPr id="9" name="Image 9" descr="Déposition de Croix (Rosso Fiorentino)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position de Croix (Rosso Fiorentino) — Wikipé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9370" cy="4658114"/>
                    </a:xfrm>
                    <a:prstGeom prst="rect">
                      <a:avLst/>
                    </a:prstGeom>
                    <a:noFill/>
                    <a:ln>
                      <a:noFill/>
                    </a:ln>
                  </pic:spPr>
                </pic:pic>
              </a:graphicData>
            </a:graphic>
          </wp:inline>
        </w:drawing>
      </w:r>
      <w:r>
        <w:fldChar w:fldCharType="end"/>
      </w:r>
    </w:p>
    <w:p w:rsidR="00DA3314" w:rsidRPr="00A77AC3" w:rsidRDefault="00DA3314" w:rsidP="00DA3314">
      <w:pPr>
        <w:spacing w:after="120" w:line="276" w:lineRule="auto"/>
        <w:jc w:val="both"/>
        <w:rPr>
          <w:sz w:val="20"/>
          <w:szCs w:val="20"/>
        </w:rPr>
      </w:pPr>
      <w:r w:rsidRPr="00A77AC3">
        <w:rPr>
          <w:sz w:val="20"/>
          <w:szCs w:val="20"/>
        </w:rPr>
        <w:t xml:space="preserve">Rosso Fiorentino, </w:t>
      </w:r>
      <w:r w:rsidRPr="00A77AC3">
        <w:rPr>
          <w:i/>
          <w:sz w:val="20"/>
          <w:szCs w:val="20"/>
        </w:rPr>
        <w:t>La Déposition de Croix de Volterra</w:t>
      </w:r>
      <w:r w:rsidRPr="00A77AC3">
        <w:rPr>
          <w:sz w:val="20"/>
          <w:szCs w:val="20"/>
        </w:rPr>
        <w:t>, huile sur bois, 375 x 196 cm, Italie, Pinacothèque de Volterra</w:t>
      </w:r>
      <w:r>
        <w:rPr>
          <w:sz w:val="20"/>
          <w:szCs w:val="20"/>
        </w:rPr>
        <w:t>.</w:t>
      </w:r>
    </w:p>
    <w:p w:rsidR="00515D5C" w:rsidRPr="00A43EE9" w:rsidRDefault="00DA3314" w:rsidP="00515D5C">
      <w:pPr>
        <w:spacing w:after="120" w:line="276" w:lineRule="auto"/>
        <w:jc w:val="both"/>
        <w:rPr>
          <w:color w:val="1B1B1B"/>
        </w:rPr>
      </w:pPr>
      <w:r>
        <w:t>D</w:t>
      </w:r>
      <w:r w:rsidR="00515D5C">
        <w:t>eux scènes occupant les parties supérieure et inférieure du tableau regroupent des personnages localisés dans les bordures gauche et droite du tableau, au pied des échelles ou sur leurs échelons. Les lignes serpentines convergent vers le milieu du tableau, identifié par la croix en « T », et font ressortir, par contraste, le personnage en bas à droite</w:t>
      </w:r>
      <w:r>
        <w:t xml:space="preserve"> du tableau</w:t>
      </w:r>
      <w:r w:rsidR="00515D5C">
        <w:t xml:space="preserve">, qui se détourne de la scène. Toutefois, l’inclinaison du torse et le mouvement des bras repliés devant le visage, reliés avec le pied gauche par une droite verticale, confirment le pouvoir de contention de la scène, contre toutes les velléités de hors-champ. D’où l’impression d’une composition équilibrée, voulue par la répartition des personnages à gauche et à droite de la croix, en dépit des distorsions extrêmes et d’une instabilité foncière. On peut observer une tendance à la clôture à travers, non seulement, la forme supérieure en arc, mais encore la rime qui s’établit entre deux lignes horizontales qui renvoient l’une à l’autre. Elles sont soulignées par la couleur rouge du vêtement de la femme s’agrippant aux genoux de la Vierge (dans la partie inférieure du tableau) et du vieillard allongé sur la poutre en « T » (dans la partie supérieure). </w:t>
      </w:r>
    </w:p>
    <w:p w:rsidR="00515D5C" w:rsidRDefault="004051FD" w:rsidP="002C399C">
      <w:pPr>
        <w:spacing w:after="120" w:line="276" w:lineRule="auto"/>
        <w:jc w:val="both"/>
      </w:pPr>
      <w:r>
        <w:t xml:space="preserve">Comment exploiter ces données ? D’abord, on soulignera, </w:t>
      </w:r>
      <w:r w:rsidR="00533540">
        <w:t>ici et là, un même sens de la clôture, de l’équilibre</w:t>
      </w:r>
      <w:r w:rsidR="00BD5326">
        <w:t>. En même temps, l</w:t>
      </w:r>
      <w:r w:rsidR="00533540">
        <w:t xml:space="preserve">’absence de rapprochements thématiques doit nous guider vers </w:t>
      </w:r>
      <w:r w:rsidR="00533540">
        <w:lastRenderedPageBreak/>
        <w:t xml:space="preserve">une nouvelle enquête, centrée sur les personnages </w:t>
      </w:r>
      <w:r w:rsidR="00515D5C" w:rsidRPr="00F67054">
        <w:t xml:space="preserve">mythologiques, </w:t>
      </w:r>
      <w:r w:rsidR="00BD5326">
        <w:t xml:space="preserve">sur </w:t>
      </w:r>
      <w:r w:rsidR="00515D5C" w:rsidRPr="00F67054">
        <w:t xml:space="preserve">les motifs iconographiques, etc. </w:t>
      </w:r>
      <w:r w:rsidR="00515D5C" w:rsidRPr="00F67054">
        <w:rPr>
          <w:color w:val="000000" w:themeColor="text1"/>
        </w:rPr>
        <w:t xml:space="preserve">Les mots-clefs : « Vénus », « Vénus et Cupidon », « Vénus et Bacchus », « Vénus, Bacchus et Cupidon », etc. donnent des résultats complémentaires, </w:t>
      </w:r>
      <w:r w:rsidR="00783E81">
        <w:rPr>
          <w:color w:val="000000" w:themeColor="text1"/>
        </w:rPr>
        <w:t>qu’</w:t>
      </w:r>
      <w:r w:rsidR="00515D5C">
        <w:rPr>
          <w:color w:val="000000" w:themeColor="text1"/>
        </w:rPr>
        <w:t xml:space="preserve">en raison des limites </w:t>
      </w:r>
      <w:r w:rsidR="00BD5326">
        <w:rPr>
          <w:color w:val="000000" w:themeColor="text1"/>
        </w:rPr>
        <w:t xml:space="preserve">ici </w:t>
      </w:r>
      <w:r w:rsidR="00515D5C">
        <w:rPr>
          <w:color w:val="000000" w:themeColor="text1"/>
        </w:rPr>
        <w:t xml:space="preserve">imparties, </w:t>
      </w:r>
      <w:r w:rsidR="00783E81">
        <w:rPr>
          <w:color w:val="000000" w:themeColor="text1"/>
        </w:rPr>
        <w:t xml:space="preserve">nous n’avons pas la possibilité </w:t>
      </w:r>
      <w:r w:rsidR="00515D5C">
        <w:rPr>
          <w:color w:val="000000" w:themeColor="text1"/>
        </w:rPr>
        <w:t>de commenter davantage</w:t>
      </w:r>
      <w:r w:rsidR="00515D5C" w:rsidRPr="00B861BA">
        <w:rPr>
          <w:rStyle w:val="Appelnotedebasdep"/>
          <w:color w:val="000000" w:themeColor="text1"/>
        </w:rPr>
        <w:footnoteReference w:id="32"/>
      </w:r>
      <w:r w:rsidR="00515D5C" w:rsidRPr="00F67054">
        <w:rPr>
          <w:color w:val="000000" w:themeColor="text1"/>
        </w:rPr>
        <w:t>.</w:t>
      </w:r>
    </w:p>
    <w:p w:rsidR="00515D5C" w:rsidRPr="00515D5C" w:rsidRDefault="00515D5C" w:rsidP="00515D5C">
      <w:pPr>
        <w:spacing w:after="120" w:line="276" w:lineRule="auto"/>
        <w:jc w:val="both"/>
      </w:pPr>
      <w:r w:rsidRPr="00515D5C">
        <w:t xml:space="preserve">Au terme de ces repérages, faisons plusieurs constatations : </w:t>
      </w:r>
    </w:p>
    <w:p w:rsidR="00515D5C" w:rsidRPr="00515D5C" w:rsidRDefault="002C399C" w:rsidP="00515D5C">
      <w:pPr>
        <w:pStyle w:val="Paragraphedeliste"/>
        <w:numPr>
          <w:ilvl w:val="0"/>
          <w:numId w:val="17"/>
        </w:numPr>
        <w:spacing w:after="120" w:line="276" w:lineRule="auto"/>
        <w:ind w:left="1077"/>
        <w:contextualSpacing w:val="0"/>
        <w:jc w:val="both"/>
        <w:rPr>
          <w:rFonts w:ascii="Times New Roman" w:hAnsi="Times New Roman" w:cs="Times New Roman"/>
        </w:rPr>
      </w:pPr>
      <w:proofErr w:type="gramStart"/>
      <w:r w:rsidRPr="00515D5C">
        <w:rPr>
          <w:rFonts w:ascii="Times New Roman" w:hAnsi="Times New Roman" w:cs="Times New Roman"/>
        </w:rPr>
        <w:t>une</w:t>
      </w:r>
      <w:proofErr w:type="gramEnd"/>
      <w:r w:rsidRPr="00515D5C">
        <w:rPr>
          <w:rFonts w:ascii="Times New Roman" w:hAnsi="Times New Roman" w:cs="Times New Roman"/>
        </w:rPr>
        <w:t xml:space="preserve"> analyse affinée devrait non seulement isoler des </w:t>
      </w:r>
      <w:r w:rsidRPr="00515D5C">
        <w:rPr>
          <w:rFonts w:ascii="Times New Roman" w:hAnsi="Times New Roman" w:cs="Times New Roman"/>
          <w:i/>
        </w:rPr>
        <w:t>foyers chromatiques</w:t>
      </w:r>
      <w:r w:rsidRPr="00515D5C">
        <w:rPr>
          <w:rFonts w:ascii="Times New Roman" w:hAnsi="Times New Roman" w:cs="Times New Roman"/>
        </w:rPr>
        <w:t xml:space="preserve">, mais statuer davantage sur la pureté, la brillance, la saturation des couleurs, sur les nuances, les tonalités du clair-obscur et la densité, sur les aplats ou les dégradés, ainsi que sur les accords entre plages de couleurs (la négociation entre les pôles blanc et noir ; les relations entre le rouge et sa complémentaire vert, le bleu et sa complémentaire orange, le jaune et sa complémentaire violet…). Les transitions expérimentent des coefficients de vitesse en fonction des contrastes : ainsi, il s’agit de montrer que la technique du sfumato rend les contours et les surfaces plus douces et plus floues ; les transitions sont facilitées. Enfin, il faudrait rendre compte des variations dépendant des supports (la toile, le bois…) et des changements d’éclairage (par exemple, une lumière douce, un éclairage à la bougie, indirect, etc.) ; </w:t>
      </w:r>
    </w:p>
    <w:p w:rsidR="002C399C" w:rsidRPr="00BD5326" w:rsidRDefault="002C399C" w:rsidP="00BD5326">
      <w:pPr>
        <w:pStyle w:val="Paragraphedeliste"/>
        <w:numPr>
          <w:ilvl w:val="0"/>
          <w:numId w:val="17"/>
        </w:numPr>
        <w:spacing w:after="120" w:line="276" w:lineRule="auto"/>
        <w:ind w:left="1077"/>
        <w:contextualSpacing w:val="0"/>
        <w:jc w:val="both"/>
      </w:pPr>
      <w:proofErr w:type="gramStart"/>
      <w:r w:rsidRPr="00BD5326">
        <w:rPr>
          <w:rFonts w:ascii="Times New Roman" w:hAnsi="Times New Roman" w:cs="Times New Roman"/>
        </w:rPr>
        <w:t>il</w:t>
      </w:r>
      <w:proofErr w:type="gramEnd"/>
      <w:r w:rsidRPr="00BD5326">
        <w:rPr>
          <w:rFonts w:ascii="Times New Roman" w:hAnsi="Times New Roman" w:cs="Times New Roman"/>
        </w:rPr>
        <w:t xml:space="preserve"> est significatif qu’au gré des filiations de formes, le lien avec le tableau source devienne de plus en plus lâche.</w:t>
      </w:r>
      <w:r w:rsidR="00434D18" w:rsidRPr="00BD5326">
        <w:rPr>
          <w:rFonts w:ascii="Times New Roman" w:hAnsi="Times New Roman" w:cs="Times New Roman"/>
        </w:rPr>
        <w:t xml:space="preserve"> La génération de formes repose ici sur des </w:t>
      </w:r>
      <w:r w:rsidR="00434D18" w:rsidRPr="00BD5326">
        <w:rPr>
          <w:rFonts w:ascii="Times New Roman" w:hAnsi="Times New Roman" w:cs="Times New Roman"/>
          <w:i/>
        </w:rPr>
        <w:t>anticipations</w:t>
      </w:r>
      <w:r w:rsidR="00434D18" w:rsidRPr="00BD5326">
        <w:rPr>
          <w:rFonts w:ascii="Times New Roman" w:hAnsi="Times New Roman" w:cs="Times New Roman"/>
        </w:rPr>
        <w:t xml:space="preserve"> : non seulement de motifs, de profils et de thèmes (Cadiot et Visetti 2001a et 2001b), mais encore de lignes, de couleurs, de topographies, de compositions, etc. Chaque tableau projette un </w:t>
      </w:r>
      <w:r w:rsidR="00434D18" w:rsidRPr="00BD5326">
        <w:rPr>
          <w:rFonts w:ascii="Times New Roman" w:hAnsi="Times New Roman" w:cs="Times New Roman"/>
          <w:i/>
        </w:rPr>
        <w:t>à-venir</w:t>
      </w:r>
      <w:r w:rsidR="00434D18" w:rsidRPr="00BD5326">
        <w:rPr>
          <w:rFonts w:ascii="Times New Roman" w:hAnsi="Times New Roman" w:cs="Times New Roman"/>
        </w:rPr>
        <w:t>, les déterminations étant à chaque fois confrontées avec le vague et ses virtualités, ses possibles et ses potentialités, disponibles pour des convocations. Ainsi, d</w:t>
      </w:r>
      <w:r w:rsidRPr="00BD5326">
        <w:rPr>
          <w:rFonts w:ascii="Times New Roman" w:hAnsi="Times New Roman" w:cs="Times New Roman"/>
        </w:rPr>
        <w:t>es trajets et des trajectoires s’esquissent, nous entraînant</w:t>
      </w:r>
      <w:r w:rsidR="00783E81" w:rsidRPr="00BD5326">
        <w:rPr>
          <w:rFonts w:ascii="Times New Roman" w:hAnsi="Times New Roman" w:cs="Times New Roman"/>
        </w:rPr>
        <w:t xml:space="preserve"> </w:t>
      </w:r>
      <w:r w:rsidRPr="00BD5326">
        <w:rPr>
          <w:rFonts w:ascii="Times New Roman" w:hAnsi="Times New Roman" w:cs="Times New Roman"/>
        </w:rPr>
        <w:t>au-delà même de notre cadre initial (</w:t>
      </w:r>
      <w:r w:rsidR="00783E81" w:rsidRPr="00BD5326">
        <w:rPr>
          <w:rFonts w:ascii="Times New Roman" w:hAnsi="Times New Roman" w:cs="Times New Roman"/>
        </w:rPr>
        <w:t>risque de dérive sémantique)</w:t>
      </w:r>
      <w:r w:rsidR="00BD5326" w:rsidRPr="00BD5326">
        <w:t xml:space="preserve"> ; </w:t>
      </w:r>
    </w:p>
    <w:p w:rsidR="002C399C" w:rsidRDefault="002C399C" w:rsidP="002C399C">
      <w:pPr>
        <w:pStyle w:val="Paragraphedeliste"/>
        <w:numPr>
          <w:ilvl w:val="0"/>
          <w:numId w:val="17"/>
        </w:numPr>
        <w:spacing w:after="120" w:line="276" w:lineRule="auto"/>
        <w:ind w:left="1077"/>
        <w:contextualSpacing w:val="0"/>
        <w:jc w:val="both"/>
        <w:rPr>
          <w:rFonts w:ascii="Times New Roman" w:hAnsi="Times New Roman" w:cs="Times New Roman"/>
        </w:rPr>
      </w:pPr>
      <w:proofErr w:type="gramStart"/>
      <w:r w:rsidRPr="00B861BA">
        <w:rPr>
          <w:rFonts w:ascii="Times New Roman" w:hAnsi="Times New Roman" w:cs="Times New Roman"/>
        </w:rPr>
        <w:t>d’où</w:t>
      </w:r>
      <w:proofErr w:type="gramEnd"/>
      <w:r>
        <w:rPr>
          <w:rFonts w:ascii="Times New Roman" w:hAnsi="Times New Roman" w:cs="Times New Roman"/>
        </w:rPr>
        <w:t>, enfin,</w:t>
      </w:r>
      <w:r w:rsidRPr="00B861BA">
        <w:rPr>
          <w:rFonts w:ascii="Times New Roman" w:hAnsi="Times New Roman" w:cs="Times New Roman"/>
        </w:rPr>
        <w:t xml:space="preserve"> l’urgence de la mise à contribution de l’histoire de l’art, pour valider/invalider les résultats obtenus par la génération automatique. Ainsi, seuls des cadrages supplémentaires, en direction du maniérisme et de la peinture des XVI</w:t>
      </w:r>
      <w:r w:rsidRPr="00783E81">
        <w:rPr>
          <w:rFonts w:ascii="Times New Roman" w:hAnsi="Times New Roman" w:cs="Times New Roman"/>
          <w:vertAlign w:val="superscript"/>
        </w:rPr>
        <w:t>e</w:t>
      </w:r>
      <w:r w:rsidRPr="00B861BA">
        <w:rPr>
          <w:rFonts w:ascii="Times New Roman" w:hAnsi="Times New Roman" w:cs="Times New Roman"/>
        </w:rPr>
        <w:t xml:space="preserve"> et XVII</w:t>
      </w:r>
      <w:r w:rsidRPr="00783E81">
        <w:rPr>
          <w:rFonts w:ascii="Times New Roman" w:hAnsi="Times New Roman" w:cs="Times New Roman"/>
          <w:vertAlign w:val="superscript"/>
        </w:rPr>
        <w:t>e</w:t>
      </w:r>
      <w:r w:rsidRPr="00B861BA">
        <w:rPr>
          <w:rFonts w:ascii="Times New Roman" w:hAnsi="Times New Roman" w:cs="Times New Roman"/>
        </w:rPr>
        <w:t xml:space="preserve"> siècles en France et en Italie, peuvent hisser les lignes serpentines ou encore la palette des couleurs, pâles ou vives, l’arrière-fond </w:t>
      </w:r>
      <w:r>
        <w:rPr>
          <w:rFonts w:ascii="Times New Roman" w:hAnsi="Times New Roman" w:cs="Times New Roman"/>
        </w:rPr>
        <w:t xml:space="preserve">sombre </w:t>
      </w:r>
      <w:r w:rsidRPr="00B861BA">
        <w:rPr>
          <w:rFonts w:ascii="Times New Roman" w:hAnsi="Times New Roman" w:cs="Times New Roman"/>
        </w:rPr>
        <w:t xml:space="preserve">et l’impression d’un cadre dans le cadre (par exemple, à travers les lignes horizontales qui délimitent </w:t>
      </w:r>
      <w:r w:rsidRPr="00B861BA">
        <w:rPr>
          <w:rFonts w:ascii="Times New Roman" w:hAnsi="Times New Roman" w:cs="Times New Roman"/>
        </w:rPr>
        <w:lastRenderedPageBreak/>
        <w:t xml:space="preserve">l’espace supérieur et inférieur de </w:t>
      </w:r>
      <w:r w:rsidRPr="00B861BA">
        <w:rPr>
          <w:rFonts w:ascii="Times New Roman" w:hAnsi="Times New Roman" w:cs="Times New Roman"/>
          <w:i/>
        </w:rPr>
        <w:t>La Déposition de Croix de Volterra</w:t>
      </w:r>
      <w:r w:rsidRPr="00B861BA">
        <w:rPr>
          <w:rFonts w:ascii="Times New Roman" w:hAnsi="Times New Roman" w:cs="Times New Roman"/>
        </w:rPr>
        <w:t xml:space="preserve">) au rang d’éléments caractéristiques du mouvement artistique </w:t>
      </w:r>
      <w:r>
        <w:rPr>
          <w:rFonts w:ascii="Times New Roman" w:hAnsi="Times New Roman" w:cs="Times New Roman"/>
        </w:rPr>
        <w:t xml:space="preserve">maniériste </w:t>
      </w:r>
      <w:r w:rsidRPr="00B861BA">
        <w:rPr>
          <w:rFonts w:ascii="Times New Roman" w:hAnsi="Times New Roman" w:cs="Times New Roman"/>
        </w:rPr>
        <w:t>dont Fiorentino est un représentant</w:t>
      </w:r>
      <w:r>
        <w:rPr>
          <w:rFonts w:ascii="Times New Roman" w:hAnsi="Times New Roman" w:cs="Times New Roman"/>
        </w:rPr>
        <w:t>.</w:t>
      </w:r>
    </w:p>
    <w:p w:rsidR="002C399C" w:rsidRDefault="00DD153D" w:rsidP="002C399C">
      <w:pPr>
        <w:spacing w:after="120" w:line="276" w:lineRule="auto"/>
        <w:jc w:val="both"/>
      </w:pPr>
      <w:r>
        <w:t>Deuxième moment de l’enquête : la mise à contribution de</w:t>
      </w:r>
      <w:r w:rsidR="002C399C">
        <w:t xml:space="preserve"> l’application SimArt-Datavalor</w:t>
      </w:r>
      <w:r w:rsidR="00783E81">
        <w:t xml:space="preserve"> </w:t>
      </w:r>
      <w:r w:rsidR="00783E81" w:rsidRPr="00DD153D">
        <w:rPr>
          <w:color w:val="000000" w:themeColor="text1"/>
          <w:sz w:val="27"/>
          <w:szCs w:val="27"/>
        </w:rPr>
        <w:t>(</w:t>
      </w:r>
      <w:hyperlink r:id="rId11" w:history="1">
        <w:r w:rsidR="00783E81" w:rsidRPr="00DD153D">
          <w:rPr>
            <w:rStyle w:val="Lienhypertexte"/>
            <w:color w:val="000000" w:themeColor="text1"/>
            <w:u w:val="none"/>
          </w:rPr>
          <w:t>https://simart.datavalor.com/image-similarity</w:t>
        </w:r>
      </w:hyperlink>
      <w:r w:rsidR="00783E81" w:rsidRPr="00DD153D">
        <w:rPr>
          <w:rStyle w:val="Appelnotedebasdep"/>
          <w:color w:val="000000" w:themeColor="text1"/>
        </w:rPr>
        <w:footnoteReference w:id="33"/>
      </w:r>
      <w:r w:rsidR="00783E81" w:rsidRPr="00DD153D">
        <w:rPr>
          <w:color w:val="000000" w:themeColor="text1"/>
        </w:rPr>
        <w:t>)</w:t>
      </w:r>
      <w:r w:rsidR="002C399C" w:rsidRPr="00DD153D">
        <w:rPr>
          <w:color w:val="000000" w:themeColor="text1"/>
        </w:rPr>
        <w:t xml:space="preserve">. </w:t>
      </w:r>
      <w:r w:rsidR="00783E81">
        <w:t>Les</w:t>
      </w:r>
      <w:r w:rsidR="002C399C">
        <w:t xml:space="preserve"> problèmes </w:t>
      </w:r>
      <w:r w:rsidR="00783E81">
        <w:t xml:space="preserve">soulevés sont </w:t>
      </w:r>
      <w:r w:rsidR="002C399C">
        <w:t xml:space="preserve">spécifiques. </w:t>
      </w:r>
    </w:p>
    <w:p w:rsidR="002C399C" w:rsidRPr="00DB6F44" w:rsidRDefault="002C399C" w:rsidP="002C399C">
      <w:pPr>
        <w:spacing w:after="120" w:line="276" w:lineRule="auto"/>
        <w:jc w:val="both"/>
      </w:pPr>
      <w:r w:rsidRPr="000026E7">
        <w:rPr>
          <w:i/>
        </w:rPr>
        <w:t>Recherches par</w:t>
      </w:r>
      <w:r>
        <w:rPr>
          <w:i/>
        </w:rPr>
        <w:t xml:space="preserve"> S</w:t>
      </w:r>
      <w:r w:rsidRPr="000026E7">
        <w:rPr>
          <w:i/>
        </w:rPr>
        <w:t>imArt</w:t>
      </w:r>
      <w:r>
        <w:rPr>
          <w:i/>
        </w:rPr>
        <w:t>-D</w:t>
      </w:r>
      <w:r w:rsidRPr="000026E7">
        <w:rPr>
          <w:i/>
        </w:rPr>
        <w:t>atavalor</w:t>
      </w:r>
      <w:r>
        <w:rPr>
          <w:i/>
        </w:rPr>
        <w:t xml:space="preserve"> </w:t>
      </w:r>
    </w:p>
    <w:p w:rsidR="002C399C" w:rsidRDefault="002C399C" w:rsidP="002C399C">
      <w:pPr>
        <w:spacing w:after="120" w:line="276" w:lineRule="auto"/>
        <w:jc w:val="both"/>
      </w:pPr>
      <w:r>
        <w:t xml:space="preserve">Plusieurs différences avec </w:t>
      </w:r>
      <w:r w:rsidR="00DD153D">
        <w:t>les premières investigations</w:t>
      </w:r>
      <w:r>
        <w:t xml:space="preserve"> méritent d’être signalées en amont. </w:t>
      </w:r>
    </w:p>
    <w:p w:rsidR="002C399C" w:rsidRDefault="002C399C" w:rsidP="002C399C">
      <w:pPr>
        <w:spacing w:after="120" w:line="276" w:lineRule="auto"/>
        <w:jc w:val="both"/>
      </w:pPr>
      <w:r>
        <w:t xml:space="preserve">D’une part, le tableau requête et les tableaux apparentés sont coprésents sur la page générée. Chaque tableau engendré par la machine est identifié par des métadonnées (nom de l’artiste, titre, date). </w:t>
      </w:r>
    </w:p>
    <w:p w:rsidR="002C399C" w:rsidRPr="00783E81" w:rsidRDefault="002C399C" w:rsidP="002C399C">
      <w:pPr>
        <w:spacing w:after="120" w:line="276" w:lineRule="auto"/>
        <w:jc w:val="both"/>
      </w:pPr>
      <w:r>
        <w:t xml:space="preserve">Ensuite, cette recherche, qui nécessite l’introduction de l’URL de l’image numérisée, ne réclame ni cadrages ni filtrages </w:t>
      </w:r>
      <w:r w:rsidRPr="00DB6F44">
        <w:rPr>
          <w:i/>
        </w:rPr>
        <w:t>a priori</w:t>
      </w:r>
      <w:r>
        <w:t xml:space="preserve">. Il incombe à l’interprétation de </w:t>
      </w:r>
      <w:r w:rsidR="00783E81" w:rsidRPr="00783E81">
        <w:rPr>
          <w:i/>
        </w:rPr>
        <w:t>désenfouir</w:t>
      </w:r>
      <w:r>
        <w:t xml:space="preserve"> les traits et les catégories extraits par la machine </w:t>
      </w:r>
      <w:r w:rsidRPr="00B861BA">
        <w:rPr>
          <w:i/>
        </w:rPr>
        <w:t>a posteriori</w:t>
      </w:r>
      <w:r w:rsidR="00783E81" w:rsidRPr="00BD5326">
        <w:rPr>
          <w:rStyle w:val="Appelnotedebasdep"/>
        </w:rPr>
        <w:footnoteReference w:id="34"/>
      </w:r>
      <w:r w:rsidR="008532A3" w:rsidRPr="00BD5326">
        <w:t>.</w:t>
      </w:r>
      <w:r w:rsidR="008532A3">
        <w:rPr>
          <w:i/>
        </w:rPr>
        <w:t xml:space="preserve"> </w:t>
      </w:r>
      <w:r>
        <w:t xml:space="preserve">L’enquête indiciaire, qui rappelle celle du détective, n’a jamais aussi bien porté son nom. </w:t>
      </w:r>
    </w:p>
    <w:p w:rsidR="008532A3" w:rsidRPr="00434D18" w:rsidRDefault="008532A3" w:rsidP="008532A3">
      <w:pPr>
        <w:spacing w:after="120" w:line="276" w:lineRule="auto"/>
        <w:jc w:val="both"/>
      </w:pPr>
      <w:r>
        <w:t>C</w:t>
      </w:r>
      <w:r w:rsidRPr="00434D18">
        <w:t>oncrètement, les manipulations par la machine appellent une visualisation des résultats sous la forme de plages ou de planches, ce qui n’est pas sans rappeler l’</w:t>
      </w:r>
      <w:r w:rsidRPr="00662D43">
        <w:rPr>
          <w:i/>
        </w:rPr>
        <w:t xml:space="preserve">Atlas </w:t>
      </w:r>
      <w:r w:rsidRPr="00434D18">
        <w:t>selon Warburg</w:t>
      </w:r>
      <w:r w:rsidRPr="000604CB">
        <w:rPr>
          <w:rStyle w:val="Appelnotedebasdep"/>
        </w:rPr>
        <w:footnoteReference w:id="35"/>
      </w:r>
      <w:r w:rsidRPr="00434D18">
        <w:t xml:space="preserve">. On peut dans certains cas considérer ces plages comme des textes, au sens traditionnel du terme, où les cotextes de droite et de gauche, plus ou moins rapprochés, nouent des relations anaphoriques et cataphoriques qui esquissent comme une ligne droite (vers l’arrière, soit en remontant vers la gauche et le haut du texte, et vers l’avant, en se projetant dans les espaces textuels à droite </w:t>
      </w:r>
      <w:r w:rsidR="00614376">
        <w:t xml:space="preserve">et en bas </w:t>
      </w:r>
      <w:r w:rsidRPr="00434D18">
        <w:t xml:space="preserve">de l’unité linguistique à venir). Dans d’autres cas, l’ordonnancement « linéaire » cède le pas à la </w:t>
      </w:r>
      <w:r w:rsidRPr="00434D18">
        <w:rPr>
          <w:i/>
        </w:rPr>
        <w:t>série rhizomatique</w:t>
      </w:r>
      <w:r w:rsidRPr="00434D18">
        <w:t xml:space="preserve"> (la </w:t>
      </w:r>
      <w:r w:rsidRPr="00434D18">
        <w:rPr>
          <w:i/>
        </w:rPr>
        <w:t>circulation</w:t>
      </w:r>
      <w:r w:rsidRPr="00434D18">
        <w:t xml:space="preserve"> à l’intérieur de la plage ou planche peut être indiquée par des flèches pointant dans toutes les directions). </w:t>
      </w:r>
    </w:p>
    <w:p w:rsidR="002C399C" w:rsidRDefault="008532A3" w:rsidP="002C399C">
      <w:pPr>
        <w:spacing w:after="120" w:line="276" w:lineRule="auto"/>
        <w:jc w:val="both"/>
      </w:pPr>
      <w:r>
        <w:t>Enfin, l</w:t>
      </w:r>
      <w:r w:rsidR="002C399C">
        <w:t xml:space="preserve">a mise en coprésence d’images de tableaux numérisés nous demande de faire des retours répétés et systématiques vers le tableau requête, qui reste visible. La généalogie des formes réclame ainsi </w:t>
      </w:r>
      <w:r w:rsidR="002C399C" w:rsidRPr="00614376">
        <w:t>des</w:t>
      </w:r>
      <w:r w:rsidR="002C399C" w:rsidRPr="00FB150C">
        <w:rPr>
          <w:i/>
        </w:rPr>
        <w:t xml:space="preserve"> boucles</w:t>
      </w:r>
      <w:r w:rsidR="002C399C">
        <w:t xml:space="preserve">, que nous disons </w:t>
      </w:r>
      <w:r w:rsidR="002C399C" w:rsidRPr="00FB150C">
        <w:rPr>
          <w:i/>
        </w:rPr>
        <w:t>rétrogrades</w:t>
      </w:r>
      <w:r>
        <w:t xml:space="preserve"> : (i) </w:t>
      </w:r>
      <w:r w:rsidR="00E07190">
        <w:t xml:space="preserve">la </w:t>
      </w:r>
      <w:r w:rsidR="00E07190" w:rsidRPr="008532A3">
        <w:rPr>
          <w:i/>
        </w:rPr>
        <w:t>rétroprojection</w:t>
      </w:r>
      <w:r w:rsidR="00E07190">
        <w:t xml:space="preserve"> des tableaux affichés sur le tableau requête</w:t>
      </w:r>
      <w:r>
        <w:t xml:space="preserve"> donne lieu (ii) à une</w:t>
      </w:r>
      <w:r w:rsidR="00E07190">
        <w:t xml:space="preserve"> </w:t>
      </w:r>
      <w:r w:rsidR="00E07190" w:rsidRPr="008532A3">
        <w:rPr>
          <w:i/>
        </w:rPr>
        <w:t>épaisseur</w:t>
      </w:r>
      <w:r>
        <w:rPr>
          <w:i/>
        </w:rPr>
        <w:t xml:space="preserve"> </w:t>
      </w:r>
      <w:r>
        <w:t xml:space="preserve">(couches superposées où sont logés des tableaux saisis dans leur coprésence), le tableau manifesté (iii) </w:t>
      </w:r>
      <w:r w:rsidRPr="008532A3">
        <w:rPr>
          <w:i/>
        </w:rPr>
        <w:t>évoquant</w:t>
      </w:r>
      <w:r>
        <w:t xml:space="preserve"> des</w:t>
      </w:r>
      <w:r w:rsidR="00E07190">
        <w:t xml:space="preserve"> tableaux connexes. </w:t>
      </w:r>
      <w:r>
        <w:t>Si le</w:t>
      </w:r>
      <w:r w:rsidRPr="00783E81">
        <w:t xml:space="preserve"> tableau requête garde son « identité numérique », son « identité spécifique » ou « qualitative »</w:t>
      </w:r>
      <w:r>
        <w:t xml:space="preserve"> </w:t>
      </w:r>
      <w:r w:rsidRPr="00783E81">
        <w:t>change au gré des relations qui se nouen</w:t>
      </w:r>
      <w:r>
        <w:t xml:space="preserve">t. </w:t>
      </w:r>
    </w:p>
    <w:p w:rsidR="002C399C" w:rsidRDefault="002C399C" w:rsidP="002C399C">
      <w:pPr>
        <w:spacing w:after="120" w:line="276" w:lineRule="auto"/>
        <w:jc w:val="both"/>
      </w:pPr>
      <w:r>
        <w:t>Considérons la plage proposée par la quête d’images plus ou moins similaires dans un corpus de douze items</w:t>
      </w:r>
      <w:r>
        <w:rPr>
          <w:rStyle w:val="Appelnotedebasdep"/>
        </w:rPr>
        <w:footnoteReference w:id="36"/>
      </w:r>
      <w:r>
        <w:t xml:space="preserve"> : </w:t>
      </w:r>
    </w:p>
    <w:p w:rsidR="00874679" w:rsidRDefault="00874679" w:rsidP="002C399C">
      <w:pPr>
        <w:spacing w:after="120" w:line="276" w:lineRule="auto"/>
        <w:jc w:val="both"/>
      </w:pPr>
    </w:p>
    <w:p w:rsidR="002C399C" w:rsidRDefault="002C399C" w:rsidP="002C399C">
      <w:pPr>
        <w:spacing w:after="120" w:line="276" w:lineRule="auto"/>
        <w:jc w:val="both"/>
      </w:pPr>
      <w:r>
        <w:lastRenderedPageBreak/>
        <w:t>Fig</w:t>
      </w:r>
      <w:r w:rsidR="003C5528">
        <w:t>ure</w:t>
      </w:r>
      <w:r w:rsidR="00A45927">
        <w:t> 7</w:t>
      </w:r>
      <w:r>
        <w:t xml:space="preserve"> </w:t>
      </w:r>
    </w:p>
    <w:p w:rsidR="002C399C" w:rsidRDefault="002C399C" w:rsidP="002C399C">
      <w:pPr>
        <w:spacing w:after="120" w:line="276" w:lineRule="auto"/>
        <w:jc w:val="both"/>
      </w:pPr>
      <w:r w:rsidRPr="00A01B22">
        <w:rPr>
          <w:noProof/>
        </w:rPr>
        <w:drawing>
          <wp:inline distT="0" distB="0" distL="0" distR="0" wp14:anchorId="68CBF002" wp14:editId="72C372D0">
            <wp:extent cx="5756910" cy="54235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910" cy="5423535"/>
                    </a:xfrm>
                    <a:prstGeom prst="rect">
                      <a:avLst/>
                    </a:prstGeom>
                  </pic:spPr>
                </pic:pic>
              </a:graphicData>
            </a:graphic>
          </wp:inline>
        </w:drawing>
      </w:r>
    </w:p>
    <w:p w:rsidR="00FC4927" w:rsidRPr="00963C11" w:rsidRDefault="00FC4927" w:rsidP="002C399C">
      <w:pPr>
        <w:spacing w:after="120" w:line="276" w:lineRule="auto"/>
        <w:jc w:val="both"/>
        <w:rPr>
          <w:sz w:val="20"/>
          <w:szCs w:val="20"/>
        </w:rPr>
      </w:pPr>
      <w:r w:rsidRPr="00963C11">
        <w:rPr>
          <w:sz w:val="20"/>
          <w:szCs w:val="20"/>
        </w:rPr>
        <w:t>Planche de Sim</w:t>
      </w:r>
      <w:r w:rsidR="00963C11" w:rsidRPr="00963C11">
        <w:rPr>
          <w:sz w:val="20"/>
          <w:szCs w:val="20"/>
        </w:rPr>
        <w:t>Art-Data</w:t>
      </w:r>
      <w:r w:rsidR="00963C11">
        <w:rPr>
          <w:sz w:val="20"/>
          <w:szCs w:val="20"/>
        </w:rPr>
        <w:t>V</w:t>
      </w:r>
      <w:r w:rsidR="00963C11" w:rsidRPr="00963C11">
        <w:rPr>
          <w:sz w:val="20"/>
          <w:szCs w:val="20"/>
        </w:rPr>
        <w:t>alor</w:t>
      </w:r>
    </w:p>
    <w:p w:rsidR="00A45927" w:rsidRDefault="008532A3" w:rsidP="002C399C">
      <w:pPr>
        <w:spacing w:after="120" w:line="276" w:lineRule="auto"/>
        <w:jc w:val="both"/>
      </w:pPr>
      <w:r>
        <w:t xml:space="preserve">Commentons les résultats. </w:t>
      </w:r>
      <w:r w:rsidR="002C399C" w:rsidRPr="0024771B">
        <w:t>En première position (indice 389) figure un détail</w:t>
      </w:r>
      <w:r w:rsidR="002C399C">
        <w:rPr>
          <w:rStyle w:val="Appelnotedebasdep"/>
        </w:rPr>
        <w:footnoteReference w:id="37"/>
      </w:r>
      <w:r w:rsidR="002C399C" w:rsidRPr="0024771B">
        <w:t xml:space="preserve"> de la fresque </w:t>
      </w:r>
      <w:r w:rsidR="002C399C" w:rsidRPr="0024771B">
        <w:rPr>
          <w:i/>
        </w:rPr>
        <w:t>L’ivresse de Noé</w:t>
      </w:r>
      <w:r w:rsidR="002C399C" w:rsidRPr="0024771B">
        <w:t>, de Michel-Ange (1509)</w:t>
      </w:r>
      <w:r w:rsidR="002C399C">
        <w:rPr>
          <w:rStyle w:val="Appelnotedebasdep"/>
        </w:rPr>
        <w:footnoteReference w:id="38"/>
      </w:r>
      <w:r w:rsidR="00A45927">
        <w:t xml:space="preserve">. </w:t>
      </w:r>
    </w:p>
    <w:p w:rsidR="00A45927" w:rsidRDefault="00A45927" w:rsidP="002C399C">
      <w:pPr>
        <w:spacing w:after="120" w:line="276" w:lineRule="auto"/>
        <w:jc w:val="both"/>
      </w:pPr>
    </w:p>
    <w:p w:rsidR="00A45927" w:rsidRDefault="00A45927" w:rsidP="002C399C">
      <w:pPr>
        <w:spacing w:after="120" w:line="276" w:lineRule="auto"/>
        <w:jc w:val="both"/>
      </w:pPr>
    </w:p>
    <w:p w:rsidR="00A45927" w:rsidRDefault="00A45927" w:rsidP="002C399C">
      <w:pPr>
        <w:spacing w:after="120" w:line="276" w:lineRule="auto"/>
        <w:jc w:val="both"/>
      </w:pPr>
    </w:p>
    <w:p w:rsidR="00A45927" w:rsidRDefault="00A45927" w:rsidP="002C399C">
      <w:pPr>
        <w:spacing w:after="120" w:line="276" w:lineRule="auto"/>
        <w:jc w:val="both"/>
      </w:pPr>
    </w:p>
    <w:p w:rsidR="00A45927" w:rsidRDefault="00A45927" w:rsidP="002C399C">
      <w:pPr>
        <w:spacing w:after="120" w:line="276" w:lineRule="auto"/>
        <w:jc w:val="both"/>
      </w:pPr>
    </w:p>
    <w:p w:rsidR="00A45927" w:rsidRDefault="00A45927" w:rsidP="002C399C">
      <w:pPr>
        <w:spacing w:after="120" w:line="276" w:lineRule="auto"/>
        <w:jc w:val="both"/>
      </w:pPr>
    </w:p>
    <w:p w:rsidR="00874679" w:rsidRDefault="00A45927" w:rsidP="00874679">
      <w:pPr>
        <w:spacing w:after="120" w:line="276" w:lineRule="auto"/>
        <w:jc w:val="both"/>
      </w:pPr>
      <w:r>
        <w:t xml:space="preserve">Figure 8 </w:t>
      </w:r>
    </w:p>
    <w:p w:rsidR="00A45927" w:rsidRDefault="00874679" w:rsidP="00A45927">
      <w:r>
        <w:fldChar w:fldCharType="begin"/>
      </w:r>
      <w:r>
        <w:instrText xml:space="preserve"> INCLUDEPICTURE "/var/folders/db/q9vpnpcn05l6dpqgvxtv24940000gn/T/com.microsoft.Word/WebArchiveCopyPasteTempFiles/Ivresse_de_noe.jpg" \* MERGEFORMATINET </w:instrText>
      </w:r>
      <w:r>
        <w:fldChar w:fldCharType="separate"/>
      </w:r>
      <w:r>
        <w:rPr>
          <w:noProof/>
        </w:rPr>
        <w:drawing>
          <wp:inline distT="0" distB="0" distL="0" distR="0" wp14:anchorId="49CCCC7F" wp14:editId="50CDF715">
            <wp:extent cx="4792133" cy="3025080"/>
            <wp:effectExtent l="0" t="0" r="0" b="0"/>
            <wp:docPr id="15" name="Image 15" descr="L'Ivresse de Noé (Michel-Ang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vresse de Noé (Michel-Ange) — Wikipé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7614" cy="3041165"/>
                    </a:xfrm>
                    <a:prstGeom prst="rect">
                      <a:avLst/>
                    </a:prstGeom>
                    <a:noFill/>
                    <a:ln>
                      <a:noFill/>
                    </a:ln>
                  </pic:spPr>
                </pic:pic>
              </a:graphicData>
            </a:graphic>
          </wp:inline>
        </w:drawing>
      </w:r>
      <w:r>
        <w:fldChar w:fldCharType="end"/>
      </w:r>
    </w:p>
    <w:p w:rsidR="00874679" w:rsidRDefault="00874679" w:rsidP="00874679">
      <w:pPr>
        <w:spacing w:after="120" w:line="276" w:lineRule="auto"/>
        <w:rPr>
          <w:sz w:val="20"/>
          <w:szCs w:val="20"/>
        </w:rPr>
      </w:pPr>
    </w:p>
    <w:p w:rsidR="00A45927" w:rsidRPr="00A45927" w:rsidRDefault="00A45927" w:rsidP="00874679">
      <w:pPr>
        <w:spacing w:after="120" w:line="276" w:lineRule="auto"/>
        <w:rPr>
          <w:sz w:val="20"/>
          <w:szCs w:val="20"/>
        </w:rPr>
      </w:pPr>
      <w:r w:rsidRPr="00A45927">
        <w:rPr>
          <w:sz w:val="20"/>
          <w:szCs w:val="20"/>
        </w:rPr>
        <w:t xml:space="preserve">Michel-Ange, </w:t>
      </w:r>
      <w:r w:rsidRPr="007737B4">
        <w:rPr>
          <w:i/>
          <w:sz w:val="20"/>
          <w:szCs w:val="20"/>
        </w:rPr>
        <w:t>L’ivresse de Noé</w:t>
      </w:r>
      <w:r w:rsidRPr="00A45927">
        <w:rPr>
          <w:sz w:val="20"/>
          <w:szCs w:val="20"/>
        </w:rPr>
        <w:t xml:space="preserve">, fresque, Chapelle Sixtine, 1509. </w:t>
      </w:r>
    </w:p>
    <w:p w:rsidR="002C399C" w:rsidRDefault="00A45927" w:rsidP="00874679">
      <w:pPr>
        <w:spacing w:after="120" w:line="276" w:lineRule="auto"/>
        <w:jc w:val="both"/>
      </w:pPr>
      <w:r>
        <w:t>L</w:t>
      </w:r>
      <w:r w:rsidR="002C399C" w:rsidRPr="0024771B">
        <w:t xml:space="preserve">es convergences </w:t>
      </w:r>
      <w:r>
        <w:t>sont</w:t>
      </w:r>
      <w:r w:rsidR="002C399C" w:rsidRPr="0024771B">
        <w:t xml:space="preserve"> sans doute chromatiques (corps dénudés en différentes teintes de blanc et tissu rouge) et compositionnelles : une horizontalité (Noé couché par terre) et une verticalité (les trois enfants de Noé) comme dans le tableau </w:t>
      </w:r>
      <w:r w:rsidR="002C399C">
        <w:t>requête. On note également la constitution d’une cellule figurative de base formée par les trois personnages debout, grâce à la mise en résonance de plusieurs triangles</w:t>
      </w:r>
      <w:r w:rsidR="00515D5C">
        <w:t xml:space="preserve"> (</w:t>
      </w:r>
      <w:r w:rsidR="002C399C">
        <w:t>le positionnement des trois personnages dans l’espace ; le triangle</w:t>
      </w:r>
      <w:r w:rsidR="002C399C" w:rsidRPr="0024771B">
        <w:t xml:space="preserve"> ouvert à la base, formé par les </w:t>
      </w:r>
      <w:r w:rsidR="002C399C">
        <w:t xml:space="preserve">jambes écartées d’un des personnages, un autre triangle, également sans base, formé par les </w:t>
      </w:r>
      <w:r w:rsidR="002C399C" w:rsidRPr="0024771B">
        <w:t xml:space="preserve">bras tendus </w:t>
      </w:r>
      <w:r w:rsidR="002C399C">
        <w:t xml:space="preserve">horizontalement </w:t>
      </w:r>
      <w:r w:rsidR="002C399C" w:rsidRPr="0024771B">
        <w:t>de deux des enfants</w:t>
      </w:r>
      <w:r w:rsidR="002C399C">
        <w:t xml:space="preserve">, parfaitement alignés, </w:t>
      </w:r>
      <w:r w:rsidR="002C399C" w:rsidRPr="0024771B">
        <w:t>et le doigt pointé en direction de No</w:t>
      </w:r>
      <w:r w:rsidR="002C399C">
        <w:t>é</w:t>
      </w:r>
      <w:r w:rsidR="002C399C" w:rsidRPr="0024771B">
        <w:t>, pour Cam</w:t>
      </w:r>
      <w:r w:rsidR="00515D5C">
        <w:t>)</w:t>
      </w:r>
      <w:r w:rsidR="002C399C">
        <w:t> ; la circulation des regards. Une symétrie peut s’esquisser autour d’une diagonale marquée par le tissu rouge. En même temps,</w:t>
      </w:r>
      <w:r w:rsidR="002C399C" w:rsidRPr="0024771B">
        <w:t xml:space="preserve"> </w:t>
      </w:r>
      <w:r w:rsidR="002C399C">
        <w:t xml:space="preserve">contrairement aux lignes courbes qui prévalent dans </w:t>
      </w:r>
      <w:r w:rsidR="002C399C" w:rsidRPr="001F18D5">
        <w:rPr>
          <w:i/>
        </w:rPr>
        <w:t>Bacchus, Vénus et Cupidon</w:t>
      </w:r>
      <w:r w:rsidR="002C399C">
        <w:t>, où elles sont commandées également par l’ovale du tableau</w:t>
      </w:r>
      <w:r w:rsidR="002C399C">
        <w:rPr>
          <w:rStyle w:val="Appelnotedebasdep"/>
        </w:rPr>
        <w:footnoteReference w:id="39"/>
      </w:r>
      <w:r w:rsidR="002C399C">
        <w:t xml:space="preserve">, et à la composition circulaire, qui produit une impression de clôture associée, sur le plan thymique, à l’apaisement, </w:t>
      </w:r>
      <w:r w:rsidR="002C399C" w:rsidRPr="0024771B">
        <w:t xml:space="preserve">les forces centripètes (le doigt pointé) sont </w:t>
      </w:r>
      <w:r w:rsidR="002C399C">
        <w:t xml:space="preserve">immédiatement </w:t>
      </w:r>
      <w:r w:rsidR="002C399C" w:rsidRPr="0024771B">
        <w:t>aux prises avec des forces centrifuges</w:t>
      </w:r>
      <w:r w:rsidR="002C399C">
        <w:t xml:space="preserve"> (ouverture sur </w:t>
      </w:r>
      <w:r w:rsidR="002C399C" w:rsidRPr="0024771B">
        <w:t xml:space="preserve">la </w:t>
      </w:r>
      <w:r w:rsidR="002C399C">
        <w:t xml:space="preserve">partie </w:t>
      </w:r>
      <w:r w:rsidR="002C399C" w:rsidRPr="0024771B">
        <w:t>gauche du tableau, qui n’est pas reproduite</w:t>
      </w:r>
      <w:r w:rsidR="002C399C">
        <w:t>)</w:t>
      </w:r>
      <w:r w:rsidR="002C399C" w:rsidRPr="0024771B">
        <w:t>.</w:t>
      </w:r>
      <w:r w:rsidR="002C399C">
        <w:t xml:space="preserve"> Enfin, sur SimArt-Datavalor, l</w:t>
      </w:r>
      <w:r w:rsidR="002C399C" w:rsidRPr="0024771B">
        <w:t xml:space="preserve">a différence de support et de technique n’est pas prise en considération comme variable distinctive. </w:t>
      </w:r>
    </w:p>
    <w:p w:rsidR="007737B4" w:rsidRDefault="002C399C" w:rsidP="002C399C">
      <w:pPr>
        <w:spacing w:after="120" w:line="276" w:lineRule="auto"/>
        <w:jc w:val="both"/>
      </w:pPr>
      <w:r>
        <w:t xml:space="preserve">Le contraste est vif avec </w:t>
      </w:r>
      <w:r w:rsidRPr="0024771B">
        <w:t xml:space="preserve">le tableau </w:t>
      </w:r>
      <w:r w:rsidRPr="0024771B">
        <w:rPr>
          <w:i/>
        </w:rPr>
        <w:t xml:space="preserve">Cupidon </w:t>
      </w:r>
      <w:r w:rsidR="007737B4">
        <w:rPr>
          <w:i/>
        </w:rPr>
        <w:t>taillant son arc</w:t>
      </w:r>
      <w:r w:rsidRPr="0024771B">
        <w:t xml:space="preserve"> de Rubens (1614</w:t>
      </w:r>
      <w:r>
        <w:rPr>
          <w:rStyle w:val="Appelnotedebasdep"/>
        </w:rPr>
        <w:footnoteReference w:id="40"/>
      </w:r>
      <w:r w:rsidR="007737B4">
        <w:t>, d’après le Parmesan</w:t>
      </w:r>
      <w:r w:rsidRPr="0024771B">
        <w:t> ; en deuxième position)</w:t>
      </w:r>
      <w:r w:rsidR="007E2032">
        <w:t>.</w:t>
      </w:r>
      <w:r w:rsidRPr="0024771B">
        <w:t xml:space="preserve"> </w:t>
      </w:r>
    </w:p>
    <w:p w:rsidR="007737B4" w:rsidRDefault="007737B4" w:rsidP="002C399C">
      <w:pPr>
        <w:spacing w:after="120" w:line="276" w:lineRule="auto"/>
        <w:jc w:val="both"/>
      </w:pPr>
    </w:p>
    <w:p w:rsidR="007737B4" w:rsidRDefault="007737B4" w:rsidP="002C399C">
      <w:pPr>
        <w:spacing w:after="120" w:line="276" w:lineRule="auto"/>
        <w:jc w:val="both"/>
      </w:pPr>
    </w:p>
    <w:p w:rsidR="007737B4" w:rsidRDefault="007737B4" w:rsidP="002C399C">
      <w:pPr>
        <w:spacing w:after="120" w:line="276" w:lineRule="auto"/>
        <w:jc w:val="both"/>
      </w:pPr>
      <w:r>
        <w:lastRenderedPageBreak/>
        <w:t>Figure 9</w:t>
      </w:r>
    </w:p>
    <w:p w:rsidR="007737B4" w:rsidRDefault="007737B4" w:rsidP="007737B4">
      <w:r>
        <w:fldChar w:fldCharType="begin"/>
      </w:r>
      <w:r>
        <w:instrText xml:space="preserve"> INCLUDEPICTURE "/var/folders/db/q9vpnpcn05l6dpqgvxtv24940000gn/T/com.microsoft.Word/WebArchiveCopyPasteTempFiles/68e117827822c6ed8e8cb563d3313b9f.jpg" \* MERGEFORMATINET </w:instrText>
      </w:r>
      <w:r>
        <w:fldChar w:fldCharType="separate"/>
      </w:r>
      <w:r>
        <w:rPr>
          <w:noProof/>
        </w:rPr>
        <w:drawing>
          <wp:inline distT="0" distB="0" distL="0" distR="0" wp14:anchorId="5CFA87FB" wp14:editId="123F9E0D">
            <wp:extent cx="3148976" cy="4309534"/>
            <wp:effectExtent l="0" t="0" r="635" b="0"/>
            <wp:docPr id="12" name="Image 12" descr="/var/folders/db/q9vpnpcn05l6dpqgvxtv24940000gn/T/com.microsoft.Word/WebArchiveCopyPasteTempFiles/68e117827822c6ed8e8cb563d3313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db/q9vpnpcn05l6dpqgvxtv24940000gn/T/com.microsoft.Word/WebArchiveCopyPasteTempFiles/68e117827822c6ed8e8cb563d3313b9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9997" cy="4324616"/>
                    </a:xfrm>
                    <a:prstGeom prst="rect">
                      <a:avLst/>
                    </a:prstGeom>
                    <a:noFill/>
                    <a:ln>
                      <a:noFill/>
                    </a:ln>
                  </pic:spPr>
                </pic:pic>
              </a:graphicData>
            </a:graphic>
          </wp:inline>
        </w:drawing>
      </w:r>
      <w:r>
        <w:fldChar w:fldCharType="end"/>
      </w:r>
    </w:p>
    <w:p w:rsidR="007737B4" w:rsidRDefault="007737B4" w:rsidP="007E2032">
      <w:pPr>
        <w:spacing w:after="120" w:line="276" w:lineRule="auto"/>
        <w:jc w:val="both"/>
      </w:pPr>
    </w:p>
    <w:p w:rsidR="007737B4" w:rsidRPr="007E2032" w:rsidRDefault="007E2032" w:rsidP="007E2032">
      <w:pPr>
        <w:pStyle w:val="Notedebasdepage"/>
        <w:spacing w:after="120" w:line="276" w:lineRule="auto"/>
        <w:jc w:val="both"/>
        <w:rPr>
          <w:rFonts w:ascii="Times New Roman" w:hAnsi="Times New Roman" w:cs="Times New Roman"/>
          <w:lang w:val="fr-CH"/>
        </w:rPr>
      </w:pPr>
      <w:r w:rsidRPr="007E2032">
        <w:rPr>
          <w:rFonts w:ascii="Times New Roman" w:hAnsi="Times New Roman" w:cs="Times New Roman"/>
        </w:rPr>
        <w:t xml:space="preserve">Peter Paul </w:t>
      </w:r>
      <w:r w:rsidR="007737B4" w:rsidRPr="007E2032">
        <w:rPr>
          <w:rFonts w:ascii="Times New Roman" w:hAnsi="Times New Roman" w:cs="Times New Roman"/>
        </w:rPr>
        <w:t xml:space="preserve">Rubens, </w:t>
      </w:r>
      <w:r w:rsidRPr="007E2032">
        <w:rPr>
          <w:rFonts w:ascii="Times New Roman" w:hAnsi="Times New Roman" w:cs="Times New Roman"/>
          <w:i/>
          <w:lang w:val="fr-CH"/>
        </w:rPr>
        <w:t>Cupidon fabriquant son arc</w:t>
      </w:r>
      <w:r w:rsidRPr="007E2032">
        <w:rPr>
          <w:rFonts w:ascii="Times New Roman" w:hAnsi="Times New Roman" w:cs="Times New Roman"/>
          <w:lang w:val="fr-CH"/>
        </w:rPr>
        <w:t>, huile sur bois, 142,5 x 107 cm, München, Alte Pinakothek, 1614.</w:t>
      </w:r>
    </w:p>
    <w:p w:rsidR="005B3044" w:rsidRDefault="007E2032" w:rsidP="007E2032">
      <w:pPr>
        <w:spacing w:after="120" w:line="276" w:lineRule="auto"/>
        <w:jc w:val="both"/>
      </w:pPr>
      <w:r>
        <w:t xml:space="preserve">Son </w:t>
      </w:r>
      <w:r w:rsidR="002C399C">
        <w:t xml:space="preserve">insertion dans cette filiation s’affranchit, visiblement, de tout </w:t>
      </w:r>
      <w:r w:rsidR="002C399C" w:rsidRPr="0024771B">
        <w:t>cadrage d’époqu</w:t>
      </w:r>
      <w:r w:rsidR="002C399C">
        <w:t>e ou</w:t>
      </w:r>
      <w:r w:rsidR="002C399C" w:rsidRPr="0024771B">
        <w:t xml:space="preserve"> de mouvement artistique. En revanche, </w:t>
      </w:r>
      <w:r w:rsidR="00706C16">
        <w:t>u</w:t>
      </w:r>
      <w:r w:rsidR="002C399C">
        <w:t xml:space="preserve">ne trame narrative peut se nouer entre le Cupidon fabriquant son arc, afin de lancer des flèches, et le Cupidon enfourchant un lion alors que le carquois posé à même le sol est vide (phase accomplie : les flèches ont été tirées ?). </w:t>
      </w:r>
    </w:p>
    <w:p w:rsidR="002C399C" w:rsidRDefault="002C399C" w:rsidP="007E2032">
      <w:pPr>
        <w:spacing w:after="120" w:line="276" w:lineRule="auto"/>
        <w:jc w:val="both"/>
        <w:rPr>
          <w:color w:val="212529"/>
          <w:shd w:val="clear" w:color="auto" w:fill="FFFFFF"/>
        </w:rPr>
      </w:pPr>
      <w:r w:rsidRPr="0024771B">
        <w:rPr>
          <w:i/>
          <w:color w:val="212529"/>
          <w:shd w:val="clear" w:color="auto" w:fill="FFFFFF"/>
        </w:rPr>
        <w:t xml:space="preserve">Jupiter, Antiope </w:t>
      </w:r>
      <w:r>
        <w:rPr>
          <w:i/>
          <w:color w:val="212529"/>
          <w:shd w:val="clear" w:color="auto" w:fill="FFFFFF"/>
        </w:rPr>
        <w:t xml:space="preserve">et </w:t>
      </w:r>
      <w:r w:rsidRPr="0024771B">
        <w:rPr>
          <w:i/>
          <w:color w:val="212529"/>
          <w:shd w:val="clear" w:color="auto" w:fill="FFFFFF"/>
        </w:rPr>
        <w:t>Cupid</w:t>
      </w:r>
      <w:r>
        <w:rPr>
          <w:i/>
          <w:color w:val="212529"/>
          <w:shd w:val="clear" w:color="auto" w:fill="FFFFFF"/>
        </w:rPr>
        <w:t>on</w:t>
      </w:r>
      <w:r w:rsidRPr="0024771B">
        <w:rPr>
          <w:color w:val="212529"/>
          <w:shd w:val="clear" w:color="auto" w:fill="FFFFFF"/>
        </w:rPr>
        <w:t xml:space="preserve"> de Hans von Aachen (1595)</w:t>
      </w:r>
      <w:r>
        <w:rPr>
          <w:rStyle w:val="Appelnotedebasdep"/>
          <w:color w:val="212529"/>
          <w:shd w:val="clear" w:color="auto" w:fill="FFFFFF"/>
        </w:rPr>
        <w:footnoteReference w:id="41"/>
      </w:r>
      <w:r w:rsidRPr="0024771B">
        <w:rPr>
          <w:color w:val="212529"/>
          <w:shd w:val="clear" w:color="auto" w:fill="FFFFFF"/>
        </w:rPr>
        <w:t xml:space="preserve"> (troisième position) réinterprète le thème de manière sensiblement différente</w:t>
      </w:r>
      <w:r>
        <w:rPr>
          <w:color w:val="212529"/>
          <w:shd w:val="clear" w:color="auto" w:fill="FFFFFF"/>
        </w:rPr>
        <w:t>, le carquois, toujours de couleur rouge, étant rempli de flèches, prêtes à être tirées (le couple enlacé laisse penser qu’une flèche a déjà été tirée)</w:t>
      </w:r>
      <w:r>
        <w:rPr>
          <w:rStyle w:val="Appelnotedebasdep"/>
          <w:color w:val="212529"/>
          <w:shd w:val="clear" w:color="auto" w:fill="FFFFFF"/>
        </w:rPr>
        <w:footnoteReference w:id="42"/>
      </w:r>
    </w:p>
    <w:p w:rsidR="003C5528" w:rsidRDefault="003C5528" w:rsidP="007E2032">
      <w:pPr>
        <w:spacing w:after="120" w:line="276" w:lineRule="auto"/>
        <w:jc w:val="both"/>
        <w:rPr>
          <w:color w:val="212529"/>
          <w:shd w:val="clear" w:color="auto" w:fill="FFFFFF"/>
        </w:rPr>
      </w:pPr>
    </w:p>
    <w:p w:rsidR="003C5528" w:rsidRDefault="003C5528" w:rsidP="007E2032">
      <w:pPr>
        <w:spacing w:after="120" w:line="276" w:lineRule="auto"/>
        <w:jc w:val="both"/>
        <w:rPr>
          <w:color w:val="212529"/>
          <w:shd w:val="clear" w:color="auto" w:fill="FFFFFF"/>
        </w:rPr>
      </w:pPr>
    </w:p>
    <w:p w:rsidR="003C5528" w:rsidRDefault="003C5528" w:rsidP="007E2032">
      <w:pPr>
        <w:spacing w:after="120" w:line="276" w:lineRule="auto"/>
        <w:jc w:val="both"/>
        <w:rPr>
          <w:color w:val="212529"/>
          <w:shd w:val="clear" w:color="auto" w:fill="FFFFFF"/>
        </w:rPr>
      </w:pPr>
    </w:p>
    <w:p w:rsidR="003C5528" w:rsidRDefault="003C5528" w:rsidP="007E2032">
      <w:pPr>
        <w:spacing w:after="120" w:line="276" w:lineRule="auto"/>
        <w:jc w:val="both"/>
        <w:rPr>
          <w:color w:val="212529"/>
          <w:shd w:val="clear" w:color="auto" w:fill="FFFFFF"/>
        </w:rPr>
      </w:pPr>
    </w:p>
    <w:p w:rsidR="003C5528" w:rsidRDefault="003C5528" w:rsidP="007E2032">
      <w:pPr>
        <w:spacing w:after="120" w:line="276" w:lineRule="auto"/>
        <w:jc w:val="both"/>
        <w:rPr>
          <w:color w:val="212529"/>
          <w:shd w:val="clear" w:color="auto" w:fill="FFFFFF"/>
        </w:rPr>
      </w:pPr>
      <w:r>
        <w:rPr>
          <w:color w:val="212529"/>
          <w:shd w:val="clear" w:color="auto" w:fill="FFFFFF"/>
        </w:rPr>
        <w:lastRenderedPageBreak/>
        <w:t>Figure 10</w:t>
      </w:r>
    </w:p>
    <w:p w:rsidR="003C5528" w:rsidRDefault="003C5528" w:rsidP="003C5528">
      <w:r>
        <w:fldChar w:fldCharType="begin"/>
      </w:r>
      <w:r>
        <w:instrText xml:space="preserve"> INCLUDEPICTURE "/var/folders/db/q9vpnpcn05l6dpqgvxtv24940000gn/T/com.microsoft.Word/WebArchiveCopyPasteTempFiles/venus-cupid-and-a-satyr-1598.jpg" \* MERGEFORMATINET </w:instrText>
      </w:r>
      <w:r>
        <w:fldChar w:fldCharType="separate"/>
      </w:r>
      <w:r>
        <w:rPr>
          <w:noProof/>
        </w:rPr>
        <w:drawing>
          <wp:inline distT="0" distB="0" distL="0" distR="0" wp14:anchorId="50F5B10C" wp14:editId="7C95FB96">
            <wp:extent cx="3115733" cy="4425758"/>
            <wp:effectExtent l="0" t="0" r="0" b="0"/>
            <wp:docPr id="13" name="Image 13" descr="Jupiter, Antiope et Cupidon, 1598 - Hans von Aa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upiter, Antiope et Cupidon, 1598 - Hans von Aach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9558" cy="4459601"/>
                    </a:xfrm>
                    <a:prstGeom prst="rect">
                      <a:avLst/>
                    </a:prstGeom>
                    <a:noFill/>
                    <a:ln>
                      <a:noFill/>
                    </a:ln>
                  </pic:spPr>
                </pic:pic>
              </a:graphicData>
            </a:graphic>
          </wp:inline>
        </w:drawing>
      </w:r>
      <w:r>
        <w:fldChar w:fldCharType="end"/>
      </w:r>
    </w:p>
    <w:p w:rsidR="003C5528" w:rsidRDefault="003C5528" w:rsidP="003C5528"/>
    <w:p w:rsidR="003C5528" w:rsidRPr="003C5528" w:rsidRDefault="003C5528" w:rsidP="007E2032">
      <w:pPr>
        <w:spacing w:after="120" w:line="276" w:lineRule="auto"/>
        <w:jc w:val="both"/>
        <w:rPr>
          <w:color w:val="212529"/>
          <w:sz w:val="20"/>
          <w:szCs w:val="20"/>
          <w:shd w:val="clear" w:color="auto" w:fill="FFFFFF"/>
        </w:rPr>
      </w:pPr>
      <w:r w:rsidRPr="003C5528">
        <w:rPr>
          <w:sz w:val="20"/>
          <w:szCs w:val="20"/>
        </w:rPr>
        <w:t xml:space="preserve">Hans von Aachen, </w:t>
      </w:r>
      <w:r w:rsidRPr="003C5528">
        <w:rPr>
          <w:i/>
          <w:sz w:val="20"/>
          <w:szCs w:val="20"/>
        </w:rPr>
        <w:t>Jupiter, Antiope et Cupidon</w:t>
      </w:r>
      <w:r w:rsidRPr="003C5528">
        <w:rPr>
          <w:sz w:val="20"/>
          <w:szCs w:val="20"/>
        </w:rPr>
        <w:t xml:space="preserve">, peint sur cuivre, 30,5 x 21 cm, </w:t>
      </w:r>
      <w:r>
        <w:rPr>
          <w:sz w:val="20"/>
          <w:szCs w:val="20"/>
        </w:rPr>
        <w:t xml:space="preserve">Vienne, </w:t>
      </w:r>
      <w:r w:rsidRPr="003C5528">
        <w:rPr>
          <w:sz w:val="20"/>
          <w:szCs w:val="20"/>
        </w:rPr>
        <w:t>Kunsthistorisches Museum, 1595</w:t>
      </w:r>
      <w:r>
        <w:rPr>
          <w:sz w:val="20"/>
          <w:szCs w:val="20"/>
        </w:rPr>
        <w:t>.</w:t>
      </w:r>
    </w:p>
    <w:p w:rsidR="003C5528" w:rsidRDefault="00D76E30" w:rsidP="002C399C">
      <w:pPr>
        <w:autoSpaceDE w:val="0"/>
        <w:autoSpaceDN w:val="0"/>
        <w:adjustRightInd w:val="0"/>
        <w:spacing w:after="120" w:line="276" w:lineRule="auto"/>
        <w:jc w:val="both"/>
        <w:rPr>
          <w:color w:val="000000" w:themeColor="text1"/>
        </w:rPr>
      </w:pPr>
      <w:r>
        <w:rPr>
          <w:color w:val="000000" w:themeColor="text1"/>
        </w:rPr>
        <w:t>En</w:t>
      </w:r>
      <w:r w:rsidR="008532A3">
        <w:rPr>
          <w:color w:val="000000" w:themeColor="text1"/>
        </w:rPr>
        <w:t>fin</w:t>
      </w:r>
      <w:r>
        <w:rPr>
          <w:color w:val="000000" w:themeColor="text1"/>
        </w:rPr>
        <w:t xml:space="preserve">, </w:t>
      </w:r>
      <w:r w:rsidR="002C399C">
        <w:rPr>
          <w:color w:val="000000" w:themeColor="text1"/>
        </w:rPr>
        <w:t>la redensification, par  introduction de traits signifiants en plus de ceux qui ont d’abord été écartés ( « augmentation » du tableau requête)</w:t>
      </w:r>
      <w:r>
        <w:rPr>
          <w:color w:val="000000" w:themeColor="text1"/>
        </w:rPr>
        <w:t xml:space="preserve"> </w:t>
      </w:r>
      <w:r w:rsidR="008532A3">
        <w:rPr>
          <w:color w:val="000000" w:themeColor="text1"/>
        </w:rPr>
        <w:t>accroît</w:t>
      </w:r>
      <w:r>
        <w:rPr>
          <w:color w:val="000000" w:themeColor="text1"/>
        </w:rPr>
        <w:t xml:space="preserve"> les chances de production d’un </w:t>
      </w:r>
      <w:r w:rsidR="002C399C">
        <w:rPr>
          <w:color w:val="000000" w:themeColor="text1"/>
        </w:rPr>
        <w:t>sens nouveau</w:t>
      </w:r>
      <w:r w:rsidR="008532A3">
        <w:rPr>
          <w:color w:val="000000" w:themeColor="text1"/>
        </w:rPr>
        <w:t xml:space="preserve">, </w:t>
      </w:r>
      <w:r w:rsidR="002C399C">
        <w:rPr>
          <w:color w:val="000000" w:themeColor="text1"/>
        </w:rPr>
        <w:t>qui surprend plus ou moins vivement.</w:t>
      </w:r>
      <w:r w:rsidR="00132286">
        <w:rPr>
          <w:color w:val="000000" w:themeColor="text1"/>
        </w:rPr>
        <w:t xml:space="preserve"> </w:t>
      </w:r>
      <w:r>
        <w:rPr>
          <w:color w:val="000000" w:themeColor="text1"/>
        </w:rPr>
        <w:t>Un exemple est fourni par la</w:t>
      </w:r>
      <w:r w:rsidR="00132286">
        <w:rPr>
          <w:color w:val="000000" w:themeColor="text1"/>
        </w:rPr>
        <w:t xml:space="preserve"> mise en résonance</w:t>
      </w:r>
      <w:r w:rsidR="00F2474B">
        <w:rPr>
          <w:color w:val="000000" w:themeColor="text1"/>
        </w:rPr>
        <w:t>/dissonance</w:t>
      </w:r>
      <w:r w:rsidR="00132286">
        <w:rPr>
          <w:color w:val="000000" w:themeColor="text1"/>
        </w:rPr>
        <w:t xml:space="preserve"> du masque représenté dans le coin </w:t>
      </w:r>
      <w:r w:rsidR="00D4040A">
        <w:rPr>
          <w:color w:val="000000" w:themeColor="text1"/>
        </w:rPr>
        <w:t xml:space="preserve">inférieur </w:t>
      </w:r>
      <w:r w:rsidR="00132286">
        <w:rPr>
          <w:color w:val="000000" w:themeColor="text1"/>
        </w:rPr>
        <w:t xml:space="preserve">droit de </w:t>
      </w:r>
      <w:r w:rsidR="00132286" w:rsidRPr="001F724F">
        <w:rPr>
          <w:i/>
          <w:color w:val="000000" w:themeColor="text1"/>
        </w:rPr>
        <w:t>Allégorie avec Vénus et Cupidon</w:t>
      </w:r>
      <w:r w:rsidR="00132286">
        <w:rPr>
          <w:color w:val="000000" w:themeColor="text1"/>
        </w:rPr>
        <w:t>, d’Agnolo Bronzino (vers 1545)</w:t>
      </w:r>
      <w:r w:rsidR="00132286">
        <w:rPr>
          <w:rStyle w:val="Appelnotedebasdep"/>
          <w:color w:val="000000" w:themeColor="text1"/>
        </w:rPr>
        <w:footnoteReference w:id="43"/>
      </w:r>
      <w:r w:rsidR="00132286">
        <w:rPr>
          <w:color w:val="000000" w:themeColor="text1"/>
        </w:rPr>
        <w:t xml:space="preserve"> (l’image numérisée est affichée en cinquième position ; distance : 430)</w:t>
      </w:r>
      <w:r w:rsidR="00D4040A">
        <w:rPr>
          <w:color w:val="000000" w:themeColor="text1"/>
        </w:rPr>
        <w:t>,</w:t>
      </w:r>
      <w:r w:rsidR="003C5528">
        <w:rPr>
          <w:color w:val="000000" w:themeColor="text1"/>
        </w:rPr>
        <w:t xml:space="preserve"> </w:t>
      </w:r>
      <w:r w:rsidR="003C5528">
        <w:rPr>
          <w:color w:val="000000" w:themeColor="text1"/>
          <w:lang w:val="fr-FR"/>
        </w:rPr>
        <w:t xml:space="preserve">qu’une </w:t>
      </w:r>
      <w:r w:rsidR="003C5528">
        <w:rPr>
          <w:color w:val="000000" w:themeColor="text1"/>
        </w:rPr>
        <w:t>lecture allégorique rapproche de la dissimulation et de la tromperie</w:t>
      </w:r>
      <w:r w:rsidR="003C5528" w:rsidRPr="00AA00C3">
        <w:rPr>
          <w:rStyle w:val="Appelnotedebasdep"/>
          <w:color w:val="000000" w:themeColor="text1"/>
        </w:rPr>
        <w:footnoteReference w:id="44"/>
      </w:r>
      <w:r w:rsidR="003C5528">
        <w:rPr>
          <w:color w:val="000000" w:themeColor="text1"/>
        </w:rPr>
        <w:t xml:space="preserve">, et de la forme quelque peu énigmatique qui décore le vase dans notre tableau requête. </w:t>
      </w:r>
    </w:p>
    <w:p w:rsidR="003C5528" w:rsidRDefault="003C5528" w:rsidP="002C399C">
      <w:pPr>
        <w:autoSpaceDE w:val="0"/>
        <w:autoSpaceDN w:val="0"/>
        <w:adjustRightInd w:val="0"/>
        <w:spacing w:after="120" w:line="276" w:lineRule="auto"/>
        <w:jc w:val="both"/>
        <w:rPr>
          <w:color w:val="000000" w:themeColor="text1"/>
        </w:rPr>
      </w:pPr>
      <w:r>
        <w:rPr>
          <w:color w:val="000000" w:themeColor="text1"/>
        </w:rPr>
        <w:lastRenderedPageBreak/>
        <w:t xml:space="preserve">Figure 11 </w:t>
      </w:r>
    </w:p>
    <w:p w:rsidR="003C5528" w:rsidRDefault="003C5528" w:rsidP="003C5528">
      <w:r>
        <w:fldChar w:fldCharType="begin"/>
      </w:r>
      <w:r>
        <w:instrText xml:space="preserve"> INCLUDEPICTURE "/var/folders/db/q9vpnpcn05l6dpqgvxtv24940000gn/T/com.microsoft.Word/WebArchiveCopyPasteTempFiles/bronzino..allegorie.avec.venus.et.cupidon.-v..1545-.jpg?fx=r_277_350" \* MERGEFORMATINET </w:instrText>
      </w:r>
      <w:r>
        <w:fldChar w:fldCharType="separate"/>
      </w:r>
      <w:r>
        <w:rPr>
          <w:noProof/>
        </w:rPr>
        <w:drawing>
          <wp:inline distT="0" distB="0" distL="0" distR="0" wp14:anchorId="05B6E299" wp14:editId="541FC433">
            <wp:extent cx="3211574" cy="4055533"/>
            <wp:effectExtent l="0" t="0" r="1905" b="0"/>
            <wp:docPr id="14" name="Image 14" descr="Bronzino. Allégorie avec Vénus et Cupidon (v.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onzino. Allégorie avec Vénus et Cupidon (v. 15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1645" cy="4068251"/>
                    </a:xfrm>
                    <a:prstGeom prst="rect">
                      <a:avLst/>
                    </a:prstGeom>
                    <a:noFill/>
                    <a:ln>
                      <a:noFill/>
                    </a:ln>
                  </pic:spPr>
                </pic:pic>
              </a:graphicData>
            </a:graphic>
          </wp:inline>
        </w:drawing>
      </w:r>
      <w:r>
        <w:fldChar w:fldCharType="end"/>
      </w:r>
    </w:p>
    <w:p w:rsidR="003C5528" w:rsidRDefault="003C5528" w:rsidP="002C399C">
      <w:pPr>
        <w:autoSpaceDE w:val="0"/>
        <w:autoSpaceDN w:val="0"/>
        <w:adjustRightInd w:val="0"/>
        <w:spacing w:after="120" w:line="276" w:lineRule="auto"/>
        <w:jc w:val="both"/>
        <w:rPr>
          <w:color w:val="000000" w:themeColor="text1"/>
        </w:rPr>
      </w:pPr>
    </w:p>
    <w:p w:rsidR="003C5528" w:rsidRPr="00C52648" w:rsidRDefault="003C5528" w:rsidP="003C5528">
      <w:pPr>
        <w:pStyle w:val="Notedebasdepage"/>
        <w:spacing w:after="120" w:line="276" w:lineRule="auto"/>
        <w:jc w:val="both"/>
        <w:rPr>
          <w:rFonts w:ascii="Times New Roman" w:hAnsi="Times New Roman" w:cs="Times New Roman"/>
        </w:rPr>
      </w:pPr>
      <w:r w:rsidRPr="00C52648">
        <w:rPr>
          <w:rFonts w:ascii="Times New Roman" w:hAnsi="Times New Roman" w:cs="Times New Roman"/>
        </w:rPr>
        <w:t xml:space="preserve">Agnolo Bronzino, </w:t>
      </w:r>
      <w:r w:rsidRPr="00C52648">
        <w:rPr>
          <w:rFonts w:ascii="Times New Roman" w:hAnsi="Times New Roman" w:cs="Times New Roman"/>
          <w:i/>
        </w:rPr>
        <w:t>Allégorie avec Vénus et Cupidon</w:t>
      </w:r>
      <w:r w:rsidRPr="00C52648">
        <w:rPr>
          <w:rFonts w:ascii="Times New Roman" w:hAnsi="Times New Roman" w:cs="Times New Roman"/>
        </w:rPr>
        <w:t>, huile sur bois, 146 x 116 cm, Londres, National Gallery, v. 1545.</w:t>
      </w:r>
    </w:p>
    <w:p w:rsidR="007E08A8" w:rsidRDefault="00132286" w:rsidP="003C5528">
      <w:pPr>
        <w:autoSpaceDE w:val="0"/>
        <w:autoSpaceDN w:val="0"/>
        <w:adjustRightInd w:val="0"/>
        <w:spacing w:after="120" w:line="276" w:lineRule="auto"/>
        <w:jc w:val="both"/>
        <w:rPr>
          <w:color w:val="000000" w:themeColor="text1"/>
        </w:rPr>
      </w:pPr>
      <w:r>
        <w:rPr>
          <w:color w:val="000000" w:themeColor="text1"/>
        </w:rPr>
        <w:t>Une lecture allégorique</w:t>
      </w:r>
      <w:r>
        <w:rPr>
          <w:rStyle w:val="Appelnotedebasdep"/>
          <w:color w:val="000000" w:themeColor="text1"/>
        </w:rPr>
        <w:footnoteReference w:id="45"/>
      </w:r>
      <w:r>
        <w:rPr>
          <w:color w:val="000000" w:themeColor="text1"/>
        </w:rPr>
        <w:t xml:space="preserve"> nous conduit à reconnaître </w:t>
      </w:r>
      <w:r w:rsidR="003C5528">
        <w:rPr>
          <w:color w:val="000000" w:themeColor="text1"/>
        </w:rPr>
        <w:t xml:space="preserve">dans </w:t>
      </w:r>
      <w:r w:rsidR="003C5528" w:rsidRPr="003C5528">
        <w:rPr>
          <w:i/>
          <w:color w:val="000000" w:themeColor="text1"/>
        </w:rPr>
        <w:t>Bacchus, Vénus et Cupidon</w:t>
      </w:r>
      <w:r w:rsidR="003C5528">
        <w:rPr>
          <w:color w:val="000000" w:themeColor="text1"/>
        </w:rPr>
        <w:t xml:space="preserve"> </w:t>
      </w:r>
      <w:r>
        <w:rPr>
          <w:color w:val="000000" w:themeColor="text1"/>
        </w:rPr>
        <w:t xml:space="preserve">une salamandre, </w:t>
      </w:r>
      <w:r w:rsidRPr="00AA00C3">
        <w:rPr>
          <w:color w:val="000000" w:themeColor="text1"/>
        </w:rPr>
        <w:t xml:space="preserve">en référence à la devise de François </w:t>
      </w:r>
      <w:r>
        <w:rPr>
          <w:color w:val="000000" w:themeColor="text1"/>
        </w:rPr>
        <w:t>I</w:t>
      </w:r>
      <w:r w:rsidRPr="006734BA">
        <w:rPr>
          <w:color w:val="000000" w:themeColor="text1"/>
          <w:vertAlign w:val="superscript"/>
        </w:rPr>
        <w:t>er</w:t>
      </w:r>
      <w:r w:rsidRPr="00AA00C3">
        <w:rPr>
          <w:color w:val="000000" w:themeColor="text1"/>
        </w:rPr>
        <w:t xml:space="preserve"> : </w:t>
      </w:r>
      <w:r w:rsidRPr="00AA00C3">
        <w:rPr>
          <w:color w:val="1B1B1B"/>
        </w:rPr>
        <w:t>« </w:t>
      </w:r>
      <w:r w:rsidRPr="00AA00C3">
        <w:rPr>
          <w:i/>
          <w:iCs/>
          <w:color w:val="1B1B1B"/>
        </w:rPr>
        <w:t xml:space="preserve">Nutrisco et extinguo </w:t>
      </w:r>
      <w:r w:rsidRPr="00AA00C3">
        <w:rPr>
          <w:iCs/>
          <w:color w:val="1B1B1B"/>
        </w:rPr>
        <w:t>(</w:t>
      </w:r>
      <w:r>
        <w:rPr>
          <w:iCs/>
          <w:color w:val="1B1B1B"/>
        </w:rPr>
        <w:t>« </w:t>
      </w:r>
      <w:r w:rsidRPr="00AA00C3">
        <w:rPr>
          <w:iCs/>
          <w:color w:val="1B1B1B"/>
        </w:rPr>
        <w:t>je nourris (le bon feu) et j’éteins (le mauvais)</w:t>
      </w:r>
      <w:r>
        <w:rPr>
          <w:iCs/>
          <w:color w:val="1B1B1B"/>
        </w:rPr>
        <w:t> »)</w:t>
      </w:r>
      <w:r>
        <w:rPr>
          <w:color w:val="000000" w:themeColor="text1"/>
        </w:rPr>
        <w:t>, symbolisant l’intégrité, la constance et la pérennité</w:t>
      </w:r>
      <w:r w:rsidRPr="00AA00C3">
        <w:rPr>
          <w:rStyle w:val="Appelnotedebasdep"/>
          <w:color w:val="000000" w:themeColor="text1"/>
        </w:rPr>
        <w:footnoteReference w:id="46"/>
      </w:r>
      <w:r>
        <w:rPr>
          <w:color w:val="000000" w:themeColor="text1"/>
        </w:rPr>
        <w:t>.</w:t>
      </w:r>
      <w:r w:rsidR="008911B0">
        <w:rPr>
          <w:color w:val="000000" w:themeColor="text1"/>
        </w:rPr>
        <w:t xml:space="preserve"> </w:t>
      </w:r>
    </w:p>
    <w:p w:rsidR="00FC44FB" w:rsidRDefault="007E08A8" w:rsidP="002C399C">
      <w:pPr>
        <w:autoSpaceDE w:val="0"/>
        <w:autoSpaceDN w:val="0"/>
        <w:adjustRightInd w:val="0"/>
        <w:spacing w:after="120" w:line="276" w:lineRule="auto"/>
        <w:jc w:val="both"/>
        <w:rPr>
          <w:color w:val="000000" w:themeColor="text1"/>
        </w:rPr>
      </w:pPr>
      <w:r>
        <w:rPr>
          <w:color w:val="000000" w:themeColor="text1"/>
        </w:rPr>
        <w:t xml:space="preserve">Après cette double enquête, et quelle que soit l’approche retenue, une constatation s’impose : les analyses doivent s’étoffer au contact de </w:t>
      </w:r>
      <w:r w:rsidR="00F2196C">
        <w:rPr>
          <w:color w:val="000000" w:themeColor="text1"/>
        </w:rPr>
        <w:t>l’histoire</w:t>
      </w:r>
      <w:r>
        <w:rPr>
          <w:color w:val="000000" w:themeColor="text1"/>
        </w:rPr>
        <w:t xml:space="preserve"> de l’art. Ainsi, </w:t>
      </w:r>
      <w:r w:rsidR="009F6761">
        <w:rPr>
          <w:color w:val="000000" w:themeColor="text1"/>
        </w:rPr>
        <w:t xml:space="preserve">on pourra </w:t>
      </w:r>
      <w:r w:rsidR="00D76E30">
        <w:rPr>
          <w:color w:val="000000" w:themeColor="text1"/>
        </w:rPr>
        <w:t xml:space="preserve">ajouter </w:t>
      </w:r>
      <w:r w:rsidR="009F6761">
        <w:rPr>
          <w:color w:val="000000" w:themeColor="text1"/>
        </w:rPr>
        <w:t xml:space="preserve">que </w:t>
      </w:r>
      <w:r w:rsidR="002C399C">
        <w:rPr>
          <w:color w:val="000000" w:themeColor="text1"/>
        </w:rPr>
        <w:t xml:space="preserve">Bacchus représente dans le tableau requête les débordements provoqués par l’ivresse, une note bestiale et sauvage </w:t>
      </w:r>
      <w:r w:rsidR="009F6761">
        <w:rPr>
          <w:color w:val="000000" w:themeColor="text1"/>
        </w:rPr>
        <w:t xml:space="preserve">s’ajoutant </w:t>
      </w:r>
      <w:r w:rsidR="00264110">
        <w:rPr>
          <w:color w:val="000000" w:themeColor="text1"/>
        </w:rPr>
        <w:t xml:space="preserve">à </w:t>
      </w:r>
      <w:r w:rsidR="002C399C">
        <w:rPr>
          <w:color w:val="000000" w:themeColor="text1"/>
        </w:rPr>
        <w:t xml:space="preserve">l’amour dont Vénus est le symbole. </w:t>
      </w:r>
      <w:r w:rsidR="00E07190">
        <w:rPr>
          <w:color w:val="000000" w:themeColor="text1"/>
        </w:rPr>
        <w:t xml:space="preserve">Ou encore, </w:t>
      </w:r>
      <w:r w:rsidR="00264110">
        <w:rPr>
          <w:color w:val="000000" w:themeColor="text1"/>
        </w:rPr>
        <w:t>suivra-t-on</w:t>
      </w:r>
      <w:r w:rsidR="002C399C">
        <w:rPr>
          <w:color w:val="000000" w:themeColor="text1"/>
        </w:rPr>
        <w:t xml:space="preserve"> Christine de Léotard-Sommer (2019)</w:t>
      </w:r>
      <w:r w:rsidR="002C399C">
        <w:rPr>
          <w:rStyle w:val="Appelnotedebasdep"/>
          <w:color w:val="000000" w:themeColor="text1"/>
        </w:rPr>
        <w:footnoteReference w:id="47"/>
      </w:r>
      <w:r w:rsidR="002C399C">
        <w:rPr>
          <w:color w:val="000000" w:themeColor="text1"/>
        </w:rPr>
        <w:t xml:space="preserve">, </w:t>
      </w:r>
      <w:r w:rsidR="00264110">
        <w:rPr>
          <w:color w:val="000000" w:themeColor="text1"/>
        </w:rPr>
        <w:t xml:space="preserve">qui voit </w:t>
      </w:r>
      <w:r w:rsidR="002C399C">
        <w:rPr>
          <w:color w:val="000000" w:themeColor="text1"/>
        </w:rPr>
        <w:t>dans la scène mythologique</w:t>
      </w:r>
      <w:r w:rsidR="002C399C">
        <w:rPr>
          <w:rStyle w:val="Appelnotedebasdep"/>
          <w:color w:val="000000" w:themeColor="text1"/>
        </w:rPr>
        <w:footnoteReference w:id="48"/>
      </w:r>
      <w:r w:rsidR="002C399C">
        <w:rPr>
          <w:color w:val="000000" w:themeColor="text1"/>
        </w:rPr>
        <w:t xml:space="preserve"> l’« image de mémoire plastique d’un schéma de notions théologiques »</w:t>
      </w:r>
      <w:r w:rsidR="00264110">
        <w:rPr>
          <w:color w:val="000000" w:themeColor="text1"/>
        </w:rPr>
        <w:t> ? Dira-t-on avec elle</w:t>
      </w:r>
      <w:r w:rsidR="002C399C">
        <w:rPr>
          <w:color w:val="000000" w:themeColor="text1"/>
        </w:rPr>
        <w:t xml:space="preserve"> que sont </w:t>
      </w:r>
      <w:r w:rsidR="002C399C">
        <w:rPr>
          <w:color w:val="000000" w:themeColor="text1"/>
        </w:rPr>
        <w:lastRenderedPageBreak/>
        <w:t>« mémorisées » à travers la peinture les notions chrétiennes d’un schéma manuscrit inventé par le moine franciscain Jean Thenaud (entre 1474 et 1484-vers 1543), sur commande de François I</w:t>
      </w:r>
      <w:r w:rsidR="002C399C" w:rsidRPr="00B1510F">
        <w:rPr>
          <w:color w:val="000000" w:themeColor="text1"/>
          <w:vertAlign w:val="superscript"/>
        </w:rPr>
        <w:t>er</w:t>
      </w:r>
      <w:r w:rsidR="002C399C">
        <w:rPr>
          <w:color w:val="000000" w:themeColor="text1"/>
        </w:rPr>
        <w:t>, pour représenter le monde céleste chrétien</w:t>
      </w:r>
      <w:r w:rsidR="002C399C">
        <w:rPr>
          <w:rStyle w:val="Appelnotedebasdep"/>
          <w:color w:val="000000" w:themeColor="text1"/>
        </w:rPr>
        <w:footnoteReference w:id="49"/>
      </w:r>
      <w:r w:rsidR="00264110">
        <w:rPr>
          <w:color w:val="000000" w:themeColor="text1"/>
        </w:rPr>
        <w:t> ?</w:t>
      </w:r>
      <w:r w:rsidR="008911B0">
        <w:rPr>
          <w:color w:val="000000" w:themeColor="text1"/>
        </w:rPr>
        <w:t xml:space="preserve"> </w:t>
      </w:r>
      <w:r w:rsidR="00264110">
        <w:rPr>
          <w:color w:val="000000" w:themeColor="text1"/>
        </w:rPr>
        <w:t>E</w:t>
      </w:r>
      <w:r w:rsidR="00E07190">
        <w:rPr>
          <w:color w:val="000000" w:themeColor="text1"/>
        </w:rPr>
        <w:t xml:space="preserve">n vertu de « transpositions plastiques », </w:t>
      </w:r>
      <w:r w:rsidR="002C399C">
        <w:rPr>
          <w:color w:val="000000" w:themeColor="text1"/>
        </w:rPr>
        <w:t xml:space="preserve">Léotard-Sommer associe le fond noir, un œil, une corne, des pampres de raisin, un muscle droit et la coupe levée à l’« encodage de Dieu » ; ou encore : le triangle avec une cuisse/hanche droite, un triangle noir dirigé vers le haut et un sexe masculin encodent la Sapience. </w:t>
      </w:r>
    </w:p>
    <w:p w:rsidR="00E07190" w:rsidRDefault="00F2474B" w:rsidP="002C399C">
      <w:pPr>
        <w:autoSpaceDE w:val="0"/>
        <w:autoSpaceDN w:val="0"/>
        <w:adjustRightInd w:val="0"/>
        <w:spacing w:after="120" w:line="276" w:lineRule="auto"/>
        <w:jc w:val="both"/>
        <w:rPr>
          <w:color w:val="000000" w:themeColor="text1"/>
        </w:rPr>
      </w:pPr>
      <w:r>
        <w:rPr>
          <w:color w:val="000000" w:themeColor="text1"/>
        </w:rPr>
        <w:t xml:space="preserve">L’important, c’est que le dialogue entre la sémiotique, l’histoire de l’art et </w:t>
      </w:r>
      <w:r w:rsidR="00D4040A">
        <w:rPr>
          <w:color w:val="000000" w:themeColor="text1"/>
        </w:rPr>
        <w:t xml:space="preserve">les </w:t>
      </w:r>
      <w:r w:rsidR="00D4040A" w:rsidRPr="00D4040A">
        <w:rPr>
          <w:i/>
          <w:color w:val="000000" w:themeColor="text1"/>
        </w:rPr>
        <w:t>Digital Humanities</w:t>
      </w:r>
      <w:r>
        <w:rPr>
          <w:color w:val="000000" w:themeColor="text1"/>
        </w:rPr>
        <w:t xml:space="preserve"> </w:t>
      </w:r>
      <w:r w:rsidR="00FC44FB">
        <w:rPr>
          <w:color w:val="000000" w:themeColor="text1"/>
        </w:rPr>
        <w:t xml:space="preserve">valide/invalide, </w:t>
      </w:r>
      <w:r w:rsidRPr="00F2474B">
        <w:rPr>
          <w:i/>
          <w:color w:val="000000" w:themeColor="text1"/>
        </w:rPr>
        <w:t>in fine</w:t>
      </w:r>
      <w:r>
        <w:rPr>
          <w:color w:val="000000" w:themeColor="text1"/>
        </w:rPr>
        <w:t>, les rapprochements proposés par la machine. Cel</w:t>
      </w:r>
      <w:r w:rsidR="00FC44FB">
        <w:rPr>
          <w:color w:val="000000" w:themeColor="text1"/>
        </w:rPr>
        <w:t>l</w:t>
      </w:r>
      <w:r>
        <w:rPr>
          <w:color w:val="000000" w:themeColor="text1"/>
        </w:rPr>
        <w:t xml:space="preserve">e-ci génère des </w:t>
      </w:r>
      <w:r w:rsidRPr="00FC44FB">
        <w:rPr>
          <w:i/>
          <w:color w:val="000000" w:themeColor="text1"/>
        </w:rPr>
        <w:t>possibles</w:t>
      </w:r>
      <w:r>
        <w:rPr>
          <w:color w:val="000000" w:themeColor="text1"/>
        </w:rPr>
        <w:t xml:space="preserve">, </w:t>
      </w:r>
      <w:r w:rsidR="00FC44FB">
        <w:rPr>
          <w:color w:val="000000" w:themeColor="text1"/>
        </w:rPr>
        <w:t>q</w:t>
      </w:r>
      <w:r>
        <w:rPr>
          <w:color w:val="000000" w:themeColor="text1"/>
        </w:rPr>
        <w:t xml:space="preserve">ue </w:t>
      </w:r>
      <w:r w:rsidR="00FC44FB">
        <w:rPr>
          <w:color w:val="000000" w:themeColor="text1"/>
        </w:rPr>
        <w:t>seul l’observateur-enquêteur peut rendre pertinents.</w:t>
      </w:r>
    </w:p>
    <w:p w:rsidR="002C399C" w:rsidRDefault="007E08A8" w:rsidP="002C399C">
      <w:pPr>
        <w:autoSpaceDE w:val="0"/>
        <w:autoSpaceDN w:val="0"/>
        <w:adjustRightInd w:val="0"/>
        <w:spacing w:after="120" w:line="276" w:lineRule="auto"/>
        <w:jc w:val="both"/>
        <w:rPr>
          <w:color w:val="000000" w:themeColor="text1"/>
        </w:rPr>
      </w:pPr>
      <w:r>
        <w:rPr>
          <w:color w:val="000000" w:themeColor="text1"/>
        </w:rPr>
        <w:t xml:space="preserve">Une dernière étape s’impose : </w:t>
      </w:r>
      <w:r w:rsidR="002C399C">
        <w:rPr>
          <w:color w:val="000000" w:themeColor="text1"/>
        </w:rPr>
        <w:t xml:space="preserve">« augmenter » l’œuvre d’art, c’est faire état non seulement </w:t>
      </w:r>
      <w:r w:rsidR="008911B0">
        <w:rPr>
          <w:color w:val="000000" w:themeColor="text1"/>
        </w:rPr>
        <w:t>des changements opérés ultérieurement (ajout de bandes au pourtour, à la fin du XVII</w:t>
      </w:r>
      <w:r w:rsidR="008911B0" w:rsidRPr="008911B0">
        <w:rPr>
          <w:color w:val="000000" w:themeColor="text1"/>
          <w:vertAlign w:val="superscript"/>
        </w:rPr>
        <w:t>e</w:t>
      </w:r>
      <w:r w:rsidR="008911B0">
        <w:rPr>
          <w:color w:val="000000" w:themeColor="text1"/>
        </w:rPr>
        <w:t xml:space="preserve"> siècle et au début du XVIII</w:t>
      </w:r>
      <w:r w:rsidR="008911B0" w:rsidRPr="008911B0">
        <w:rPr>
          <w:color w:val="000000" w:themeColor="text1"/>
          <w:vertAlign w:val="superscript"/>
        </w:rPr>
        <w:t>e</w:t>
      </w:r>
      <w:r w:rsidR="008911B0">
        <w:rPr>
          <w:color w:val="000000" w:themeColor="text1"/>
        </w:rPr>
        <w:t> ; le format d’ovale debout devient rectangulaire), non seulement de la restauration d’un tableau très abîmé, mais encore de ses entours</w:t>
      </w:r>
      <w:r w:rsidR="009F6761">
        <w:rPr>
          <w:color w:val="000000" w:themeColor="text1"/>
        </w:rPr>
        <w:t xml:space="preserve"> : </w:t>
      </w:r>
      <w:r>
        <w:rPr>
          <w:color w:val="000000" w:themeColor="text1"/>
        </w:rPr>
        <w:t xml:space="preserve">dans notre cas, </w:t>
      </w:r>
      <w:r w:rsidR="009F6761">
        <w:rPr>
          <w:color w:val="000000" w:themeColor="text1"/>
        </w:rPr>
        <w:t xml:space="preserve">de </w:t>
      </w:r>
      <w:r>
        <w:rPr>
          <w:color w:val="000000" w:themeColor="text1"/>
        </w:rPr>
        <w:t>l’</w:t>
      </w:r>
      <w:r w:rsidR="008911B0">
        <w:rPr>
          <w:color w:val="000000" w:themeColor="text1"/>
        </w:rPr>
        <w:t>encadrement</w:t>
      </w:r>
      <w:r>
        <w:rPr>
          <w:color w:val="000000" w:themeColor="text1"/>
        </w:rPr>
        <w:t xml:space="preserve"> du tableau source</w:t>
      </w:r>
      <w:r w:rsidR="008911B0">
        <w:rPr>
          <w:color w:val="000000" w:themeColor="text1"/>
        </w:rPr>
        <w:t xml:space="preserve"> </w:t>
      </w:r>
      <w:r w:rsidR="00264110">
        <w:rPr>
          <w:color w:val="000000" w:themeColor="text1"/>
        </w:rPr>
        <w:t>par</w:t>
      </w:r>
      <w:r w:rsidR="008911B0">
        <w:rPr>
          <w:color w:val="000000" w:themeColor="text1"/>
        </w:rPr>
        <w:t xml:space="preserve"> deux </w:t>
      </w:r>
      <w:r w:rsidR="008911B0" w:rsidRPr="006A0103">
        <w:rPr>
          <w:i/>
          <w:color w:val="000000" w:themeColor="text1"/>
        </w:rPr>
        <w:t>tondi</w:t>
      </w:r>
      <w:r w:rsidR="008911B0">
        <w:rPr>
          <w:color w:val="000000" w:themeColor="text1"/>
        </w:rPr>
        <w:t xml:space="preserve"> latéraux</w:t>
      </w:r>
      <w:r w:rsidR="008911B0">
        <w:rPr>
          <w:rStyle w:val="Appelnotedebasdep"/>
          <w:color w:val="000000" w:themeColor="text1"/>
        </w:rPr>
        <w:footnoteReference w:id="50"/>
      </w:r>
      <w:r w:rsidR="008911B0">
        <w:rPr>
          <w:color w:val="000000" w:themeColor="text1"/>
        </w:rPr>
        <w:t xml:space="preserve">, ainsi que </w:t>
      </w:r>
      <w:r w:rsidR="009F6761">
        <w:rPr>
          <w:color w:val="000000" w:themeColor="text1"/>
        </w:rPr>
        <w:t>d</w:t>
      </w:r>
      <w:r w:rsidR="008911B0">
        <w:rPr>
          <w:color w:val="000000" w:themeColor="text1"/>
        </w:rPr>
        <w:t>es œuvres</w:t>
      </w:r>
      <w:r w:rsidR="00D76E30">
        <w:rPr>
          <w:color w:val="000000" w:themeColor="text1"/>
        </w:rPr>
        <w:t xml:space="preserve"> </w:t>
      </w:r>
      <w:r w:rsidR="008911B0">
        <w:rPr>
          <w:color w:val="000000" w:themeColor="text1"/>
        </w:rPr>
        <w:t>au Château de Fontainebleau</w:t>
      </w:r>
      <w:r w:rsidR="009F6761">
        <w:rPr>
          <w:color w:val="000000" w:themeColor="text1"/>
        </w:rPr>
        <w:t xml:space="preserve"> (Galerie François I</w:t>
      </w:r>
      <w:r w:rsidR="009F6761" w:rsidRPr="009F6761">
        <w:rPr>
          <w:color w:val="000000" w:themeColor="text1"/>
          <w:vertAlign w:val="superscript"/>
        </w:rPr>
        <w:t>er</w:t>
      </w:r>
      <w:r w:rsidR="009F6761">
        <w:rPr>
          <w:color w:val="000000" w:themeColor="text1"/>
        </w:rPr>
        <w:t xml:space="preserve">, </w:t>
      </w:r>
      <w:r w:rsidR="009F6761" w:rsidRPr="00F02D6D">
        <w:t>chambre de la Duchesse d’Etampes</w:t>
      </w:r>
      <w:r w:rsidR="009F6761">
        <w:t>, le parc….)</w:t>
      </w:r>
      <w:r w:rsidR="008911B0">
        <w:rPr>
          <w:color w:val="000000" w:themeColor="text1"/>
        </w:rPr>
        <w:t xml:space="preserve"> avec lesquelles s’établissent des échos</w:t>
      </w:r>
      <w:r w:rsidR="009F6761">
        <w:rPr>
          <w:color w:val="000000" w:themeColor="text1"/>
        </w:rPr>
        <w:t xml:space="preserve"> plus ou moins précis</w:t>
      </w:r>
      <w:r w:rsidR="002C399C">
        <w:rPr>
          <w:rStyle w:val="Appelnotedebasdep"/>
          <w:color w:val="000000" w:themeColor="text1"/>
        </w:rPr>
        <w:footnoteReference w:id="51"/>
      </w:r>
      <w:r w:rsidR="009F6761">
        <w:rPr>
          <w:color w:val="000000" w:themeColor="text1"/>
        </w:rPr>
        <w:t xml:space="preserve">. </w:t>
      </w:r>
    </w:p>
    <w:p w:rsidR="002C399C" w:rsidRDefault="002C399C" w:rsidP="002C399C">
      <w:pPr>
        <w:spacing w:after="120" w:line="276" w:lineRule="auto"/>
        <w:jc w:val="both"/>
        <w:rPr>
          <w:color w:val="000000" w:themeColor="text1"/>
        </w:rPr>
      </w:pPr>
    </w:p>
    <w:p w:rsidR="002C399C" w:rsidRDefault="002C399C" w:rsidP="002C399C">
      <w:pPr>
        <w:spacing w:after="120" w:line="276" w:lineRule="auto"/>
        <w:jc w:val="both"/>
        <w:rPr>
          <w:color w:val="000000" w:themeColor="text1"/>
        </w:rPr>
      </w:pPr>
      <w:r>
        <w:rPr>
          <w:color w:val="000000" w:themeColor="text1"/>
        </w:rPr>
        <w:t xml:space="preserve">Essayons de conclure. Nous avons d’abord cherché à réinterroger la notion de forme à partir de trois cadres théoriques différents : du </w:t>
      </w:r>
      <w:r w:rsidRPr="00FD527F">
        <w:rPr>
          <w:i/>
          <w:color w:val="000000" w:themeColor="text1"/>
        </w:rPr>
        <w:t>Deep Formalism</w:t>
      </w:r>
      <w:r>
        <w:rPr>
          <w:color w:val="000000" w:themeColor="text1"/>
        </w:rPr>
        <w:t xml:space="preserve"> de Gal, de la théorie des formes symboliques selon Cassirer, revue par Lassègue, et, enfin, du constructivisme géné</w:t>
      </w:r>
      <w:r w:rsidR="0075707F">
        <w:rPr>
          <w:color w:val="000000" w:themeColor="text1"/>
        </w:rPr>
        <w:t>t</w:t>
      </w:r>
      <w:r>
        <w:rPr>
          <w:color w:val="000000" w:themeColor="text1"/>
        </w:rPr>
        <w:t xml:space="preserve">ique pensé sur le modèle de la </w:t>
      </w:r>
      <w:r w:rsidRPr="00FD527F">
        <w:rPr>
          <w:i/>
          <w:color w:val="000000" w:themeColor="text1"/>
        </w:rPr>
        <w:t>Gestalttheorie</w:t>
      </w:r>
      <w:r>
        <w:rPr>
          <w:color w:val="000000" w:themeColor="text1"/>
        </w:rPr>
        <w:t>, par Visetti. Nous avons défini la forme comme un champ de forces convergentes et divergentes</w:t>
      </w:r>
      <w:r w:rsidR="00264110">
        <w:rPr>
          <w:color w:val="000000" w:themeColor="text1"/>
        </w:rPr>
        <w:t xml:space="preserve"> (Bordron)</w:t>
      </w:r>
      <w:r>
        <w:rPr>
          <w:color w:val="000000" w:themeColor="text1"/>
        </w:rPr>
        <w:t>, qui sous-tendent la cofondation et la manifestation d’une double sémiose, plastique et figurative</w:t>
      </w:r>
      <w:r w:rsidR="00264110">
        <w:rPr>
          <w:color w:val="000000" w:themeColor="text1"/>
        </w:rPr>
        <w:t xml:space="preserve"> (Fontanille)</w:t>
      </w:r>
      <w:r>
        <w:rPr>
          <w:color w:val="000000" w:themeColor="text1"/>
        </w:rPr>
        <w:t>.</w:t>
      </w:r>
    </w:p>
    <w:p w:rsidR="002C399C" w:rsidRDefault="002C399C" w:rsidP="002C399C">
      <w:pPr>
        <w:spacing w:after="120" w:line="276" w:lineRule="auto"/>
        <w:jc w:val="both"/>
        <w:rPr>
          <w:color w:val="000000" w:themeColor="text1"/>
        </w:rPr>
      </w:pPr>
      <w:r>
        <w:rPr>
          <w:color w:val="000000" w:themeColor="text1"/>
        </w:rPr>
        <w:t xml:space="preserve">Ensuite, réexaminant les notions de filiation et de généalogie, nous avons confronté différents points de vue : celui des successivités, compatible avec l’idée d’une évolution (éventuellement vectorisée), celui du tourbillon où l’origine renaît à chaque fois dans le devenir, celui de la variabilité intrinsèque, où la coprésence d’éléments éprouve une profondeur sur l’axe paradigmatique et, enfin, celui du tressage, qui associe successivités et stratification. </w:t>
      </w:r>
    </w:p>
    <w:p w:rsidR="002C399C" w:rsidRDefault="002C399C" w:rsidP="002C399C">
      <w:pPr>
        <w:spacing w:after="120" w:line="276" w:lineRule="auto"/>
        <w:jc w:val="both"/>
        <w:rPr>
          <w:color w:val="000000" w:themeColor="text1"/>
        </w:rPr>
      </w:pPr>
      <w:r>
        <w:rPr>
          <w:color w:val="000000" w:themeColor="text1"/>
        </w:rPr>
        <w:lastRenderedPageBreak/>
        <w:t xml:space="preserve">Dans la foulée, l’étude concrète de </w:t>
      </w:r>
      <w:r w:rsidRPr="00D061B6">
        <w:rPr>
          <w:i/>
          <w:color w:val="000000" w:themeColor="text1"/>
        </w:rPr>
        <w:t>Bacchus, Vénus et Cupidon</w:t>
      </w:r>
      <w:r>
        <w:rPr>
          <w:color w:val="000000" w:themeColor="text1"/>
        </w:rPr>
        <w:t xml:space="preserve"> de Fiorentino a permis de montrer la complémentarité de deux approches guidées par la machine. Il est apparu que l’introduction de mots-clefs sur Google autorise une progression </w:t>
      </w:r>
      <w:r w:rsidR="00264110">
        <w:rPr>
          <w:color w:val="000000" w:themeColor="text1"/>
        </w:rPr>
        <w:t xml:space="preserve">par cadrages successifs. </w:t>
      </w:r>
      <w:r>
        <w:rPr>
          <w:color w:val="000000" w:themeColor="text1"/>
        </w:rPr>
        <w:t xml:space="preserve">Pour sa part, la requête par SimArt-Datavalor impose des bouclages rétrogrades et la mise en résonance des variantes disposées sur des couches de profondeur. </w:t>
      </w:r>
    </w:p>
    <w:p w:rsidR="00C77994" w:rsidRDefault="002C399C" w:rsidP="002C399C">
      <w:pPr>
        <w:spacing w:after="120" w:line="276" w:lineRule="auto"/>
        <w:jc w:val="both"/>
        <w:rPr>
          <w:color w:val="000000" w:themeColor="text1"/>
        </w:rPr>
      </w:pPr>
      <w:r>
        <w:rPr>
          <w:color w:val="000000" w:themeColor="text1"/>
        </w:rPr>
        <w:t xml:space="preserve">Finalement, quelles sont les conditions de possibilité, les chances de réussite et les modalités d’une « archéologie des formes esthétiques » ainsi que de l’« augmentation » de l’œuvre d’art, dès lors que l’observateur-analyse recourt aux programmes de traitement automatique des images ? La mise à l’épreuve concrète des hypothèses a permis de vérifier le rôle pionnier des repérages formels, mais aussi la nécessité d’introduire des paramètres figuratifs, pour procéder à une sélection, parmi les résultats affichés sur internet, de ceux qui sont pertinents. Il s’agit, d’une part, de mettre en évidence les forces convergentes et divergentes à la base de la morphologie et de la forme se déployant dans le champ du tableau comme texte et, d’autre part, d’ouvrir sur la migration des motifs iconographiques, ainsi que sur le « hors-texte », en particulier sur la manière dont les recontextualisations influent sur le devenir sémiosique des formes. </w:t>
      </w:r>
      <w:r w:rsidR="00662D43">
        <w:rPr>
          <w:color w:val="000000" w:themeColor="text1"/>
        </w:rPr>
        <w:t xml:space="preserve">Nous avons vu que les recherches sur Google attirent l’attention sur un engendrement plus linéaire, dans la durée. La notion d’anticipation selon Visetti prend toute son importance : le motif autorise une projection vers l’avant, qui informe la suite et réduit le nombre des possibles, mais s’expose aussi à l’imprévu. </w:t>
      </w:r>
      <w:r w:rsidR="00BA6AE3">
        <w:rPr>
          <w:color w:val="000000" w:themeColor="text1"/>
        </w:rPr>
        <w:t xml:space="preserve">La machine ne se contente pas de confirmer les choix interprétatifs de l’historien de l’art, mais donne lieu à des </w:t>
      </w:r>
      <w:r w:rsidR="00BA6AE3" w:rsidRPr="0012450D">
        <w:rPr>
          <w:i/>
          <w:color w:val="000000" w:themeColor="text1"/>
        </w:rPr>
        <w:t>découvertes</w:t>
      </w:r>
      <w:r w:rsidR="00F62152">
        <w:rPr>
          <w:color w:val="000000" w:themeColor="text1"/>
        </w:rPr>
        <w:t xml:space="preserve"> : de nouvelles connexions se révèlent à nous, des mises sous l’accent insoupçonnées, </w:t>
      </w:r>
      <w:r w:rsidR="00BE3D11">
        <w:rPr>
          <w:color w:val="000000" w:themeColor="text1"/>
        </w:rPr>
        <w:t xml:space="preserve">des stratifications inédites, </w:t>
      </w:r>
      <w:r w:rsidR="00F62152">
        <w:rPr>
          <w:color w:val="000000" w:themeColor="text1"/>
        </w:rPr>
        <w:t>qui influent sur l’interprétation.</w:t>
      </w:r>
      <w:r w:rsidR="0012450D">
        <w:rPr>
          <w:color w:val="000000" w:themeColor="text1"/>
        </w:rPr>
        <w:t xml:space="preserve"> </w:t>
      </w:r>
      <w:r w:rsidR="00C729AE">
        <w:rPr>
          <w:color w:val="000000" w:themeColor="text1"/>
        </w:rPr>
        <w:t xml:space="preserve">C’est en cela que réside, pour l’essentiel, l’intérêt du recours à la machine. </w:t>
      </w:r>
      <w:r w:rsidR="0075707F">
        <w:rPr>
          <w:color w:val="000000" w:themeColor="text1"/>
        </w:rPr>
        <w:t xml:space="preserve">La requête par SimArt-Datavalor implique, nous l’avons vu, des retours en arrière et la constitution d’une épaisseur, sur l’axe vertical. </w:t>
      </w:r>
      <w:r w:rsidR="0012450D">
        <w:rPr>
          <w:color w:val="000000" w:themeColor="text1"/>
        </w:rPr>
        <w:t>Cependant, les découvertes étant plus ou moins pertinentes, il faut</w:t>
      </w:r>
      <w:r w:rsidR="00BA6AE3">
        <w:rPr>
          <w:color w:val="000000" w:themeColor="text1"/>
        </w:rPr>
        <w:t xml:space="preserve"> que l</w:t>
      </w:r>
      <w:r w:rsidR="00662D43">
        <w:rPr>
          <w:color w:val="000000" w:themeColor="text1"/>
        </w:rPr>
        <w:t xml:space="preserve">e spectateur valide ou invalide la génération, la commente et l’évalue </w:t>
      </w:r>
      <w:r w:rsidR="00662D43" w:rsidRPr="00662D43">
        <w:rPr>
          <w:i/>
          <w:color w:val="000000" w:themeColor="text1"/>
        </w:rPr>
        <w:t>a posteriori</w:t>
      </w:r>
      <w:r w:rsidR="00662D43">
        <w:rPr>
          <w:color w:val="000000" w:themeColor="text1"/>
        </w:rPr>
        <w:t xml:space="preserve">. </w:t>
      </w:r>
    </w:p>
    <w:p w:rsidR="00C77994" w:rsidRDefault="00C77994" w:rsidP="00C77994">
      <w:pPr>
        <w:spacing w:after="120" w:line="276" w:lineRule="auto"/>
        <w:jc w:val="both"/>
        <w:rPr>
          <w:color w:val="000000" w:themeColor="text1"/>
        </w:rPr>
      </w:pPr>
      <w:r>
        <w:rPr>
          <w:color w:val="000000" w:themeColor="text1"/>
        </w:rPr>
        <w:t xml:space="preserve">On peut </w:t>
      </w:r>
      <w:r w:rsidR="0075707F">
        <w:rPr>
          <w:color w:val="000000" w:themeColor="text1"/>
        </w:rPr>
        <w:t>ainsi</w:t>
      </w:r>
      <w:r>
        <w:rPr>
          <w:color w:val="000000" w:themeColor="text1"/>
        </w:rPr>
        <w:t xml:space="preserve"> considérer que, du point de vue de la production, l</w:t>
      </w:r>
      <w:r w:rsidR="00662D43">
        <w:rPr>
          <w:color w:val="000000" w:themeColor="text1"/>
        </w:rPr>
        <w:t xml:space="preserve">a machine </w:t>
      </w:r>
      <w:r w:rsidR="00BE3D11">
        <w:rPr>
          <w:color w:val="000000" w:themeColor="text1"/>
        </w:rPr>
        <w:t>« </w:t>
      </w:r>
      <w:r w:rsidR="0075707F">
        <w:rPr>
          <w:color w:val="000000" w:themeColor="text1"/>
        </w:rPr>
        <w:t>redouble</w:t>
      </w:r>
      <w:r w:rsidR="00BE3D11">
        <w:rPr>
          <w:color w:val="000000" w:themeColor="text1"/>
        </w:rPr>
        <w:t> »</w:t>
      </w:r>
      <w:r w:rsidR="0075707F">
        <w:rPr>
          <w:color w:val="000000" w:themeColor="text1"/>
        </w:rPr>
        <w:t xml:space="preserve"> le </w:t>
      </w:r>
      <w:r>
        <w:rPr>
          <w:color w:val="000000" w:themeColor="text1"/>
        </w:rPr>
        <w:t xml:space="preserve">dispositif d’énonciation humain qui enchaîne les étapes suivantes (Colas-Blaise 2023, p. 192) : </w:t>
      </w:r>
    </w:p>
    <w:p w:rsidR="00C77994" w:rsidRDefault="00C77994" w:rsidP="00C77994">
      <w:pPr>
        <w:spacing w:after="120" w:line="276" w:lineRule="auto"/>
        <w:jc w:val="both"/>
        <w:rPr>
          <w:color w:val="000000" w:themeColor="text1"/>
        </w:rPr>
      </w:pPr>
      <w:r>
        <w:rPr>
          <w:rFonts w:eastAsiaTheme="minorHAnsi"/>
          <w:sz w:val="20"/>
          <w:szCs w:val="20"/>
          <w:lang w:val="fr-FR" w:eastAsia="en-US"/>
        </w:rPr>
        <w:t>Convocation &gt; anticipation &gt; conversion &gt; évocation &gt; validation</w:t>
      </w:r>
      <w:r>
        <w:rPr>
          <w:color w:val="000000" w:themeColor="text1"/>
        </w:rPr>
        <w:t xml:space="preserve"> </w:t>
      </w:r>
    </w:p>
    <w:p w:rsidR="00237033" w:rsidRDefault="00BA6AE3" w:rsidP="002C399C">
      <w:pPr>
        <w:spacing w:after="120" w:line="276" w:lineRule="auto"/>
        <w:jc w:val="both"/>
        <w:rPr>
          <w:color w:val="000000" w:themeColor="text1"/>
        </w:rPr>
      </w:pPr>
      <w:r>
        <w:rPr>
          <w:color w:val="000000" w:themeColor="text1"/>
        </w:rPr>
        <w:t>En vertu de ce dispositif, énoncer, c’est</w:t>
      </w:r>
      <w:r w:rsidR="00237033">
        <w:rPr>
          <w:color w:val="000000" w:themeColor="text1"/>
        </w:rPr>
        <w:t xml:space="preserve"> </w:t>
      </w:r>
      <w:r w:rsidR="00237033" w:rsidRPr="00237033">
        <w:rPr>
          <w:i/>
          <w:color w:val="000000" w:themeColor="text1"/>
        </w:rPr>
        <w:t>convoquer</w:t>
      </w:r>
      <w:r w:rsidR="00237033">
        <w:rPr>
          <w:color w:val="000000" w:themeColor="text1"/>
        </w:rPr>
        <w:t xml:space="preserve"> des formations signifiantes antécédentes</w:t>
      </w:r>
      <w:r>
        <w:rPr>
          <w:color w:val="000000" w:themeColor="text1"/>
        </w:rPr>
        <w:t xml:space="preserve"> (praxis énonciative), prendre une option sur</w:t>
      </w:r>
      <w:r w:rsidR="00237033">
        <w:rPr>
          <w:color w:val="000000" w:themeColor="text1"/>
        </w:rPr>
        <w:t xml:space="preserve"> la suite</w:t>
      </w:r>
      <w:r>
        <w:rPr>
          <w:color w:val="000000" w:themeColor="text1"/>
        </w:rPr>
        <w:t xml:space="preserve"> (</w:t>
      </w:r>
      <w:r w:rsidRPr="00BA6AE3">
        <w:rPr>
          <w:i/>
          <w:color w:val="000000" w:themeColor="text1"/>
        </w:rPr>
        <w:t>anticipation</w:t>
      </w:r>
      <w:r>
        <w:rPr>
          <w:color w:val="000000" w:themeColor="text1"/>
        </w:rPr>
        <w:t xml:space="preserve">) et </w:t>
      </w:r>
      <w:r w:rsidR="00237033" w:rsidRPr="00237033">
        <w:rPr>
          <w:i/>
          <w:color w:val="000000" w:themeColor="text1"/>
        </w:rPr>
        <w:t>converti</w:t>
      </w:r>
      <w:r>
        <w:rPr>
          <w:i/>
          <w:color w:val="000000" w:themeColor="text1"/>
        </w:rPr>
        <w:t xml:space="preserve">r </w:t>
      </w:r>
      <w:r w:rsidR="00237033">
        <w:rPr>
          <w:color w:val="000000" w:themeColor="text1"/>
        </w:rPr>
        <w:t>les formations antécédentes en des formations inédites, sur le fond de toutes celles qui, entreposées au second plan, entrent en résonance avec elles (</w:t>
      </w:r>
      <w:r w:rsidR="00237033" w:rsidRPr="00237033">
        <w:rPr>
          <w:i/>
          <w:color w:val="000000" w:themeColor="text1"/>
        </w:rPr>
        <w:t>évocation</w:t>
      </w:r>
      <w:r w:rsidR="00237033">
        <w:rPr>
          <w:color w:val="000000" w:themeColor="text1"/>
        </w:rPr>
        <w:t xml:space="preserve">), avant la </w:t>
      </w:r>
      <w:r w:rsidR="00237033" w:rsidRPr="00237033">
        <w:rPr>
          <w:i/>
          <w:color w:val="000000" w:themeColor="text1"/>
        </w:rPr>
        <w:t xml:space="preserve">validation </w:t>
      </w:r>
      <w:r w:rsidR="00237033">
        <w:rPr>
          <w:color w:val="000000" w:themeColor="text1"/>
        </w:rPr>
        <w:t>finale.</w:t>
      </w:r>
      <w:r w:rsidR="00E47AEC">
        <w:rPr>
          <w:color w:val="000000" w:themeColor="text1"/>
        </w:rPr>
        <w:t xml:space="preserve"> Une telle énonciation, par l’homme ou par la machine, est à la base de la constitution de généalogies. Selon des modalités différentes, avec plus ou moins de bonheur, et en gérant </w:t>
      </w:r>
      <w:r w:rsidR="0075707F">
        <w:rPr>
          <w:color w:val="000000" w:themeColor="text1"/>
        </w:rPr>
        <w:t>les aléas</w:t>
      </w:r>
      <w:r w:rsidR="00E47AEC">
        <w:rPr>
          <w:color w:val="000000" w:themeColor="text1"/>
        </w:rPr>
        <w:t>, diversement.</w:t>
      </w:r>
      <w:r w:rsidR="00237033">
        <w:rPr>
          <w:color w:val="000000" w:themeColor="text1"/>
        </w:rPr>
        <w:t xml:space="preserve"> </w:t>
      </w:r>
      <w:r w:rsidR="00C77994">
        <w:rPr>
          <w:color w:val="000000" w:themeColor="text1"/>
        </w:rPr>
        <w:t xml:space="preserve">Le résultat produit est plus ou moins </w:t>
      </w:r>
      <w:r w:rsidR="0075707F">
        <w:rPr>
          <w:color w:val="000000" w:themeColor="text1"/>
        </w:rPr>
        <w:t>vi-</w:t>
      </w:r>
      <w:r w:rsidR="00C77994">
        <w:rPr>
          <w:color w:val="000000" w:themeColor="text1"/>
        </w:rPr>
        <w:t>lisible en termes de cohésion et de cohérence</w:t>
      </w:r>
      <w:r w:rsidR="00BE3D11">
        <w:rPr>
          <w:color w:val="000000" w:themeColor="text1"/>
        </w:rPr>
        <w:t>, plus ou moins novateur.</w:t>
      </w:r>
      <w:r w:rsidR="00C77994">
        <w:rPr>
          <w:color w:val="000000" w:themeColor="text1"/>
        </w:rPr>
        <w:t xml:space="preserve"> </w:t>
      </w:r>
    </w:p>
    <w:p w:rsidR="002C399C" w:rsidRDefault="00BA6AE3" w:rsidP="002C399C">
      <w:pPr>
        <w:spacing w:after="120" w:line="276" w:lineRule="auto"/>
        <w:jc w:val="both"/>
        <w:rPr>
          <w:color w:val="000000" w:themeColor="text1"/>
        </w:rPr>
      </w:pPr>
      <w:r>
        <w:rPr>
          <w:color w:val="000000" w:themeColor="text1"/>
        </w:rPr>
        <w:t>Sur ces bases, c</w:t>
      </w:r>
      <w:r w:rsidR="00D140D3">
        <w:rPr>
          <w:color w:val="000000" w:themeColor="text1"/>
        </w:rPr>
        <w:t xml:space="preserve">omment assurer le succès de la </w:t>
      </w:r>
      <w:r w:rsidR="00D140D3" w:rsidRPr="00C77994">
        <w:rPr>
          <w:i/>
          <w:color w:val="000000" w:themeColor="text1"/>
        </w:rPr>
        <w:t>démarche interprétative</w:t>
      </w:r>
      <w:r w:rsidR="00D140D3">
        <w:rPr>
          <w:color w:val="000000" w:themeColor="text1"/>
        </w:rPr>
        <w:t xml:space="preserve"> ? Celle-ci doit être </w:t>
      </w:r>
      <w:r w:rsidR="002C399C">
        <w:rPr>
          <w:color w:val="000000" w:themeColor="text1"/>
        </w:rPr>
        <w:t xml:space="preserve">en </w:t>
      </w:r>
      <w:r w:rsidR="00FE26B6">
        <w:rPr>
          <w:color w:val="000000" w:themeColor="text1"/>
        </w:rPr>
        <w:t>trois</w:t>
      </w:r>
      <w:r w:rsidR="002C399C">
        <w:rPr>
          <w:color w:val="000000" w:themeColor="text1"/>
        </w:rPr>
        <w:t xml:space="preserve"> temps, </w:t>
      </w:r>
      <w:r w:rsidR="00D140D3">
        <w:rPr>
          <w:color w:val="000000" w:themeColor="text1"/>
        </w:rPr>
        <w:t>en appelant</w:t>
      </w:r>
      <w:r w:rsidR="002C399C">
        <w:rPr>
          <w:color w:val="000000" w:themeColor="text1"/>
        </w:rPr>
        <w:t xml:space="preserve"> une dédensification</w:t>
      </w:r>
      <w:r w:rsidR="00FE26B6">
        <w:rPr>
          <w:color w:val="000000" w:themeColor="text1"/>
        </w:rPr>
        <w:t>, la mise en avant d’un invariant</w:t>
      </w:r>
      <w:r w:rsidR="002C399C">
        <w:rPr>
          <w:color w:val="000000" w:themeColor="text1"/>
        </w:rPr>
        <w:t xml:space="preserve"> et une redensification des tableaux</w:t>
      </w:r>
      <w:r w:rsidR="00D140D3">
        <w:rPr>
          <w:color w:val="000000" w:themeColor="text1"/>
        </w:rPr>
        <w:t>. Son succès</w:t>
      </w:r>
      <w:r w:rsidR="002C399C">
        <w:rPr>
          <w:color w:val="000000" w:themeColor="text1"/>
        </w:rPr>
        <w:t xml:space="preserve"> est ainsi fonction de deux facteurs au moins : face à un engendrement des images parfois peu contrôlé, seules l’interaction entre les sémioses plastique et figurative ainsi que la prise en considération d’autres niveaux de pertinence </w:t>
      </w:r>
      <w:r w:rsidR="002C399C">
        <w:rPr>
          <w:color w:val="000000" w:themeColor="text1"/>
        </w:rPr>
        <w:lastRenderedPageBreak/>
        <w:t xml:space="preserve">permettent à l’observateur-analyste de se doter de critères de sélection performants. </w:t>
      </w:r>
      <w:r w:rsidR="00FE26B6">
        <w:rPr>
          <w:color w:val="000000" w:themeColor="text1"/>
        </w:rPr>
        <w:t xml:space="preserve">C’est à ces conditions qu’il devient possible de retracer les « formes de vie » (Basso Fossali) des tableaux source et requête. </w:t>
      </w:r>
    </w:p>
    <w:p w:rsidR="002C399C" w:rsidRDefault="002C399C" w:rsidP="002C399C">
      <w:pPr>
        <w:spacing w:after="120" w:line="276" w:lineRule="auto"/>
        <w:jc w:val="both"/>
      </w:pPr>
      <w:r>
        <w:t xml:space="preserve">Bibliographie : </w:t>
      </w:r>
    </w:p>
    <w:p w:rsidR="002C399C" w:rsidRPr="0056279A" w:rsidRDefault="002C399C" w:rsidP="002C399C">
      <w:pPr>
        <w:spacing w:after="120" w:line="276" w:lineRule="auto"/>
        <w:jc w:val="both"/>
        <w:rPr>
          <w:color w:val="000000" w:themeColor="text1"/>
        </w:rPr>
      </w:pPr>
      <w:r w:rsidRPr="00F8009C">
        <w:rPr>
          <w:smallCaps/>
        </w:rPr>
        <w:t>Auclair,</w:t>
      </w:r>
      <w:r w:rsidRPr="00F8009C">
        <w:t xml:space="preserve"> Valérie (2007), « L'invention décorative de la galerie François I</w:t>
      </w:r>
      <w:r w:rsidRPr="00F94E05">
        <w:rPr>
          <w:vertAlign w:val="superscript"/>
        </w:rPr>
        <w:t xml:space="preserve">er </w:t>
      </w:r>
      <w:r w:rsidRPr="00F8009C">
        <w:t xml:space="preserve">au château de Fontainebleau », </w:t>
      </w:r>
      <w:r w:rsidRPr="00F94E05">
        <w:rPr>
          <w:i/>
        </w:rPr>
        <w:t>Seizième Siècle</w:t>
      </w:r>
      <w:r w:rsidRPr="00F8009C">
        <w:t>, 3, pp.</w:t>
      </w:r>
      <w:r w:rsidR="00A676C2">
        <w:t> </w:t>
      </w:r>
      <w:r w:rsidRPr="00F8009C">
        <w:t>9-35</w:t>
      </w:r>
      <w:r>
        <w:t>. Disponible sur : DOI </w:t>
      </w:r>
      <w:r w:rsidRPr="00F8009C">
        <w:t xml:space="preserve">: </w:t>
      </w:r>
      <w:r w:rsidRPr="0056279A">
        <w:rPr>
          <w:color w:val="000000" w:themeColor="text1"/>
        </w:rPr>
        <w:t>&lt;</w:t>
      </w:r>
      <w:hyperlink r:id="rId17" w:history="1">
        <w:r w:rsidRPr="0056279A">
          <w:rPr>
            <w:rStyle w:val="Lienhypertexte"/>
            <w:color w:val="000000" w:themeColor="text1"/>
            <w:u w:val="none"/>
          </w:rPr>
          <w:t>https://doi.org/10.3406/xvi.2007.917</w:t>
        </w:r>
      </w:hyperlink>
      <w:r w:rsidRPr="0056279A">
        <w:rPr>
          <w:color w:val="000000" w:themeColor="text1"/>
        </w:rPr>
        <w:t> ; https://www.persee.fr/doc/xvi_1774-4466_2007_num_3_1_917&gt; (consulté le 28/07/2022).</w:t>
      </w:r>
    </w:p>
    <w:p w:rsidR="002C399C" w:rsidRPr="0056279A" w:rsidRDefault="002C399C" w:rsidP="002C399C">
      <w:pPr>
        <w:pStyle w:val="bibliographie"/>
        <w:spacing w:before="240" w:beforeAutospacing="0" w:after="240" w:afterAutospacing="0" w:line="276" w:lineRule="auto"/>
        <w:jc w:val="both"/>
        <w:rPr>
          <w:color w:val="000000" w:themeColor="text1"/>
        </w:rPr>
      </w:pPr>
      <w:r w:rsidRPr="0056279A">
        <w:rPr>
          <w:smallCaps/>
          <w:color w:val="000000" w:themeColor="text1"/>
        </w:rPr>
        <w:t>Basso Fossali</w:t>
      </w:r>
      <w:r w:rsidRPr="0056279A">
        <w:rPr>
          <w:color w:val="000000" w:themeColor="text1"/>
        </w:rPr>
        <w:t xml:space="preserve">, Pierluigi (2012a), « Possibilisation, disproportion, interpénétration : trois </w:t>
      </w:r>
      <w:r w:rsidRPr="00D13629">
        <w:rPr>
          <w:color w:val="000000"/>
        </w:rPr>
        <w:t>perspectives pour enquêter sur la productivité de la notion de forme de vie en sémiotique »,</w:t>
      </w:r>
      <w:r>
        <w:rPr>
          <w:rStyle w:val="apple-converted-space"/>
          <w:color w:val="000000"/>
        </w:rPr>
        <w:t xml:space="preserve"> </w:t>
      </w:r>
      <w:r w:rsidRPr="00D13629">
        <w:rPr>
          <w:rStyle w:val="Accentuation"/>
          <w:color w:val="000000"/>
        </w:rPr>
        <w:t>Nouveaux Actes Sémiotiques</w:t>
      </w:r>
      <w:r w:rsidRPr="00D13629">
        <w:rPr>
          <w:color w:val="000000"/>
        </w:rPr>
        <w:t>, 115</w:t>
      </w:r>
      <w:r>
        <w:rPr>
          <w:color w:val="000000"/>
        </w:rPr>
        <w:t xml:space="preserve">. Disponible sur : </w:t>
      </w:r>
      <w:r w:rsidRPr="0056279A">
        <w:rPr>
          <w:rStyle w:val="apple-converted-space"/>
          <w:color w:val="000000" w:themeColor="text1"/>
        </w:rPr>
        <w:t>&lt;</w:t>
      </w:r>
      <w:hyperlink r:id="rId18" w:history="1">
        <w:r w:rsidRPr="0056279A">
          <w:rPr>
            <w:rStyle w:val="Lienhypertexte"/>
            <w:color w:val="000000" w:themeColor="text1"/>
            <w:u w:val="none"/>
          </w:rPr>
          <w:t>http://epublications.unilim.fr/revues/as/2673</w:t>
        </w:r>
      </w:hyperlink>
      <w:r w:rsidRPr="0056279A">
        <w:rPr>
          <w:color w:val="000000" w:themeColor="text1"/>
        </w:rPr>
        <w:t>&gt; (consulté le 28/07/2022).</w:t>
      </w:r>
    </w:p>
    <w:p w:rsidR="002C399C" w:rsidRPr="00D13629" w:rsidRDefault="002C399C" w:rsidP="002C399C">
      <w:pPr>
        <w:pStyle w:val="bibliographie"/>
        <w:spacing w:before="240" w:beforeAutospacing="0" w:after="240" w:afterAutospacing="0" w:line="276" w:lineRule="auto"/>
        <w:jc w:val="both"/>
        <w:rPr>
          <w:color w:val="000000"/>
        </w:rPr>
      </w:pPr>
      <w:r w:rsidRPr="0056279A">
        <w:rPr>
          <w:smallCaps/>
          <w:color w:val="000000"/>
        </w:rPr>
        <w:t>Basso Fossali</w:t>
      </w:r>
      <w:r w:rsidRPr="00D13629">
        <w:rPr>
          <w:color w:val="000000"/>
        </w:rPr>
        <w:t>, Pierluigi (2012b), « À nous la philologie. L’implémentation numérique du cinéma et l’identité filmique dans l’horizon théorique de Gérard Genette »,</w:t>
      </w:r>
      <w:r w:rsidRPr="00D13629">
        <w:rPr>
          <w:rStyle w:val="apple-converted-space"/>
          <w:color w:val="000000"/>
        </w:rPr>
        <w:t> </w:t>
      </w:r>
      <w:r w:rsidRPr="00D13629">
        <w:rPr>
          <w:rStyle w:val="Accentuation"/>
          <w:color w:val="000000"/>
        </w:rPr>
        <w:t>Cinéma &amp; Cie</w:t>
      </w:r>
      <w:r w:rsidRPr="00D13629">
        <w:rPr>
          <w:color w:val="000000"/>
        </w:rPr>
        <w:t>, vol. XII, 18, pp. 101-112.</w:t>
      </w:r>
    </w:p>
    <w:p w:rsidR="002C399C" w:rsidRDefault="002C399C" w:rsidP="002C399C">
      <w:pPr>
        <w:spacing w:after="120" w:line="276" w:lineRule="auto"/>
        <w:jc w:val="both"/>
        <w:rPr>
          <w:color w:val="000000"/>
        </w:rPr>
      </w:pPr>
      <w:r w:rsidRPr="00F8009C">
        <w:rPr>
          <w:smallCaps/>
          <w:color w:val="000000"/>
          <w:shd w:val="clear" w:color="auto" w:fill="FFFFFF"/>
        </w:rPr>
        <w:t>Basso Fossali</w:t>
      </w:r>
      <w:r>
        <w:rPr>
          <w:color w:val="000000"/>
          <w:shd w:val="clear" w:color="auto" w:fill="FFFFFF"/>
        </w:rPr>
        <w:t>,</w:t>
      </w:r>
      <w:r w:rsidRPr="00F8009C">
        <w:rPr>
          <w:color w:val="000000"/>
          <w:shd w:val="clear" w:color="auto" w:fill="FFFFFF"/>
        </w:rPr>
        <w:t xml:space="preserve"> Pierluigi (2019), « L’image du devenir : le monde en chiffre</w:t>
      </w:r>
      <w:r>
        <w:rPr>
          <w:color w:val="000000"/>
          <w:shd w:val="clear" w:color="auto" w:fill="FFFFFF"/>
        </w:rPr>
        <w:t>s</w:t>
      </w:r>
      <w:r w:rsidRPr="00F8009C">
        <w:rPr>
          <w:color w:val="000000"/>
          <w:shd w:val="clear" w:color="auto" w:fill="FFFFFF"/>
        </w:rPr>
        <w:t xml:space="preserve"> et la passion du monitorage »,</w:t>
      </w:r>
      <w:r w:rsidR="00912925">
        <w:rPr>
          <w:rStyle w:val="apple-converted-space"/>
          <w:color w:val="000000"/>
          <w:shd w:val="clear" w:color="auto" w:fill="FFFFFF"/>
        </w:rPr>
        <w:t xml:space="preserve"> </w:t>
      </w:r>
      <w:r w:rsidRPr="00F8009C">
        <w:rPr>
          <w:rStyle w:val="Accentuation"/>
          <w:color w:val="000000"/>
        </w:rPr>
        <w:t>Signata</w:t>
      </w:r>
      <w:r>
        <w:rPr>
          <w:rStyle w:val="Accentuation"/>
          <w:color w:val="000000"/>
        </w:rPr>
        <w:t> –</w:t>
      </w:r>
      <w:r w:rsidRPr="00F8009C">
        <w:rPr>
          <w:rStyle w:val="Accentuation"/>
          <w:color w:val="000000"/>
        </w:rPr>
        <w:t xml:space="preserve"> Annals of Semiotics</w:t>
      </w:r>
      <w:r w:rsidRPr="00F8009C">
        <w:rPr>
          <w:color w:val="000000"/>
          <w:shd w:val="clear" w:color="auto" w:fill="FFFFFF"/>
        </w:rPr>
        <w:t xml:space="preserve">, 10, « Image et connaissance ». </w:t>
      </w:r>
      <w:r>
        <w:rPr>
          <w:color w:val="000000"/>
          <w:shd w:val="clear" w:color="auto" w:fill="FFFFFF"/>
        </w:rPr>
        <w:t xml:space="preserve">Disponible sur : </w:t>
      </w:r>
      <w:r w:rsidRPr="0056279A">
        <w:rPr>
          <w:color w:val="000000" w:themeColor="text1"/>
          <w:shd w:val="clear" w:color="auto" w:fill="FFFFFF"/>
        </w:rPr>
        <w:t>DOI :</w:t>
      </w:r>
      <w:r w:rsidRPr="0056279A">
        <w:rPr>
          <w:rStyle w:val="apple-converted-space"/>
          <w:color w:val="000000" w:themeColor="text1"/>
          <w:shd w:val="clear" w:color="auto" w:fill="FFFFFF"/>
        </w:rPr>
        <w:t xml:space="preserve"> &lt;</w:t>
      </w:r>
      <w:hyperlink r:id="rId19" w:history="1">
        <w:r w:rsidRPr="0056279A">
          <w:rPr>
            <w:rStyle w:val="Lienhypertexte"/>
            <w:color w:val="000000" w:themeColor="text1"/>
            <w:u w:val="none"/>
          </w:rPr>
          <w:t>https://doi.org/10.4000/signata.2261</w:t>
        </w:r>
      </w:hyperlink>
      <w:r w:rsidRPr="0056279A">
        <w:rPr>
          <w:color w:val="000000" w:themeColor="text1"/>
        </w:rPr>
        <w:t>&gt;</w:t>
      </w:r>
      <w:r w:rsidRPr="0056279A">
        <w:rPr>
          <w:color w:val="000000" w:themeColor="text1"/>
          <w:shd w:val="clear" w:color="auto" w:fill="FFFFFF"/>
        </w:rPr>
        <w:t xml:space="preserve"> (consulté </w:t>
      </w:r>
      <w:r>
        <w:rPr>
          <w:color w:val="000000"/>
          <w:shd w:val="clear" w:color="auto" w:fill="FFFFFF"/>
        </w:rPr>
        <w:t xml:space="preserve">le 28/07/2022). </w:t>
      </w:r>
    </w:p>
    <w:p w:rsidR="002C399C" w:rsidRPr="00BE2569" w:rsidRDefault="002C399C" w:rsidP="002C399C">
      <w:pPr>
        <w:spacing w:after="120" w:line="276" w:lineRule="auto"/>
        <w:jc w:val="both"/>
      </w:pPr>
      <w:r w:rsidRPr="00BE2569">
        <w:rPr>
          <w:smallCaps/>
        </w:rPr>
        <w:t>Béguin</w:t>
      </w:r>
      <w:r w:rsidRPr="00BE2569">
        <w:t xml:space="preserve">, Sylvie (1989), “New evidence for Rosso in France”, </w:t>
      </w:r>
      <w:r w:rsidRPr="00BE2569">
        <w:rPr>
          <w:i/>
        </w:rPr>
        <w:t>The Burlington Magazine</w:t>
      </w:r>
      <w:r w:rsidRPr="00BE2569">
        <w:t>, 1041, pp. 828-838.</w:t>
      </w:r>
    </w:p>
    <w:p w:rsidR="00912925" w:rsidRPr="00F8009C" w:rsidRDefault="00912925" w:rsidP="00912925">
      <w:pPr>
        <w:spacing w:after="120" w:line="276" w:lineRule="auto"/>
        <w:jc w:val="both"/>
      </w:pPr>
      <w:r w:rsidRPr="00F8009C">
        <w:rPr>
          <w:smallCaps/>
        </w:rPr>
        <w:t>Béguin</w:t>
      </w:r>
      <w:r w:rsidRPr="00F8009C">
        <w:t xml:space="preserve">, </w:t>
      </w:r>
      <w:r>
        <w:t xml:space="preserve">Sylvie, </w:t>
      </w:r>
      <w:r w:rsidRPr="00F8009C">
        <w:rPr>
          <w:smallCaps/>
        </w:rPr>
        <w:t>Binenbaum</w:t>
      </w:r>
      <w:r>
        <w:t xml:space="preserve">, </w:t>
      </w:r>
      <w:r w:rsidRPr="00F8009C">
        <w:t>Oreste</w:t>
      </w:r>
      <w:r>
        <w:t xml:space="preserve"> (1972)</w:t>
      </w:r>
      <w:r w:rsidRPr="00F8009C">
        <w:t>,</w:t>
      </w:r>
      <w:r>
        <w:t xml:space="preserve"> « </w:t>
      </w:r>
      <w:r w:rsidRPr="00F8009C">
        <w:rPr>
          <w:iCs/>
        </w:rPr>
        <w:t>La galerie François I</w:t>
      </w:r>
      <w:r w:rsidRPr="009B2176">
        <w:rPr>
          <w:iCs/>
          <w:vertAlign w:val="superscript"/>
        </w:rPr>
        <w:t>er</w:t>
      </w:r>
      <w:r w:rsidRPr="00F8009C">
        <w:rPr>
          <w:iCs/>
        </w:rPr>
        <w:t xml:space="preserve"> au château de Fontainebleau », </w:t>
      </w:r>
      <w:r w:rsidRPr="00F8009C">
        <w:rPr>
          <w:i/>
          <w:iCs/>
        </w:rPr>
        <w:t xml:space="preserve">Revue de l’Art, </w:t>
      </w:r>
      <w:r w:rsidRPr="00F8009C">
        <w:rPr>
          <w:iCs/>
        </w:rPr>
        <w:t>numéro spécial 16-17</w:t>
      </w:r>
      <w:r w:rsidRPr="00F8009C">
        <w:rPr>
          <w:i/>
          <w:iCs/>
        </w:rPr>
        <w:t xml:space="preserve">, </w:t>
      </w:r>
      <w:r w:rsidRPr="00F8009C">
        <w:t>Paris, Flammarion, 1972</w:t>
      </w:r>
      <w:r>
        <w:t>.</w:t>
      </w:r>
      <w:r w:rsidRPr="00F8009C">
        <w:t xml:space="preserve"> </w:t>
      </w:r>
    </w:p>
    <w:p w:rsidR="002C399C" w:rsidRDefault="002C399C" w:rsidP="002C399C">
      <w:pPr>
        <w:spacing w:after="120" w:line="276" w:lineRule="auto"/>
        <w:jc w:val="both"/>
      </w:pPr>
      <w:r w:rsidRPr="00F8009C">
        <w:rPr>
          <w:smallCaps/>
        </w:rPr>
        <w:t>Béguin</w:t>
      </w:r>
      <w:r w:rsidRPr="00F8009C">
        <w:t xml:space="preserve">, Sylvie, </w:t>
      </w:r>
      <w:r w:rsidRPr="00F8009C">
        <w:rPr>
          <w:smallCaps/>
        </w:rPr>
        <w:t>Koltz</w:t>
      </w:r>
      <w:r w:rsidRPr="00F8009C">
        <w:t xml:space="preserve">, Jean-Luc, </w:t>
      </w:r>
      <w:r w:rsidRPr="00F8009C">
        <w:rPr>
          <w:smallCaps/>
        </w:rPr>
        <w:t>Lautraite</w:t>
      </w:r>
      <w:r w:rsidRPr="00F8009C">
        <w:t xml:space="preserve">, Annick &amp; </w:t>
      </w:r>
      <w:r w:rsidRPr="00F8009C">
        <w:rPr>
          <w:smallCaps/>
        </w:rPr>
        <w:t>Rioux,</w:t>
      </w:r>
      <w:r>
        <w:t xml:space="preserve"> </w:t>
      </w:r>
      <w:r w:rsidRPr="00F8009C">
        <w:t>J</w:t>
      </w:r>
      <w:r>
        <w:t>e</w:t>
      </w:r>
      <w:r w:rsidRPr="00F8009C">
        <w:t xml:space="preserve">an-Paul (1989), </w:t>
      </w:r>
      <w:r w:rsidRPr="00F8009C">
        <w:rPr>
          <w:i/>
        </w:rPr>
        <w:t>« Bacchus, Vénus et l’Amour », Redécouverte d’un tableau de Rosso Fiorentino</w:t>
      </w:r>
      <w:r w:rsidRPr="00F8009C">
        <w:t xml:space="preserve">, </w:t>
      </w:r>
      <w:r w:rsidRPr="00F8009C">
        <w:rPr>
          <w:i/>
        </w:rPr>
        <w:t xml:space="preserve">peintre de François </w:t>
      </w:r>
      <w:r>
        <w:rPr>
          <w:i/>
        </w:rPr>
        <w:t>I</w:t>
      </w:r>
      <w:r w:rsidRPr="00F8009C">
        <w:rPr>
          <w:i/>
          <w:vertAlign w:val="superscript"/>
        </w:rPr>
        <w:t>er</w:t>
      </w:r>
      <w:r w:rsidRPr="00F8009C">
        <w:t xml:space="preserve">, Luxembourg, Kredietbank, S.A. </w:t>
      </w:r>
    </w:p>
    <w:p w:rsidR="002C399C" w:rsidRPr="0056279A" w:rsidRDefault="002C399C" w:rsidP="002C399C">
      <w:pPr>
        <w:spacing w:after="120" w:line="276" w:lineRule="auto"/>
        <w:jc w:val="both"/>
        <w:rPr>
          <w:color w:val="000000" w:themeColor="text1"/>
        </w:rPr>
      </w:pPr>
      <w:r w:rsidRPr="0056279A">
        <w:rPr>
          <w:smallCaps/>
          <w:color w:val="000000" w:themeColor="text1"/>
          <w:lang w:val="de-DE"/>
        </w:rPr>
        <w:t>Benjamin,</w:t>
      </w:r>
      <w:r w:rsidRPr="0056279A">
        <w:rPr>
          <w:color w:val="000000" w:themeColor="text1"/>
          <w:lang w:val="de-DE"/>
        </w:rPr>
        <w:t xml:space="preserve"> Walter (1927-1940), </w:t>
      </w:r>
      <w:r w:rsidRPr="0056279A">
        <w:rPr>
          <w:i/>
          <w:color w:val="000000" w:themeColor="text1"/>
          <w:lang w:val="de-DE"/>
        </w:rPr>
        <w:t>Das Passagen-Werk</w:t>
      </w:r>
      <w:r w:rsidRPr="0056279A">
        <w:rPr>
          <w:color w:val="000000" w:themeColor="text1"/>
          <w:lang w:val="de-DE"/>
        </w:rPr>
        <w:t xml:space="preserve">, </w:t>
      </w:r>
      <w:r w:rsidRPr="0056279A">
        <w:rPr>
          <w:i/>
          <w:color w:val="000000" w:themeColor="text1"/>
          <w:lang w:val="de-DE"/>
        </w:rPr>
        <w:t>Gesammelte Schriften</w:t>
      </w:r>
      <w:r w:rsidRPr="0056279A">
        <w:rPr>
          <w:color w:val="000000" w:themeColor="text1"/>
          <w:lang w:val="de-DE"/>
        </w:rPr>
        <w:t xml:space="preserve">, R. Tiedemann (éd.), Frankfurt am Main, Suhrkamp Verlag, </w:t>
      </w:r>
      <w:proofErr w:type="gramStart"/>
      <w:r w:rsidRPr="0056279A">
        <w:rPr>
          <w:color w:val="000000" w:themeColor="text1"/>
          <w:lang w:val="de-DE"/>
        </w:rPr>
        <w:t>1982 ;</w:t>
      </w:r>
      <w:proofErr w:type="gramEnd"/>
      <w:r w:rsidRPr="0056279A">
        <w:rPr>
          <w:color w:val="000000" w:themeColor="text1"/>
          <w:lang w:val="de-DE"/>
        </w:rPr>
        <w:t xml:space="preserve"> trad. fr. </w:t>
      </w:r>
      <w:r w:rsidRPr="0056279A">
        <w:rPr>
          <w:color w:val="000000" w:themeColor="text1"/>
        </w:rPr>
        <w:t>J.</w:t>
      </w:r>
      <w:r w:rsidR="00912925">
        <w:rPr>
          <w:color w:val="000000" w:themeColor="text1"/>
        </w:rPr>
        <w:t> </w:t>
      </w:r>
      <w:r w:rsidRPr="0056279A">
        <w:rPr>
          <w:color w:val="000000" w:themeColor="text1"/>
        </w:rPr>
        <w:t xml:space="preserve">Lacoste, </w:t>
      </w:r>
      <w:r w:rsidRPr="0056279A">
        <w:rPr>
          <w:i/>
          <w:iCs/>
          <w:color w:val="000000" w:themeColor="text1"/>
          <w:bdr w:val="none" w:sz="0" w:space="0" w:color="auto" w:frame="1"/>
          <w:lang w:val="fr-FR"/>
        </w:rPr>
        <w:t>Paris, capitale du XIX</w:t>
      </w:r>
      <w:r w:rsidRPr="0056279A">
        <w:rPr>
          <w:i/>
          <w:iCs/>
          <w:color w:val="000000" w:themeColor="text1"/>
          <w:bdr w:val="none" w:sz="0" w:space="0" w:color="auto" w:frame="1"/>
          <w:vertAlign w:val="superscript"/>
          <w:lang w:val="fr-FR"/>
        </w:rPr>
        <w:t xml:space="preserve">e </w:t>
      </w:r>
      <w:r w:rsidRPr="0056279A">
        <w:rPr>
          <w:i/>
          <w:iCs/>
          <w:color w:val="000000" w:themeColor="text1"/>
          <w:bdr w:val="none" w:sz="0" w:space="0" w:color="auto" w:frame="1"/>
          <w:lang w:val="fr-FR"/>
        </w:rPr>
        <w:t>siècle. Le livre des passages (1927-1940)</w:t>
      </w:r>
      <w:r w:rsidRPr="0056279A">
        <w:rPr>
          <w:color w:val="000000" w:themeColor="text1"/>
          <w:lang w:val="fr-FR"/>
        </w:rPr>
        <w:t xml:space="preserve">, R. </w:t>
      </w:r>
      <w:r w:rsidRPr="0056279A">
        <w:rPr>
          <w:color w:val="000000" w:themeColor="text1"/>
        </w:rPr>
        <w:t xml:space="preserve">Tiedemann (éd.), Paris, Le Cerf, 1989 ; réédition 1993. </w:t>
      </w:r>
    </w:p>
    <w:p w:rsidR="0075707F" w:rsidRPr="003F2996" w:rsidRDefault="0075707F" w:rsidP="0075707F">
      <w:pPr>
        <w:spacing w:after="120" w:line="276" w:lineRule="auto"/>
        <w:jc w:val="both"/>
        <w:rPr>
          <w:color w:val="000000"/>
          <w:shd w:val="clear" w:color="auto" w:fill="FFFFFF"/>
        </w:rPr>
      </w:pPr>
      <w:r w:rsidRPr="00460F27">
        <w:rPr>
          <w:smallCaps/>
          <w:color w:val="000000"/>
          <w:shd w:val="clear" w:color="auto" w:fill="FFFFFF"/>
          <w:lang w:val="de-DE"/>
        </w:rPr>
        <w:t xml:space="preserve">Benjamin, </w:t>
      </w:r>
      <w:r w:rsidRPr="00460F27">
        <w:rPr>
          <w:color w:val="000000"/>
          <w:shd w:val="clear" w:color="auto" w:fill="FFFFFF"/>
          <w:lang w:val="de-DE"/>
        </w:rPr>
        <w:t xml:space="preserve">Walter (1928) </w:t>
      </w:r>
      <w:r w:rsidRPr="004F1ED1">
        <w:rPr>
          <w:i/>
          <w:color w:val="000000"/>
          <w:shd w:val="clear" w:color="auto" w:fill="FFFFFF"/>
          <w:lang w:val="de-DE"/>
        </w:rPr>
        <w:t>Ursprung des deutschen Trauerspiels</w:t>
      </w:r>
      <w:r>
        <w:rPr>
          <w:color w:val="000000"/>
          <w:shd w:val="clear" w:color="auto" w:fill="FFFFFF"/>
          <w:lang w:val="de-DE"/>
        </w:rPr>
        <w:t xml:space="preserve">, Berlin, E. Rowohlt ; </w:t>
      </w:r>
      <w:r w:rsidRPr="00E353D8">
        <w:rPr>
          <w:color w:val="000000"/>
          <w:shd w:val="clear" w:color="auto" w:fill="FFFFFF"/>
          <w:lang w:val="de-DE"/>
        </w:rPr>
        <w:t xml:space="preserve">« Ursprung des deutschen Trauerspiels </w:t>
      </w:r>
      <w:r w:rsidRPr="00E353D8">
        <w:rPr>
          <w:lang w:val="de-DE"/>
        </w:rPr>
        <w:t>»</w:t>
      </w:r>
      <w:r w:rsidRPr="00E353D8">
        <w:rPr>
          <w:color w:val="000000"/>
          <w:shd w:val="clear" w:color="auto" w:fill="FFFFFF"/>
          <w:lang w:val="de-DE"/>
        </w:rPr>
        <w:t xml:space="preserve">, </w:t>
      </w:r>
      <w:r w:rsidRPr="00E353D8">
        <w:rPr>
          <w:i/>
          <w:color w:val="000000"/>
          <w:shd w:val="clear" w:color="auto" w:fill="FFFFFF"/>
          <w:lang w:val="de-DE"/>
        </w:rPr>
        <w:t>Gesammelte Schriften</w:t>
      </w:r>
      <w:r w:rsidRPr="00E353D8">
        <w:rPr>
          <w:color w:val="000000"/>
          <w:shd w:val="clear" w:color="auto" w:fill="FFFFFF"/>
          <w:lang w:val="de-DE"/>
        </w:rPr>
        <w:t>, Band I.1, Frankfurt am Main, Suhrkamp Verlag, 1974</w:t>
      </w:r>
      <w:r>
        <w:rPr>
          <w:color w:val="000000"/>
          <w:shd w:val="clear" w:color="auto" w:fill="FFFFFF"/>
          <w:lang w:val="de-DE"/>
        </w:rPr>
        <w:t xml:space="preserve"> ; trad fr. </w:t>
      </w:r>
      <w:r w:rsidRPr="0056279A">
        <w:rPr>
          <w:color w:val="000000"/>
          <w:shd w:val="clear" w:color="auto" w:fill="FFFFFF"/>
        </w:rPr>
        <w:t xml:space="preserve">S. Müller, </w:t>
      </w:r>
      <w:r w:rsidRPr="0056279A">
        <w:rPr>
          <w:i/>
          <w:iCs/>
          <w:color w:val="000000"/>
        </w:rPr>
        <w:t>Origine du drame baroque allemand</w:t>
      </w:r>
      <w:r w:rsidRPr="0056279A">
        <w:rPr>
          <w:color w:val="000000"/>
          <w:shd w:val="clear" w:color="auto" w:fill="FFFFFF"/>
        </w:rPr>
        <w:t xml:space="preserve">, </w:t>
      </w:r>
      <w:r w:rsidRPr="003F2996">
        <w:rPr>
          <w:color w:val="000000"/>
          <w:shd w:val="clear" w:color="auto" w:fill="FFFFFF"/>
        </w:rPr>
        <w:t>Paris, Flammarion (Champs), 1985</w:t>
      </w:r>
      <w:r w:rsidRPr="003F2996">
        <w:rPr>
          <w:iCs/>
          <w:color w:val="000000"/>
        </w:rPr>
        <w:t>.</w:t>
      </w:r>
      <w:r w:rsidRPr="003F2996">
        <w:rPr>
          <w:color w:val="000000"/>
          <w:shd w:val="clear" w:color="auto" w:fill="FFFFFF"/>
        </w:rPr>
        <w:t xml:space="preserve"> </w:t>
      </w:r>
    </w:p>
    <w:p w:rsidR="002C399C" w:rsidRPr="00F8009C" w:rsidRDefault="002C399C" w:rsidP="002C399C">
      <w:pPr>
        <w:spacing w:after="120" w:line="276" w:lineRule="auto"/>
        <w:jc w:val="both"/>
      </w:pPr>
      <w:r w:rsidRPr="00F8009C">
        <w:rPr>
          <w:smallCaps/>
        </w:rPr>
        <w:t>Bordron</w:t>
      </w:r>
      <w:r>
        <w:t>,</w:t>
      </w:r>
      <w:r w:rsidRPr="00F8009C">
        <w:t xml:space="preserve"> Jean-François</w:t>
      </w:r>
      <w:r>
        <w:t xml:space="preserve"> (2010)</w:t>
      </w:r>
      <w:r w:rsidRPr="00F8009C">
        <w:t xml:space="preserve">, « Rhétorique et économie des images », </w:t>
      </w:r>
      <w:r w:rsidRPr="00F8009C">
        <w:rPr>
          <w:i/>
        </w:rPr>
        <w:t>Protée,</w:t>
      </w:r>
      <w:r w:rsidRPr="00F8009C">
        <w:t xml:space="preserve"> vol. 38, 1, 2010, p</w:t>
      </w:r>
      <w:r>
        <w:t>p</w:t>
      </w:r>
      <w:r w:rsidRPr="00F8009C">
        <w:t xml:space="preserve">. 27-39. </w:t>
      </w:r>
    </w:p>
    <w:p w:rsidR="002C399C" w:rsidRPr="00F8009C" w:rsidRDefault="002C399C" w:rsidP="002C399C">
      <w:pPr>
        <w:pStyle w:val="Notedebasdepage"/>
        <w:spacing w:after="120"/>
        <w:jc w:val="both"/>
        <w:rPr>
          <w:rFonts w:ascii="Times New Roman" w:hAnsi="Times New Roman" w:cs="Times New Roman"/>
          <w:color w:val="000000" w:themeColor="text1"/>
          <w:sz w:val="24"/>
          <w:szCs w:val="24"/>
        </w:rPr>
      </w:pPr>
      <w:r w:rsidRPr="00F8009C">
        <w:rPr>
          <w:rFonts w:ascii="Times New Roman" w:hAnsi="Times New Roman" w:cs="Times New Roman"/>
          <w:smallCaps/>
          <w:color w:val="000000" w:themeColor="text1"/>
          <w:sz w:val="24"/>
          <w:szCs w:val="24"/>
        </w:rPr>
        <w:t>Bordron</w:t>
      </w:r>
      <w:r w:rsidRPr="00F8009C">
        <w:rPr>
          <w:rFonts w:ascii="Times New Roman" w:hAnsi="Times New Roman" w:cs="Times New Roman"/>
          <w:color w:val="000000" w:themeColor="text1"/>
          <w:sz w:val="24"/>
          <w:szCs w:val="24"/>
        </w:rPr>
        <w:t xml:space="preserve"> Jean-François</w:t>
      </w:r>
      <w:r>
        <w:rPr>
          <w:rFonts w:ascii="Times New Roman" w:hAnsi="Times New Roman" w:cs="Times New Roman"/>
          <w:color w:val="000000" w:themeColor="text1"/>
          <w:sz w:val="24"/>
          <w:szCs w:val="24"/>
        </w:rPr>
        <w:t xml:space="preserve"> (2011)</w:t>
      </w:r>
      <w:r w:rsidRPr="00F8009C">
        <w:rPr>
          <w:rFonts w:ascii="Times New Roman" w:hAnsi="Times New Roman" w:cs="Times New Roman"/>
          <w:color w:val="000000" w:themeColor="text1"/>
          <w:sz w:val="24"/>
          <w:szCs w:val="24"/>
        </w:rPr>
        <w:t xml:space="preserve">, </w:t>
      </w:r>
      <w:r w:rsidRPr="00F8009C">
        <w:rPr>
          <w:rFonts w:ascii="Times New Roman" w:hAnsi="Times New Roman" w:cs="Times New Roman"/>
          <w:i/>
          <w:color w:val="000000" w:themeColor="text1"/>
          <w:sz w:val="24"/>
          <w:szCs w:val="24"/>
        </w:rPr>
        <w:t>L’iconicité et ses images</w:t>
      </w:r>
      <w:r w:rsidRPr="00F8009C">
        <w:rPr>
          <w:rFonts w:ascii="Times New Roman" w:hAnsi="Times New Roman" w:cs="Times New Roman"/>
          <w:color w:val="000000" w:themeColor="text1"/>
          <w:sz w:val="24"/>
          <w:szCs w:val="24"/>
        </w:rPr>
        <w:t xml:space="preserve">, Paris, PUF. </w:t>
      </w:r>
    </w:p>
    <w:p w:rsidR="002C399C" w:rsidRPr="00F8009C" w:rsidRDefault="002C399C" w:rsidP="002C399C">
      <w:pPr>
        <w:pStyle w:val="NormalWeb"/>
        <w:spacing w:before="0" w:beforeAutospacing="0" w:after="120" w:afterAutospacing="0" w:line="276" w:lineRule="auto"/>
        <w:jc w:val="both"/>
        <w:rPr>
          <w:lang w:val="fr-FR"/>
        </w:rPr>
      </w:pPr>
      <w:r w:rsidRPr="00F8009C">
        <w:rPr>
          <w:smallCaps/>
          <w:lang w:val="fr-FR"/>
        </w:rPr>
        <w:t>Bordron</w:t>
      </w:r>
      <w:r w:rsidRPr="00F8009C">
        <w:rPr>
          <w:lang w:val="fr-FR"/>
        </w:rPr>
        <w:t xml:space="preserve"> Jean-François</w:t>
      </w:r>
      <w:r>
        <w:rPr>
          <w:lang w:val="fr-FR"/>
        </w:rPr>
        <w:t xml:space="preserve"> (2013)</w:t>
      </w:r>
      <w:r w:rsidRPr="00F8009C">
        <w:rPr>
          <w:lang w:val="fr-FR"/>
        </w:rPr>
        <w:t xml:space="preserve">, </w:t>
      </w:r>
      <w:r w:rsidRPr="00F8009C">
        <w:rPr>
          <w:i/>
          <w:lang w:val="fr-FR"/>
        </w:rPr>
        <w:t>Image et vérité. Essais sur les dimensions iconiques de la connaissance</w:t>
      </w:r>
      <w:r w:rsidRPr="00F8009C">
        <w:rPr>
          <w:lang w:val="fr-FR"/>
        </w:rPr>
        <w:t>, Liège, Presses universitaires de Liège</w:t>
      </w:r>
      <w:r>
        <w:rPr>
          <w:lang w:val="fr-FR"/>
        </w:rPr>
        <w:t>.</w:t>
      </w:r>
    </w:p>
    <w:p w:rsidR="002C399C" w:rsidRPr="00000579" w:rsidRDefault="002C399C" w:rsidP="002C399C">
      <w:pPr>
        <w:pStyle w:val="NormalWeb"/>
        <w:spacing w:before="0" w:beforeAutospacing="0" w:after="120" w:afterAutospacing="0" w:line="276" w:lineRule="auto"/>
        <w:jc w:val="both"/>
        <w:rPr>
          <w:i/>
          <w:lang w:val="fr-FR"/>
        </w:rPr>
      </w:pPr>
      <w:r w:rsidRPr="00F8009C">
        <w:rPr>
          <w:smallCaps/>
          <w:lang w:val="fr-FR"/>
        </w:rPr>
        <w:lastRenderedPageBreak/>
        <w:t>Bordron</w:t>
      </w:r>
      <w:r w:rsidRPr="00F8009C">
        <w:rPr>
          <w:lang w:val="fr-FR"/>
        </w:rPr>
        <w:t xml:space="preserve"> Jean-François</w:t>
      </w:r>
      <w:r>
        <w:rPr>
          <w:lang w:val="fr-FR"/>
        </w:rPr>
        <w:t xml:space="preserve"> (2019)</w:t>
      </w:r>
      <w:r w:rsidRPr="00F8009C">
        <w:rPr>
          <w:lang w:val="fr-FR"/>
        </w:rPr>
        <w:t xml:space="preserve">, « Dynamiques des images », </w:t>
      </w:r>
      <w:r w:rsidR="00000579" w:rsidRPr="00F8009C">
        <w:rPr>
          <w:rStyle w:val="Accentuation"/>
          <w:color w:val="000000"/>
        </w:rPr>
        <w:t>Signata</w:t>
      </w:r>
      <w:r w:rsidR="00000579">
        <w:rPr>
          <w:rStyle w:val="Accentuation"/>
          <w:color w:val="000000"/>
        </w:rPr>
        <w:t> –</w:t>
      </w:r>
      <w:r w:rsidR="00000579" w:rsidRPr="00F8009C">
        <w:rPr>
          <w:rStyle w:val="Accentuation"/>
          <w:color w:val="000000"/>
        </w:rPr>
        <w:t xml:space="preserve"> Annals of Semiotics</w:t>
      </w:r>
      <w:r w:rsidRPr="00F8009C">
        <w:rPr>
          <w:lang w:val="fr-FR"/>
        </w:rPr>
        <w:t>, 10. Disponible sur : &lt;https://doi.org/10.4000/signata.2267&gt; (consulté le 28/0</w:t>
      </w:r>
      <w:r>
        <w:rPr>
          <w:lang w:val="fr-FR"/>
        </w:rPr>
        <w:t>7</w:t>
      </w:r>
      <w:r w:rsidRPr="00F8009C">
        <w:rPr>
          <w:lang w:val="fr-FR"/>
        </w:rPr>
        <w:t>/2022).</w:t>
      </w:r>
    </w:p>
    <w:p w:rsidR="002C399C" w:rsidRPr="00E32ED6" w:rsidRDefault="002C399C" w:rsidP="002C399C">
      <w:pPr>
        <w:spacing w:after="120" w:line="276" w:lineRule="auto"/>
        <w:jc w:val="both"/>
        <w:rPr>
          <w:color w:val="000000"/>
        </w:rPr>
      </w:pPr>
      <w:r>
        <w:rPr>
          <w:smallCaps/>
          <w:color w:val="000000"/>
        </w:rPr>
        <w:t xml:space="preserve">Cadiot, </w:t>
      </w:r>
      <w:r>
        <w:rPr>
          <w:color w:val="000000"/>
        </w:rPr>
        <w:t xml:space="preserve">Pierre &amp; </w:t>
      </w:r>
      <w:r w:rsidRPr="00E32ED6">
        <w:rPr>
          <w:smallCaps/>
          <w:color w:val="000000"/>
        </w:rPr>
        <w:t>Visetti,</w:t>
      </w:r>
      <w:r>
        <w:rPr>
          <w:color w:val="000000"/>
        </w:rPr>
        <w:t xml:space="preserve"> Yves-Marie (2001a), </w:t>
      </w:r>
      <w:r w:rsidRPr="00E32ED6">
        <w:rPr>
          <w:i/>
          <w:color w:val="000000"/>
        </w:rPr>
        <w:t>Pour une théorie des formes sémantiques. Motifs, profils, thèmes,</w:t>
      </w:r>
      <w:r>
        <w:rPr>
          <w:color w:val="000000"/>
        </w:rPr>
        <w:t xml:space="preserve"> Paris, PUF. </w:t>
      </w:r>
    </w:p>
    <w:p w:rsidR="002C399C" w:rsidRDefault="002C399C" w:rsidP="002C399C">
      <w:pPr>
        <w:spacing w:after="120" w:line="276" w:lineRule="auto"/>
        <w:jc w:val="both"/>
        <w:rPr>
          <w:smallCaps/>
          <w:color w:val="000000"/>
        </w:rPr>
      </w:pPr>
      <w:r>
        <w:rPr>
          <w:smallCaps/>
          <w:color w:val="000000"/>
        </w:rPr>
        <w:t xml:space="preserve">Cadiot, </w:t>
      </w:r>
      <w:r>
        <w:rPr>
          <w:color w:val="000000"/>
        </w:rPr>
        <w:t xml:space="preserve">Pierre &amp; </w:t>
      </w:r>
      <w:r w:rsidRPr="00E32ED6">
        <w:rPr>
          <w:smallCaps/>
          <w:color w:val="000000"/>
        </w:rPr>
        <w:t>Visetti,</w:t>
      </w:r>
      <w:r>
        <w:rPr>
          <w:color w:val="000000"/>
        </w:rPr>
        <w:t xml:space="preserve"> Yves-Marie (2001b), « Motifs, profils, thèmes : une approche globale de la polysémie », </w:t>
      </w:r>
      <w:r w:rsidRPr="00E32ED6">
        <w:rPr>
          <w:i/>
          <w:color w:val="000000"/>
        </w:rPr>
        <w:t>Cahiers de Lexicologie</w:t>
      </w:r>
      <w:r>
        <w:rPr>
          <w:color w:val="000000"/>
        </w:rPr>
        <w:t xml:space="preserve">, 79, pp. 5-46. </w:t>
      </w:r>
    </w:p>
    <w:p w:rsidR="002C399C" w:rsidRDefault="002C399C" w:rsidP="002C399C">
      <w:pPr>
        <w:spacing w:after="120" w:line="276" w:lineRule="auto"/>
        <w:jc w:val="both"/>
        <w:rPr>
          <w:color w:val="000000"/>
        </w:rPr>
      </w:pPr>
      <w:r w:rsidRPr="001019AB">
        <w:rPr>
          <w:smallCaps/>
          <w:color w:val="000000"/>
        </w:rPr>
        <w:t xml:space="preserve">Caliandro, </w:t>
      </w:r>
      <w:r w:rsidRPr="001019AB">
        <w:rPr>
          <w:color w:val="000000"/>
        </w:rPr>
        <w:t xml:space="preserve">Stefania &amp; </w:t>
      </w:r>
      <w:r w:rsidRPr="001019AB">
        <w:rPr>
          <w:smallCaps/>
          <w:color w:val="000000"/>
        </w:rPr>
        <w:t>Mengoni</w:t>
      </w:r>
      <w:r w:rsidRPr="001019AB">
        <w:rPr>
          <w:color w:val="000000"/>
        </w:rPr>
        <w:t xml:space="preserve">, Angela </w:t>
      </w:r>
      <w:r>
        <w:rPr>
          <w:color w:val="000000"/>
        </w:rPr>
        <w:t xml:space="preserve">2022, </w:t>
      </w:r>
      <w:r w:rsidRPr="001019AB">
        <w:rPr>
          <w:color w:val="000000"/>
        </w:rPr>
        <w:t>« Sémiotique de l’art. L</w:t>
      </w:r>
      <w:r>
        <w:rPr>
          <w:color w:val="000000"/>
        </w:rPr>
        <w:t>’</w:t>
      </w:r>
      <w:r w:rsidRPr="001019AB">
        <w:rPr>
          <w:color w:val="000000"/>
        </w:rPr>
        <w:t>épaisseur à</w:t>
      </w:r>
      <w:r>
        <w:rPr>
          <w:color w:val="000000"/>
        </w:rPr>
        <w:t xml:space="preserve"> </w:t>
      </w:r>
      <w:r w:rsidRPr="001019AB">
        <w:rPr>
          <w:color w:val="000000"/>
        </w:rPr>
        <w:t>l’</w:t>
      </w:r>
      <w:r>
        <w:rPr>
          <w:color w:val="000000"/>
        </w:rPr>
        <w:t>œuvre »</w:t>
      </w:r>
      <w:r w:rsidRPr="001019AB">
        <w:rPr>
          <w:color w:val="000000"/>
        </w:rPr>
        <w:t xml:space="preserve">, </w:t>
      </w:r>
      <w:r w:rsidRPr="001019AB">
        <w:rPr>
          <w:i/>
          <w:color w:val="000000"/>
        </w:rPr>
        <w:t>Actes Sémiotiques</w:t>
      </w:r>
      <w:r>
        <w:rPr>
          <w:color w:val="000000"/>
        </w:rPr>
        <w:t xml:space="preserve">, 127. Disponible sur : URL : &lt;https ://www.unilim.fr/actes-sémiotiques/7695&gt; ; (consulté le 28/07/2022). </w:t>
      </w:r>
    </w:p>
    <w:p w:rsidR="002C399C" w:rsidRPr="00793664" w:rsidRDefault="002C399C" w:rsidP="002C399C">
      <w:pPr>
        <w:spacing w:after="120" w:line="276" w:lineRule="auto"/>
        <w:jc w:val="both"/>
      </w:pPr>
      <w:r w:rsidRPr="00793664">
        <w:rPr>
          <w:smallCaps/>
          <w:lang w:val="de-DE"/>
        </w:rPr>
        <w:t xml:space="preserve">Cassirer </w:t>
      </w:r>
      <w:r w:rsidRPr="00793664">
        <w:rPr>
          <w:lang w:val="de-DE"/>
        </w:rPr>
        <w:t xml:space="preserve">Ernst (1922), </w:t>
      </w:r>
      <w:r w:rsidRPr="00793664">
        <w:rPr>
          <w:i/>
          <w:lang w:val="de-DE"/>
        </w:rPr>
        <w:t>Wesen und Wirkung des Symbolbegriffs</w:t>
      </w:r>
      <w:r w:rsidRPr="00793664">
        <w:rPr>
          <w:lang w:val="de-DE"/>
        </w:rPr>
        <w:t xml:space="preserve">, Darmstadt, Wissenschaftliche Buchgesellschaft, </w:t>
      </w:r>
      <w:proofErr w:type="gramStart"/>
      <w:r w:rsidRPr="00793664">
        <w:rPr>
          <w:lang w:val="de-DE"/>
        </w:rPr>
        <w:t>1956 ;</w:t>
      </w:r>
      <w:proofErr w:type="gramEnd"/>
      <w:r w:rsidRPr="00793664">
        <w:rPr>
          <w:lang w:val="de-DE"/>
        </w:rPr>
        <w:t xml:space="preserve"> trad. fr. </w:t>
      </w:r>
      <w:r>
        <w:t xml:space="preserve">J. Carro, avec l’aide de J. Gaubert, </w:t>
      </w:r>
      <w:r w:rsidRPr="00793664">
        <w:rPr>
          <w:color w:val="000000"/>
          <w:shd w:val="clear" w:color="auto" w:fill="FFFFFF"/>
        </w:rPr>
        <w:t>« Le concept de forme symbolique dans l’édification des sciences de l’esprit »,</w:t>
      </w:r>
      <w:r>
        <w:rPr>
          <w:rStyle w:val="apple-converted-space"/>
          <w:color w:val="000000"/>
          <w:shd w:val="clear" w:color="auto" w:fill="FFFFFF"/>
        </w:rPr>
        <w:t xml:space="preserve"> </w:t>
      </w:r>
      <w:r w:rsidRPr="00793664">
        <w:rPr>
          <w:rStyle w:val="apple-converted-space"/>
          <w:i/>
          <w:color w:val="000000"/>
          <w:shd w:val="clear" w:color="auto" w:fill="FFFFFF"/>
        </w:rPr>
        <w:t>in</w:t>
      </w:r>
      <w:r>
        <w:rPr>
          <w:rStyle w:val="apple-converted-space"/>
          <w:color w:val="000000"/>
          <w:shd w:val="clear" w:color="auto" w:fill="FFFFFF"/>
        </w:rPr>
        <w:t xml:space="preserve"> F. Capeillères &amp; H. Wismann (éds), </w:t>
      </w:r>
      <w:r w:rsidRPr="00793664">
        <w:rPr>
          <w:rStyle w:val="Accentuation"/>
          <w:color w:val="000000"/>
        </w:rPr>
        <w:t>Trois essais sur le symbolique</w:t>
      </w:r>
      <w:r w:rsidRPr="00793664">
        <w:rPr>
          <w:color w:val="000000"/>
          <w:shd w:val="clear" w:color="auto" w:fill="FFFFFF"/>
        </w:rPr>
        <w:t>,</w:t>
      </w:r>
      <w:r w:rsidRPr="00793664">
        <w:rPr>
          <w:rStyle w:val="apple-converted-space"/>
          <w:color w:val="000000"/>
          <w:shd w:val="clear" w:color="auto" w:fill="FFFFFF"/>
        </w:rPr>
        <w:t> </w:t>
      </w:r>
      <w:r w:rsidRPr="00793664">
        <w:rPr>
          <w:rStyle w:val="Accentuation"/>
          <w:color w:val="000000"/>
        </w:rPr>
        <w:t>Œuvres</w:t>
      </w:r>
      <w:r w:rsidRPr="00793664">
        <w:rPr>
          <w:rStyle w:val="apple-converted-space"/>
          <w:color w:val="000000"/>
          <w:shd w:val="clear" w:color="auto" w:fill="FFFFFF"/>
        </w:rPr>
        <w:t> </w:t>
      </w:r>
      <w:r w:rsidRPr="00793664">
        <w:rPr>
          <w:color w:val="000000"/>
          <w:shd w:val="clear" w:color="auto" w:fill="FFFFFF"/>
        </w:rPr>
        <w:t xml:space="preserve">VI, Paris, Le Cerf, </w:t>
      </w:r>
      <w:r w:rsidR="00000579">
        <w:rPr>
          <w:color w:val="000000"/>
          <w:shd w:val="clear" w:color="auto" w:fill="FFFFFF"/>
        </w:rPr>
        <w:t>1</w:t>
      </w:r>
      <w:r>
        <w:rPr>
          <w:color w:val="000000"/>
          <w:shd w:val="clear" w:color="auto" w:fill="FFFFFF"/>
        </w:rPr>
        <w:t xml:space="preserve">997, </w:t>
      </w:r>
      <w:r w:rsidRPr="00793664">
        <w:rPr>
          <w:color w:val="000000"/>
          <w:shd w:val="clear" w:color="auto" w:fill="FFFFFF"/>
        </w:rPr>
        <w:t>pp. 9-37.</w:t>
      </w:r>
    </w:p>
    <w:p w:rsidR="002C399C" w:rsidRPr="00793664" w:rsidRDefault="002C399C" w:rsidP="002C399C">
      <w:pPr>
        <w:spacing w:after="120" w:line="276" w:lineRule="auto"/>
        <w:jc w:val="both"/>
        <w:rPr>
          <w:color w:val="000000"/>
        </w:rPr>
      </w:pPr>
      <w:r w:rsidRPr="00793664">
        <w:rPr>
          <w:smallCaps/>
          <w:color w:val="000000"/>
          <w:lang w:val="de-DE"/>
        </w:rPr>
        <w:t>Cassirer</w:t>
      </w:r>
      <w:r w:rsidRPr="00793664">
        <w:rPr>
          <w:color w:val="000000"/>
          <w:lang w:val="de-DE"/>
        </w:rPr>
        <w:t>, Ernst (1923–1929), </w:t>
      </w:r>
      <w:r w:rsidRPr="00793664">
        <w:rPr>
          <w:i/>
          <w:iCs/>
          <w:color w:val="000000"/>
          <w:lang w:val="de-DE"/>
        </w:rPr>
        <w:t>Philosophie der symbolischen Formen</w:t>
      </w:r>
      <w:r w:rsidRPr="00793664">
        <w:rPr>
          <w:color w:val="000000"/>
          <w:lang w:val="de-DE"/>
        </w:rPr>
        <w:t xml:space="preserve">, Berlin, Bruno </w:t>
      </w:r>
      <w:proofErr w:type="gramStart"/>
      <w:r w:rsidRPr="00793664">
        <w:rPr>
          <w:color w:val="000000"/>
          <w:lang w:val="de-DE"/>
        </w:rPr>
        <w:t>Cassirer ;</w:t>
      </w:r>
      <w:proofErr w:type="gramEnd"/>
      <w:r w:rsidRPr="00793664">
        <w:rPr>
          <w:color w:val="000000"/>
          <w:lang w:val="de-DE"/>
        </w:rPr>
        <w:t xml:space="preserve"> tr. fr. </w:t>
      </w:r>
      <w:r w:rsidRPr="00793664">
        <w:rPr>
          <w:i/>
          <w:iCs/>
          <w:color w:val="000000"/>
        </w:rPr>
        <w:t>La Philosophie des formes symboliques</w:t>
      </w:r>
      <w:r w:rsidRPr="00793664">
        <w:rPr>
          <w:color w:val="000000"/>
        </w:rPr>
        <w:t xml:space="preserve">, 3 tomes, Paris, Éditions de Minuit, </w:t>
      </w:r>
      <w:proofErr w:type="gramStart"/>
      <w:r w:rsidRPr="00793664">
        <w:rPr>
          <w:color w:val="000000"/>
        </w:rPr>
        <w:t>1972 ;</w:t>
      </w:r>
      <w:proofErr w:type="gramEnd"/>
      <w:r w:rsidRPr="00793664">
        <w:rPr>
          <w:color w:val="000000"/>
        </w:rPr>
        <w:t xml:space="preserve"> eng. trans. </w:t>
      </w:r>
      <w:r w:rsidRPr="00C67CAE">
        <w:rPr>
          <w:i/>
          <w:iCs/>
          <w:color w:val="000000"/>
        </w:rPr>
        <w:t>Philosophy of Symbolic Forms</w:t>
      </w:r>
      <w:r w:rsidRPr="00C67CAE">
        <w:rPr>
          <w:color w:val="000000"/>
        </w:rPr>
        <w:t xml:space="preserve">, London, Routledge, 2020. </w:t>
      </w:r>
    </w:p>
    <w:p w:rsidR="002C399C" w:rsidRDefault="002C399C" w:rsidP="002C399C">
      <w:pPr>
        <w:spacing w:after="120" w:line="276" w:lineRule="auto"/>
        <w:jc w:val="both"/>
        <w:rPr>
          <w:lang w:val="fr-FR"/>
        </w:rPr>
      </w:pPr>
      <w:r w:rsidRPr="00664422">
        <w:rPr>
          <w:smallCaps/>
        </w:rPr>
        <w:t>Colas-Blaise</w:t>
      </w:r>
      <w:r>
        <w:rPr>
          <w:smallCaps/>
        </w:rPr>
        <w:t>,</w:t>
      </w:r>
      <w:r w:rsidRPr="00664422">
        <w:t xml:space="preserve"> Marion</w:t>
      </w:r>
      <w:r>
        <w:t xml:space="preserve"> (2021)</w:t>
      </w:r>
      <w:r w:rsidRPr="00664422">
        <w:t xml:space="preserve">, « La question du “re-” au risque de la sémiotique : déclinaisons et enjeux », </w:t>
      </w:r>
      <w:r w:rsidRPr="00460F27">
        <w:rPr>
          <w:i/>
          <w:color w:val="000000" w:themeColor="text1"/>
        </w:rPr>
        <w:t>in</w:t>
      </w:r>
      <w:r>
        <w:rPr>
          <w:color w:val="000000" w:themeColor="text1"/>
        </w:rPr>
        <w:t xml:space="preserve"> M. </w:t>
      </w:r>
      <w:r w:rsidRPr="00460F27">
        <w:rPr>
          <w:smallCaps/>
          <w:color w:val="000000" w:themeColor="text1"/>
        </w:rPr>
        <w:t>Colas-Blaise</w:t>
      </w:r>
      <w:r>
        <w:rPr>
          <w:color w:val="000000" w:themeColor="text1"/>
        </w:rPr>
        <w:t xml:space="preserve"> &amp; G. </w:t>
      </w:r>
      <w:r w:rsidRPr="00460F27">
        <w:rPr>
          <w:smallCaps/>
          <w:color w:val="000000" w:themeColor="text1"/>
        </w:rPr>
        <w:t>Tore</w:t>
      </w:r>
      <w:r>
        <w:rPr>
          <w:color w:val="000000" w:themeColor="text1"/>
        </w:rPr>
        <w:t xml:space="preserve"> (dirs),</w:t>
      </w:r>
      <w:r w:rsidRPr="00990339">
        <w:t xml:space="preserve"> </w:t>
      </w:r>
      <w:r w:rsidRPr="00990339">
        <w:rPr>
          <w:i/>
        </w:rPr>
        <w:t>« Re-».</w:t>
      </w:r>
      <w:r w:rsidRPr="00990339">
        <w:t xml:space="preserve"> </w:t>
      </w:r>
      <w:r w:rsidRPr="00990339">
        <w:rPr>
          <w:i/>
        </w:rPr>
        <w:t>Répétition et reproduction dans les arts et les médias</w:t>
      </w:r>
      <w:r w:rsidRPr="00990339">
        <w:t>, Paris, Mimésis</w:t>
      </w:r>
      <w:r w:rsidRPr="00664422">
        <w:rPr>
          <w:lang w:val="fr-FR"/>
        </w:rPr>
        <w:t xml:space="preserve">, Paris, Mimésis, </w:t>
      </w:r>
      <w:r>
        <w:rPr>
          <w:lang w:val="fr-FR"/>
        </w:rPr>
        <w:t>p</w:t>
      </w:r>
      <w:r w:rsidRPr="00664422">
        <w:rPr>
          <w:lang w:val="fr-FR"/>
        </w:rPr>
        <w:t>p.</w:t>
      </w:r>
      <w:r>
        <w:rPr>
          <w:lang w:val="fr-FR"/>
        </w:rPr>
        <w:t> </w:t>
      </w:r>
      <w:r w:rsidRPr="00664422">
        <w:rPr>
          <w:lang w:val="fr-FR"/>
        </w:rPr>
        <w:t xml:space="preserve">67-110. </w:t>
      </w:r>
    </w:p>
    <w:p w:rsidR="00C77994" w:rsidRPr="00664422" w:rsidRDefault="00C77994" w:rsidP="002C399C">
      <w:pPr>
        <w:spacing w:after="120" w:line="276" w:lineRule="auto"/>
        <w:jc w:val="both"/>
        <w:rPr>
          <w:lang w:val="fr-FR"/>
        </w:rPr>
      </w:pPr>
      <w:r w:rsidRPr="00664422">
        <w:rPr>
          <w:smallCaps/>
        </w:rPr>
        <w:t>Colas-Blaise</w:t>
      </w:r>
      <w:r>
        <w:rPr>
          <w:smallCaps/>
        </w:rPr>
        <w:t>,</w:t>
      </w:r>
      <w:r w:rsidRPr="00664422">
        <w:t xml:space="preserve"> Marion</w:t>
      </w:r>
      <w:r>
        <w:t xml:space="preserve"> (2022), </w:t>
      </w:r>
      <w:r w:rsidRPr="00C77994">
        <w:rPr>
          <w:i/>
        </w:rPr>
        <w:t>L’énonciation. Évolutions, passages, ouvertures</w:t>
      </w:r>
      <w:r>
        <w:t xml:space="preserve">, Liège, Presses universitaires de Liège (Sigilla), 2023. </w:t>
      </w:r>
    </w:p>
    <w:p w:rsidR="002C399C" w:rsidRPr="001019AB" w:rsidRDefault="002C399C" w:rsidP="002C399C">
      <w:pPr>
        <w:spacing w:after="120" w:line="276" w:lineRule="auto"/>
        <w:jc w:val="both"/>
        <w:rPr>
          <w:color w:val="000000"/>
        </w:rPr>
      </w:pPr>
      <w:r w:rsidRPr="001019AB">
        <w:rPr>
          <w:smallCaps/>
          <w:color w:val="000000"/>
          <w:shd w:val="clear" w:color="auto" w:fill="FFFFFF"/>
        </w:rPr>
        <w:t>Damisch</w:t>
      </w:r>
      <w:r w:rsidRPr="001019AB">
        <w:rPr>
          <w:color w:val="000000"/>
          <w:shd w:val="clear" w:color="auto" w:fill="FFFFFF"/>
        </w:rPr>
        <w:t>, Hubert (198</w:t>
      </w:r>
      <w:r>
        <w:rPr>
          <w:color w:val="000000"/>
          <w:shd w:val="clear" w:color="auto" w:fill="FFFFFF"/>
        </w:rPr>
        <w:t>3</w:t>
      </w:r>
      <w:r w:rsidRPr="001019AB">
        <w:rPr>
          <w:color w:val="000000"/>
          <w:shd w:val="clear" w:color="auto" w:fill="FFFFFF"/>
        </w:rPr>
        <w:t>),</w:t>
      </w:r>
      <w:r w:rsidRPr="001019AB">
        <w:rPr>
          <w:rStyle w:val="apple-converted-space"/>
          <w:color w:val="000000"/>
          <w:shd w:val="clear" w:color="auto" w:fill="FFFFFF"/>
        </w:rPr>
        <w:t xml:space="preserve"> </w:t>
      </w:r>
      <w:r w:rsidRPr="001019AB">
        <w:rPr>
          <w:color w:val="000000"/>
        </w:rPr>
        <w:t xml:space="preserve">« La peinture est un vrai trois », </w:t>
      </w:r>
      <w:r w:rsidRPr="00CA7962">
        <w:rPr>
          <w:i/>
          <w:color w:val="000000"/>
        </w:rPr>
        <w:t>Catalogue d’exposition François Rouan</w:t>
      </w:r>
      <w:r w:rsidRPr="001019AB">
        <w:rPr>
          <w:color w:val="000000"/>
        </w:rPr>
        <w:t xml:space="preserve">, Paris, Centre Georges Pompidou ; rééd. dans </w:t>
      </w:r>
      <w:r w:rsidRPr="001019AB">
        <w:rPr>
          <w:i/>
          <w:color w:val="000000"/>
        </w:rPr>
        <w:t>Fenêtre jaune cadmium. Ou les dessous de la peinture</w:t>
      </w:r>
      <w:r w:rsidRPr="001019AB">
        <w:rPr>
          <w:color w:val="000000"/>
        </w:rPr>
        <w:t xml:space="preserve">, Paris, Seuil, 1984. </w:t>
      </w:r>
    </w:p>
    <w:p w:rsidR="002C399C" w:rsidRPr="001019AB" w:rsidRDefault="002C399C" w:rsidP="002C399C">
      <w:pPr>
        <w:spacing w:after="120" w:line="276" w:lineRule="auto"/>
        <w:jc w:val="both"/>
        <w:rPr>
          <w:color w:val="000000"/>
          <w:shd w:val="clear" w:color="auto" w:fill="FFFFFF"/>
        </w:rPr>
      </w:pPr>
      <w:r w:rsidRPr="001019AB">
        <w:rPr>
          <w:smallCaps/>
          <w:color w:val="000000"/>
          <w:shd w:val="clear" w:color="auto" w:fill="FFFFFF"/>
        </w:rPr>
        <w:t>Dekoninck</w:t>
      </w:r>
      <w:r w:rsidRPr="001019AB">
        <w:rPr>
          <w:color w:val="000000"/>
          <w:shd w:val="clear" w:color="auto" w:fill="FFFFFF"/>
        </w:rPr>
        <w:t xml:space="preserve">, Ralph &amp; </w:t>
      </w:r>
      <w:r w:rsidRPr="001019AB">
        <w:rPr>
          <w:smallCaps/>
          <w:color w:val="000000"/>
          <w:shd w:val="clear" w:color="auto" w:fill="FFFFFF"/>
        </w:rPr>
        <w:t>Guiderdoni,</w:t>
      </w:r>
      <w:r w:rsidRPr="001019AB">
        <w:rPr>
          <w:color w:val="000000"/>
          <w:shd w:val="clear" w:color="auto" w:fill="FFFFFF"/>
        </w:rPr>
        <w:t xml:space="preserve"> Agnès (dir. 2017), « Force de figures : le travail de la figurabilité entre texte et image », </w:t>
      </w:r>
      <w:r w:rsidRPr="001019AB">
        <w:rPr>
          <w:i/>
          <w:iCs/>
          <w:color w:val="000000"/>
        </w:rPr>
        <w:t>La Part de l’œil</w:t>
      </w:r>
      <w:r w:rsidRPr="001019AB">
        <w:rPr>
          <w:color w:val="000000"/>
          <w:shd w:val="clear" w:color="auto" w:fill="FFFFFF"/>
        </w:rPr>
        <w:t>, 31 (2017-2018).</w:t>
      </w:r>
    </w:p>
    <w:p w:rsidR="002C399C" w:rsidRDefault="002C399C" w:rsidP="002C399C">
      <w:pPr>
        <w:spacing w:after="120" w:line="276" w:lineRule="auto"/>
        <w:jc w:val="both"/>
        <w:rPr>
          <w:rStyle w:val="apple-converted-space"/>
          <w:lang w:val="fr-FR"/>
        </w:rPr>
      </w:pPr>
      <w:r w:rsidRPr="009867A9">
        <w:rPr>
          <w:rStyle w:val="apple-converted-space"/>
          <w:smallCaps/>
          <w:lang w:val="fr-FR"/>
        </w:rPr>
        <w:t>Didi-Huberman</w:t>
      </w:r>
      <w:r>
        <w:rPr>
          <w:rStyle w:val="apple-converted-space"/>
          <w:smallCaps/>
          <w:lang w:val="fr-FR"/>
        </w:rPr>
        <w:t>,</w:t>
      </w:r>
      <w:r w:rsidRPr="009867A9">
        <w:rPr>
          <w:rStyle w:val="apple-converted-space"/>
          <w:lang w:val="fr-FR"/>
        </w:rPr>
        <w:t xml:space="preserve"> Georges</w:t>
      </w:r>
      <w:r>
        <w:rPr>
          <w:rStyle w:val="apple-converted-space"/>
          <w:lang w:val="fr-FR"/>
        </w:rPr>
        <w:t xml:space="preserve"> (1992)</w:t>
      </w:r>
      <w:r w:rsidRPr="009867A9">
        <w:rPr>
          <w:rStyle w:val="apple-converted-space"/>
          <w:lang w:val="fr-FR"/>
        </w:rPr>
        <w:t xml:space="preserve">, </w:t>
      </w:r>
      <w:r w:rsidRPr="009867A9">
        <w:rPr>
          <w:rStyle w:val="apple-converted-space"/>
          <w:i/>
          <w:lang w:val="fr-FR"/>
        </w:rPr>
        <w:t>Ce que nous voyons, ce qui nous regarde</w:t>
      </w:r>
      <w:r w:rsidRPr="009867A9">
        <w:rPr>
          <w:rStyle w:val="apple-converted-space"/>
          <w:lang w:val="fr-FR"/>
        </w:rPr>
        <w:t xml:space="preserve">, Paris, </w:t>
      </w:r>
      <w:r w:rsidRPr="00181DEE">
        <w:rPr>
          <w:lang w:val="fr-FR"/>
        </w:rPr>
        <w:t>Les Éditions de</w:t>
      </w:r>
      <w:r w:rsidRPr="0002605D">
        <w:rPr>
          <w:lang w:val="fr-FR"/>
        </w:rPr>
        <w:t xml:space="preserve"> Minuit</w:t>
      </w:r>
      <w:r>
        <w:rPr>
          <w:rStyle w:val="apple-converted-space"/>
          <w:lang w:val="fr-FR"/>
        </w:rPr>
        <w:t>.</w:t>
      </w:r>
    </w:p>
    <w:p w:rsidR="002C399C" w:rsidRPr="009867A9" w:rsidRDefault="002C399C" w:rsidP="002C399C">
      <w:pPr>
        <w:spacing w:after="120" w:line="276" w:lineRule="auto"/>
        <w:jc w:val="both"/>
        <w:rPr>
          <w:rStyle w:val="apple-converted-space"/>
          <w:lang w:val="fr-FR"/>
        </w:rPr>
      </w:pPr>
      <w:r w:rsidRPr="009867A9">
        <w:rPr>
          <w:smallCaps/>
          <w:color w:val="111111"/>
          <w:shd w:val="clear" w:color="auto" w:fill="FFFFFF"/>
          <w:lang w:val="fr-FR"/>
        </w:rPr>
        <w:t>Didi-Huberman</w:t>
      </w:r>
      <w:r>
        <w:rPr>
          <w:smallCaps/>
          <w:color w:val="111111"/>
          <w:shd w:val="clear" w:color="auto" w:fill="FFFFFF"/>
          <w:lang w:val="fr-FR"/>
        </w:rPr>
        <w:t>,</w:t>
      </w:r>
      <w:r w:rsidRPr="009867A9">
        <w:rPr>
          <w:color w:val="111111"/>
          <w:shd w:val="clear" w:color="auto" w:fill="FFFFFF"/>
          <w:lang w:val="fr-FR"/>
        </w:rPr>
        <w:t xml:space="preserve"> Georges</w:t>
      </w:r>
      <w:r>
        <w:rPr>
          <w:color w:val="111111"/>
          <w:shd w:val="clear" w:color="auto" w:fill="FFFFFF"/>
          <w:lang w:val="fr-FR"/>
        </w:rPr>
        <w:t xml:space="preserve"> (2000)</w:t>
      </w:r>
      <w:r w:rsidRPr="009867A9">
        <w:rPr>
          <w:color w:val="111111"/>
          <w:shd w:val="clear" w:color="auto" w:fill="FFFFFF"/>
          <w:lang w:val="fr-FR"/>
        </w:rPr>
        <w:t>,</w:t>
      </w:r>
      <w:r>
        <w:rPr>
          <w:color w:val="111111"/>
          <w:shd w:val="clear" w:color="auto" w:fill="FFFFFF"/>
          <w:lang w:val="fr-FR"/>
        </w:rPr>
        <w:t xml:space="preserve"> </w:t>
      </w:r>
      <w:r w:rsidRPr="009867A9">
        <w:rPr>
          <w:i/>
          <w:iCs/>
          <w:color w:val="111111"/>
          <w:lang w:val="fr-FR"/>
        </w:rPr>
        <w:t>Devant le temps</w:t>
      </w:r>
      <w:r w:rsidRPr="009867A9">
        <w:rPr>
          <w:color w:val="111111"/>
          <w:shd w:val="clear" w:color="auto" w:fill="FFFFFF"/>
          <w:lang w:val="fr-FR"/>
        </w:rPr>
        <w:t xml:space="preserve">, Paris, </w:t>
      </w:r>
      <w:r w:rsidRPr="00181DEE">
        <w:rPr>
          <w:lang w:val="fr-FR"/>
        </w:rPr>
        <w:t>Les Éditions de</w:t>
      </w:r>
      <w:r w:rsidRPr="0002605D">
        <w:rPr>
          <w:lang w:val="fr-FR"/>
        </w:rPr>
        <w:t xml:space="preserve"> Minuit</w:t>
      </w:r>
      <w:r>
        <w:rPr>
          <w:color w:val="111111"/>
          <w:shd w:val="clear" w:color="auto" w:fill="FFFFFF"/>
          <w:lang w:val="fr-FR"/>
        </w:rPr>
        <w:t>.</w:t>
      </w:r>
    </w:p>
    <w:p w:rsidR="002C399C" w:rsidRPr="001019AB" w:rsidRDefault="002C399C" w:rsidP="002C399C">
      <w:pPr>
        <w:spacing w:after="120" w:line="276" w:lineRule="auto"/>
        <w:jc w:val="both"/>
        <w:rPr>
          <w:lang w:val="en-US"/>
        </w:rPr>
      </w:pPr>
      <w:r w:rsidRPr="001019AB">
        <w:rPr>
          <w:smallCaps/>
          <w:color w:val="000000"/>
        </w:rPr>
        <w:t>Didi Huberman</w:t>
      </w:r>
      <w:r>
        <w:rPr>
          <w:smallCaps/>
          <w:color w:val="000000"/>
        </w:rPr>
        <w:t>,</w:t>
      </w:r>
      <w:r w:rsidRPr="001019AB">
        <w:rPr>
          <w:color w:val="000000"/>
        </w:rPr>
        <w:t xml:space="preserve"> Georges (2002),</w:t>
      </w:r>
      <w:r>
        <w:rPr>
          <w:rStyle w:val="apple-converted-space"/>
          <w:color w:val="000000"/>
        </w:rPr>
        <w:t xml:space="preserve"> </w:t>
      </w:r>
      <w:r w:rsidRPr="001019AB">
        <w:rPr>
          <w:rStyle w:val="Accentuation"/>
          <w:color w:val="000000"/>
        </w:rPr>
        <w:t>L’Image survivante</w:t>
      </w:r>
      <w:r>
        <w:rPr>
          <w:color w:val="000000"/>
        </w:rPr>
        <w:t xml:space="preserve">. </w:t>
      </w:r>
      <w:r w:rsidRPr="00203AFD">
        <w:rPr>
          <w:i/>
          <w:color w:val="000000"/>
        </w:rPr>
        <w:t>Histoire de l’art et temps des fantômes selon Aby Warburg</w:t>
      </w:r>
      <w:r>
        <w:rPr>
          <w:color w:val="000000"/>
        </w:rPr>
        <w:t>,</w:t>
      </w:r>
      <w:r w:rsidRPr="001019AB">
        <w:rPr>
          <w:color w:val="000000"/>
        </w:rPr>
        <w:t xml:space="preserve"> Paris, Seuil ; eng. trans.</w:t>
      </w:r>
      <w:r>
        <w:rPr>
          <w:rStyle w:val="apple-converted-space"/>
          <w:color w:val="000000"/>
        </w:rPr>
        <w:t xml:space="preserve"> </w:t>
      </w:r>
      <w:r w:rsidRPr="001019AB">
        <w:rPr>
          <w:rStyle w:val="Accentuation"/>
          <w:color w:val="000000"/>
          <w:lang w:val="en"/>
        </w:rPr>
        <w:t>The Surviving Image: Phantoms of Time and Time of Phantoms</w:t>
      </w:r>
      <w:r w:rsidRPr="001019AB">
        <w:rPr>
          <w:color w:val="000000"/>
          <w:lang w:val="en"/>
        </w:rPr>
        <w:t>, University Park, Penn State University Press, 2016.</w:t>
      </w:r>
    </w:p>
    <w:p w:rsidR="002C399C" w:rsidRPr="005641CD" w:rsidRDefault="002C399C" w:rsidP="002C399C">
      <w:pPr>
        <w:pStyle w:val="bibliographie"/>
        <w:spacing w:before="0" w:beforeAutospacing="0" w:after="120" w:afterAutospacing="0" w:line="276" w:lineRule="auto"/>
        <w:jc w:val="both"/>
        <w:rPr>
          <w:color w:val="000000"/>
        </w:rPr>
      </w:pPr>
      <w:r w:rsidRPr="001019AB">
        <w:rPr>
          <w:smallCaps/>
          <w:lang w:val="en-US"/>
        </w:rPr>
        <w:t>Dondero</w:t>
      </w:r>
      <w:r w:rsidRPr="001019AB">
        <w:rPr>
          <w:lang w:val="en-US"/>
        </w:rPr>
        <w:t xml:space="preserve"> Maria Giulia (2019), “</w:t>
      </w:r>
      <w:r w:rsidRPr="001019AB">
        <w:rPr>
          <w:color w:val="0A0A0C"/>
          <w:lang w:val="en-US"/>
        </w:rPr>
        <w:t xml:space="preserve">Visual semiotics and automatic analysis of images from the Cultural Analytics Lab: How can quantitative and qualitative analysis be combined?”, </w:t>
      </w:r>
      <w:r w:rsidRPr="001019AB">
        <w:rPr>
          <w:i/>
          <w:color w:val="0A0A0C"/>
          <w:lang w:val="en-US"/>
        </w:rPr>
        <w:t>Semiotica</w:t>
      </w:r>
      <w:r w:rsidRPr="005641CD">
        <w:rPr>
          <w:color w:val="0A0A0C"/>
          <w:lang w:val="en-US"/>
        </w:rPr>
        <w:t xml:space="preserve">, 230. </w:t>
      </w:r>
      <w:r w:rsidRPr="005641CD">
        <w:rPr>
          <w:color w:val="0A0A0C"/>
        </w:rPr>
        <w:t xml:space="preserve">Disponible sur : </w:t>
      </w:r>
      <w:r w:rsidRPr="005641CD">
        <w:rPr>
          <w:color w:val="000000"/>
        </w:rPr>
        <w:t>DOI :</w:t>
      </w:r>
      <w:r>
        <w:rPr>
          <w:color w:val="000000"/>
        </w:rPr>
        <w:t xml:space="preserve"> </w:t>
      </w:r>
      <w:r w:rsidRPr="00CA7962">
        <w:rPr>
          <w:rStyle w:val="apple-converted-space"/>
          <w:color w:val="000000" w:themeColor="text1"/>
        </w:rPr>
        <w:t>&lt;</w:t>
      </w:r>
      <w:hyperlink r:id="rId20" w:history="1">
        <w:r w:rsidRPr="00CA7962">
          <w:rPr>
            <w:rStyle w:val="Lienhypertexte"/>
            <w:color w:val="000000" w:themeColor="text1"/>
            <w:u w:val="none"/>
          </w:rPr>
          <w:t>10.1515/sem-2018-0104</w:t>
        </w:r>
      </w:hyperlink>
      <w:r w:rsidRPr="00CA7962">
        <w:rPr>
          <w:color w:val="000000" w:themeColor="text1"/>
        </w:rPr>
        <w:t xml:space="preserve">&gt; (consulté </w:t>
      </w:r>
      <w:r>
        <w:rPr>
          <w:color w:val="000000"/>
        </w:rPr>
        <w:t>le 28/07/2022).</w:t>
      </w:r>
    </w:p>
    <w:p w:rsidR="002C399C" w:rsidRDefault="002C399C" w:rsidP="002C399C">
      <w:pPr>
        <w:pStyle w:val="bibliographie"/>
        <w:spacing w:before="0" w:beforeAutospacing="0" w:after="120" w:afterAutospacing="0" w:line="276" w:lineRule="auto"/>
        <w:jc w:val="both"/>
        <w:rPr>
          <w:color w:val="000000"/>
          <w:lang w:val="en"/>
        </w:rPr>
      </w:pPr>
      <w:r w:rsidRPr="005641CD">
        <w:rPr>
          <w:smallCaps/>
          <w:color w:val="000000"/>
        </w:rPr>
        <w:t>Dondero</w:t>
      </w:r>
      <w:r>
        <w:rPr>
          <w:color w:val="000000"/>
        </w:rPr>
        <w:t>,</w:t>
      </w:r>
      <w:r w:rsidRPr="00F8009C">
        <w:rPr>
          <w:color w:val="000000"/>
        </w:rPr>
        <w:t xml:space="preserve"> Maria Giulia (2020),</w:t>
      </w:r>
      <w:r>
        <w:rPr>
          <w:rStyle w:val="apple-converted-space"/>
          <w:color w:val="000000"/>
        </w:rPr>
        <w:t xml:space="preserve"> </w:t>
      </w:r>
      <w:r w:rsidRPr="00F8009C">
        <w:rPr>
          <w:rStyle w:val="Accentuation"/>
          <w:color w:val="000000"/>
        </w:rPr>
        <w:t xml:space="preserve">Les </w:t>
      </w:r>
      <w:r w:rsidR="00912925">
        <w:rPr>
          <w:rStyle w:val="Accentuation"/>
          <w:color w:val="000000"/>
        </w:rPr>
        <w:t>l</w:t>
      </w:r>
      <w:r w:rsidRPr="00F8009C">
        <w:rPr>
          <w:rStyle w:val="Accentuation"/>
          <w:color w:val="000000"/>
        </w:rPr>
        <w:t>angages de l’image. De la peinture aux Big Visual Data</w:t>
      </w:r>
      <w:r w:rsidRPr="00F8009C">
        <w:rPr>
          <w:color w:val="000000"/>
        </w:rPr>
        <w:t>, Paris, Hermann ; eng. trans.</w:t>
      </w:r>
      <w:r>
        <w:rPr>
          <w:rStyle w:val="apple-converted-space"/>
          <w:color w:val="000000"/>
        </w:rPr>
        <w:t xml:space="preserve"> </w:t>
      </w:r>
      <w:r w:rsidRPr="00F8009C">
        <w:rPr>
          <w:rStyle w:val="Accentuation"/>
          <w:color w:val="000000"/>
          <w:lang w:val="en"/>
        </w:rPr>
        <w:t>The Language of Images: The Forms and the Forces</w:t>
      </w:r>
      <w:r w:rsidRPr="00F8009C">
        <w:rPr>
          <w:color w:val="000000"/>
          <w:lang w:val="en"/>
        </w:rPr>
        <w:t>, Berlin-New-York, Springer, 2020.</w:t>
      </w:r>
    </w:p>
    <w:p w:rsidR="00000579" w:rsidRPr="00000579" w:rsidRDefault="002C399C" w:rsidP="00000579">
      <w:pPr>
        <w:spacing w:after="120" w:line="276" w:lineRule="auto"/>
        <w:jc w:val="both"/>
        <w:rPr>
          <w:color w:val="000000"/>
        </w:rPr>
      </w:pPr>
      <w:r w:rsidRPr="00000579">
        <w:rPr>
          <w:bCs/>
          <w:iCs/>
          <w:smallCaps/>
        </w:rPr>
        <w:lastRenderedPageBreak/>
        <w:t>Dondero</w:t>
      </w:r>
      <w:r w:rsidRPr="00000579">
        <w:rPr>
          <w:bCs/>
          <w:iCs/>
        </w:rPr>
        <w:t xml:space="preserve">, Maria Giulia (2022), « Pour une synergie entre la sémiotique et la Computer Vision. La généalogie des formes visuelles à partir de Focillon et Warburg », </w:t>
      </w:r>
      <w:r w:rsidR="00000579" w:rsidRPr="00000579">
        <w:rPr>
          <w:bCs/>
          <w:i/>
          <w:iCs/>
        </w:rPr>
        <w:t>in</w:t>
      </w:r>
      <w:r w:rsidR="00000579" w:rsidRPr="00000579">
        <w:rPr>
          <w:bCs/>
          <w:iCs/>
        </w:rPr>
        <w:t xml:space="preserve"> A.</w:t>
      </w:r>
      <w:r w:rsidR="00000579">
        <w:rPr>
          <w:bCs/>
          <w:iCs/>
        </w:rPr>
        <w:t> </w:t>
      </w:r>
      <w:r w:rsidR="00000579" w:rsidRPr="00000579">
        <w:rPr>
          <w:bCs/>
          <w:iCs/>
        </w:rPr>
        <w:t xml:space="preserve">Biglari (dir.), </w:t>
      </w:r>
      <w:r w:rsidR="00000579" w:rsidRPr="00000579">
        <w:rPr>
          <w:i/>
          <w:color w:val="000000"/>
        </w:rPr>
        <w:t>La sémiotique et ses horizons</w:t>
      </w:r>
      <w:r w:rsidR="00000579" w:rsidRPr="00000579">
        <w:rPr>
          <w:color w:val="000000"/>
        </w:rPr>
        <w:t>, Paris, L’Harmattan (à paraître).</w:t>
      </w:r>
    </w:p>
    <w:p w:rsidR="002C399C" w:rsidRDefault="002C399C" w:rsidP="00000579">
      <w:pPr>
        <w:spacing w:after="120"/>
        <w:jc w:val="both"/>
      </w:pPr>
      <w:r w:rsidRPr="005641CD">
        <w:rPr>
          <w:smallCaps/>
        </w:rPr>
        <w:t>Fantoni</w:t>
      </w:r>
      <w:r w:rsidRPr="005641CD">
        <w:t xml:space="preserve">, Matthieu, </w:t>
      </w:r>
      <w:r w:rsidRPr="005641CD">
        <w:rPr>
          <w:i/>
          <w:iCs/>
        </w:rPr>
        <w:t>La Nymphe de Fontainebleau, l’œuvre fantôme de Rosso Fiorentino</w:t>
      </w:r>
      <w:r w:rsidRPr="005641CD">
        <w:t xml:space="preserve">, visite- conférence au festival d’histoire de l’art 2014. </w:t>
      </w:r>
    </w:p>
    <w:p w:rsidR="0075707F" w:rsidRDefault="0075707F" w:rsidP="0075707F">
      <w:pPr>
        <w:spacing w:after="120" w:line="276" w:lineRule="auto"/>
        <w:jc w:val="both"/>
      </w:pPr>
      <w:r w:rsidRPr="00E95D92">
        <w:rPr>
          <w:smallCaps/>
        </w:rPr>
        <w:t>Focillon</w:t>
      </w:r>
      <w:r w:rsidRPr="00E95D92">
        <w:t xml:space="preserve">, Henri (1943), </w:t>
      </w:r>
      <w:r w:rsidRPr="00E95D92">
        <w:rPr>
          <w:i/>
        </w:rPr>
        <w:t>Vie des formes</w:t>
      </w:r>
      <w:r w:rsidRPr="00E95D92">
        <w:t>, Paris, PUF ; réédition 2010.</w:t>
      </w:r>
      <w:r>
        <w:t xml:space="preserve"> </w:t>
      </w:r>
    </w:p>
    <w:p w:rsidR="002C399C" w:rsidRPr="00E95D92" w:rsidRDefault="002C399C" w:rsidP="00000579">
      <w:pPr>
        <w:autoSpaceDE w:val="0"/>
        <w:autoSpaceDN w:val="0"/>
        <w:adjustRightInd w:val="0"/>
        <w:spacing w:after="120"/>
        <w:jc w:val="both"/>
        <w:rPr>
          <w:rFonts w:eastAsiaTheme="minorHAnsi"/>
          <w:i/>
          <w:lang w:val="fr-FR" w:eastAsia="en-US"/>
        </w:rPr>
      </w:pPr>
      <w:r w:rsidRPr="00E95D92">
        <w:rPr>
          <w:rFonts w:eastAsiaTheme="minorHAnsi"/>
          <w:smallCaps/>
          <w:lang w:val="fr-FR" w:eastAsia="en-US"/>
        </w:rPr>
        <w:t>Fontanille</w:t>
      </w:r>
      <w:r w:rsidRPr="00E95D92">
        <w:rPr>
          <w:rFonts w:eastAsiaTheme="minorHAnsi"/>
          <w:lang w:val="fr-FR" w:eastAsia="en-US"/>
        </w:rPr>
        <w:t>, Jacques (1999</w:t>
      </w:r>
      <w:r w:rsidRPr="00E95D92">
        <w:rPr>
          <w:rFonts w:eastAsiaTheme="minorHAnsi"/>
          <w:i/>
          <w:lang w:val="fr-FR" w:eastAsia="en-US"/>
        </w:rPr>
        <w:t>), Sémiotique et littérature Essais de méthode</w:t>
      </w:r>
      <w:r w:rsidRPr="00E95D92">
        <w:rPr>
          <w:rFonts w:eastAsiaTheme="minorHAnsi"/>
          <w:lang w:val="fr-FR" w:eastAsia="en-US"/>
        </w:rPr>
        <w:t xml:space="preserve">, Paris, PUF. </w:t>
      </w:r>
    </w:p>
    <w:p w:rsidR="002C399C" w:rsidRPr="003C5174" w:rsidRDefault="002C399C" w:rsidP="002C399C">
      <w:pPr>
        <w:spacing w:after="120" w:line="276" w:lineRule="auto"/>
        <w:jc w:val="both"/>
      </w:pPr>
      <w:r>
        <w:rPr>
          <w:smallCaps/>
        </w:rPr>
        <w:t xml:space="preserve">Fontanille, </w:t>
      </w:r>
      <w:r>
        <w:t xml:space="preserve">Jacques (2008), </w:t>
      </w:r>
      <w:r w:rsidRPr="003C5174">
        <w:rPr>
          <w:i/>
        </w:rPr>
        <w:t>Pratiques sémiotiques</w:t>
      </w:r>
      <w:r>
        <w:t xml:space="preserve">, Paris, PUF. </w:t>
      </w:r>
    </w:p>
    <w:p w:rsidR="002C399C" w:rsidRDefault="002C399C" w:rsidP="002C399C">
      <w:pPr>
        <w:spacing w:after="120"/>
        <w:jc w:val="both"/>
        <w:rPr>
          <w:smallCaps/>
          <w:lang w:val="en-US"/>
        </w:rPr>
      </w:pPr>
      <w:r>
        <w:rPr>
          <w:smallCaps/>
          <w:lang w:val="en-US"/>
        </w:rPr>
        <w:t xml:space="preserve">Gal, </w:t>
      </w:r>
      <w:r>
        <w:rPr>
          <w:lang w:val="en-US"/>
        </w:rPr>
        <w:t xml:space="preserve">Michalle (2015), </w:t>
      </w:r>
      <w:r w:rsidRPr="00B868C2">
        <w:rPr>
          <w:i/>
          <w:lang w:val="en-US"/>
        </w:rPr>
        <w:t>Aestheticism: Deep Formalism ant the Emergence of Modernist Aesthetics</w:t>
      </w:r>
      <w:r>
        <w:rPr>
          <w:lang w:val="en-US"/>
        </w:rPr>
        <w:t>, Berne, Peter Lang.</w:t>
      </w:r>
    </w:p>
    <w:p w:rsidR="002C399C" w:rsidRPr="00B46EE0" w:rsidRDefault="002C399C" w:rsidP="002C399C">
      <w:pPr>
        <w:spacing w:after="120"/>
        <w:jc w:val="both"/>
        <w:rPr>
          <w:lang w:val="en-US"/>
        </w:rPr>
      </w:pPr>
      <w:r w:rsidRPr="00B46EE0">
        <w:rPr>
          <w:smallCaps/>
          <w:lang w:val="en-US"/>
        </w:rPr>
        <w:t>Gal,</w:t>
      </w:r>
      <w:r w:rsidRPr="00B46EE0">
        <w:rPr>
          <w:lang w:val="en-US"/>
        </w:rPr>
        <w:t xml:space="preserve"> Michalle (2022), “The Inauguration of Formalism: Aestheticism and the Productive Opacity Principle”, </w:t>
      </w:r>
      <w:r w:rsidRPr="00B46EE0">
        <w:rPr>
          <w:i/>
          <w:lang w:val="en-US"/>
        </w:rPr>
        <w:t>Journal of Comparative Literature and Aesthetics</w:t>
      </w:r>
      <w:r w:rsidRPr="00B46EE0">
        <w:rPr>
          <w:lang w:val="en-US"/>
        </w:rPr>
        <w:t>, vol. 45, 2, pp. 20-30.</w:t>
      </w:r>
      <w:r>
        <w:rPr>
          <w:lang w:val="en-US"/>
        </w:rPr>
        <w:t xml:space="preserve"> </w:t>
      </w:r>
    </w:p>
    <w:p w:rsidR="002C399C" w:rsidRPr="003819F9" w:rsidRDefault="002C399C" w:rsidP="002C399C">
      <w:pPr>
        <w:spacing w:after="120" w:line="276" w:lineRule="auto"/>
        <w:jc w:val="both"/>
        <w:rPr>
          <w:color w:val="000000"/>
          <w:shd w:val="clear" w:color="auto" w:fill="FFFFFF"/>
        </w:rPr>
      </w:pPr>
      <w:r w:rsidRPr="003819F9">
        <w:rPr>
          <w:smallCaps/>
          <w:color w:val="000000"/>
          <w:shd w:val="clear" w:color="auto" w:fill="FFFFFF"/>
        </w:rPr>
        <w:t>Genette</w:t>
      </w:r>
      <w:r w:rsidRPr="003819F9">
        <w:rPr>
          <w:color w:val="000000"/>
          <w:shd w:val="clear" w:color="auto" w:fill="FFFFFF"/>
        </w:rPr>
        <w:t xml:space="preserve">, Gérard (2010), </w:t>
      </w:r>
      <w:r w:rsidRPr="003819F9">
        <w:rPr>
          <w:rStyle w:val="Accentuation"/>
          <w:color w:val="000000"/>
        </w:rPr>
        <w:t>L’œuvre de l’art</w:t>
      </w:r>
      <w:r w:rsidRPr="003819F9">
        <w:rPr>
          <w:color w:val="000000"/>
          <w:shd w:val="clear" w:color="auto" w:fill="FFFFFF"/>
        </w:rPr>
        <w:t xml:space="preserve">, Paris, Éditions du Seuil. </w:t>
      </w:r>
    </w:p>
    <w:p w:rsidR="002C399C" w:rsidRPr="00B46EE0" w:rsidRDefault="002C399C" w:rsidP="002C399C">
      <w:pPr>
        <w:spacing w:after="120" w:line="276" w:lineRule="auto"/>
        <w:jc w:val="both"/>
        <w:rPr>
          <w:color w:val="000000"/>
          <w:vertAlign w:val="superscript"/>
        </w:rPr>
      </w:pPr>
      <w:r w:rsidRPr="00B46EE0">
        <w:rPr>
          <w:smallCaps/>
          <w:color w:val="000000"/>
          <w:lang w:val="en"/>
        </w:rPr>
        <w:t>Ginzburg</w:t>
      </w:r>
      <w:r w:rsidRPr="00B46EE0">
        <w:rPr>
          <w:color w:val="000000"/>
          <w:lang w:val="en"/>
        </w:rPr>
        <w:t xml:space="preserve">, Carlo (1979), “Morelli, Freud, and Sherlock Holmes: Clues and Scientific Method”, </w:t>
      </w:r>
      <w:r w:rsidRPr="00B46EE0">
        <w:rPr>
          <w:i/>
          <w:color w:val="000000"/>
          <w:lang w:val="en"/>
        </w:rPr>
        <w:t>in</w:t>
      </w:r>
      <w:r w:rsidRPr="00B46EE0">
        <w:rPr>
          <w:color w:val="000000"/>
          <w:lang w:val="en"/>
        </w:rPr>
        <w:t xml:space="preserve"> U. </w:t>
      </w:r>
      <w:r w:rsidRPr="00B46EE0">
        <w:rPr>
          <w:smallCaps/>
          <w:color w:val="000000"/>
          <w:lang w:val="en"/>
        </w:rPr>
        <w:t xml:space="preserve">Eco </w:t>
      </w:r>
      <w:r w:rsidRPr="00B46EE0">
        <w:rPr>
          <w:color w:val="000000"/>
          <w:lang w:val="en"/>
        </w:rPr>
        <w:t xml:space="preserve">&amp; T. </w:t>
      </w:r>
      <w:r w:rsidRPr="00B46EE0">
        <w:rPr>
          <w:smallCaps/>
          <w:color w:val="000000"/>
          <w:lang w:val="en"/>
        </w:rPr>
        <w:t>Sebeok</w:t>
      </w:r>
      <w:r w:rsidRPr="00B46EE0">
        <w:rPr>
          <w:color w:val="000000"/>
          <w:lang w:val="en"/>
        </w:rPr>
        <w:t xml:space="preserve"> (eds. 1984), </w:t>
      </w:r>
      <w:r w:rsidRPr="00B46EE0">
        <w:rPr>
          <w:i/>
          <w:iCs/>
          <w:color w:val="000000"/>
          <w:lang w:val="en"/>
        </w:rPr>
        <w:t>The Sign of Three: Dupin, Holmes, Peirce</w:t>
      </w:r>
      <w:r w:rsidRPr="00B46EE0">
        <w:rPr>
          <w:color w:val="000000"/>
          <w:lang w:val="en"/>
        </w:rPr>
        <w:t>, Bloomington, Indiana University Press, pp. 81-</w:t>
      </w:r>
      <w:proofErr w:type="gramStart"/>
      <w:r w:rsidRPr="00B46EE0">
        <w:rPr>
          <w:color w:val="000000"/>
          <w:lang w:val="en"/>
        </w:rPr>
        <w:t>118 ;</w:t>
      </w:r>
      <w:proofErr w:type="gramEnd"/>
      <w:r w:rsidRPr="00B46EE0">
        <w:rPr>
          <w:color w:val="000000"/>
          <w:lang w:val="en"/>
        </w:rPr>
        <w:t xml:space="preserve"> tr.</w:t>
      </w:r>
      <w:r>
        <w:rPr>
          <w:color w:val="000000"/>
          <w:lang w:val="en"/>
        </w:rPr>
        <w:t xml:space="preserve"> f</w:t>
      </w:r>
      <w:r w:rsidRPr="00B46EE0">
        <w:rPr>
          <w:color w:val="000000"/>
          <w:lang w:val="en"/>
        </w:rPr>
        <w:t xml:space="preserve">r. </w:t>
      </w:r>
      <w:r w:rsidRPr="00BE2569">
        <w:rPr>
          <w:color w:val="000000"/>
          <w:shd w:val="clear" w:color="auto" w:fill="FFFFFF"/>
        </w:rPr>
        <w:t xml:space="preserve">« Signes, traces, pistes. </w:t>
      </w:r>
      <w:r w:rsidRPr="00B46EE0">
        <w:rPr>
          <w:color w:val="000000"/>
          <w:shd w:val="clear" w:color="auto" w:fill="FFFFFF"/>
        </w:rPr>
        <w:t xml:space="preserve">Racines d’un paradigme de l’indice », </w:t>
      </w:r>
      <w:r w:rsidRPr="00B46EE0">
        <w:rPr>
          <w:i/>
          <w:iCs/>
          <w:color w:val="000000"/>
        </w:rPr>
        <w:t>Le Débat</w:t>
      </w:r>
      <w:r w:rsidRPr="00B46EE0">
        <w:rPr>
          <w:color w:val="000000"/>
          <w:shd w:val="clear" w:color="auto" w:fill="FFFFFF"/>
        </w:rPr>
        <w:t>, 6, pp. 3-44, 1980.</w:t>
      </w:r>
    </w:p>
    <w:p w:rsidR="007E08A8" w:rsidRPr="007E08A8" w:rsidRDefault="007E08A8" w:rsidP="007E08A8">
      <w:pPr>
        <w:spacing w:after="120" w:line="276" w:lineRule="auto"/>
        <w:jc w:val="both"/>
        <w:rPr>
          <w:lang w:val="en-US"/>
        </w:rPr>
      </w:pPr>
      <w:r w:rsidRPr="007E08A8">
        <w:rPr>
          <w:smallCaps/>
          <w:lang w:val="en-US"/>
        </w:rPr>
        <w:t>Gombrich</w:t>
      </w:r>
      <w:r w:rsidRPr="007E08A8">
        <w:rPr>
          <w:lang w:val="en-US"/>
        </w:rPr>
        <w:t xml:space="preserve"> Ernst (1986), </w:t>
      </w:r>
      <w:r w:rsidRPr="007E08A8">
        <w:rPr>
          <w:i/>
          <w:lang w:val="en-US"/>
        </w:rPr>
        <w:t>Warburg.</w:t>
      </w:r>
      <w:r w:rsidRPr="007E08A8">
        <w:rPr>
          <w:lang w:val="en-US"/>
        </w:rPr>
        <w:t xml:space="preserve"> </w:t>
      </w:r>
      <w:r w:rsidRPr="007E08A8">
        <w:rPr>
          <w:i/>
          <w:lang w:val="en-US"/>
        </w:rPr>
        <w:t>An Intellectual Biography</w:t>
      </w:r>
      <w:r w:rsidRPr="007E08A8">
        <w:rPr>
          <w:lang w:val="en-US"/>
        </w:rPr>
        <w:t>, Londres, Phaidon.</w:t>
      </w:r>
    </w:p>
    <w:p w:rsidR="002C399C" w:rsidRPr="00B46EE0" w:rsidRDefault="002C399C" w:rsidP="002C399C">
      <w:pPr>
        <w:spacing w:after="120" w:line="276" w:lineRule="auto"/>
        <w:jc w:val="both"/>
      </w:pPr>
      <w:r w:rsidRPr="007E08A8">
        <w:rPr>
          <w:smallCaps/>
          <w:color w:val="000000"/>
          <w:shd w:val="clear" w:color="auto" w:fill="FFFFFF"/>
          <w:lang w:val="en-US"/>
        </w:rPr>
        <w:t>Goodman</w:t>
      </w:r>
      <w:r w:rsidRPr="007E08A8">
        <w:rPr>
          <w:color w:val="000000"/>
          <w:shd w:val="clear" w:color="auto" w:fill="FFFFFF"/>
          <w:lang w:val="en-US"/>
        </w:rPr>
        <w:t xml:space="preserve">, Nelson (1976), </w:t>
      </w:r>
      <w:r w:rsidRPr="007E08A8">
        <w:rPr>
          <w:i/>
          <w:color w:val="000000"/>
          <w:shd w:val="clear" w:color="auto" w:fill="FFFFFF"/>
          <w:lang w:val="en-US"/>
        </w:rPr>
        <w:t xml:space="preserve">Languages of Art. </w:t>
      </w:r>
      <w:r w:rsidRPr="00B46EE0">
        <w:rPr>
          <w:i/>
          <w:color w:val="000000"/>
          <w:shd w:val="clear" w:color="auto" w:fill="FFFFFF"/>
          <w:lang w:val="en-US"/>
        </w:rPr>
        <w:t>An Approach to a theory of Symbols</w:t>
      </w:r>
      <w:r w:rsidRPr="00B46EE0">
        <w:rPr>
          <w:color w:val="000000"/>
          <w:shd w:val="clear" w:color="auto" w:fill="FFFFFF"/>
          <w:lang w:val="en-US"/>
        </w:rPr>
        <w:t xml:space="preserve">, Indianapolis, Hackett Pub. </w:t>
      </w:r>
      <w:proofErr w:type="gramStart"/>
      <w:r w:rsidRPr="00B46EE0">
        <w:rPr>
          <w:color w:val="000000"/>
          <w:shd w:val="clear" w:color="auto" w:fill="FFFFFF"/>
          <w:lang w:val="en-US"/>
        </w:rPr>
        <w:t>Co. </w:t>
      </w:r>
      <w:r w:rsidR="008459A4">
        <w:rPr>
          <w:color w:val="000000"/>
          <w:shd w:val="clear" w:color="auto" w:fill="FFFFFF"/>
          <w:lang w:val="en-US"/>
        </w:rPr>
        <w:t>;</w:t>
      </w:r>
      <w:proofErr w:type="gramEnd"/>
      <w:r w:rsidRPr="00B46EE0">
        <w:rPr>
          <w:color w:val="000000"/>
          <w:shd w:val="clear" w:color="auto" w:fill="FFFFFF"/>
          <w:lang w:val="en-US"/>
        </w:rPr>
        <w:t xml:space="preserve"> trad. fr.</w:t>
      </w:r>
      <w:r w:rsidRPr="00B46EE0">
        <w:rPr>
          <w:rStyle w:val="apple-converted-space"/>
          <w:color w:val="000000"/>
          <w:shd w:val="clear" w:color="auto" w:fill="FFFFFF"/>
          <w:lang w:val="en-US"/>
        </w:rPr>
        <w:t xml:space="preserve"> </w:t>
      </w:r>
      <w:r w:rsidRPr="00CA7962">
        <w:rPr>
          <w:rStyle w:val="apple-converted-space"/>
          <w:color w:val="000000"/>
          <w:shd w:val="clear" w:color="auto" w:fill="FFFFFF"/>
        </w:rPr>
        <w:t xml:space="preserve">J. Morizot, </w:t>
      </w:r>
      <w:r w:rsidRPr="00B46EE0">
        <w:rPr>
          <w:rStyle w:val="Accentuation"/>
          <w:color w:val="000000"/>
        </w:rPr>
        <w:t>Langages de l’art</w:t>
      </w:r>
      <w:r w:rsidRPr="00B46EE0">
        <w:rPr>
          <w:color w:val="000000"/>
          <w:shd w:val="clear" w:color="auto" w:fill="FFFFFF"/>
        </w:rPr>
        <w:t>, Nîmes, Éditions Jacqueline Chambon</w:t>
      </w:r>
      <w:r>
        <w:rPr>
          <w:color w:val="000000"/>
          <w:shd w:val="clear" w:color="auto" w:fill="FFFFFF"/>
        </w:rPr>
        <w:t>,</w:t>
      </w:r>
      <w:r w:rsidRPr="00B46EE0">
        <w:rPr>
          <w:color w:val="000000"/>
          <w:shd w:val="clear" w:color="auto" w:fill="FFFFFF"/>
        </w:rPr>
        <w:t xml:space="preserve"> 1990.</w:t>
      </w:r>
    </w:p>
    <w:p w:rsidR="002C399C" w:rsidRDefault="002C399C" w:rsidP="002C399C">
      <w:pPr>
        <w:spacing w:after="120" w:line="276" w:lineRule="auto"/>
        <w:jc w:val="both"/>
      </w:pPr>
      <w:r w:rsidRPr="00B46EE0">
        <w:rPr>
          <w:smallCaps/>
        </w:rPr>
        <w:t>Greimas</w:t>
      </w:r>
      <w:r w:rsidRPr="00B46EE0">
        <w:t xml:space="preserve"> Algirdas Julien (1984), « Sémiotique figurative et sémiotique plastique », </w:t>
      </w:r>
      <w:r w:rsidRPr="00B46EE0">
        <w:rPr>
          <w:i/>
        </w:rPr>
        <w:t>Actes</w:t>
      </w:r>
      <w:r w:rsidRPr="00F8009C">
        <w:rPr>
          <w:i/>
        </w:rPr>
        <w:t xml:space="preserve"> sémiotiques, Documents</w:t>
      </w:r>
      <w:r w:rsidRPr="00F8009C">
        <w:t>, VI, 60.</w:t>
      </w:r>
    </w:p>
    <w:p w:rsidR="002C399C" w:rsidRPr="00A34480" w:rsidRDefault="002C399C" w:rsidP="002C399C">
      <w:pPr>
        <w:spacing w:after="120" w:line="276" w:lineRule="auto"/>
        <w:jc w:val="both"/>
        <w:rPr>
          <w:color w:val="000000"/>
          <w:lang w:val="fr-FR"/>
        </w:rPr>
      </w:pPr>
      <w:r w:rsidRPr="00E353D8">
        <w:rPr>
          <w:smallCaps/>
          <w:color w:val="000000"/>
          <w:lang w:val="fr-FR"/>
        </w:rPr>
        <w:t xml:space="preserve">Klinkenberg </w:t>
      </w:r>
      <w:r w:rsidRPr="00E353D8">
        <w:rPr>
          <w:color w:val="000000"/>
          <w:lang w:val="fr-FR"/>
        </w:rPr>
        <w:t>Jean-Marie</w:t>
      </w:r>
      <w:r>
        <w:rPr>
          <w:color w:val="000000"/>
          <w:lang w:val="fr-FR"/>
        </w:rPr>
        <w:t xml:space="preserve"> (2016)</w:t>
      </w:r>
      <w:r w:rsidRPr="00E353D8">
        <w:rPr>
          <w:color w:val="000000"/>
          <w:lang w:val="fr-FR"/>
        </w:rPr>
        <w:t xml:space="preserve">, « Un instrument au service de l’énonciation : l’index (Applications au cas de la relation texte-image) », </w:t>
      </w:r>
      <w:r w:rsidRPr="0065667B">
        <w:rPr>
          <w:i/>
          <w:color w:val="000000"/>
          <w:lang w:val="fr-FR"/>
        </w:rPr>
        <w:t>in</w:t>
      </w:r>
      <w:r>
        <w:rPr>
          <w:color w:val="000000"/>
          <w:lang w:val="fr-FR"/>
        </w:rPr>
        <w:t xml:space="preserve"> M. </w:t>
      </w:r>
      <w:r w:rsidRPr="0065667B">
        <w:rPr>
          <w:smallCaps/>
          <w:color w:val="000000"/>
          <w:lang w:val="fr-FR"/>
        </w:rPr>
        <w:t>Colas-Blaise</w:t>
      </w:r>
      <w:r>
        <w:rPr>
          <w:color w:val="000000"/>
          <w:lang w:val="fr-FR"/>
        </w:rPr>
        <w:t xml:space="preserve">, L. </w:t>
      </w:r>
      <w:r w:rsidRPr="0065667B">
        <w:rPr>
          <w:smallCaps/>
          <w:color w:val="000000"/>
          <w:lang w:val="fr-FR"/>
        </w:rPr>
        <w:t>Perrin</w:t>
      </w:r>
      <w:r>
        <w:rPr>
          <w:color w:val="000000"/>
          <w:lang w:val="fr-FR"/>
        </w:rPr>
        <w:t xml:space="preserve"> &amp; G. M. </w:t>
      </w:r>
      <w:r w:rsidRPr="0065667B">
        <w:rPr>
          <w:smallCaps/>
          <w:color w:val="000000"/>
          <w:lang w:val="fr-FR"/>
        </w:rPr>
        <w:t>Tore</w:t>
      </w:r>
      <w:r>
        <w:rPr>
          <w:color w:val="000000"/>
          <w:lang w:val="fr-FR"/>
        </w:rPr>
        <w:t xml:space="preserve"> (dirs),</w:t>
      </w:r>
      <w:r w:rsidRPr="00E353D8">
        <w:rPr>
          <w:color w:val="000000"/>
          <w:lang w:val="fr-FR"/>
        </w:rPr>
        <w:t xml:space="preserve"> </w:t>
      </w:r>
      <w:r w:rsidRPr="00E353D8">
        <w:rPr>
          <w:i/>
          <w:color w:val="000000"/>
          <w:lang w:val="fr-FR"/>
        </w:rPr>
        <w:t>L’énonciation aujourd’hui. Un concept clé des sciences du langage</w:t>
      </w:r>
      <w:r w:rsidRPr="00E353D8">
        <w:rPr>
          <w:color w:val="000000"/>
          <w:lang w:val="fr-FR"/>
        </w:rPr>
        <w:t>, Limoges, Lambert-Lucas, p</w:t>
      </w:r>
      <w:r>
        <w:rPr>
          <w:color w:val="000000"/>
          <w:lang w:val="fr-FR"/>
        </w:rPr>
        <w:t>p</w:t>
      </w:r>
      <w:r w:rsidRPr="00E353D8">
        <w:rPr>
          <w:color w:val="000000"/>
          <w:lang w:val="fr-FR"/>
        </w:rPr>
        <w:t>.</w:t>
      </w:r>
      <w:r>
        <w:rPr>
          <w:color w:val="000000"/>
          <w:lang w:val="fr-FR"/>
        </w:rPr>
        <w:t> </w:t>
      </w:r>
      <w:r w:rsidRPr="00E353D8">
        <w:rPr>
          <w:color w:val="000000"/>
          <w:lang w:val="fr-FR"/>
        </w:rPr>
        <w:t>51-68.</w:t>
      </w:r>
      <w:r w:rsidRPr="00F8009C">
        <w:t xml:space="preserve"> </w:t>
      </w:r>
    </w:p>
    <w:p w:rsidR="002C399C" w:rsidRPr="00CA7962" w:rsidRDefault="002C399C" w:rsidP="002C399C">
      <w:pPr>
        <w:spacing w:line="276" w:lineRule="auto"/>
        <w:jc w:val="both"/>
        <w:rPr>
          <w:color w:val="000000" w:themeColor="text1"/>
        </w:rPr>
      </w:pPr>
      <w:r w:rsidRPr="00793664">
        <w:rPr>
          <w:smallCaps/>
        </w:rPr>
        <w:t>Lassègue,</w:t>
      </w:r>
      <w:r w:rsidRPr="00E32ED6">
        <w:t xml:space="preserve"> Jean (2002), « Note sur l’actualité de la notion de forme symbolique », </w:t>
      </w:r>
      <w:r w:rsidRPr="00E32ED6">
        <w:rPr>
          <w:i/>
        </w:rPr>
        <w:t>Methodos. Savoirs et textes</w:t>
      </w:r>
      <w:r w:rsidRPr="00E32ED6">
        <w:t>, 2. Disponible sur </w:t>
      </w:r>
      <w:r w:rsidRPr="00CA7962">
        <w:rPr>
          <w:color w:val="000000" w:themeColor="text1"/>
        </w:rPr>
        <w:t>: &lt;</w:t>
      </w:r>
      <w:hyperlink r:id="rId21" w:history="1">
        <w:r w:rsidRPr="00CA7962">
          <w:rPr>
            <w:rStyle w:val="Lienhypertexte"/>
            <w:color w:val="000000" w:themeColor="text1"/>
            <w:u w:val="none"/>
          </w:rPr>
          <w:t>https://doi.org/10.4000/methodos.88</w:t>
        </w:r>
      </w:hyperlink>
      <w:r w:rsidRPr="00CA7962">
        <w:rPr>
          <w:color w:val="000000" w:themeColor="text1"/>
        </w:rPr>
        <w:t>&gt;</w:t>
      </w:r>
    </w:p>
    <w:p w:rsidR="002C399C" w:rsidRPr="00E32ED6" w:rsidRDefault="002C399C" w:rsidP="002C399C">
      <w:pPr>
        <w:spacing w:after="120" w:line="276" w:lineRule="auto"/>
        <w:jc w:val="both"/>
      </w:pPr>
      <w:r w:rsidRPr="00E32ED6">
        <w:t xml:space="preserve">(consulté le 28/07/2022)  </w:t>
      </w:r>
    </w:p>
    <w:p w:rsidR="002C399C" w:rsidRPr="00F8009C" w:rsidRDefault="002C399C" w:rsidP="002C399C">
      <w:pPr>
        <w:spacing w:after="120" w:line="276" w:lineRule="auto"/>
        <w:jc w:val="both"/>
      </w:pPr>
      <w:r w:rsidRPr="00F6405B">
        <w:rPr>
          <w:smallCaps/>
        </w:rPr>
        <w:t>Léotard-Sommer</w:t>
      </w:r>
      <w:r w:rsidRPr="00F8009C">
        <w:t xml:space="preserve"> Christine de</w:t>
      </w:r>
      <w:r>
        <w:t xml:space="preserve"> (2014)</w:t>
      </w:r>
      <w:r w:rsidRPr="00F8009C">
        <w:t xml:space="preserve">, « Le Rosso du MNHA : une image de mémoire », </w:t>
      </w:r>
      <w:r w:rsidRPr="00F8009C">
        <w:rPr>
          <w:i/>
        </w:rPr>
        <w:t>Hémecht</w:t>
      </w:r>
      <w:r w:rsidRPr="00F8009C">
        <w:t>, 66, p</w:t>
      </w:r>
      <w:r>
        <w:t>p</w:t>
      </w:r>
      <w:r w:rsidRPr="00F8009C">
        <w:t>. 25-52.</w:t>
      </w:r>
    </w:p>
    <w:p w:rsidR="002C399C" w:rsidRPr="00F6405B" w:rsidRDefault="002C399C" w:rsidP="002C399C">
      <w:pPr>
        <w:pStyle w:val="Titre1"/>
        <w:spacing w:before="0" w:beforeAutospacing="0" w:after="120" w:afterAutospacing="0" w:line="276" w:lineRule="auto"/>
        <w:jc w:val="both"/>
        <w:rPr>
          <w:b w:val="0"/>
          <w:bCs w:val="0"/>
          <w:color w:val="333333"/>
          <w:sz w:val="24"/>
          <w:szCs w:val="24"/>
        </w:rPr>
      </w:pPr>
      <w:r w:rsidRPr="00F6405B">
        <w:rPr>
          <w:b w:val="0"/>
          <w:smallCaps/>
          <w:sz w:val="24"/>
          <w:szCs w:val="24"/>
        </w:rPr>
        <w:t>Léotard-Sommer</w:t>
      </w:r>
      <w:r w:rsidRPr="00F6405B">
        <w:rPr>
          <w:b w:val="0"/>
          <w:sz w:val="24"/>
          <w:szCs w:val="24"/>
        </w:rPr>
        <w:t xml:space="preserve"> Christine de</w:t>
      </w:r>
      <w:r>
        <w:rPr>
          <w:b w:val="0"/>
          <w:sz w:val="24"/>
          <w:szCs w:val="24"/>
        </w:rPr>
        <w:t xml:space="preserve"> (2019)</w:t>
      </w:r>
      <w:r w:rsidRPr="00F6405B">
        <w:rPr>
          <w:b w:val="0"/>
          <w:sz w:val="24"/>
          <w:szCs w:val="24"/>
        </w:rPr>
        <w:t>,</w:t>
      </w:r>
      <w:r w:rsidRPr="00F8009C">
        <w:rPr>
          <w:sz w:val="24"/>
          <w:szCs w:val="24"/>
        </w:rPr>
        <w:t xml:space="preserve"> </w:t>
      </w:r>
      <w:r w:rsidRPr="00F6405B">
        <w:rPr>
          <w:b w:val="0"/>
          <w:sz w:val="24"/>
          <w:szCs w:val="24"/>
        </w:rPr>
        <w:t>« </w:t>
      </w:r>
      <w:r w:rsidRPr="00F6405B">
        <w:rPr>
          <w:b w:val="0"/>
          <w:bCs w:val="0"/>
          <w:color w:val="333333"/>
          <w:sz w:val="24"/>
          <w:szCs w:val="24"/>
        </w:rPr>
        <w:t xml:space="preserve">Maniérisme et Art de mémoire plastique à Fontainebleau: un exemple majeur de la Galerie François </w:t>
      </w:r>
      <w:r>
        <w:rPr>
          <w:b w:val="0"/>
          <w:bCs w:val="0"/>
          <w:color w:val="333333"/>
          <w:sz w:val="24"/>
          <w:szCs w:val="24"/>
        </w:rPr>
        <w:t>I</w:t>
      </w:r>
      <w:r w:rsidRPr="00F6405B">
        <w:rPr>
          <w:b w:val="0"/>
          <w:bCs w:val="0"/>
          <w:color w:val="333333"/>
          <w:sz w:val="24"/>
          <w:szCs w:val="24"/>
          <w:vertAlign w:val="superscript"/>
        </w:rPr>
        <w:t>er</w:t>
      </w:r>
      <w:r w:rsidRPr="00F6405B">
        <w:rPr>
          <w:b w:val="0"/>
          <w:bCs w:val="0"/>
          <w:color w:val="333333"/>
          <w:sz w:val="24"/>
          <w:szCs w:val="24"/>
        </w:rPr>
        <w:t xml:space="preserve">. </w:t>
      </w:r>
      <w:r w:rsidRPr="00F6405B">
        <w:rPr>
          <w:b w:val="0"/>
          <w:sz w:val="24"/>
          <w:szCs w:val="24"/>
        </w:rPr>
        <w:t xml:space="preserve">L’art de Mémoire et sa pratique plastique à la Renaissance, dans les années 1530 : l’exemple du </w:t>
      </w:r>
      <w:r w:rsidRPr="00F6405B">
        <w:rPr>
          <w:b w:val="0"/>
          <w:i/>
          <w:sz w:val="24"/>
          <w:szCs w:val="24"/>
        </w:rPr>
        <w:t>Bacchus et Vénus</w:t>
      </w:r>
      <w:r w:rsidRPr="00F6405B">
        <w:rPr>
          <w:b w:val="0"/>
          <w:sz w:val="24"/>
          <w:szCs w:val="24"/>
        </w:rPr>
        <w:t xml:space="preserve"> de Rosso (MNHA de Luxembourg), et de son encadrement resté en place à l’extrémité Ouest de la Galerie François </w:t>
      </w:r>
      <w:r>
        <w:rPr>
          <w:b w:val="0"/>
          <w:sz w:val="24"/>
          <w:szCs w:val="24"/>
        </w:rPr>
        <w:t>I</w:t>
      </w:r>
      <w:r w:rsidRPr="00F6405B">
        <w:rPr>
          <w:b w:val="0"/>
          <w:sz w:val="24"/>
          <w:szCs w:val="24"/>
          <w:vertAlign w:val="superscript"/>
        </w:rPr>
        <w:t>er</w:t>
      </w:r>
      <w:r w:rsidRPr="00F6405B">
        <w:rPr>
          <w:b w:val="0"/>
          <w:sz w:val="24"/>
          <w:szCs w:val="24"/>
        </w:rPr>
        <w:t xml:space="preserve"> de Fontainebleau »</w:t>
      </w:r>
      <w:r>
        <w:rPr>
          <w:b w:val="0"/>
          <w:sz w:val="24"/>
          <w:szCs w:val="24"/>
        </w:rPr>
        <w:t>. D</w:t>
      </w:r>
      <w:r w:rsidRPr="00F6405B">
        <w:rPr>
          <w:b w:val="0"/>
          <w:sz w:val="24"/>
          <w:szCs w:val="24"/>
        </w:rPr>
        <w:t xml:space="preserve">isponible </w:t>
      </w:r>
      <w:r w:rsidRPr="00CA7962">
        <w:rPr>
          <w:b w:val="0"/>
          <w:color w:val="000000" w:themeColor="text1"/>
          <w:sz w:val="24"/>
          <w:szCs w:val="24"/>
        </w:rPr>
        <w:t>sur &lt;</w:t>
      </w:r>
      <w:hyperlink r:id="rId22" w:history="1">
        <w:r w:rsidRPr="00CA7962">
          <w:rPr>
            <w:rStyle w:val="Lienhypertexte"/>
            <w:b w:val="0"/>
            <w:color w:val="000000" w:themeColor="text1"/>
            <w:sz w:val="24"/>
            <w:szCs w:val="24"/>
            <w:u w:val="none"/>
          </w:rPr>
          <w:t>https://www.academia.edu</w:t>
        </w:r>
      </w:hyperlink>
      <w:r w:rsidRPr="00CA7962">
        <w:rPr>
          <w:b w:val="0"/>
          <w:color w:val="000000" w:themeColor="text1"/>
          <w:sz w:val="24"/>
          <w:szCs w:val="24"/>
        </w:rPr>
        <w:t>&gt; (</w:t>
      </w:r>
      <w:r>
        <w:rPr>
          <w:b w:val="0"/>
          <w:sz w:val="24"/>
          <w:szCs w:val="24"/>
        </w:rPr>
        <w:t xml:space="preserve">consulté le 28/07/2022). </w:t>
      </w:r>
    </w:p>
    <w:p w:rsidR="002C399C" w:rsidRDefault="002C399C" w:rsidP="002C399C">
      <w:pPr>
        <w:spacing w:after="120" w:line="276" w:lineRule="auto"/>
        <w:jc w:val="both"/>
      </w:pPr>
      <w:r w:rsidRPr="00F6405B">
        <w:rPr>
          <w:smallCaps/>
        </w:rPr>
        <w:lastRenderedPageBreak/>
        <w:t>Michaud</w:t>
      </w:r>
      <w:r w:rsidRPr="00F8009C">
        <w:t xml:space="preserve"> Philippe-Alain</w:t>
      </w:r>
      <w:r>
        <w:t xml:space="preserve"> (1998)</w:t>
      </w:r>
      <w:r w:rsidRPr="00F8009C">
        <w:t xml:space="preserve">, </w:t>
      </w:r>
      <w:r w:rsidRPr="00405F50">
        <w:rPr>
          <w:i/>
        </w:rPr>
        <w:t>Aby Warburg et l’image en mouvement</w:t>
      </w:r>
      <w:r w:rsidRPr="00F8009C">
        <w:t>, Paris, Éditions Macula</w:t>
      </w:r>
      <w:r>
        <w:t> ; réédition 2022</w:t>
      </w:r>
      <w:r w:rsidRPr="00F8009C">
        <w:t xml:space="preserve">. </w:t>
      </w:r>
    </w:p>
    <w:p w:rsidR="002C399C" w:rsidRPr="0056279A" w:rsidRDefault="002C399C" w:rsidP="002C399C">
      <w:pPr>
        <w:spacing w:after="120" w:line="276" w:lineRule="auto"/>
        <w:jc w:val="both"/>
      </w:pPr>
      <w:r w:rsidRPr="0056279A">
        <w:rPr>
          <w:smallCaps/>
          <w:color w:val="000000"/>
          <w:lang w:val="en"/>
        </w:rPr>
        <w:t>Mitchell</w:t>
      </w:r>
      <w:r w:rsidRPr="0056279A">
        <w:rPr>
          <w:color w:val="000000"/>
          <w:lang w:val="en"/>
        </w:rPr>
        <w:t>, W.J.T. (2005),</w:t>
      </w:r>
      <w:r>
        <w:rPr>
          <w:rStyle w:val="apple-converted-space"/>
          <w:color w:val="000000"/>
          <w:lang w:val="en"/>
        </w:rPr>
        <w:t xml:space="preserve"> </w:t>
      </w:r>
      <w:r w:rsidRPr="0056279A">
        <w:rPr>
          <w:rStyle w:val="Accentuation"/>
          <w:color w:val="000000"/>
          <w:lang w:val="en"/>
        </w:rPr>
        <w:t>What do Picture Want. The Lives and Loves of Images</w:t>
      </w:r>
      <w:r w:rsidRPr="0056279A">
        <w:rPr>
          <w:color w:val="000000"/>
          <w:lang w:val="en"/>
        </w:rPr>
        <w:t xml:space="preserve">, Chicago, Chicago University </w:t>
      </w:r>
      <w:proofErr w:type="gramStart"/>
      <w:r w:rsidRPr="0056279A">
        <w:rPr>
          <w:color w:val="000000"/>
          <w:lang w:val="en"/>
        </w:rPr>
        <w:t>Press</w:t>
      </w:r>
      <w:r>
        <w:rPr>
          <w:color w:val="000000"/>
          <w:lang w:val="en"/>
        </w:rPr>
        <w:t> </w:t>
      </w:r>
      <w:r w:rsidRPr="0056279A">
        <w:rPr>
          <w:color w:val="000000"/>
          <w:lang w:val="en"/>
        </w:rPr>
        <w:t>;</w:t>
      </w:r>
      <w:proofErr w:type="gramEnd"/>
      <w:r w:rsidRPr="0056279A">
        <w:rPr>
          <w:color w:val="000000"/>
          <w:lang w:val="en"/>
        </w:rPr>
        <w:t xml:space="preserve"> tr. fr.</w:t>
      </w:r>
      <w:r>
        <w:rPr>
          <w:rStyle w:val="apple-converted-space"/>
          <w:color w:val="000000"/>
          <w:lang w:val="en"/>
        </w:rPr>
        <w:t xml:space="preserve"> </w:t>
      </w:r>
      <w:r w:rsidRPr="0056279A">
        <w:rPr>
          <w:rStyle w:val="Accentuation"/>
          <w:color w:val="000000"/>
        </w:rPr>
        <w:t>Que veulent les images ? Une critique de la culture visuelle</w:t>
      </w:r>
      <w:r w:rsidRPr="0056279A">
        <w:rPr>
          <w:color w:val="000000"/>
          <w:shd w:val="clear" w:color="auto" w:fill="FFFFFF"/>
        </w:rPr>
        <w:t>, Paris, Les Presses du Réel, 2014.</w:t>
      </w:r>
    </w:p>
    <w:p w:rsidR="002C399C" w:rsidRPr="00F8009C" w:rsidRDefault="002C399C" w:rsidP="002C399C">
      <w:pPr>
        <w:spacing w:after="120" w:line="276" w:lineRule="auto"/>
        <w:jc w:val="both"/>
      </w:pPr>
      <w:r w:rsidRPr="0056279A">
        <w:rPr>
          <w:smallCaps/>
        </w:rPr>
        <w:t>Orbay</w:t>
      </w:r>
      <w:r w:rsidRPr="0056279A">
        <w:t xml:space="preserve">, François de </w:t>
      </w:r>
      <w:r>
        <w:t>(</w:t>
      </w:r>
      <w:r w:rsidRPr="0056279A">
        <w:t>1676</w:t>
      </w:r>
      <w:r>
        <w:t>)</w:t>
      </w:r>
      <w:r w:rsidRPr="0056279A">
        <w:t xml:space="preserve">, </w:t>
      </w:r>
      <w:r w:rsidRPr="0056279A">
        <w:rPr>
          <w:i/>
          <w:iCs/>
        </w:rPr>
        <w:t>Coupe sur la galerie François I</w:t>
      </w:r>
      <w:r w:rsidRPr="007B5A8C">
        <w:rPr>
          <w:i/>
          <w:iCs/>
          <w:vertAlign w:val="superscript"/>
        </w:rPr>
        <w:t>er</w:t>
      </w:r>
      <w:r w:rsidRPr="0056279A">
        <w:rPr>
          <w:i/>
          <w:iCs/>
        </w:rPr>
        <w:t xml:space="preserve"> avec façade en retour de la Belle</w:t>
      </w:r>
      <w:r w:rsidRPr="00F8009C">
        <w:rPr>
          <w:i/>
          <w:iCs/>
        </w:rPr>
        <w:t xml:space="preserve"> Cheminée, </w:t>
      </w:r>
      <w:r w:rsidRPr="00F8009C">
        <w:t xml:space="preserve">Paris Archives Nationales, </w:t>
      </w:r>
      <w:r>
        <w:t>S</w:t>
      </w:r>
      <w:r w:rsidRPr="00F8009C">
        <w:t xml:space="preserve">ervice des cartes et des plans. </w:t>
      </w:r>
    </w:p>
    <w:p w:rsidR="002C399C" w:rsidRPr="00F8009C" w:rsidRDefault="002C399C" w:rsidP="002C399C">
      <w:pPr>
        <w:spacing w:after="120" w:line="276" w:lineRule="auto"/>
        <w:jc w:val="both"/>
        <w:rPr>
          <w:color w:val="1B1B1B"/>
          <w:lang w:val="de-DE"/>
        </w:rPr>
      </w:pPr>
      <w:r w:rsidRPr="00BC12B5">
        <w:rPr>
          <w:rStyle w:val="apple-converted-space"/>
          <w:smallCaps/>
          <w:color w:val="000000" w:themeColor="text1"/>
          <w:lang w:val="en-US"/>
        </w:rPr>
        <w:t>Panofsky,</w:t>
      </w:r>
      <w:r w:rsidRPr="00BC12B5">
        <w:rPr>
          <w:rStyle w:val="apple-converted-space"/>
          <w:color w:val="000000" w:themeColor="text1"/>
          <w:lang w:val="en-US"/>
        </w:rPr>
        <w:t xml:space="preserve"> Erwin (1939), </w:t>
      </w:r>
      <w:r w:rsidRPr="00BC12B5">
        <w:rPr>
          <w:rStyle w:val="apple-converted-space"/>
          <w:i/>
          <w:color w:val="000000" w:themeColor="text1"/>
          <w:lang w:val="en-US"/>
        </w:rPr>
        <w:t xml:space="preserve">Studies in Iconology. </w:t>
      </w:r>
      <w:r w:rsidRPr="007E39CF">
        <w:rPr>
          <w:rStyle w:val="apple-converted-space"/>
          <w:i/>
          <w:color w:val="000000" w:themeColor="text1"/>
          <w:lang w:val="en-US"/>
        </w:rPr>
        <w:t>Humanistic Themes In the Art of the Renaissance</w:t>
      </w:r>
      <w:r w:rsidRPr="007E39CF">
        <w:rPr>
          <w:rStyle w:val="apple-converted-space"/>
          <w:color w:val="000000" w:themeColor="text1"/>
          <w:lang w:val="en-US"/>
        </w:rPr>
        <w:t xml:space="preserve">, </w:t>
      </w:r>
      <w:r>
        <w:rPr>
          <w:rStyle w:val="apple-converted-space"/>
          <w:color w:val="000000" w:themeColor="text1"/>
          <w:lang w:val="en-US"/>
        </w:rPr>
        <w:t xml:space="preserve">New York, </w:t>
      </w:r>
      <w:r w:rsidRPr="007E39CF">
        <w:rPr>
          <w:rStyle w:val="apple-converted-space"/>
          <w:color w:val="000000" w:themeColor="text1"/>
          <w:lang w:val="en-US"/>
        </w:rPr>
        <w:t xml:space="preserve">Oxford University </w:t>
      </w:r>
      <w:proofErr w:type="gramStart"/>
      <w:r w:rsidRPr="007E39CF">
        <w:rPr>
          <w:rStyle w:val="apple-converted-space"/>
          <w:color w:val="000000" w:themeColor="text1"/>
          <w:lang w:val="en-US"/>
        </w:rPr>
        <w:t>Press ;</w:t>
      </w:r>
      <w:proofErr w:type="gramEnd"/>
      <w:r w:rsidRPr="007E39CF">
        <w:rPr>
          <w:rStyle w:val="apple-converted-space"/>
          <w:color w:val="000000" w:themeColor="text1"/>
          <w:lang w:val="en-US"/>
        </w:rPr>
        <w:t xml:space="preserve"> trad. fr. </w:t>
      </w:r>
      <w:r>
        <w:rPr>
          <w:rStyle w:val="apple-converted-space"/>
          <w:color w:val="000000" w:themeColor="text1"/>
        </w:rPr>
        <w:t>C. Herbette et B. Teyssèdre,</w:t>
      </w:r>
      <w:r w:rsidRPr="007E39CF">
        <w:rPr>
          <w:rStyle w:val="apple-converted-space"/>
          <w:i/>
          <w:color w:val="000000" w:themeColor="text1"/>
        </w:rPr>
        <w:t xml:space="preserve"> Essais </w:t>
      </w:r>
      <w:proofErr w:type="gramStart"/>
      <w:r w:rsidRPr="007E39CF">
        <w:rPr>
          <w:rStyle w:val="apple-converted-space"/>
          <w:i/>
          <w:color w:val="000000" w:themeColor="text1"/>
        </w:rPr>
        <w:t>d’iconologie :</w:t>
      </w:r>
      <w:proofErr w:type="gramEnd"/>
      <w:r w:rsidRPr="007E39CF">
        <w:rPr>
          <w:rStyle w:val="apple-converted-space"/>
          <w:i/>
          <w:color w:val="000000" w:themeColor="text1"/>
        </w:rPr>
        <w:t xml:space="preserve"> thèmes humanistes dans l’art de la Renaissance</w:t>
      </w:r>
      <w:r w:rsidRPr="007E39CF">
        <w:rPr>
          <w:rStyle w:val="apple-converted-space"/>
          <w:color w:val="000000" w:themeColor="text1"/>
        </w:rPr>
        <w:t>, Paris, Gallimard, 1967</w:t>
      </w:r>
      <w:r>
        <w:rPr>
          <w:rStyle w:val="apple-converted-space"/>
          <w:color w:val="000000" w:themeColor="text1"/>
        </w:rPr>
        <w:t xml:space="preserve"> ; trad. all. </w:t>
      </w:r>
      <w:r w:rsidRPr="007E39CF">
        <w:rPr>
          <w:color w:val="000000" w:themeColor="text1"/>
          <w:lang w:val="de-DE"/>
        </w:rPr>
        <w:t>D. Schwarz</w:t>
      </w:r>
      <w:r>
        <w:rPr>
          <w:color w:val="000000" w:themeColor="text1"/>
          <w:lang w:val="de-DE"/>
        </w:rPr>
        <w:t>,</w:t>
      </w:r>
      <w:r>
        <w:rPr>
          <w:rStyle w:val="apple-converted-space"/>
          <w:color w:val="000000" w:themeColor="text1"/>
          <w:lang w:val="de-DE"/>
        </w:rPr>
        <w:t xml:space="preserve"> </w:t>
      </w:r>
      <w:r w:rsidRPr="007E39CF">
        <w:rPr>
          <w:i/>
          <w:iCs/>
          <w:color w:val="000000" w:themeColor="text1"/>
          <w:lang w:val="de-DE"/>
        </w:rPr>
        <w:t xml:space="preserve">Studien zur Ikonologie. </w:t>
      </w:r>
      <w:r w:rsidRPr="00F8009C">
        <w:rPr>
          <w:i/>
          <w:iCs/>
          <w:color w:val="1B1B1B"/>
          <w:lang w:val="de-DE"/>
        </w:rPr>
        <w:t>Humanistische Themen in der Kunst der Renaissance</w:t>
      </w:r>
      <w:r>
        <w:rPr>
          <w:color w:val="1B1B1B"/>
          <w:lang w:val="de-DE"/>
        </w:rPr>
        <w:t xml:space="preserve">, Köln, </w:t>
      </w:r>
      <w:r w:rsidRPr="00F8009C">
        <w:rPr>
          <w:color w:val="1B1B1B"/>
          <w:lang w:val="de-DE"/>
        </w:rPr>
        <w:t>Dumont, 1980</w:t>
      </w:r>
      <w:r>
        <w:rPr>
          <w:color w:val="1B1B1B"/>
          <w:lang w:val="de-DE"/>
        </w:rPr>
        <w:t xml:space="preserve">. </w:t>
      </w:r>
    </w:p>
    <w:p w:rsidR="002C399C" w:rsidRDefault="002C399C" w:rsidP="002C399C">
      <w:pPr>
        <w:pStyle w:val="NormalWeb"/>
        <w:spacing w:before="0" w:beforeAutospacing="0" w:after="120" w:afterAutospacing="0" w:line="276" w:lineRule="auto"/>
        <w:jc w:val="both"/>
      </w:pPr>
      <w:r w:rsidRPr="007E39CF">
        <w:rPr>
          <w:smallCaps/>
        </w:rPr>
        <w:t>Picheau</w:t>
      </w:r>
      <w:r>
        <w:t>, Laëtitia (2018)</w:t>
      </w:r>
      <w:r w:rsidRPr="00F8009C">
        <w:t>, « Histoire matérielle de la réception de la galerie François I</w:t>
      </w:r>
      <w:r w:rsidRPr="00CA7962">
        <w:rPr>
          <w:position w:val="8"/>
          <w:vertAlign w:val="superscript"/>
        </w:rPr>
        <w:t>er</w:t>
      </w:r>
      <w:r>
        <w:rPr>
          <w:position w:val="8"/>
        </w:rPr>
        <w:t> </w:t>
      </w:r>
      <w:r w:rsidRPr="00F8009C">
        <w:t xml:space="preserve">», </w:t>
      </w:r>
      <w:r w:rsidRPr="00F6405B">
        <w:rPr>
          <w:i/>
        </w:rPr>
        <w:t>in</w:t>
      </w:r>
      <w:r>
        <w:t xml:space="preserve"> </w:t>
      </w:r>
      <w:r w:rsidRPr="00F8009C">
        <w:t>C</w:t>
      </w:r>
      <w:r>
        <w:t>.</w:t>
      </w:r>
      <w:r w:rsidRPr="00F8009C">
        <w:t xml:space="preserve"> </w:t>
      </w:r>
      <w:r w:rsidRPr="007E39CF">
        <w:rPr>
          <w:smallCaps/>
        </w:rPr>
        <w:t>Betelu</w:t>
      </w:r>
      <w:r w:rsidRPr="00F8009C">
        <w:t>, A</w:t>
      </w:r>
      <w:r>
        <w:t>.</w:t>
      </w:r>
      <w:r w:rsidRPr="00F8009C">
        <w:t xml:space="preserve"> </w:t>
      </w:r>
      <w:r w:rsidRPr="007E39CF">
        <w:rPr>
          <w:smallCaps/>
        </w:rPr>
        <w:t xml:space="preserve">Servais </w:t>
      </w:r>
      <w:r>
        <w:t>&amp;</w:t>
      </w:r>
      <w:r w:rsidRPr="00F8009C">
        <w:t xml:space="preserve"> C</w:t>
      </w:r>
      <w:r>
        <w:t>.</w:t>
      </w:r>
      <w:r w:rsidRPr="00F8009C">
        <w:t xml:space="preserve"> </w:t>
      </w:r>
      <w:r w:rsidRPr="007E39CF">
        <w:rPr>
          <w:smallCaps/>
        </w:rPr>
        <w:t xml:space="preserve">Parmentier </w:t>
      </w:r>
      <w:r w:rsidRPr="00F8009C">
        <w:t>(dir</w:t>
      </w:r>
      <w:r>
        <w:t>s</w:t>
      </w:r>
      <w:r w:rsidRPr="00F8009C">
        <w:t xml:space="preserve">), </w:t>
      </w:r>
      <w:r w:rsidRPr="00F8009C">
        <w:rPr>
          <w:i/>
          <w:iCs/>
        </w:rPr>
        <w:t>Contribution à une histoire technologique de l’art</w:t>
      </w:r>
      <w:r w:rsidRPr="00F8009C">
        <w:t xml:space="preserve">, </w:t>
      </w:r>
      <w:r>
        <w:t>A</w:t>
      </w:r>
      <w:r w:rsidRPr="00F8009C">
        <w:t xml:space="preserve">ctes de journées d’étude de la composante de recherche PBC, Paris, INHA, site de l’HiCSA, </w:t>
      </w:r>
      <w:r>
        <w:t>p</w:t>
      </w:r>
      <w:r w:rsidRPr="00F8009C">
        <w:t xml:space="preserve">p. 190-199. </w:t>
      </w:r>
    </w:p>
    <w:p w:rsidR="002C399C" w:rsidRDefault="002C399C" w:rsidP="002C399C">
      <w:pPr>
        <w:pStyle w:val="NormalWeb"/>
        <w:spacing w:before="0" w:beforeAutospacing="0" w:after="120" w:afterAutospacing="0" w:line="276" w:lineRule="auto"/>
        <w:jc w:val="both"/>
      </w:pPr>
      <w:r w:rsidRPr="00405F50">
        <w:rPr>
          <w:smallCaps/>
        </w:rPr>
        <w:t>Rosenthal,</w:t>
      </w:r>
      <w:r>
        <w:t xml:space="preserve"> Victor &amp; </w:t>
      </w:r>
      <w:r w:rsidRPr="00405F50">
        <w:rPr>
          <w:smallCaps/>
        </w:rPr>
        <w:t>Visetti</w:t>
      </w:r>
      <w:r>
        <w:t xml:space="preserve">, Yves-Marie (1999), « Sens et temps de la Gestalt », </w:t>
      </w:r>
      <w:r w:rsidRPr="00405F50">
        <w:rPr>
          <w:i/>
        </w:rPr>
        <w:t>Intellectica</w:t>
      </w:r>
      <w:r>
        <w:t xml:space="preserve">, 28, pp. 147-227. </w:t>
      </w:r>
    </w:p>
    <w:p w:rsidR="002C399C" w:rsidRDefault="002C399C" w:rsidP="002C399C">
      <w:pPr>
        <w:spacing w:after="120" w:line="276" w:lineRule="auto"/>
        <w:jc w:val="both"/>
      </w:pPr>
      <w:r w:rsidRPr="00A7582B">
        <w:rPr>
          <w:smallCaps/>
        </w:rPr>
        <w:t>Thenaud</w:t>
      </w:r>
      <w:r w:rsidRPr="00A7582B">
        <w:t xml:space="preserve">, Jean (1535-1536), </w:t>
      </w:r>
      <w:r w:rsidRPr="00A7582B">
        <w:rPr>
          <w:i/>
        </w:rPr>
        <w:t>Traicté de la Cabale</w:t>
      </w:r>
      <w:r w:rsidRPr="00A7582B">
        <w:t xml:space="preserve">, </w:t>
      </w:r>
      <w:r>
        <w:t>Cabinet privé de François I</w:t>
      </w:r>
      <w:r w:rsidRPr="006734BA">
        <w:rPr>
          <w:vertAlign w:val="superscript"/>
        </w:rPr>
        <w:t>er</w:t>
      </w:r>
      <w:r>
        <w:t xml:space="preserve"> ; </w:t>
      </w:r>
      <w:r w:rsidRPr="00A7582B">
        <w:t xml:space="preserve">notice du catalogue : </w:t>
      </w:r>
      <w:r w:rsidRPr="007B5A8C">
        <w:rPr>
          <w:color w:val="000000" w:themeColor="text1"/>
        </w:rPr>
        <w:t>&lt;</w:t>
      </w:r>
      <w:hyperlink r:id="rId23" w:history="1">
        <w:r w:rsidRPr="007B5A8C">
          <w:rPr>
            <w:rStyle w:val="Lienhypertexte"/>
            <w:color w:val="000000" w:themeColor="text1"/>
            <w:u w:val="none"/>
          </w:rPr>
          <w:t>http://archivesetmanuscrits.bnf.fr/ark:/12148/cc8</w:t>
        </w:r>
      </w:hyperlink>
      <w:r w:rsidRPr="007B5A8C">
        <w:rPr>
          <w:color w:val="000000" w:themeColor="text1"/>
        </w:rPr>
        <w:t>&gt; </w:t>
      </w:r>
      <w:r>
        <w:rPr>
          <w:color w:val="000000" w:themeColor="text1"/>
        </w:rPr>
        <w:t xml:space="preserve"> (consulté le 28/07/2022) </w:t>
      </w:r>
      <w:r w:rsidRPr="007B5A8C">
        <w:rPr>
          <w:color w:val="000000" w:themeColor="text1"/>
        </w:rPr>
        <w:t>; réédition, Paris</w:t>
      </w:r>
      <w:r w:rsidRPr="00A7582B">
        <w:t xml:space="preserve">, Honoré Champion, 2007. </w:t>
      </w:r>
    </w:p>
    <w:p w:rsidR="002C399C" w:rsidRPr="00990339" w:rsidRDefault="002C399C" w:rsidP="002C399C">
      <w:pPr>
        <w:pStyle w:val="Default"/>
        <w:spacing w:after="120" w:line="276" w:lineRule="auto"/>
        <w:jc w:val="both"/>
        <w:rPr>
          <w:rFonts w:ascii="Times New Roman" w:hAnsi="Times New Roman" w:cs="Times New Roman"/>
        </w:rPr>
      </w:pPr>
      <w:r w:rsidRPr="00990339">
        <w:rPr>
          <w:rFonts w:ascii="Times New Roman" w:hAnsi="Times New Roman" w:cs="Times New Roman"/>
          <w:smallCaps/>
          <w:color w:val="000000" w:themeColor="text1"/>
          <w:lang w:val="en-US"/>
        </w:rPr>
        <w:t>Tore</w:t>
      </w:r>
      <w:r>
        <w:rPr>
          <w:rFonts w:ascii="Times New Roman" w:hAnsi="Times New Roman" w:cs="Times New Roman"/>
          <w:smallCaps/>
          <w:color w:val="000000" w:themeColor="text1"/>
          <w:lang w:val="en-US"/>
        </w:rPr>
        <w:t>,</w:t>
      </w:r>
      <w:r w:rsidRPr="00990339">
        <w:rPr>
          <w:rFonts w:ascii="Times New Roman" w:hAnsi="Times New Roman" w:cs="Times New Roman"/>
          <w:smallCaps/>
          <w:color w:val="000000" w:themeColor="text1"/>
          <w:lang w:val="en-US"/>
        </w:rPr>
        <w:t xml:space="preserve"> </w:t>
      </w:r>
      <w:r w:rsidRPr="00990339">
        <w:rPr>
          <w:rFonts w:ascii="Times New Roman" w:hAnsi="Times New Roman" w:cs="Times New Roman"/>
          <w:color w:val="000000" w:themeColor="text1"/>
          <w:lang w:val="en-US"/>
        </w:rPr>
        <w:t>Gian Maria</w:t>
      </w:r>
      <w:r>
        <w:rPr>
          <w:rFonts w:ascii="Times New Roman" w:hAnsi="Times New Roman" w:cs="Times New Roman"/>
          <w:color w:val="000000" w:themeColor="text1"/>
          <w:lang w:val="en-US"/>
        </w:rPr>
        <w:t xml:space="preserve"> (2011),</w:t>
      </w:r>
      <w:r w:rsidRPr="00990339">
        <w:rPr>
          <w:rFonts w:ascii="Times New Roman" w:hAnsi="Times New Roman" w:cs="Times New Roman"/>
          <w:color w:val="000000" w:themeColor="text1"/>
          <w:lang w:val="en-US"/>
        </w:rPr>
        <w:t xml:space="preserve"> « </w:t>
      </w:r>
      <w:r w:rsidRPr="00990339">
        <w:rPr>
          <w:rFonts w:ascii="Times New Roman" w:hAnsi="Times New Roman" w:cs="Times New Roman"/>
          <w:i/>
          <w:iCs/>
          <w:lang w:val="en-US"/>
        </w:rPr>
        <w:t>Remake</w:t>
      </w:r>
      <w:r w:rsidRPr="00990339">
        <w:rPr>
          <w:rFonts w:ascii="Times New Roman" w:hAnsi="Times New Roman" w:cs="Times New Roman"/>
          <w:lang w:val="en-US"/>
        </w:rPr>
        <w:t xml:space="preserve">, </w:t>
      </w:r>
      <w:r w:rsidRPr="00990339">
        <w:rPr>
          <w:rFonts w:ascii="Times New Roman" w:hAnsi="Times New Roman" w:cs="Times New Roman"/>
          <w:i/>
          <w:iCs/>
          <w:lang w:val="en-US"/>
        </w:rPr>
        <w:t>Rewind</w:t>
      </w:r>
      <w:r w:rsidRPr="00990339">
        <w:rPr>
          <w:rFonts w:ascii="Times New Roman" w:hAnsi="Times New Roman" w:cs="Times New Roman"/>
          <w:lang w:val="en-US"/>
        </w:rPr>
        <w:t xml:space="preserve">, </w:t>
      </w:r>
      <w:proofErr w:type="gramStart"/>
      <w:r w:rsidRPr="00990339">
        <w:rPr>
          <w:rFonts w:ascii="Times New Roman" w:hAnsi="Times New Roman" w:cs="Times New Roman"/>
          <w:i/>
          <w:iCs/>
          <w:lang w:val="en-US"/>
        </w:rPr>
        <w:t>Reset</w:t>
      </w:r>
      <w:r>
        <w:rPr>
          <w:rFonts w:ascii="Times New Roman" w:hAnsi="Times New Roman" w:cs="Times New Roman"/>
          <w:i/>
          <w:iCs/>
          <w:lang w:val="en-US"/>
        </w:rPr>
        <w:t> </w:t>
      </w:r>
      <w:r w:rsidRPr="00990339">
        <w:rPr>
          <w:rFonts w:ascii="Times New Roman" w:hAnsi="Times New Roman" w:cs="Times New Roman"/>
          <w:lang w:val="en-US"/>
        </w:rPr>
        <w:t>!</w:t>
      </w:r>
      <w:proofErr w:type="gramEnd"/>
      <w:r w:rsidRPr="00990339">
        <w:rPr>
          <w:rFonts w:ascii="Times New Roman" w:hAnsi="Times New Roman" w:cs="Times New Roman"/>
          <w:lang w:val="en-US"/>
        </w:rPr>
        <w:t xml:space="preserve"> </w:t>
      </w:r>
      <w:r w:rsidRPr="00990339">
        <w:rPr>
          <w:rFonts w:ascii="Times New Roman" w:hAnsi="Times New Roman" w:cs="Times New Roman"/>
        </w:rPr>
        <w:t>La</w:t>
      </w:r>
      <w:r>
        <w:rPr>
          <w:rFonts w:ascii="Times New Roman" w:hAnsi="Times New Roman" w:cs="Times New Roman"/>
        </w:rPr>
        <w:t xml:space="preserve"> </w:t>
      </w:r>
      <w:r w:rsidRPr="00990339">
        <w:rPr>
          <w:rFonts w:ascii="Times New Roman" w:hAnsi="Times New Roman" w:cs="Times New Roman"/>
        </w:rPr>
        <w:t xml:space="preserve">question du </w:t>
      </w:r>
      <w:r>
        <w:rPr>
          <w:rFonts w:ascii="Times New Roman" w:hAnsi="Times New Roman" w:cs="Times New Roman"/>
        </w:rPr>
        <w:t>“</w:t>
      </w:r>
      <w:r w:rsidRPr="00990339">
        <w:rPr>
          <w:rFonts w:ascii="Times New Roman" w:hAnsi="Times New Roman" w:cs="Times New Roman"/>
        </w:rPr>
        <w:t>re-</w:t>
      </w:r>
      <w:r>
        <w:rPr>
          <w:rFonts w:ascii="Times New Roman" w:hAnsi="Times New Roman" w:cs="Times New Roman"/>
        </w:rPr>
        <w:t>”</w:t>
      </w:r>
      <w:r w:rsidRPr="00990339">
        <w:rPr>
          <w:rFonts w:ascii="Times New Roman" w:hAnsi="Times New Roman" w:cs="Times New Roman"/>
        </w:rPr>
        <w:t xml:space="preserve"> et la leçon des arts et des médias aujourd’hui », </w:t>
      </w:r>
      <w:r w:rsidRPr="00460F27">
        <w:rPr>
          <w:rFonts w:ascii="Times New Roman" w:hAnsi="Times New Roman" w:cs="Times New Roman"/>
          <w:i/>
          <w:color w:val="000000" w:themeColor="text1"/>
        </w:rPr>
        <w:t>in</w:t>
      </w:r>
      <w:r>
        <w:rPr>
          <w:rFonts w:ascii="Times New Roman" w:hAnsi="Times New Roman" w:cs="Times New Roman"/>
          <w:color w:val="000000" w:themeColor="text1"/>
        </w:rPr>
        <w:t xml:space="preserve"> M. </w:t>
      </w:r>
      <w:r w:rsidRPr="00460F27">
        <w:rPr>
          <w:rFonts w:ascii="Times New Roman" w:hAnsi="Times New Roman" w:cs="Times New Roman"/>
          <w:smallCaps/>
          <w:color w:val="000000" w:themeColor="text1"/>
        </w:rPr>
        <w:t>Colas-Blaise</w:t>
      </w:r>
      <w:r>
        <w:rPr>
          <w:rFonts w:ascii="Times New Roman" w:hAnsi="Times New Roman" w:cs="Times New Roman"/>
          <w:color w:val="000000" w:themeColor="text1"/>
        </w:rPr>
        <w:t xml:space="preserve"> &amp; G. </w:t>
      </w:r>
      <w:r w:rsidRPr="00460F27">
        <w:rPr>
          <w:rFonts w:ascii="Times New Roman" w:hAnsi="Times New Roman" w:cs="Times New Roman"/>
          <w:smallCaps/>
          <w:color w:val="000000" w:themeColor="text1"/>
        </w:rPr>
        <w:t>Tore</w:t>
      </w:r>
      <w:r>
        <w:rPr>
          <w:rFonts w:ascii="Times New Roman" w:hAnsi="Times New Roman" w:cs="Times New Roman"/>
          <w:color w:val="000000" w:themeColor="text1"/>
        </w:rPr>
        <w:t xml:space="preserve"> (dirs),</w:t>
      </w:r>
      <w:r w:rsidRPr="00990339">
        <w:rPr>
          <w:rFonts w:ascii="Times New Roman" w:hAnsi="Times New Roman" w:cs="Times New Roman"/>
        </w:rPr>
        <w:t xml:space="preserve"> </w:t>
      </w:r>
      <w:r w:rsidRPr="00990339">
        <w:rPr>
          <w:rFonts w:ascii="Times New Roman" w:hAnsi="Times New Roman" w:cs="Times New Roman"/>
          <w:i/>
        </w:rPr>
        <w:t>« Re</w:t>
      </w:r>
      <w:proofErr w:type="gramStart"/>
      <w:r w:rsidRPr="00990339">
        <w:rPr>
          <w:rFonts w:ascii="Times New Roman" w:hAnsi="Times New Roman" w:cs="Times New Roman"/>
          <w:i/>
        </w:rPr>
        <w:t>-»</w:t>
      </w:r>
      <w:proofErr w:type="gramEnd"/>
      <w:r w:rsidRPr="00990339">
        <w:rPr>
          <w:rFonts w:ascii="Times New Roman" w:hAnsi="Times New Roman" w:cs="Times New Roman"/>
          <w:i/>
        </w:rPr>
        <w:t>.</w:t>
      </w:r>
      <w:r w:rsidRPr="00990339">
        <w:rPr>
          <w:rFonts w:ascii="Times New Roman" w:hAnsi="Times New Roman" w:cs="Times New Roman"/>
        </w:rPr>
        <w:t xml:space="preserve"> </w:t>
      </w:r>
      <w:r w:rsidRPr="00990339">
        <w:rPr>
          <w:rFonts w:ascii="Times New Roman" w:hAnsi="Times New Roman" w:cs="Times New Roman"/>
          <w:i/>
        </w:rPr>
        <w:t>Répétition et reproduction dans les arts et les médias</w:t>
      </w:r>
      <w:r w:rsidRPr="00990339">
        <w:rPr>
          <w:rFonts w:ascii="Times New Roman" w:hAnsi="Times New Roman" w:cs="Times New Roman"/>
        </w:rPr>
        <w:t xml:space="preserve">, Paris, Mimésis, </w:t>
      </w:r>
      <w:r>
        <w:rPr>
          <w:rFonts w:ascii="Times New Roman" w:hAnsi="Times New Roman" w:cs="Times New Roman"/>
        </w:rPr>
        <w:t>p</w:t>
      </w:r>
      <w:r w:rsidRPr="00990339">
        <w:rPr>
          <w:rFonts w:ascii="Times New Roman" w:hAnsi="Times New Roman" w:cs="Times New Roman"/>
        </w:rPr>
        <w:t>p.</w:t>
      </w:r>
      <w:r>
        <w:rPr>
          <w:rFonts w:ascii="Times New Roman" w:hAnsi="Times New Roman" w:cs="Times New Roman"/>
        </w:rPr>
        <w:t> </w:t>
      </w:r>
      <w:r w:rsidRPr="00990339">
        <w:rPr>
          <w:rFonts w:ascii="Times New Roman" w:hAnsi="Times New Roman" w:cs="Times New Roman"/>
        </w:rPr>
        <w:t>15-66.</w:t>
      </w:r>
    </w:p>
    <w:p w:rsidR="002C399C" w:rsidRPr="00A7582B" w:rsidRDefault="002C399C" w:rsidP="002C399C">
      <w:pPr>
        <w:spacing w:after="120" w:line="276" w:lineRule="auto"/>
        <w:jc w:val="both"/>
        <w:rPr>
          <w:color w:val="000000"/>
        </w:rPr>
      </w:pPr>
      <w:r w:rsidRPr="00A7582B">
        <w:rPr>
          <w:smallCaps/>
        </w:rPr>
        <w:t>Visetti</w:t>
      </w:r>
      <w:r w:rsidRPr="00A7582B">
        <w:t>, Yves-Mari</w:t>
      </w:r>
      <w:r>
        <w:t xml:space="preserve">e </w:t>
      </w:r>
      <w:r w:rsidRPr="00A7582B">
        <w:t xml:space="preserve">(2003), « Formes et théories dynamiques du sens » </w:t>
      </w:r>
      <w:r w:rsidRPr="00A7582B">
        <w:rPr>
          <w:i/>
          <w:color w:val="000000"/>
        </w:rPr>
        <w:t>Texto !</w:t>
      </w:r>
      <w:r w:rsidRPr="00A7582B">
        <w:rPr>
          <w:color w:val="000000"/>
        </w:rPr>
        <w:t xml:space="preserve">- Disponible sur : &lt;http://www.revue-texto.net/Inedits/Visetti/Visetti_Formes1.html&gt; (consulté le 28/07/2022). </w:t>
      </w:r>
    </w:p>
    <w:p w:rsidR="002C399C" w:rsidRPr="00F8009C" w:rsidRDefault="002C399C" w:rsidP="002C399C">
      <w:pPr>
        <w:pStyle w:val="NormalWeb"/>
        <w:spacing w:before="0" w:beforeAutospacing="0" w:after="120" w:afterAutospacing="0" w:line="276" w:lineRule="auto"/>
        <w:jc w:val="both"/>
      </w:pPr>
      <w:r w:rsidRPr="00B46EE0">
        <w:rPr>
          <w:smallCaps/>
        </w:rPr>
        <w:t>Visetti</w:t>
      </w:r>
      <w:r>
        <w:rPr>
          <w:smallCaps/>
        </w:rPr>
        <w:t>,</w:t>
      </w:r>
      <w:r w:rsidRPr="00F8009C">
        <w:t xml:space="preserve"> Yves-Marie</w:t>
      </w:r>
      <w:r>
        <w:t xml:space="preserve"> (2004/2), « </w:t>
      </w:r>
      <w:r w:rsidRPr="00F8009C">
        <w:t>Constructivismes, émergences : une analyse sémantique et thématique</w:t>
      </w:r>
      <w:r>
        <w:t xml:space="preserve"> », </w:t>
      </w:r>
      <w:r w:rsidRPr="00B46EE0">
        <w:rPr>
          <w:i/>
        </w:rPr>
        <w:t>Intellectica. Revue de l'Association pour la Recherche Cognitive</w:t>
      </w:r>
      <w:r w:rsidRPr="00F8009C">
        <w:t>, 39</w:t>
      </w:r>
      <w:r>
        <w:t xml:space="preserve">, </w:t>
      </w:r>
      <w:r w:rsidRPr="00F8009C">
        <w:t>pp.</w:t>
      </w:r>
      <w:r>
        <w:t> </w:t>
      </w:r>
      <w:r w:rsidRPr="00F8009C">
        <w:t>229-259</w:t>
      </w:r>
      <w:r>
        <w:t>. Disponible sur : DOI</w:t>
      </w:r>
      <w:r w:rsidRPr="00F8009C">
        <w:t xml:space="preserve"> : </w:t>
      </w:r>
      <w:r>
        <w:t>&lt;</w:t>
      </w:r>
      <w:r w:rsidRPr="00F8009C">
        <w:t>https://doi.org/10.3406/intel.2004.1219 https://www.persee.fr/doc/intel_0769-4113_2004_num_39_2_1219</w:t>
      </w:r>
      <w:r>
        <w:t>&gt;</w:t>
      </w:r>
      <w:r w:rsidRPr="00F8009C">
        <w:t xml:space="preserve"> </w:t>
      </w:r>
      <w:r>
        <w:t xml:space="preserve">(consulté le 28/07/2022). </w:t>
      </w:r>
    </w:p>
    <w:p w:rsidR="002C399C" w:rsidRPr="00F8009C" w:rsidRDefault="002C399C" w:rsidP="002C399C">
      <w:pPr>
        <w:spacing w:after="120" w:line="276" w:lineRule="auto"/>
        <w:jc w:val="both"/>
      </w:pPr>
      <w:r w:rsidRPr="00F8009C">
        <w:rPr>
          <w:color w:val="000000"/>
          <w:lang w:val="de-DE"/>
        </w:rPr>
        <w:t>Warburg, Aby (1924-1929), </w:t>
      </w:r>
      <w:r w:rsidRPr="00F8009C">
        <w:rPr>
          <w:i/>
          <w:iCs/>
          <w:color w:val="000000"/>
          <w:lang w:val="de-DE"/>
        </w:rPr>
        <w:t>Der Bilderatlas Mnemosyne</w:t>
      </w:r>
      <w:r w:rsidRPr="00F8009C">
        <w:rPr>
          <w:color w:val="000000"/>
          <w:lang w:val="de-DE"/>
        </w:rPr>
        <w:t xml:space="preserve">, Berlin, Akademie Verlag, </w:t>
      </w:r>
      <w:proofErr w:type="gramStart"/>
      <w:r w:rsidRPr="00F8009C">
        <w:rPr>
          <w:color w:val="000000"/>
          <w:lang w:val="de-DE"/>
        </w:rPr>
        <w:t>2000</w:t>
      </w:r>
      <w:r>
        <w:rPr>
          <w:color w:val="000000"/>
          <w:lang w:val="de-DE"/>
        </w:rPr>
        <w:t> </w:t>
      </w:r>
      <w:r w:rsidRPr="00F8009C">
        <w:rPr>
          <w:color w:val="000000"/>
          <w:lang w:val="de-DE"/>
        </w:rPr>
        <w:t>;</w:t>
      </w:r>
      <w:proofErr w:type="gramEnd"/>
      <w:r w:rsidRPr="00F8009C">
        <w:rPr>
          <w:color w:val="000000"/>
          <w:lang w:val="de-DE"/>
        </w:rPr>
        <w:t xml:space="preserve"> tr.</w:t>
      </w:r>
      <w:r>
        <w:rPr>
          <w:color w:val="000000"/>
          <w:lang w:val="de-DE"/>
        </w:rPr>
        <w:t xml:space="preserve"> </w:t>
      </w:r>
      <w:r w:rsidRPr="00F8009C">
        <w:rPr>
          <w:color w:val="000000"/>
          <w:lang w:val="de-DE"/>
        </w:rPr>
        <w:t>fr.</w:t>
      </w:r>
      <w:r>
        <w:rPr>
          <w:color w:val="000000"/>
          <w:lang w:val="de-DE"/>
        </w:rPr>
        <w:t xml:space="preserve"> </w:t>
      </w:r>
      <w:r w:rsidRPr="00F8009C">
        <w:rPr>
          <w:i/>
          <w:iCs/>
          <w:color w:val="000000"/>
        </w:rPr>
        <w:t>L’Atlas mnémosyne</w:t>
      </w:r>
      <w:r w:rsidRPr="00F8009C">
        <w:rPr>
          <w:color w:val="000000"/>
          <w:shd w:val="clear" w:color="auto" w:fill="FFFFFF"/>
        </w:rPr>
        <w:t xml:space="preserve">, Paris, Éditions Atelier de l’écarquillé, </w:t>
      </w:r>
      <w:proofErr w:type="gramStart"/>
      <w:r w:rsidRPr="00F8009C">
        <w:rPr>
          <w:color w:val="000000"/>
          <w:shd w:val="clear" w:color="auto" w:fill="FFFFFF"/>
        </w:rPr>
        <w:t>2012 ;</w:t>
      </w:r>
      <w:proofErr w:type="gramEnd"/>
      <w:r w:rsidRPr="00F8009C">
        <w:rPr>
          <w:color w:val="000000"/>
          <w:shd w:val="clear" w:color="auto" w:fill="FFFFFF"/>
        </w:rPr>
        <w:t xml:space="preserve"> eng. trans.</w:t>
      </w:r>
      <w:r>
        <w:rPr>
          <w:color w:val="000000"/>
          <w:shd w:val="clear" w:color="auto" w:fill="FFFFFF"/>
        </w:rPr>
        <w:t xml:space="preserve"> </w:t>
      </w:r>
      <w:r w:rsidRPr="00F8009C">
        <w:rPr>
          <w:i/>
          <w:iCs/>
          <w:color w:val="000000"/>
        </w:rPr>
        <w:t>Der Bilderatlas Mnemosyne</w:t>
      </w:r>
      <w:r>
        <w:rPr>
          <w:i/>
          <w:iCs/>
          <w:color w:val="000000"/>
        </w:rPr>
        <w:t> </w:t>
      </w:r>
      <w:r w:rsidRPr="00F8009C">
        <w:rPr>
          <w:i/>
          <w:iCs/>
          <w:color w:val="000000"/>
        </w:rPr>
        <w:t>– The Original</w:t>
      </w:r>
      <w:r w:rsidRPr="00F8009C">
        <w:rPr>
          <w:color w:val="000000"/>
          <w:shd w:val="clear" w:color="auto" w:fill="FFFFFF"/>
        </w:rPr>
        <w:t>, Berlin, Hatje Cantz Verlag, 2020.</w:t>
      </w:r>
    </w:p>
    <w:p w:rsidR="002C399C" w:rsidRPr="00F8009C" w:rsidRDefault="002C399C" w:rsidP="002C399C">
      <w:pPr>
        <w:spacing w:after="120"/>
        <w:jc w:val="both"/>
      </w:pPr>
    </w:p>
    <w:p w:rsidR="002C399C" w:rsidRPr="00F8009C" w:rsidRDefault="002C399C" w:rsidP="002C399C">
      <w:pPr>
        <w:autoSpaceDE w:val="0"/>
        <w:autoSpaceDN w:val="0"/>
        <w:adjustRightInd w:val="0"/>
        <w:spacing w:after="120"/>
        <w:jc w:val="both"/>
        <w:rPr>
          <w:color w:val="000000" w:themeColor="text1"/>
        </w:rPr>
      </w:pPr>
    </w:p>
    <w:p w:rsidR="002C399C" w:rsidRPr="00F8009C" w:rsidRDefault="002C399C" w:rsidP="002C399C">
      <w:pPr>
        <w:autoSpaceDE w:val="0"/>
        <w:autoSpaceDN w:val="0"/>
        <w:adjustRightInd w:val="0"/>
        <w:spacing w:after="120"/>
        <w:jc w:val="both"/>
        <w:rPr>
          <w:color w:val="000000" w:themeColor="text1"/>
        </w:rPr>
      </w:pPr>
    </w:p>
    <w:p w:rsidR="002C399C" w:rsidRPr="00F8009C" w:rsidRDefault="002C399C" w:rsidP="002C399C">
      <w:pPr>
        <w:autoSpaceDE w:val="0"/>
        <w:autoSpaceDN w:val="0"/>
        <w:adjustRightInd w:val="0"/>
        <w:spacing w:after="120"/>
        <w:jc w:val="both"/>
        <w:rPr>
          <w:color w:val="000000" w:themeColor="text1"/>
        </w:rPr>
      </w:pPr>
    </w:p>
    <w:p w:rsidR="002C399C" w:rsidRPr="00F8009C" w:rsidRDefault="002C399C" w:rsidP="002C399C">
      <w:pPr>
        <w:autoSpaceDE w:val="0"/>
        <w:autoSpaceDN w:val="0"/>
        <w:adjustRightInd w:val="0"/>
        <w:spacing w:after="120"/>
        <w:jc w:val="both"/>
        <w:rPr>
          <w:color w:val="000000" w:themeColor="text1"/>
        </w:rPr>
      </w:pPr>
    </w:p>
    <w:p w:rsidR="002C399C" w:rsidRDefault="002C399C" w:rsidP="002C399C">
      <w:pPr>
        <w:spacing w:after="120" w:line="276" w:lineRule="auto"/>
        <w:jc w:val="both"/>
        <w:rPr>
          <w:color w:val="000000" w:themeColor="text1"/>
        </w:rPr>
      </w:pPr>
    </w:p>
    <w:p w:rsidR="002C399C" w:rsidRDefault="002C399C" w:rsidP="002C399C">
      <w:pPr>
        <w:spacing w:after="120" w:line="276" w:lineRule="auto"/>
        <w:jc w:val="both"/>
        <w:rPr>
          <w:color w:val="000000" w:themeColor="text1"/>
        </w:rPr>
      </w:pPr>
    </w:p>
    <w:p w:rsidR="002C399C" w:rsidRDefault="002C399C" w:rsidP="002C399C">
      <w:pPr>
        <w:spacing w:after="120" w:line="276" w:lineRule="auto"/>
        <w:jc w:val="both"/>
        <w:rPr>
          <w:color w:val="000000" w:themeColor="text1"/>
        </w:rPr>
      </w:pPr>
    </w:p>
    <w:p w:rsidR="002C399C" w:rsidRDefault="002C399C" w:rsidP="002C399C">
      <w:pPr>
        <w:spacing w:after="120" w:line="276" w:lineRule="auto"/>
        <w:jc w:val="both"/>
        <w:rPr>
          <w:color w:val="000000" w:themeColor="text1"/>
        </w:rPr>
      </w:pPr>
    </w:p>
    <w:p w:rsidR="002C399C" w:rsidRDefault="002C399C" w:rsidP="002C399C">
      <w:pPr>
        <w:spacing w:after="120" w:line="276" w:lineRule="auto"/>
        <w:jc w:val="both"/>
        <w:rPr>
          <w:color w:val="000000" w:themeColor="text1"/>
        </w:rPr>
      </w:pPr>
    </w:p>
    <w:p w:rsidR="002C399C" w:rsidRDefault="002C399C" w:rsidP="002C399C">
      <w:pPr>
        <w:spacing w:after="120" w:line="276" w:lineRule="auto"/>
        <w:jc w:val="both"/>
        <w:rPr>
          <w:color w:val="000000" w:themeColor="text1"/>
        </w:rPr>
      </w:pPr>
    </w:p>
    <w:p w:rsidR="002C399C" w:rsidRDefault="002C399C" w:rsidP="002C399C">
      <w:pPr>
        <w:spacing w:after="120" w:line="276" w:lineRule="auto"/>
        <w:jc w:val="both"/>
        <w:rPr>
          <w:color w:val="000000" w:themeColor="text1"/>
        </w:rPr>
      </w:pPr>
    </w:p>
    <w:p w:rsidR="002C399C" w:rsidRDefault="002C399C" w:rsidP="002C399C">
      <w:pPr>
        <w:spacing w:after="120" w:line="276" w:lineRule="auto"/>
        <w:jc w:val="both"/>
        <w:rPr>
          <w:color w:val="000000" w:themeColor="text1"/>
        </w:rPr>
      </w:pPr>
    </w:p>
    <w:p w:rsidR="008A77B9" w:rsidRDefault="008A77B9"/>
    <w:sectPr w:rsidR="008A77B9" w:rsidSect="0078610D">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6D65" w:rsidRDefault="00E76D65" w:rsidP="002C399C">
      <w:r>
        <w:separator/>
      </w:r>
    </w:p>
  </w:endnote>
  <w:endnote w:type="continuationSeparator" w:id="0">
    <w:p w:rsidR="00E76D65" w:rsidRDefault="00E76D65" w:rsidP="002C3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6D65" w:rsidRDefault="00E76D65" w:rsidP="002C399C">
      <w:r>
        <w:separator/>
      </w:r>
    </w:p>
  </w:footnote>
  <w:footnote w:type="continuationSeparator" w:id="0">
    <w:p w:rsidR="00E76D65" w:rsidRDefault="00E76D65" w:rsidP="002C399C">
      <w:r>
        <w:continuationSeparator/>
      </w:r>
    </w:p>
  </w:footnote>
  <w:footnote w:id="1">
    <w:p w:rsidR="00D54113" w:rsidRPr="000E182B" w:rsidRDefault="00D54113" w:rsidP="002C399C">
      <w:pPr>
        <w:pStyle w:val="Notedebasdepage"/>
        <w:jc w:val="both"/>
        <w:rPr>
          <w:rFonts w:ascii="Times New Roman" w:hAnsi="Times New Roman" w:cs="Times New Roman"/>
          <w:lang w:val="fr-CH"/>
        </w:rPr>
      </w:pPr>
      <w:r w:rsidRPr="000E182B">
        <w:rPr>
          <w:rStyle w:val="Appelnotedebasdep"/>
          <w:rFonts w:ascii="Times New Roman" w:hAnsi="Times New Roman" w:cs="Times New Roman"/>
        </w:rPr>
        <w:footnoteRef/>
      </w:r>
      <w:r w:rsidRPr="000E182B">
        <w:rPr>
          <w:rFonts w:ascii="Times New Roman" w:hAnsi="Times New Roman" w:cs="Times New Roman"/>
        </w:rPr>
        <w:t xml:space="preserve"> </w:t>
      </w:r>
      <w:r w:rsidRPr="000E182B">
        <w:rPr>
          <w:rFonts w:ascii="Times New Roman" w:hAnsi="Times New Roman" w:cs="Times New Roman"/>
          <w:lang w:val="fr-CH"/>
        </w:rPr>
        <w:t xml:space="preserve">Cette réflexion doit beaucoup aux présentations et aux échanges qui ont lieu dans le cadre du programme de recherche </w:t>
      </w:r>
      <w:r>
        <w:rPr>
          <w:rFonts w:ascii="Times New Roman" w:hAnsi="Times New Roman" w:cs="Times New Roman"/>
          <w:lang w:val="fr-CH"/>
        </w:rPr>
        <w:t>« Analyse d’œuvres d’art augmentée (AAA). Dispositif d’interprétation assistée par ordinateur pour les images d’art » (1</w:t>
      </w:r>
      <w:r w:rsidRPr="002A0661">
        <w:rPr>
          <w:rFonts w:ascii="Times New Roman" w:hAnsi="Times New Roman" w:cs="Times New Roman"/>
          <w:vertAlign w:val="superscript"/>
          <w:lang w:val="fr-CH"/>
        </w:rPr>
        <w:t>er</w:t>
      </w:r>
      <w:r>
        <w:rPr>
          <w:rFonts w:ascii="Times New Roman" w:hAnsi="Times New Roman" w:cs="Times New Roman"/>
          <w:lang w:val="fr-CH"/>
        </w:rPr>
        <w:t xml:space="preserve"> mars 2021 – 28 février 2025). Il s’agit d’une coopération entre le CNRS français, l’Université de Lyon2, l’Université de Liège et l’Université du Luxembourg, financée par le programme ANR/FNR. Le projet, qui est porté par Pierluigi Basso Fossali (Université de Lyon 2) et par Gian Maria Tore (Université du Luxembourg), se propose de développer un outil adapté à un contexte muséal spécifique. Il s’agit d’étudier différents niveaux d’organisation et de constituer des généalogies en mettant une œuvre observée </w:t>
      </w:r>
      <w:r w:rsidRPr="00934ADD">
        <w:rPr>
          <w:rFonts w:ascii="Times New Roman" w:hAnsi="Times New Roman" w:cs="Times New Roman"/>
          <w:i/>
          <w:lang w:val="fr-CH"/>
        </w:rPr>
        <w:t>in situ</w:t>
      </w:r>
      <w:r>
        <w:rPr>
          <w:rFonts w:ascii="Times New Roman" w:hAnsi="Times New Roman" w:cs="Times New Roman"/>
          <w:lang w:val="fr-CH"/>
        </w:rPr>
        <w:t xml:space="preserve"> en relation avec un corpus d’images en libre accès.</w:t>
      </w:r>
    </w:p>
  </w:footnote>
  <w:footnote w:id="2">
    <w:p w:rsidR="00D54113" w:rsidRPr="00BE2569" w:rsidRDefault="00D54113" w:rsidP="00BE2569">
      <w:pPr>
        <w:pStyle w:val="Notedebasdepage"/>
        <w:jc w:val="both"/>
        <w:rPr>
          <w:rFonts w:ascii="Times New Roman" w:hAnsi="Times New Roman" w:cs="Times New Roman"/>
        </w:rPr>
      </w:pPr>
      <w:r w:rsidRPr="00BE2569">
        <w:rPr>
          <w:rStyle w:val="Appelnotedebasdep"/>
          <w:rFonts w:ascii="Times New Roman" w:hAnsi="Times New Roman" w:cs="Times New Roman"/>
        </w:rPr>
        <w:footnoteRef/>
      </w:r>
      <w:r w:rsidRPr="00BE2569">
        <w:rPr>
          <w:rFonts w:ascii="Times New Roman" w:hAnsi="Times New Roman" w:cs="Times New Roman"/>
        </w:rPr>
        <w:t xml:space="preserve"> En parlant d</w:t>
      </w:r>
      <w:proofErr w:type="gramStart"/>
      <w:r w:rsidRPr="00BE2569">
        <w:rPr>
          <w:rFonts w:ascii="Times New Roman" w:hAnsi="Times New Roman" w:cs="Times New Roman"/>
        </w:rPr>
        <w:t>’«</w:t>
      </w:r>
      <w:proofErr w:type="gramEnd"/>
      <w:r w:rsidRPr="00BE2569">
        <w:rPr>
          <w:rFonts w:ascii="Times New Roman" w:hAnsi="Times New Roman" w:cs="Times New Roman"/>
        </w:rPr>
        <w:t xml:space="preserve"> augmentation », nous ne renvoyons pas à la réalité augmentée, mais nous entendons par là qu’un tableau établit, à travers les siècles, des connexions multiples avec d’autres tableaux, antécédents ou postérieurs.  </w:t>
      </w:r>
    </w:p>
  </w:footnote>
  <w:footnote w:id="3">
    <w:p w:rsidR="00D54113" w:rsidRPr="00A14607" w:rsidRDefault="00D54113" w:rsidP="00264110">
      <w:pPr>
        <w:pStyle w:val="Notedebasdepage"/>
        <w:jc w:val="both"/>
        <w:rPr>
          <w:rFonts w:ascii="Times New Roman" w:hAnsi="Times New Roman" w:cs="Times New Roman"/>
        </w:rPr>
      </w:pPr>
      <w:r w:rsidRPr="00BE2569">
        <w:rPr>
          <w:rStyle w:val="Appelnotedebasdep"/>
          <w:rFonts w:ascii="Times New Roman" w:hAnsi="Times New Roman" w:cs="Times New Roman"/>
        </w:rPr>
        <w:footnoteRef/>
      </w:r>
      <w:r w:rsidRPr="00BE2569">
        <w:rPr>
          <w:rFonts w:ascii="Times New Roman" w:hAnsi="Times New Roman" w:cs="Times New Roman"/>
        </w:rPr>
        <w:t xml:space="preserve"> Dans l’édition de </w:t>
      </w:r>
      <w:r w:rsidRPr="00BE2569">
        <w:rPr>
          <w:rFonts w:ascii="Times New Roman" w:hAnsi="Times New Roman" w:cs="Times New Roman"/>
          <w:i/>
        </w:rPr>
        <w:t>Vie de Rosso</w:t>
      </w:r>
      <w:r w:rsidRPr="00BE2569">
        <w:rPr>
          <w:rFonts w:ascii="Times New Roman" w:hAnsi="Times New Roman" w:cs="Times New Roman"/>
        </w:rPr>
        <w:t xml:space="preserve">, de 1568, Vasari mentionne deux peintures, qu’il appelle </w:t>
      </w:r>
      <w:r w:rsidRPr="00BE2569">
        <w:rPr>
          <w:rFonts w:ascii="Times New Roman" w:hAnsi="Times New Roman" w:cs="Times New Roman"/>
          <w:i/>
        </w:rPr>
        <w:t>Bacchus et Vénus</w:t>
      </w:r>
      <w:r w:rsidRPr="00BE2569">
        <w:rPr>
          <w:rFonts w:ascii="Times New Roman" w:hAnsi="Times New Roman" w:cs="Times New Roman"/>
        </w:rPr>
        <w:t xml:space="preserve"> et</w:t>
      </w:r>
      <w:r w:rsidRPr="00A14607">
        <w:rPr>
          <w:rFonts w:ascii="Times New Roman" w:hAnsi="Times New Roman" w:cs="Times New Roman"/>
        </w:rPr>
        <w:t xml:space="preserve"> </w:t>
      </w:r>
      <w:r w:rsidRPr="00FC5FB2">
        <w:rPr>
          <w:rFonts w:ascii="Times New Roman" w:hAnsi="Times New Roman" w:cs="Times New Roman"/>
          <w:i/>
        </w:rPr>
        <w:t>Vénus et Cupidon</w:t>
      </w:r>
      <w:r w:rsidRPr="00A14607">
        <w:rPr>
          <w:rFonts w:ascii="Times New Roman" w:hAnsi="Times New Roman" w:cs="Times New Roman"/>
        </w:rPr>
        <w:t xml:space="preserve"> (où Cupidon est un adolescent et non un </w:t>
      </w:r>
      <w:r w:rsidRPr="00A14607">
        <w:rPr>
          <w:rFonts w:ascii="Times New Roman" w:hAnsi="Times New Roman" w:cs="Times New Roman"/>
          <w:i/>
        </w:rPr>
        <w:t>amorino</w:t>
      </w:r>
      <w:r w:rsidRPr="00A14607">
        <w:rPr>
          <w:rFonts w:ascii="Times New Roman" w:hAnsi="Times New Roman" w:cs="Times New Roman"/>
        </w:rPr>
        <w:t xml:space="preserve">). Il décrit longuement </w:t>
      </w:r>
      <w:r w:rsidRPr="00FC5FB2">
        <w:rPr>
          <w:rFonts w:ascii="Times New Roman" w:hAnsi="Times New Roman" w:cs="Times New Roman"/>
          <w:i/>
        </w:rPr>
        <w:t>Bacchus et Vénus</w:t>
      </w:r>
      <w:r w:rsidRPr="00A14607">
        <w:rPr>
          <w:rFonts w:ascii="Times New Roman" w:hAnsi="Times New Roman" w:cs="Times New Roman"/>
        </w:rPr>
        <w:t>. Malgré des ambiguïtés (</w:t>
      </w:r>
      <w:r>
        <w:rPr>
          <w:rFonts w:ascii="Times New Roman" w:hAnsi="Times New Roman" w:cs="Times New Roman"/>
        </w:rPr>
        <w:t xml:space="preserve">ainsi, </w:t>
      </w:r>
      <w:r w:rsidRPr="00A14607">
        <w:rPr>
          <w:rFonts w:ascii="Times New Roman" w:hAnsi="Times New Roman" w:cs="Times New Roman"/>
        </w:rPr>
        <w:t>Vasari parle d’un ours et non d’</w:t>
      </w:r>
      <w:r>
        <w:rPr>
          <w:rFonts w:ascii="Times New Roman" w:hAnsi="Times New Roman" w:cs="Times New Roman"/>
        </w:rPr>
        <w:t>u</w:t>
      </w:r>
      <w:r w:rsidRPr="00A14607">
        <w:rPr>
          <w:rFonts w:ascii="Times New Roman" w:hAnsi="Times New Roman" w:cs="Times New Roman"/>
        </w:rPr>
        <w:t xml:space="preserve">n lion), Béguin </w:t>
      </w:r>
      <w:r>
        <w:rPr>
          <w:rFonts w:ascii="Times New Roman" w:hAnsi="Times New Roman" w:cs="Times New Roman"/>
        </w:rPr>
        <w:t xml:space="preserve">(1989) </w:t>
      </w:r>
      <w:r w:rsidRPr="00A14607">
        <w:rPr>
          <w:rFonts w:ascii="Times New Roman" w:hAnsi="Times New Roman" w:cs="Times New Roman"/>
        </w:rPr>
        <w:t xml:space="preserve">considère que ce tableau est proche de celui conservé au Luxembourg. L’emplacement exact du tableau est sujet à discussion : alors que Béguin le situe dans la Galerie Est, Léotard-Sommer parle d’un accrochage originel à l’extrémité Ouest de la Galerie. Il a été décroché en </w:t>
      </w:r>
      <w:r>
        <w:rPr>
          <w:rFonts w:ascii="Times New Roman" w:hAnsi="Times New Roman" w:cs="Times New Roman"/>
        </w:rPr>
        <w:t>1701</w:t>
      </w:r>
      <w:r w:rsidRPr="00A14607">
        <w:rPr>
          <w:rFonts w:ascii="Times New Roman" w:hAnsi="Times New Roman" w:cs="Times New Roman"/>
        </w:rPr>
        <w:t>, sous Louis XIV qui, sous l’influence de Madame de Main</w:t>
      </w:r>
      <w:r>
        <w:rPr>
          <w:rFonts w:ascii="Times New Roman" w:hAnsi="Times New Roman" w:cs="Times New Roman"/>
        </w:rPr>
        <w:t>t</w:t>
      </w:r>
      <w:r w:rsidRPr="00A14607">
        <w:rPr>
          <w:rFonts w:ascii="Times New Roman" w:hAnsi="Times New Roman" w:cs="Times New Roman"/>
        </w:rPr>
        <w:t xml:space="preserve">enon, reproche à </w:t>
      </w:r>
      <w:r w:rsidRPr="00A14607">
        <w:rPr>
          <w:rFonts w:ascii="Times New Roman" w:hAnsi="Times New Roman" w:cs="Times New Roman"/>
          <w:i/>
        </w:rPr>
        <w:t>Bacchus, Vénus et Cupidon</w:t>
      </w:r>
      <w:r w:rsidRPr="00A14607">
        <w:rPr>
          <w:rFonts w:ascii="Times New Roman" w:hAnsi="Times New Roman" w:cs="Times New Roman"/>
        </w:rPr>
        <w:t xml:space="preserve"> ainsi qu’à un tableau du Primatice leur irrégularité et leur préfère des « sujets sages pris dans la métamorphose » (cf. Béguin, </w:t>
      </w:r>
      <w:r w:rsidRPr="00A14607">
        <w:rPr>
          <w:rFonts w:ascii="Times New Roman" w:hAnsi="Times New Roman" w:cs="Times New Roman"/>
          <w:i/>
        </w:rPr>
        <w:t>ibid</w:t>
      </w:r>
      <w:r>
        <w:rPr>
          <w:rFonts w:ascii="Times New Roman" w:hAnsi="Times New Roman" w:cs="Times New Roman"/>
        </w:rPr>
        <w:t>.</w:t>
      </w:r>
      <w:r w:rsidRPr="00A14607">
        <w:rPr>
          <w:rFonts w:ascii="Times New Roman" w:hAnsi="Times New Roman" w:cs="Times New Roman"/>
        </w:rPr>
        <w:t>). On conserve cependant un dessin de la Galerie, réalisé par François d’Orbay en 16</w:t>
      </w:r>
      <w:r>
        <w:rPr>
          <w:rFonts w:ascii="Times New Roman" w:hAnsi="Times New Roman" w:cs="Times New Roman"/>
        </w:rPr>
        <w:t>76</w:t>
      </w:r>
      <w:r w:rsidRPr="00A14607">
        <w:rPr>
          <w:rFonts w:ascii="Times New Roman" w:hAnsi="Times New Roman" w:cs="Times New Roman"/>
        </w:rPr>
        <w:t xml:space="preserve">. </w:t>
      </w:r>
    </w:p>
  </w:footnote>
  <w:footnote w:id="4">
    <w:p w:rsidR="00D54113" w:rsidRPr="000E182B" w:rsidRDefault="00D54113" w:rsidP="00264110">
      <w:pPr>
        <w:pStyle w:val="Notedebasdepage"/>
        <w:jc w:val="both"/>
        <w:rPr>
          <w:rFonts w:ascii="Times New Roman" w:hAnsi="Times New Roman" w:cs="Times New Roman"/>
        </w:rPr>
      </w:pPr>
      <w:r w:rsidRPr="000E182B">
        <w:rPr>
          <w:rStyle w:val="Appelnotedebasdep"/>
          <w:rFonts w:ascii="Times New Roman" w:hAnsi="Times New Roman" w:cs="Times New Roman"/>
        </w:rPr>
        <w:footnoteRef/>
      </w:r>
      <w:r w:rsidRPr="000E182B">
        <w:rPr>
          <w:rFonts w:ascii="Times New Roman" w:hAnsi="Times New Roman" w:cs="Times New Roman"/>
        </w:rPr>
        <w:t xml:space="preserve"> Pour un survol</w:t>
      </w:r>
      <w:r>
        <w:rPr>
          <w:rFonts w:ascii="Times New Roman" w:hAnsi="Times New Roman" w:cs="Times New Roman"/>
        </w:rPr>
        <w:t>,</w:t>
      </w:r>
      <w:r w:rsidRPr="000E182B">
        <w:rPr>
          <w:rFonts w:ascii="Times New Roman" w:hAnsi="Times New Roman" w:cs="Times New Roman"/>
        </w:rPr>
        <w:t xml:space="preserve"> on peut se reporter à </w:t>
      </w:r>
      <w:r>
        <w:rPr>
          <w:rFonts w:ascii="Times New Roman" w:hAnsi="Times New Roman" w:cs="Times New Roman"/>
        </w:rPr>
        <w:t xml:space="preserve">Auclair (2007) et à </w:t>
      </w:r>
      <w:r w:rsidRPr="000E182B">
        <w:rPr>
          <w:rFonts w:ascii="Times New Roman" w:hAnsi="Times New Roman" w:cs="Times New Roman"/>
        </w:rPr>
        <w:t>Picheau</w:t>
      </w:r>
      <w:r>
        <w:rPr>
          <w:rFonts w:ascii="Times New Roman" w:hAnsi="Times New Roman" w:cs="Times New Roman"/>
        </w:rPr>
        <w:t xml:space="preserve"> (</w:t>
      </w:r>
      <w:r w:rsidRPr="000E182B">
        <w:rPr>
          <w:rFonts w:ascii="Times New Roman" w:hAnsi="Times New Roman" w:cs="Times New Roman"/>
        </w:rPr>
        <w:t>2018</w:t>
      </w:r>
      <w:r>
        <w:rPr>
          <w:rFonts w:ascii="Times New Roman" w:hAnsi="Times New Roman" w:cs="Times New Roman"/>
        </w:rPr>
        <w:t>). Voir aussi Béguin &amp; Binenbaum (1972).</w:t>
      </w:r>
    </w:p>
  </w:footnote>
  <w:footnote w:id="5">
    <w:p w:rsidR="00D54113" w:rsidRPr="002A0661" w:rsidRDefault="00D54113" w:rsidP="002C399C">
      <w:pPr>
        <w:pStyle w:val="Notedebasdepage"/>
        <w:jc w:val="both"/>
        <w:rPr>
          <w:rFonts w:ascii="Times New Roman" w:hAnsi="Times New Roman" w:cs="Times New Roman"/>
        </w:rPr>
      </w:pPr>
      <w:r w:rsidRPr="002A0661">
        <w:rPr>
          <w:rStyle w:val="Appelnotedebasdep"/>
          <w:rFonts w:ascii="Times New Roman" w:hAnsi="Times New Roman" w:cs="Times New Roman"/>
        </w:rPr>
        <w:footnoteRef/>
      </w:r>
      <w:r w:rsidRPr="002A0661">
        <w:rPr>
          <w:rFonts w:ascii="Times New Roman" w:hAnsi="Times New Roman" w:cs="Times New Roman"/>
        </w:rPr>
        <w:t xml:space="preserve"> </w:t>
      </w:r>
      <w:r>
        <w:rPr>
          <w:rFonts w:ascii="Times New Roman" w:hAnsi="Times New Roman" w:cs="Times New Roman"/>
        </w:rPr>
        <w:t xml:space="preserve">Le tableau a été donné au MNHA </w:t>
      </w:r>
      <w:r w:rsidRPr="009F6761">
        <w:rPr>
          <w:rFonts w:ascii="Times New Roman" w:hAnsi="Times New Roman" w:cs="Times New Roman"/>
        </w:rPr>
        <w:t xml:space="preserve">autour de 1877. </w:t>
      </w:r>
      <w:r w:rsidRPr="002A0661">
        <w:rPr>
          <w:rFonts w:ascii="Times New Roman" w:hAnsi="Times New Roman" w:cs="Times New Roman"/>
        </w:rPr>
        <w:t>Selon le MNHA, le tableau a été réalisé vers 1535-1539. Il s’agit d’une huile sur toile, 209 x 161 cm</w:t>
      </w:r>
      <w:r>
        <w:rPr>
          <w:rFonts w:ascii="Times New Roman" w:hAnsi="Times New Roman" w:cs="Times New Roman"/>
        </w:rPr>
        <w:t xml:space="preserve"> (dimensions actuelles ; le format originel était en ovale debout). Cf. Béguin, Koltz, Lautraite &amp; Rioux (1989). </w:t>
      </w:r>
    </w:p>
  </w:footnote>
  <w:footnote w:id="6">
    <w:p w:rsidR="00D54113" w:rsidRPr="00FA736B" w:rsidRDefault="00D54113" w:rsidP="000F615F">
      <w:pPr>
        <w:autoSpaceDE w:val="0"/>
        <w:autoSpaceDN w:val="0"/>
        <w:adjustRightInd w:val="0"/>
        <w:jc w:val="both"/>
        <w:rPr>
          <w:color w:val="000000" w:themeColor="text1"/>
          <w:sz w:val="20"/>
          <w:szCs w:val="20"/>
        </w:rPr>
      </w:pPr>
      <w:r w:rsidRPr="004A0BDD">
        <w:rPr>
          <w:rStyle w:val="Appelnotedebasdep"/>
          <w:color w:val="000000" w:themeColor="text1"/>
        </w:rPr>
        <w:footnoteRef/>
      </w:r>
      <w:r w:rsidRPr="004A0BDD">
        <w:rPr>
          <w:color w:val="000000" w:themeColor="text1"/>
          <w:sz w:val="20"/>
          <w:szCs w:val="20"/>
        </w:rPr>
        <w:t xml:space="preserve"> </w:t>
      </w:r>
      <w:r>
        <w:rPr>
          <w:color w:val="000000" w:themeColor="text1"/>
          <w:sz w:val="20"/>
          <w:szCs w:val="20"/>
        </w:rPr>
        <w:t xml:space="preserve">Gérard </w:t>
      </w:r>
      <w:r w:rsidRPr="004A0BDD">
        <w:rPr>
          <w:color w:val="000000" w:themeColor="text1"/>
          <w:sz w:val="20"/>
          <w:szCs w:val="20"/>
        </w:rPr>
        <w:t>Genette (2010, p. 356) distingue entre l’«</w:t>
      </w:r>
      <w:r>
        <w:rPr>
          <w:color w:val="000000" w:themeColor="text1"/>
          <w:sz w:val="20"/>
          <w:szCs w:val="20"/>
        </w:rPr>
        <w:t> </w:t>
      </w:r>
      <w:r w:rsidRPr="004A0BDD">
        <w:rPr>
          <w:color w:val="000000" w:themeColor="text1"/>
          <w:sz w:val="20"/>
          <w:szCs w:val="20"/>
        </w:rPr>
        <w:t>identité numérique</w:t>
      </w:r>
      <w:r>
        <w:rPr>
          <w:color w:val="000000" w:themeColor="text1"/>
          <w:sz w:val="20"/>
          <w:szCs w:val="20"/>
        </w:rPr>
        <w:t> </w:t>
      </w:r>
      <w:r w:rsidRPr="004A0BDD">
        <w:rPr>
          <w:color w:val="000000" w:themeColor="text1"/>
          <w:sz w:val="20"/>
          <w:szCs w:val="20"/>
        </w:rPr>
        <w:t>» ou «</w:t>
      </w:r>
      <w:r>
        <w:rPr>
          <w:color w:val="000000" w:themeColor="text1"/>
          <w:sz w:val="20"/>
          <w:szCs w:val="20"/>
        </w:rPr>
        <w:t> </w:t>
      </w:r>
      <w:r w:rsidRPr="004A0BDD">
        <w:rPr>
          <w:color w:val="000000" w:themeColor="text1"/>
          <w:sz w:val="20"/>
          <w:szCs w:val="20"/>
        </w:rPr>
        <w:t>individuelle</w:t>
      </w:r>
      <w:r>
        <w:rPr>
          <w:color w:val="000000" w:themeColor="text1"/>
          <w:sz w:val="20"/>
          <w:szCs w:val="20"/>
        </w:rPr>
        <w:t> </w:t>
      </w:r>
      <w:r w:rsidRPr="00FA736B">
        <w:rPr>
          <w:color w:val="000000" w:themeColor="text1"/>
          <w:sz w:val="20"/>
          <w:szCs w:val="20"/>
        </w:rPr>
        <w:t>» et l’«</w:t>
      </w:r>
      <w:r>
        <w:rPr>
          <w:color w:val="000000" w:themeColor="text1"/>
          <w:sz w:val="20"/>
          <w:szCs w:val="20"/>
        </w:rPr>
        <w:t> </w:t>
      </w:r>
      <w:r w:rsidRPr="00FA736B">
        <w:rPr>
          <w:color w:val="000000" w:themeColor="text1"/>
          <w:sz w:val="20"/>
          <w:szCs w:val="20"/>
        </w:rPr>
        <w:t>identité spécifique</w:t>
      </w:r>
      <w:r>
        <w:rPr>
          <w:color w:val="000000" w:themeColor="text1"/>
          <w:sz w:val="20"/>
          <w:szCs w:val="20"/>
        </w:rPr>
        <w:t> </w:t>
      </w:r>
      <w:r w:rsidRPr="00FA736B">
        <w:rPr>
          <w:color w:val="000000" w:themeColor="text1"/>
          <w:sz w:val="20"/>
          <w:szCs w:val="20"/>
        </w:rPr>
        <w:t>» ou «</w:t>
      </w:r>
      <w:r>
        <w:rPr>
          <w:color w:val="000000" w:themeColor="text1"/>
          <w:sz w:val="20"/>
          <w:szCs w:val="20"/>
        </w:rPr>
        <w:t> </w:t>
      </w:r>
      <w:r w:rsidRPr="00FA736B">
        <w:rPr>
          <w:color w:val="000000" w:themeColor="text1"/>
          <w:sz w:val="20"/>
          <w:szCs w:val="20"/>
        </w:rPr>
        <w:t>qualitative</w:t>
      </w:r>
      <w:r>
        <w:rPr>
          <w:color w:val="000000" w:themeColor="text1"/>
          <w:sz w:val="20"/>
          <w:szCs w:val="20"/>
        </w:rPr>
        <w:t> </w:t>
      </w:r>
      <w:r w:rsidRPr="00FA736B">
        <w:rPr>
          <w:color w:val="000000" w:themeColor="text1"/>
          <w:sz w:val="20"/>
          <w:szCs w:val="20"/>
        </w:rPr>
        <w:t>» : «</w:t>
      </w:r>
      <w:r>
        <w:rPr>
          <w:color w:val="000000" w:themeColor="text1"/>
          <w:sz w:val="20"/>
          <w:szCs w:val="20"/>
        </w:rPr>
        <w:t> </w:t>
      </w:r>
      <w:r w:rsidRPr="00FA736B">
        <w:rPr>
          <w:color w:val="000000" w:themeColor="text1"/>
          <w:sz w:val="20"/>
          <w:szCs w:val="20"/>
        </w:rPr>
        <w:t>Les objets physiques, qui ont une durée de persistance, voient leur identité définie […] par ces deux paramètres qui sont l’identité numérique (le tableau que je trouve accroché ce matin dans mon salon est – probablement – le même que celui que j’y avais laissé hier soir) et l’identité spécifique, ou qualitative</w:t>
      </w:r>
      <w:r>
        <w:rPr>
          <w:color w:val="000000" w:themeColor="text1"/>
          <w:sz w:val="20"/>
          <w:szCs w:val="20"/>
        </w:rPr>
        <w:t> </w:t>
      </w:r>
      <w:r w:rsidRPr="00FA736B">
        <w:rPr>
          <w:color w:val="000000" w:themeColor="text1"/>
          <w:sz w:val="20"/>
          <w:szCs w:val="20"/>
        </w:rPr>
        <w:t>: ce tableau présente un certain nombre de caractéristiques, propres ou partagées, qu’une</w:t>
      </w:r>
      <w:r>
        <w:rPr>
          <w:color w:val="000000" w:themeColor="text1"/>
          <w:sz w:val="20"/>
          <w:szCs w:val="20"/>
        </w:rPr>
        <w:t xml:space="preserve"> </w:t>
      </w:r>
      <w:r w:rsidRPr="00FA736B">
        <w:rPr>
          <w:color w:val="000000" w:themeColor="text1"/>
          <w:sz w:val="20"/>
          <w:szCs w:val="20"/>
        </w:rPr>
        <w:t>description doit énumérer pour être exhaustive. L’identité numérique est tenue pour</w:t>
      </w:r>
      <w:r>
        <w:rPr>
          <w:color w:val="000000" w:themeColor="text1"/>
          <w:sz w:val="20"/>
          <w:szCs w:val="20"/>
        </w:rPr>
        <w:t xml:space="preserve"> </w:t>
      </w:r>
      <w:r w:rsidRPr="00FA736B">
        <w:rPr>
          <w:color w:val="000000" w:themeColor="text1"/>
          <w:sz w:val="20"/>
          <w:szCs w:val="20"/>
        </w:rPr>
        <w:t>immuable sauf destruction totale […], mais l’identité spécifique d’un objet d’immanence,</w:t>
      </w:r>
      <w:r>
        <w:rPr>
          <w:color w:val="000000" w:themeColor="text1"/>
          <w:sz w:val="20"/>
          <w:szCs w:val="20"/>
        </w:rPr>
        <w:t xml:space="preserve"> </w:t>
      </w:r>
      <w:r w:rsidRPr="00FA736B">
        <w:rPr>
          <w:color w:val="000000" w:themeColor="text1"/>
          <w:sz w:val="20"/>
          <w:szCs w:val="20"/>
        </w:rPr>
        <w:t>comme de tout objet physique, ne cesse de se modifier dans le temps […] ».</w:t>
      </w:r>
    </w:p>
  </w:footnote>
  <w:footnote w:id="7">
    <w:p w:rsidR="00D54113" w:rsidRPr="003B2428" w:rsidRDefault="00D54113" w:rsidP="002C399C">
      <w:pPr>
        <w:jc w:val="both"/>
        <w:rPr>
          <w:sz w:val="20"/>
          <w:szCs w:val="20"/>
        </w:rPr>
      </w:pPr>
      <w:r w:rsidRPr="003E6EA5">
        <w:rPr>
          <w:rStyle w:val="Appelnotedebasdep"/>
        </w:rPr>
        <w:footnoteRef/>
      </w:r>
      <w:r w:rsidRPr="003E6EA5">
        <w:rPr>
          <w:sz w:val="20"/>
          <w:szCs w:val="20"/>
        </w:rPr>
        <w:t xml:space="preserve"> </w:t>
      </w:r>
      <w:r>
        <w:rPr>
          <w:sz w:val="20"/>
          <w:szCs w:val="20"/>
        </w:rPr>
        <w:t xml:space="preserve">L’application a été développée par l’équipe Datavalor du LIRIS – UMR CNRS 5205 (Laboratoire d’Informatique en Image et Systèmes d’information, Université de Lyon). </w:t>
      </w:r>
      <w:r w:rsidRPr="003E6EA5">
        <w:rPr>
          <w:color w:val="000000"/>
          <w:sz w:val="20"/>
          <w:szCs w:val="20"/>
        </w:rPr>
        <w:t>Les images du jeu de données sont, dans un premier temps, mises en niveau de gris, puis à partir d'un réseau pré-entraîné sur « imagenet » (le réseau utilisé est le réseau ResNet50), leurs caractéristiques sont extraites et représentées</w:t>
      </w:r>
      <w:r>
        <w:rPr>
          <w:color w:val="000000"/>
          <w:sz w:val="20"/>
          <w:szCs w:val="20"/>
        </w:rPr>
        <w:t xml:space="preserve"> </w:t>
      </w:r>
      <w:r w:rsidRPr="003E6EA5">
        <w:rPr>
          <w:color w:val="000000"/>
          <w:sz w:val="20"/>
          <w:szCs w:val="20"/>
        </w:rPr>
        <w:t>dans un espace de dimension 2048. Ces caractéristiques vont alimenter</w:t>
      </w:r>
      <w:r>
        <w:rPr>
          <w:color w:val="000000"/>
          <w:sz w:val="20"/>
          <w:szCs w:val="20"/>
        </w:rPr>
        <w:t xml:space="preserve"> </w:t>
      </w:r>
      <w:r w:rsidRPr="003E6EA5">
        <w:rPr>
          <w:color w:val="000000"/>
          <w:sz w:val="20"/>
          <w:szCs w:val="20"/>
        </w:rPr>
        <w:t>une approche heuristique de l'algorithme ANNOY (Spotify), afin de calculer les distances entre les plus proches voisins. Cela permet,</w:t>
      </w:r>
      <w:r>
        <w:rPr>
          <w:color w:val="000000"/>
          <w:sz w:val="20"/>
          <w:szCs w:val="20"/>
        </w:rPr>
        <w:t xml:space="preserve"> </w:t>
      </w:r>
      <w:r w:rsidRPr="003E6EA5">
        <w:rPr>
          <w:color w:val="000000"/>
          <w:sz w:val="20"/>
          <w:szCs w:val="20"/>
        </w:rPr>
        <w:t xml:space="preserve">à partir d’une image requête et des caractéristiques qui en </w:t>
      </w:r>
      <w:r w:rsidRPr="003B2428">
        <w:rPr>
          <w:color w:val="000000"/>
          <w:sz w:val="20"/>
          <w:szCs w:val="20"/>
        </w:rPr>
        <w:t>sont extraites, de</w:t>
      </w:r>
      <w:r>
        <w:rPr>
          <w:color w:val="000000"/>
          <w:sz w:val="20"/>
          <w:szCs w:val="20"/>
        </w:rPr>
        <w:t xml:space="preserve"> </w:t>
      </w:r>
      <w:r w:rsidRPr="003B2428">
        <w:rPr>
          <w:color w:val="000000"/>
          <w:sz w:val="20"/>
          <w:szCs w:val="20"/>
        </w:rPr>
        <w:t>réduire</w:t>
      </w:r>
      <w:r>
        <w:rPr>
          <w:color w:val="000000"/>
          <w:sz w:val="20"/>
          <w:szCs w:val="20"/>
        </w:rPr>
        <w:t xml:space="preserve"> </w:t>
      </w:r>
      <w:r w:rsidRPr="003B2428">
        <w:rPr>
          <w:color w:val="000000"/>
          <w:sz w:val="20"/>
          <w:szCs w:val="20"/>
        </w:rPr>
        <w:t xml:space="preserve">le temps de calcul des distances (la distance utilisée est la distance euclidienne). </w:t>
      </w:r>
    </w:p>
  </w:footnote>
  <w:footnote w:id="8">
    <w:p w:rsidR="00D54113" w:rsidRPr="003B2428" w:rsidRDefault="00D54113" w:rsidP="002C399C">
      <w:pPr>
        <w:pStyle w:val="Notedebasdepage"/>
        <w:rPr>
          <w:rFonts w:ascii="Times New Roman" w:hAnsi="Times New Roman" w:cs="Times New Roman"/>
        </w:rPr>
      </w:pPr>
      <w:r w:rsidRPr="003B2428">
        <w:rPr>
          <w:rStyle w:val="Appelnotedebasdep"/>
          <w:rFonts w:ascii="Times New Roman" w:hAnsi="Times New Roman" w:cs="Times New Roman"/>
        </w:rPr>
        <w:footnoteRef/>
      </w:r>
      <w:r w:rsidRPr="003B2428">
        <w:rPr>
          <w:rFonts w:ascii="Times New Roman" w:hAnsi="Times New Roman" w:cs="Times New Roman"/>
        </w:rPr>
        <w:t xml:space="preserve"> Cf. l’argumentaire proposé par les coordinateurs du présent numéro de </w:t>
      </w:r>
      <w:r w:rsidRPr="003B2428">
        <w:rPr>
          <w:rFonts w:ascii="Times New Roman" w:hAnsi="Times New Roman" w:cs="Times New Roman"/>
          <w:i/>
        </w:rPr>
        <w:t>Signata.</w:t>
      </w:r>
    </w:p>
  </w:footnote>
  <w:footnote w:id="9">
    <w:p w:rsidR="00D54113" w:rsidRPr="002B651C" w:rsidRDefault="00D54113" w:rsidP="002C399C">
      <w:pPr>
        <w:pStyle w:val="Notedebasdepage"/>
        <w:jc w:val="both"/>
        <w:rPr>
          <w:rFonts w:ascii="Times New Roman" w:hAnsi="Times New Roman" w:cs="Times New Roman"/>
        </w:rPr>
      </w:pPr>
      <w:r w:rsidRPr="003B2428">
        <w:rPr>
          <w:rStyle w:val="Appelnotedebasdep"/>
          <w:rFonts w:ascii="Times New Roman" w:hAnsi="Times New Roman" w:cs="Times New Roman"/>
        </w:rPr>
        <w:footnoteRef/>
      </w:r>
      <w:r w:rsidRPr="003B2428">
        <w:rPr>
          <w:rFonts w:ascii="Times New Roman" w:hAnsi="Times New Roman" w:cs="Times New Roman"/>
        </w:rPr>
        <w:t xml:space="preserve"> Pour ce terme, cf. l’argumentaire de ce numéro de </w:t>
      </w:r>
      <w:r w:rsidRPr="003B2428">
        <w:rPr>
          <w:rFonts w:ascii="Times New Roman" w:hAnsi="Times New Roman" w:cs="Times New Roman"/>
          <w:i/>
        </w:rPr>
        <w:t xml:space="preserve">Signata </w:t>
      </w:r>
      <w:r w:rsidRPr="003B2428">
        <w:rPr>
          <w:rFonts w:ascii="Times New Roman" w:hAnsi="Times New Roman" w:cs="Times New Roman"/>
        </w:rPr>
        <w:t>et la</w:t>
      </w:r>
      <w:r w:rsidRPr="002B651C">
        <w:rPr>
          <w:rFonts w:ascii="Times New Roman" w:hAnsi="Times New Roman" w:cs="Times New Roman"/>
        </w:rPr>
        <w:t xml:space="preserve"> référence à Carlo Gin</w:t>
      </w:r>
      <w:r>
        <w:rPr>
          <w:rFonts w:ascii="Times New Roman" w:hAnsi="Times New Roman" w:cs="Times New Roman"/>
        </w:rPr>
        <w:t>z</w:t>
      </w:r>
      <w:r w:rsidRPr="002B651C">
        <w:rPr>
          <w:rFonts w:ascii="Times New Roman" w:hAnsi="Times New Roman" w:cs="Times New Roman"/>
        </w:rPr>
        <w:t xml:space="preserve">burg (1979). </w:t>
      </w:r>
    </w:p>
  </w:footnote>
  <w:footnote w:id="10">
    <w:p w:rsidR="00D54113" w:rsidRPr="003F7D90" w:rsidRDefault="00D54113" w:rsidP="000F615F">
      <w:pPr>
        <w:pStyle w:val="Notedebasdepage"/>
        <w:jc w:val="both"/>
        <w:rPr>
          <w:rFonts w:ascii="Times New Roman" w:hAnsi="Times New Roman" w:cs="Times New Roman"/>
        </w:rPr>
      </w:pPr>
      <w:r w:rsidRPr="003F7D90">
        <w:rPr>
          <w:rStyle w:val="Appelnotedebasdep"/>
          <w:rFonts w:ascii="Times New Roman" w:hAnsi="Times New Roman" w:cs="Times New Roman"/>
        </w:rPr>
        <w:footnoteRef/>
      </w:r>
      <w:r w:rsidRPr="003F7D90">
        <w:rPr>
          <w:rFonts w:ascii="Times New Roman" w:hAnsi="Times New Roman" w:cs="Times New Roman"/>
        </w:rPr>
        <w:t xml:space="preserve"> </w:t>
      </w:r>
      <w:r>
        <w:rPr>
          <w:rFonts w:ascii="Times New Roman" w:hAnsi="Times New Roman" w:cs="Times New Roman"/>
        </w:rPr>
        <w:t>Ces considérations se profilent sur l’arrière-fond, plus général, de</w:t>
      </w:r>
      <w:r w:rsidRPr="003F7D90">
        <w:rPr>
          <w:rFonts w:ascii="Times New Roman" w:hAnsi="Times New Roman" w:cs="Times New Roman"/>
        </w:rPr>
        <w:t xml:space="preserve"> la différence entre un système organiciste, de type hégélien, et une théorie générative qui s’appuie sur le paradigme biologiste</w:t>
      </w:r>
      <w:r>
        <w:rPr>
          <w:rFonts w:ascii="Times New Roman" w:hAnsi="Times New Roman" w:cs="Times New Roman"/>
        </w:rPr>
        <w:t xml:space="preserve"> (cf. notamment Brunetière)</w:t>
      </w:r>
      <w:r w:rsidRPr="003F7D90">
        <w:rPr>
          <w:rFonts w:ascii="Times New Roman" w:hAnsi="Times New Roman" w:cs="Times New Roman"/>
        </w:rPr>
        <w:t xml:space="preserve">. Les changements lents et les mutations brusques n’excluent pas une polémologie latente. </w:t>
      </w:r>
    </w:p>
  </w:footnote>
  <w:footnote w:id="11">
    <w:p w:rsidR="00D54113" w:rsidRPr="003B2428" w:rsidRDefault="00D54113" w:rsidP="002C399C">
      <w:pPr>
        <w:pStyle w:val="Notedebasdepage"/>
        <w:rPr>
          <w:rFonts w:ascii="Times New Roman" w:hAnsi="Times New Roman" w:cs="Times New Roman"/>
        </w:rPr>
      </w:pPr>
      <w:r w:rsidRPr="003B2428">
        <w:rPr>
          <w:rStyle w:val="Appelnotedebasdep"/>
          <w:rFonts w:ascii="Times New Roman" w:hAnsi="Times New Roman" w:cs="Times New Roman"/>
        </w:rPr>
        <w:footnoteRef/>
      </w:r>
      <w:r w:rsidRPr="003B2428">
        <w:rPr>
          <w:rFonts w:ascii="Times New Roman" w:hAnsi="Times New Roman" w:cs="Times New Roman"/>
        </w:rPr>
        <w:t xml:space="preserve"> À ce propos, on pourra se tourner </w:t>
      </w:r>
      <w:r>
        <w:rPr>
          <w:rFonts w:ascii="Times New Roman" w:hAnsi="Times New Roman" w:cs="Times New Roman"/>
        </w:rPr>
        <w:t xml:space="preserve">entre autres </w:t>
      </w:r>
      <w:r w:rsidRPr="003B2428">
        <w:rPr>
          <w:rFonts w:ascii="Times New Roman" w:hAnsi="Times New Roman" w:cs="Times New Roman"/>
        </w:rPr>
        <w:t xml:space="preserve">vers Colas-Blaise (2021). </w:t>
      </w:r>
    </w:p>
  </w:footnote>
  <w:footnote w:id="12">
    <w:p w:rsidR="00D54113" w:rsidRPr="00601F71" w:rsidRDefault="00D54113" w:rsidP="001A7293">
      <w:pPr>
        <w:pStyle w:val="Notedebasdepage"/>
        <w:jc w:val="both"/>
        <w:rPr>
          <w:rFonts w:ascii="Times New Roman" w:hAnsi="Times New Roman" w:cs="Times New Roman"/>
        </w:rPr>
      </w:pPr>
      <w:r w:rsidRPr="00601F71">
        <w:rPr>
          <w:rStyle w:val="Appelnotedebasdep"/>
          <w:rFonts w:ascii="Times New Roman" w:hAnsi="Times New Roman" w:cs="Times New Roman"/>
        </w:rPr>
        <w:footnoteRef/>
      </w:r>
      <w:r w:rsidRPr="00601F71">
        <w:rPr>
          <w:rFonts w:ascii="Times New Roman" w:hAnsi="Times New Roman" w:cs="Times New Roman"/>
        </w:rPr>
        <w:t xml:space="preserve"> Nous renvoyons au texte d’une conférence </w:t>
      </w:r>
      <w:r>
        <w:rPr>
          <w:rFonts w:ascii="Times New Roman" w:hAnsi="Times New Roman" w:cs="Times New Roman"/>
        </w:rPr>
        <w:t>intitulée « La dimension iconique et la dimension plastique. Petite chronique d’une grande distinction m</w:t>
      </w:r>
      <w:r w:rsidRPr="00601F71">
        <w:rPr>
          <w:rFonts w:ascii="Times New Roman" w:hAnsi="Times New Roman" w:cs="Times New Roman"/>
        </w:rPr>
        <w:t>é</w:t>
      </w:r>
      <w:r>
        <w:rPr>
          <w:rFonts w:ascii="Times New Roman" w:hAnsi="Times New Roman" w:cs="Times New Roman"/>
        </w:rPr>
        <w:t xml:space="preserve">thodologique », </w:t>
      </w:r>
      <w:r w:rsidRPr="00601F71">
        <w:rPr>
          <w:rFonts w:ascii="Times New Roman" w:hAnsi="Times New Roman" w:cs="Times New Roman"/>
        </w:rPr>
        <w:t xml:space="preserve">donnée dans le cadre du Festival de Sémiotique, organisé par Anne Beyaert-Geslin à Bordeaux, du 22 au 24 juin 2022.  </w:t>
      </w:r>
    </w:p>
  </w:footnote>
  <w:footnote w:id="13">
    <w:p w:rsidR="00D54113" w:rsidRPr="000149CE" w:rsidRDefault="00D54113" w:rsidP="001A7293">
      <w:pPr>
        <w:jc w:val="both"/>
        <w:rPr>
          <w:sz w:val="20"/>
          <w:szCs w:val="20"/>
        </w:rPr>
      </w:pPr>
      <w:r w:rsidRPr="000149CE">
        <w:rPr>
          <w:rStyle w:val="Appelnotedebasdep"/>
          <w:sz w:val="20"/>
          <w:szCs w:val="20"/>
        </w:rPr>
        <w:footnoteRef/>
      </w:r>
      <w:r w:rsidRPr="000149CE">
        <w:rPr>
          <w:sz w:val="20"/>
          <w:szCs w:val="20"/>
        </w:rPr>
        <w:t xml:space="preserve"> Cf. Basso Fossali (2019) au sujet de quatre éléments entrant dans la définition de l’image : d’abord, un « encadrement », ensuite </w:t>
      </w:r>
      <w:r w:rsidRPr="000149CE">
        <w:rPr>
          <w:color w:val="1B1B1B"/>
          <w:sz w:val="20"/>
          <w:szCs w:val="20"/>
          <w:shd w:val="clear" w:color="auto" w:fill="FFFFFF"/>
        </w:rPr>
        <w:t>« une implication dans des valeurs sensibles ayant une organisation et une proportion autonomes par rapport au corps du sujet de la perception ». Par ailleurs, il faut considérer « un hiatus intentionnel entre contraintes et contingences de la perception ». Ces dernières « ouvrent des accès au sens pluriels et susceptibles d’être finalisés différemment ». La notion de « “terrain de jeu” possible de la</w:t>
      </w:r>
      <w:r w:rsidRPr="000149CE">
        <w:rPr>
          <w:rStyle w:val="apple-converted-space"/>
          <w:color w:val="1B1B1B"/>
          <w:sz w:val="20"/>
          <w:szCs w:val="20"/>
          <w:shd w:val="clear" w:color="auto" w:fill="FFFFFF"/>
        </w:rPr>
        <w:t xml:space="preserve"> </w:t>
      </w:r>
      <w:r w:rsidRPr="000149CE">
        <w:rPr>
          <w:rStyle w:val="Accentuation"/>
          <w:color w:val="1B1B1B"/>
          <w:sz w:val="20"/>
          <w:szCs w:val="20"/>
        </w:rPr>
        <w:t>visée</w:t>
      </w:r>
      <w:r w:rsidRPr="000149CE">
        <w:rPr>
          <w:rStyle w:val="apple-converted-space"/>
          <w:color w:val="1B1B1B"/>
          <w:sz w:val="20"/>
          <w:szCs w:val="20"/>
          <w:shd w:val="clear" w:color="auto" w:fill="FFFFFF"/>
        </w:rPr>
        <w:t xml:space="preserve"> » est à la base de l’exploration de plusieurs sémioses. </w:t>
      </w:r>
    </w:p>
    <w:p w:rsidR="00D54113" w:rsidRPr="000149CE" w:rsidRDefault="00D54113" w:rsidP="002C399C">
      <w:pPr>
        <w:pStyle w:val="Notedebasdepage"/>
        <w:jc w:val="both"/>
        <w:rPr>
          <w:rFonts w:ascii="Times New Roman" w:hAnsi="Times New Roman" w:cs="Times New Roman"/>
          <w:lang w:val="fr-LU"/>
        </w:rPr>
      </w:pPr>
    </w:p>
  </w:footnote>
  <w:footnote w:id="14">
    <w:p w:rsidR="00D54113" w:rsidRPr="003B2428" w:rsidRDefault="00D54113" w:rsidP="002C399C">
      <w:pPr>
        <w:pStyle w:val="Notedebasdepage"/>
        <w:rPr>
          <w:rFonts w:ascii="Times New Roman" w:hAnsi="Times New Roman" w:cs="Times New Roman"/>
        </w:rPr>
      </w:pPr>
      <w:r w:rsidRPr="003B2428">
        <w:rPr>
          <w:rStyle w:val="Appelnotedebasdep"/>
          <w:rFonts w:ascii="Times New Roman" w:hAnsi="Times New Roman" w:cs="Times New Roman"/>
        </w:rPr>
        <w:footnoteRef/>
      </w:r>
      <w:r w:rsidRPr="003B2428">
        <w:rPr>
          <w:rFonts w:ascii="Times New Roman" w:hAnsi="Times New Roman" w:cs="Times New Roman"/>
        </w:rPr>
        <w:t xml:space="preserve"> Au sujet de la notion de « survivance » d’après Aby Warburg, cf. Didi-Huberman (2002). </w:t>
      </w:r>
    </w:p>
  </w:footnote>
  <w:footnote w:id="15">
    <w:p w:rsidR="00D54113" w:rsidRPr="009C20CC" w:rsidRDefault="00D54113" w:rsidP="002C399C">
      <w:pPr>
        <w:pStyle w:val="Notedebasdepage"/>
        <w:jc w:val="both"/>
        <w:rPr>
          <w:rFonts w:ascii="Times New Roman" w:hAnsi="Times New Roman" w:cs="Times New Roman"/>
          <w:lang w:val="fr-LU"/>
        </w:rPr>
      </w:pPr>
      <w:r w:rsidRPr="009C20CC">
        <w:rPr>
          <w:rStyle w:val="Appelnotedebasdep"/>
          <w:rFonts w:ascii="Times New Roman" w:hAnsi="Times New Roman" w:cs="Times New Roman"/>
        </w:rPr>
        <w:footnoteRef/>
      </w:r>
      <w:r w:rsidRPr="009C20CC">
        <w:rPr>
          <w:rFonts w:ascii="Times New Roman" w:hAnsi="Times New Roman" w:cs="Times New Roman"/>
          <w:lang w:val="fr-LU"/>
        </w:rPr>
        <w:t xml:space="preserve"> Cf. Ernst Gombrich (1986,</w:t>
      </w:r>
      <w:r>
        <w:rPr>
          <w:rFonts w:ascii="Times New Roman" w:hAnsi="Times New Roman" w:cs="Times New Roman"/>
          <w:lang w:val="fr-LU"/>
        </w:rPr>
        <w:t xml:space="preserve"> </w:t>
      </w:r>
      <w:r w:rsidRPr="009C20CC">
        <w:rPr>
          <w:rFonts w:ascii="Times New Roman" w:hAnsi="Times New Roman" w:cs="Times New Roman"/>
          <w:lang w:val="fr-LU"/>
        </w:rPr>
        <w:t xml:space="preserve">p. 253) ; cité par Michaud ([1998] 2022, p. 321). </w:t>
      </w:r>
    </w:p>
  </w:footnote>
  <w:footnote w:id="16">
    <w:p w:rsidR="00D54113" w:rsidRPr="009C20CC" w:rsidRDefault="00D54113" w:rsidP="002C399C">
      <w:pPr>
        <w:pStyle w:val="Notedebasdepage"/>
        <w:jc w:val="both"/>
        <w:rPr>
          <w:rFonts w:ascii="Times New Roman" w:hAnsi="Times New Roman" w:cs="Times New Roman"/>
        </w:rPr>
      </w:pPr>
      <w:r w:rsidRPr="009C20CC">
        <w:rPr>
          <w:rStyle w:val="Appelnotedebasdep"/>
          <w:rFonts w:ascii="Times New Roman" w:hAnsi="Times New Roman" w:cs="Times New Roman"/>
        </w:rPr>
        <w:footnoteRef/>
      </w:r>
      <w:r w:rsidRPr="009C20CC">
        <w:rPr>
          <w:rFonts w:ascii="Times New Roman" w:hAnsi="Times New Roman" w:cs="Times New Roman"/>
        </w:rPr>
        <w:t xml:space="preserve"> Michaud </w:t>
      </w:r>
      <w:r>
        <w:rPr>
          <w:rFonts w:ascii="Times New Roman" w:hAnsi="Times New Roman" w:cs="Times New Roman"/>
        </w:rPr>
        <w:t>(</w:t>
      </w:r>
      <w:r w:rsidRPr="009C20CC">
        <w:rPr>
          <w:rFonts w:ascii="Times New Roman" w:hAnsi="Times New Roman" w:cs="Times New Roman"/>
        </w:rPr>
        <w:t xml:space="preserve">[1998] 2022, p. 27) parle de la « temporalité si particulière d’oublis et de revenances, de tourbillons et d’anachronismes ». </w:t>
      </w:r>
    </w:p>
  </w:footnote>
  <w:footnote w:id="17">
    <w:p w:rsidR="00D54113" w:rsidRPr="00FB37A3" w:rsidRDefault="00D54113" w:rsidP="002C399C">
      <w:pPr>
        <w:pStyle w:val="Notedebasdepage"/>
        <w:jc w:val="both"/>
        <w:rPr>
          <w:rFonts w:ascii="Times New Roman" w:hAnsi="Times New Roman" w:cs="Times New Roman"/>
        </w:rPr>
      </w:pPr>
      <w:r w:rsidRPr="00FB37A3">
        <w:rPr>
          <w:rStyle w:val="Appelnotedebasdep"/>
          <w:rFonts w:ascii="Times New Roman" w:hAnsi="Times New Roman" w:cs="Times New Roman"/>
        </w:rPr>
        <w:footnoteRef/>
      </w:r>
      <w:r w:rsidRPr="00FB37A3">
        <w:rPr>
          <w:rFonts w:ascii="Times New Roman" w:hAnsi="Times New Roman" w:cs="Times New Roman"/>
        </w:rPr>
        <w:t xml:space="preserve"> Au sujet de la logique tourbillonnaire et de l’énonciation, cf. également Tore (2021). </w:t>
      </w:r>
    </w:p>
  </w:footnote>
  <w:footnote w:id="18">
    <w:p w:rsidR="00D54113" w:rsidRPr="00FB37A3" w:rsidRDefault="00D54113" w:rsidP="002C399C">
      <w:pPr>
        <w:pStyle w:val="Notedebasdepage"/>
        <w:tabs>
          <w:tab w:val="left" w:pos="520"/>
        </w:tabs>
        <w:jc w:val="both"/>
        <w:rPr>
          <w:rFonts w:ascii="Times New Roman" w:hAnsi="Times New Roman" w:cs="Times New Roman"/>
        </w:rPr>
      </w:pPr>
      <w:r w:rsidRPr="00FB37A3">
        <w:rPr>
          <w:rStyle w:val="Appelnotedebasdep"/>
          <w:rFonts w:ascii="Times New Roman" w:hAnsi="Times New Roman" w:cs="Times New Roman"/>
        </w:rPr>
        <w:footnoteRef/>
      </w:r>
      <w:r w:rsidRPr="00FB37A3">
        <w:rPr>
          <w:rFonts w:ascii="Times New Roman" w:hAnsi="Times New Roman" w:cs="Times New Roman"/>
        </w:rPr>
        <w:t xml:space="preserve"> Cf. Benjamin (</w:t>
      </w:r>
      <w:r>
        <w:rPr>
          <w:rFonts w:ascii="Times New Roman" w:hAnsi="Times New Roman" w:cs="Times New Roman"/>
        </w:rPr>
        <w:t xml:space="preserve">1927-1940 ; </w:t>
      </w:r>
      <w:proofErr w:type="gramStart"/>
      <w:r w:rsidRPr="00FB37A3">
        <w:rPr>
          <w:rFonts w:ascii="Times New Roman" w:hAnsi="Times New Roman" w:cs="Times New Roman"/>
        </w:rPr>
        <w:t>1993</w:t>
      </w:r>
      <w:r>
        <w:rPr>
          <w:rFonts w:ascii="Times New Roman" w:hAnsi="Times New Roman" w:cs="Times New Roman"/>
        </w:rPr>
        <w:t xml:space="preserve"> </w:t>
      </w:r>
      <w:r w:rsidRPr="00FB37A3">
        <w:rPr>
          <w:rFonts w:ascii="Times New Roman" w:hAnsi="Times New Roman" w:cs="Times New Roman"/>
        </w:rPr>
        <w:t>,</w:t>
      </w:r>
      <w:proofErr w:type="gramEnd"/>
      <w:r w:rsidRPr="00FB37A3">
        <w:rPr>
          <w:rFonts w:ascii="Times New Roman" w:hAnsi="Times New Roman" w:cs="Times New Roman"/>
        </w:rPr>
        <w:t xml:space="preserve"> p. 491) : « L’image dialectique est une image fulgurante. C’est donc comme image fulgurante dans le Maintenant de la connaissabilité qu’il faut retenir l’Autrefois ». </w:t>
      </w:r>
    </w:p>
  </w:footnote>
  <w:footnote w:id="19">
    <w:p w:rsidR="00D54113" w:rsidRPr="00F33292" w:rsidRDefault="00D54113" w:rsidP="002C399C">
      <w:pPr>
        <w:pStyle w:val="NormalWeb"/>
        <w:spacing w:before="0" w:beforeAutospacing="0" w:after="0" w:afterAutospacing="0"/>
        <w:jc w:val="both"/>
        <w:rPr>
          <w:color w:val="111111"/>
          <w:sz w:val="20"/>
          <w:szCs w:val="20"/>
        </w:rPr>
      </w:pPr>
      <w:r w:rsidRPr="00F33292">
        <w:rPr>
          <w:rStyle w:val="Appelnotedebasdep"/>
        </w:rPr>
        <w:footnoteRef/>
      </w:r>
      <w:r w:rsidRPr="00F33292">
        <w:rPr>
          <w:sz w:val="20"/>
          <w:szCs w:val="20"/>
        </w:rPr>
        <w:t xml:space="preserve"> Cf. Didi-Huberman (1992, p. 138-139) : </w:t>
      </w:r>
      <w:r w:rsidRPr="00F33292">
        <w:rPr>
          <w:color w:val="111111"/>
          <w:sz w:val="20"/>
          <w:szCs w:val="20"/>
        </w:rPr>
        <w:t>« N’oublions pas que toute cette relation est décrite par Benjamin à travers le mot</w:t>
      </w:r>
      <w:r>
        <w:rPr>
          <w:rStyle w:val="apple-converted-space"/>
          <w:color w:val="111111"/>
          <w:sz w:val="20"/>
          <w:szCs w:val="20"/>
        </w:rPr>
        <w:t xml:space="preserve"> </w:t>
      </w:r>
      <w:r w:rsidRPr="00F33292">
        <w:rPr>
          <w:rStyle w:val="apple-converted-space"/>
          <w:color w:val="111111"/>
          <w:sz w:val="20"/>
          <w:szCs w:val="20"/>
        </w:rPr>
        <w:t xml:space="preserve">de </w:t>
      </w:r>
      <w:r w:rsidRPr="00F33292">
        <w:rPr>
          <w:i/>
          <w:iCs/>
          <w:color w:val="111111"/>
          <w:sz w:val="20"/>
          <w:szCs w:val="20"/>
        </w:rPr>
        <w:t>dialectique</w:t>
      </w:r>
      <w:r w:rsidRPr="00F33292">
        <w:rPr>
          <w:color w:val="111111"/>
          <w:sz w:val="20"/>
          <w:szCs w:val="20"/>
        </w:rPr>
        <w:t xml:space="preserve">, qui nous parle de déchirure, de distance, mais aussi de passage ou de procession (ce sont là les trois significations essentielles de la particule </w:t>
      </w:r>
      <w:r w:rsidRPr="00F33292">
        <w:rPr>
          <w:i/>
          <w:color w:val="111111"/>
          <w:sz w:val="20"/>
          <w:szCs w:val="20"/>
        </w:rPr>
        <w:t>dia</w:t>
      </w:r>
      <w:r w:rsidRPr="00F33292">
        <w:rPr>
          <w:color w:val="111111"/>
          <w:sz w:val="20"/>
          <w:szCs w:val="20"/>
        </w:rPr>
        <w:t>), ainsi qu’avec le mot de</w:t>
      </w:r>
      <w:r w:rsidRPr="00F33292">
        <w:rPr>
          <w:rStyle w:val="apple-converted-space"/>
          <w:color w:val="111111"/>
          <w:sz w:val="20"/>
          <w:szCs w:val="20"/>
        </w:rPr>
        <w:t> </w:t>
      </w:r>
      <w:r w:rsidRPr="00F33292">
        <w:rPr>
          <w:i/>
          <w:iCs/>
          <w:color w:val="111111"/>
          <w:sz w:val="20"/>
          <w:szCs w:val="20"/>
        </w:rPr>
        <w:t>critique</w:t>
      </w:r>
      <w:r w:rsidRPr="00F33292">
        <w:rPr>
          <w:color w:val="111111"/>
          <w:sz w:val="20"/>
          <w:szCs w:val="20"/>
        </w:rPr>
        <w:t>, qui réinsiste quant à lui sur le lien de toute interprétation avec un processus d’ouverture, de séparation (que dit en grec le verbe</w:t>
      </w:r>
      <w:r>
        <w:rPr>
          <w:rStyle w:val="apple-converted-space"/>
          <w:color w:val="111111"/>
          <w:sz w:val="20"/>
          <w:szCs w:val="20"/>
        </w:rPr>
        <w:t xml:space="preserve"> </w:t>
      </w:r>
      <w:r w:rsidRPr="00F33292">
        <w:rPr>
          <w:i/>
          <w:iCs/>
          <w:color w:val="111111"/>
          <w:sz w:val="20"/>
          <w:szCs w:val="20"/>
        </w:rPr>
        <w:t>krineïn</w:t>
      </w:r>
      <w:r w:rsidRPr="00F33292">
        <w:rPr>
          <w:color w:val="111111"/>
          <w:sz w:val="20"/>
          <w:szCs w:val="20"/>
        </w:rPr>
        <w:t>) ».</w:t>
      </w:r>
    </w:p>
  </w:footnote>
  <w:footnote w:id="20">
    <w:p w:rsidR="00D54113" w:rsidRPr="00F33292" w:rsidRDefault="00D54113" w:rsidP="002C399C">
      <w:pPr>
        <w:pStyle w:val="Notedebasdepage"/>
        <w:jc w:val="both"/>
        <w:rPr>
          <w:rFonts w:ascii="Times New Roman" w:hAnsi="Times New Roman" w:cs="Times New Roman"/>
        </w:rPr>
      </w:pPr>
      <w:r w:rsidRPr="00F33292">
        <w:rPr>
          <w:rStyle w:val="Appelnotedebasdep"/>
          <w:rFonts w:ascii="Times New Roman" w:hAnsi="Times New Roman" w:cs="Times New Roman"/>
        </w:rPr>
        <w:footnoteRef/>
      </w:r>
      <w:r w:rsidRPr="00F33292">
        <w:rPr>
          <w:rFonts w:ascii="Times New Roman" w:hAnsi="Times New Roman" w:cs="Times New Roman"/>
        </w:rPr>
        <w:t xml:space="preserve"> </w:t>
      </w:r>
      <w:r>
        <w:rPr>
          <w:rFonts w:ascii="Times New Roman" w:hAnsi="Times New Roman" w:cs="Times New Roman"/>
        </w:rPr>
        <w:t>Pour notre part, quand nous mettrons la machine à contribution, nous entendrons par</w:t>
      </w:r>
      <w:r w:rsidRPr="00F33292">
        <w:rPr>
          <w:rFonts w:ascii="Times New Roman" w:hAnsi="Times New Roman" w:cs="Times New Roman"/>
        </w:rPr>
        <w:t xml:space="preserve"> tableau </w:t>
      </w:r>
      <w:r>
        <w:rPr>
          <w:rFonts w:ascii="Times New Roman" w:hAnsi="Times New Roman" w:cs="Times New Roman"/>
          <w:i/>
        </w:rPr>
        <w:t xml:space="preserve">source </w:t>
      </w:r>
      <w:r>
        <w:rPr>
          <w:rFonts w:ascii="Times New Roman" w:hAnsi="Times New Roman" w:cs="Times New Roman"/>
        </w:rPr>
        <w:t xml:space="preserve">celui </w:t>
      </w:r>
      <w:r w:rsidRPr="00F33292">
        <w:rPr>
          <w:rFonts w:ascii="Times New Roman" w:hAnsi="Times New Roman" w:cs="Times New Roman"/>
        </w:rPr>
        <w:t xml:space="preserve">qui </w:t>
      </w:r>
      <w:r>
        <w:rPr>
          <w:rFonts w:ascii="Times New Roman" w:hAnsi="Times New Roman" w:cs="Times New Roman"/>
        </w:rPr>
        <w:t xml:space="preserve">se trouve au départ d’une enfilade de tableaux. </w:t>
      </w:r>
    </w:p>
  </w:footnote>
  <w:footnote w:id="21">
    <w:p w:rsidR="00D54113" w:rsidRPr="002F098B" w:rsidRDefault="00D54113" w:rsidP="002F098B">
      <w:pPr>
        <w:pStyle w:val="Notedebasdepage"/>
        <w:jc w:val="both"/>
        <w:rPr>
          <w:rFonts w:ascii="Times New Roman" w:hAnsi="Times New Roman" w:cs="Times New Roman"/>
        </w:rPr>
      </w:pPr>
      <w:r w:rsidRPr="002F098B">
        <w:rPr>
          <w:rStyle w:val="Appelnotedebasdep"/>
          <w:rFonts w:ascii="Times New Roman" w:hAnsi="Times New Roman" w:cs="Times New Roman"/>
        </w:rPr>
        <w:footnoteRef/>
      </w:r>
      <w:r w:rsidRPr="002F098B">
        <w:rPr>
          <w:rFonts w:ascii="Times New Roman" w:hAnsi="Times New Roman" w:cs="Times New Roman"/>
        </w:rPr>
        <w:t xml:space="preserve"> À propos de cette référence, on se reportera aussi à Stefania Caliandro et Angela Mengoni (dirs) (2022). </w:t>
      </w:r>
    </w:p>
  </w:footnote>
  <w:footnote w:id="22">
    <w:p w:rsidR="00D54113" w:rsidRPr="002F098B" w:rsidRDefault="00D54113" w:rsidP="002F098B">
      <w:pPr>
        <w:pStyle w:val="Notedebasdepage"/>
        <w:jc w:val="both"/>
        <w:rPr>
          <w:rFonts w:ascii="Times New Roman" w:hAnsi="Times New Roman" w:cs="Times New Roman"/>
        </w:rPr>
      </w:pPr>
      <w:r w:rsidRPr="002F098B">
        <w:rPr>
          <w:rStyle w:val="Appelnotedebasdep"/>
          <w:rFonts w:ascii="Times New Roman" w:hAnsi="Times New Roman" w:cs="Times New Roman"/>
        </w:rPr>
        <w:footnoteRef/>
      </w:r>
      <w:r w:rsidRPr="002F098B">
        <w:rPr>
          <w:rFonts w:ascii="Times New Roman" w:hAnsi="Times New Roman" w:cs="Times New Roman"/>
        </w:rPr>
        <w:t xml:space="preserve"> Bordron (2019) distingue la forme, définie comme une structure symbolique, qui requiert des règles, et la morphologie de la substance</w:t>
      </w:r>
    </w:p>
  </w:footnote>
  <w:footnote w:id="23">
    <w:p w:rsidR="00D54113" w:rsidRPr="00E86F3E" w:rsidRDefault="00D54113" w:rsidP="00ED140D">
      <w:pPr>
        <w:pStyle w:val="Notedebasdepage"/>
        <w:jc w:val="both"/>
        <w:rPr>
          <w:rFonts w:ascii="Times New Roman" w:hAnsi="Times New Roman" w:cs="Times New Roman"/>
        </w:rPr>
      </w:pPr>
      <w:r w:rsidRPr="00E86F3E">
        <w:rPr>
          <w:rStyle w:val="Appelnotedebasdep"/>
          <w:rFonts w:ascii="Times New Roman" w:hAnsi="Times New Roman" w:cs="Times New Roman"/>
        </w:rPr>
        <w:footnoteRef/>
      </w:r>
      <w:r w:rsidRPr="00E86F3E">
        <w:rPr>
          <w:rFonts w:ascii="Times New Roman" w:hAnsi="Times New Roman" w:cs="Times New Roman"/>
        </w:rPr>
        <w:t xml:space="preserve"> « On ne pourrait sérieusement soutenir ni que les couleurs et les textures de la dimension plastique ne participeraient pas à la reconnaissance iconique, ni que les propriétés qui assurent la reconnaissance d’une figure iconique ne participeraient pas à la projection d’une organisation plastique » (Fontanille, juin 2022).</w:t>
      </w:r>
    </w:p>
  </w:footnote>
  <w:footnote w:id="24">
    <w:p w:rsidR="00D54113" w:rsidRPr="002F098B" w:rsidRDefault="00D54113" w:rsidP="002F098B">
      <w:pPr>
        <w:pStyle w:val="Notedebasdepage"/>
        <w:jc w:val="both"/>
        <w:rPr>
          <w:rFonts w:ascii="Times New Roman" w:hAnsi="Times New Roman" w:cs="Times New Roman"/>
        </w:rPr>
      </w:pPr>
      <w:r w:rsidRPr="002F098B">
        <w:rPr>
          <w:rStyle w:val="Appelnotedebasdep"/>
          <w:rFonts w:ascii="Times New Roman" w:hAnsi="Times New Roman" w:cs="Times New Roman"/>
        </w:rPr>
        <w:footnoteRef/>
      </w:r>
      <w:r w:rsidRPr="002F098B">
        <w:rPr>
          <w:rFonts w:ascii="Times New Roman" w:hAnsi="Times New Roman" w:cs="Times New Roman"/>
        </w:rPr>
        <w:t xml:space="preserve"> Selon Bordron (2010</w:t>
      </w:r>
      <w:r>
        <w:rPr>
          <w:rFonts w:ascii="Times New Roman" w:hAnsi="Times New Roman" w:cs="Times New Roman"/>
        </w:rPr>
        <w:t>, 2011</w:t>
      </w:r>
      <w:r w:rsidRPr="002F098B">
        <w:rPr>
          <w:rFonts w:ascii="Times New Roman" w:hAnsi="Times New Roman" w:cs="Times New Roman"/>
        </w:rPr>
        <w:t> ; 2013, p. 75), la prédication symbolique est distincte de la prédication iconique, qui demande à l’écran d’assurer une unification. La composition méréologique est fonction de liaisons et de déliaisons. Sur elles repose la dynamique que nous avons en vue, avec ses passages et ses transitions, encore en-deçà de l</w:t>
      </w:r>
      <w:proofErr w:type="gramStart"/>
      <w:r w:rsidRPr="002F098B">
        <w:rPr>
          <w:rFonts w:ascii="Times New Roman" w:hAnsi="Times New Roman" w:cs="Times New Roman"/>
        </w:rPr>
        <w:t>’«</w:t>
      </w:r>
      <w:proofErr w:type="gramEnd"/>
      <w:r w:rsidRPr="002F098B">
        <w:rPr>
          <w:rFonts w:ascii="Times New Roman" w:hAnsi="Times New Roman" w:cs="Times New Roman"/>
        </w:rPr>
        <w:t> économie symbolique » instituée.</w:t>
      </w:r>
    </w:p>
  </w:footnote>
  <w:footnote w:id="25">
    <w:p w:rsidR="00D54113" w:rsidRPr="00434D18" w:rsidRDefault="00D54113" w:rsidP="00434D18">
      <w:pPr>
        <w:pStyle w:val="Notedebasdepage"/>
        <w:jc w:val="both"/>
      </w:pPr>
      <w:r>
        <w:rPr>
          <w:rStyle w:val="Appelnotedebasdep"/>
        </w:rPr>
        <w:footnoteRef/>
      </w:r>
      <w:r>
        <w:t xml:space="preserve"> Cf. </w:t>
      </w:r>
      <w:r w:rsidRPr="00093B21">
        <w:rPr>
          <w:rFonts w:ascii="Times New Roman" w:hAnsi="Times New Roman" w:cs="Times New Roman"/>
        </w:rPr>
        <w:t>Dondero</w:t>
      </w:r>
      <w:r w:rsidRPr="00093B21">
        <w:rPr>
          <w:rFonts w:ascii="Times New Roman" w:hAnsi="Times New Roman" w:cs="Times New Roman"/>
          <w:lang w:val="fr-LU"/>
        </w:rPr>
        <w:t xml:space="preserve"> (2019) </w:t>
      </w:r>
      <w:r>
        <w:rPr>
          <w:rFonts w:ascii="Times New Roman" w:hAnsi="Times New Roman" w:cs="Times New Roman"/>
        </w:rPr>
        <w:t>à propos de</w:t>
      </w:r>
      <w:r w:rsidRPr="00093B21">
        <w:rPr>
          <w:rFonts w:ascii="Times New Roman" w:hAnsi="Times New Roman" w:cs="Times New Roman"/>
        </w:rPr>
        <w:t xml:space="preserve"> deux stratégies de la </w:t>
      </w:r>
      <w:r w:rsidRPr="00093B21">
        <w:rPr>
          <w:rFonts w:ascii="Times New Roman" w:hAnsi="Times New Roman" w:cs="Times New Roman"/>
          <w:i/>
        </w:rPr>
        <w:t>Media Visualization</w:t>
      </w:r>
      <w:r w:rsidRPr="00093B21">
        <w:rPr>
          <w:rFonts w:ascii="Times New Roman" w:hAnsi="Times New Roman" w:cs="Times New Roman"/>
        </w:rPr>
        <w:t> : (i) le montage, qui met à profit les métadonnées standard (date, nom du peintre, etc.), et permet de dégager des régularités, certaines images faisant valoir leur caractère unique, et (ii) le diagramme, à partir de descripteurs visuels, c’est-à-dire</w:t>
      </w:r>
      <w:r>
        <w:rPr>
          <w:rFonts w:ascii="Times New Roman" w:hAnsi="Times New Roman" w:cs="Times New Roman"/>
        </w:rPr>
        <w:t xml:space="preserve"> (</w:t>
      </w:r>
      <w:r w:rsidRPr="00093B21">
        <w:rPr>
          <w:rFonts w:ascii="Times New Roman" w:hAnsi="Times New Roman" w:cs="Times New Roman"/>
        </w:rPr>
        <w:t xml:space="preserve">Dondero </w:t>
      </w:r>
      <w:r w:rsidRPr="00093B21">
        <w:rPr>
          <w:rFonts w:ascii="Times New Roman" w:hAnsi="Times New Roman" w:cs="Times New Roman"/>
          <w:i/>
        </w:rPr>
        <w:t>ibid.</w:t>
      </w:r>
      <w:r w:rsidRPr="00093B21">
        <w:rPr>
          <w:rFonts w:ascii="Times New Roman" w:hAnsi="Times New Roman" w:cs="Times New Roman"/>
        </w:rPr>
        <w:t>) d’un certain nombre de traits plastiques tels que la saturation, la luminosité, les morphologies, les types de lignes, les angles, etc. extraits de la collection des images. Il s’agit alors de montrer que, selon Manovich, le contenu et la composition peuvent à chaque fois changer en fonction de la couche d’éléments visuels retenue</w:t>
      </w:r>
      <w:r>
        <w:rPr>
          <w:rFonts w:ascii="Times New Roman" w:hAnsi="Times New Roman" w:cs="Times New Roman"/>
        </w:rPr>
        <w:t xml:space="preserve">. Voir aussi Dondero (2022). </w:t>
      </w:r>
    </w:p>
  </w:footnote>
  <w:footnote w:id="26">
    <w:p w:rsidR="00D54113" w:rsidRPr="00BF631A" w:rsidRDefault="00D54113" w:rsidP="00434D18">
      <w:pPr>
        <w:pStyle w:val="Notedebasdepage"/>
        <w:jc w:val="both"/>
        <w:rPr>
          <w:rFonts w:ascii="Times New Roman" w:hAnsi="Times New Roman" w:cs="Times New Roman"/>
        </w:rPr>
      </w:pPr>
      <w:r w:rsidRPr="00BF631A">
        <w:rPr>
          <w:rStyle w:val="Appelnotedebasdep"/>
          <w:rFonts w:ascii="Times New Roman" w:hAnsi="Times New Roman" w:cs="Times New Roman"/>
        </w:rPr>
        <w:footnoteRef/>
      </w:r>
      <w:r w:rsidRPr="00BF631A">
        <w:rPr>
          <w:rFonts w:ascii="Times New Roman" w:hAnsi="Times New Roman" w:cs="Times New Roman"/>
        </w:rPr>
        <w:t xml:space="preserve"> Nous privilégions, ici, la notion de figuratif, que l’on retrouve dans celle de configuration, qui est centrale. </w:t>
      </w:r>
      <w:r>
        <w:rPr>
          <w:rFonts w:ascii="Times New Roman" w:hAnsi="Times New Roman" w:cs="Times New Roman"/>
        </w:rPr>
        <w:t>Pour les formants figuratifs et plastiques, o</w:t>
      </w:r>
      <w:r w:rsidRPr="00BF631A">
        <w:rPr>
          <w:rFonts w:ascii="Times New Roman" w:hAnsi="Times New Roman" w:cs="Times New Roman"/>
        </w:rPr>
        <w:t>n pourra remonter à Greimas (1984).</w:t>
      </w:r>
    </w:p>
  </w:footnote>
  <w:footnote w:id="27">
    <w:p w:rsidR="00D54113" w:rsidRPr="005221A8" w:rsidRDefault="00D54113" w:rsidP="002C399C">
      <w:pPr>
        <w:pStyle w:val="Notedebasdepage"/>
        <w:jc w:val="both"/>
        <w:rPr>
          <w:rFonts w:ascii="Times New Roman" w:hAnsi="Times New Roman" w:cs="Times New Roman"/>
        </w:rPr>
      </w:pPr>
      <w:r w:rsidRPr="005221A8">
        <w:rPr>
          <w:rStyle w:val="Appelnotedebasdep"/>
          <w:rFonts w:ascii="Times New Roman" w:hAnsi="Times New Roman" w:cs="Times New Roman"/>
        </w:rPr>
        <w:footnoteRef/>
      </w:r>
      <w:r w:rsidRPr="005221A8">
        <w:rPr>
          <w:rFonts w:ascii="Times New Roman" w:hAnsi="Times New Roman" w:cs="Times New Roman"/>
        </w:rPr>
        <w:t xml:space="preserve"> La </w:t>
      </w:r>
      <w:r w:rsidRPr="005221A8">
        <w:rPr>
          <w:rFonts w:ascii="Times New Roman" w:hAnsi="Times New Roman" w:cs="Times New Roman"/>
          <w:i/>
        </w:rPr>
        <w:t>Media Visualization</w:t>
      </w:r>
      <w:r w:rsidRPr="005221A8">
        <w:rPr>
          <w:rFonts w:ascii="Times New Roman" w:hAnsi="Times New Roman" w:cs="Times New Roman"/>
        </w:rPr>
        <w:t xml:space="preserve"> selon Manovich permettrait, sans doute, de répartir topologiquement une collection de tableaux de Fiorentino, grâce à des paramètres affinés : la teinte, la saturation, la luminosité, la distance entre les tableaux numérisés permettant de dégager des clusters et des singularités stylistiques. Or, ce type d’analyse ne ferait que confirmer une de nos intuitions ici : la visualisation n’est signifiante que parce qu’elle témoigne, dès le premier abord, de l’adoption de filtres associés à des cadrages – par exemple, l’œuvre de Van Gogh, le genre du portrait, etc. – à même à la fois d’unifier, de favoriser la cohérence et la cohésion de l’ensemble considéré, provisoirement, comme un tout, et de faire ressortir les déviances.</w:t>
      </w:r>
    </w:p>
  </w:footnote>
  <w:footnote w:id="28">
    <w:p w:rsidR="00D54113" w:rsidRPr="00AD4738" w:rsidRDefault="00D54113" w:rsidP="002C399C">
      <w:pPr>
        <w:pStyle w:val="Notedebasdepage"/>
        <w:jc w:val="both"/>
        <w:rPr>
          <w:rFonts w:ascii="Times New Roman" w:hAnsi="Times New Roman" w:cs="Times New Roman"/>
        </w:rPr>
      </w:pPr>
      <w:r w:rsidRPr="00AD4738">
        <w:rPr>
          <w:rStyle w:val="Appelnotedebasdep"/>
          <w:rFonts w:ascii="Times New Roman" w:hAnsi="Times New Roman" w:cs="Times New Roman"/>
        </w:rPr>
        <w:footnoteRef/>
      </w:r>
      <w:r w:rsidRPr="00AD4738">
        <w:rPr>
          <w:rFonts w:ascii="Times New Roman" w:hAnsi="Times New Roman" w:cs="Times New Roman"/>
        </w:rPr>
        <w:t xml:space="preserve">  L’historien de l’art sera sensible au fait que le tableau </w:t>
      </w:r>
      <w:r>
        <w:rPr>
          <w:rFonts w:ascii="Times New Roman" w:hAnsi="Times New Roman" w:cs="Times New Roman"/>
        </w:rPr>
        <w:t>actuel, qui a été transformé aux XVII</w:t>
      </w:r>
      <w:r w:rsidRPr="00F66B09">
        <w:rPr>
          <w:rFonts w:ascii="Times New Roman" w:hAnsi="Times New Roman" w:cs="Times New Roman"/>
          <w:vertAlign w:val="superscript"/>
        </w:rPr>
        <w:t>e</w:t>
      </w:r>
      <w:r>
        <w:rPr>
          <w:rFonts w:ascii="Times New Roman" w:hAnsi="Times New Roman" w:cs="Times New Roman"/>
        </w:rPr>
        <w:t xml:space="preserve"> et XVIII</w:t>
      </w:r>
      <w:r w:rsidRPr="00F66B09">
        <w:rPr>
          <w:rFonts w:ascii="Times New Roman" w:hAnsi="Times New Roman" w:cs="Times New Roman"/>
          <w:vertAlign w:val="superscript"/>
        </w:rPr>
        <w:t>e</w:t>
      </w:r>
      <w:r>
        <w:rPr>
          <w:rFonts w:ascii="Times New Roman" w:hAnsi="Times New Roman" w:cs="Times New Roman"/>
        </w:rPr>
        <w:t xml:space="preserve"> siècles, est rectangulaire. </w:t>
      </w:r>
    </w:p>
  </w:footnote>
  <w:footnote w:id="29">
    <w:p w:rsidR="00D54113" w:rsidRPr="00CF5636" w:rsidRDefault="00D54113" w:rsidP="002C399C">
      <w:pPr>
        <w:jc w:val="both"/>
        <w:rPr>
          <w:sz w:val="20"/>
          <w:szCs w:val="20"/>
        </w:rPr>
      </w:pPr>
      <w:r w:rsidRPr="00CF5636">
        <w:rPr>
          <w:rStyle w:val="Appelnotedebasdep"/>
        </w:rPr>
        <w:footnoteRef/>
      </w:r>
      <w:r w:rsidRPr="00CF5636">
        <w:rPr>
          <w:sz w:val="20"/>
          <w:szCs w:val="20"/>
        </w:rPr>
        <w:t xml:space="preserve"> Ultérieurement, au moment de la transformation du tableau d’origine, la main et le bras de Vénus ont été complétés par une bande ajoutée. </w:t>
      </w:r>
    </w:p>
  </w:footnote>
  <w:footnote w:id="30">
    <w:p w:rsidR="00D54113" w:rsidRPr="00D426DA" w:rsidRDefault="00D54113" w:rsidP="002C399C">
      <w:pPr>
        <w:pStyle w:val="Notedebasdepage"/>
        <w:jc w:val="both"/>
        <w:rPr>
          <w:rFonts w:ascii="Times New Roman" w:hAnsi="Times New Roman" w:cs="Times New Roman"/>
        </w:rPr>
      </w:pPr>
      <w:r w:rsidRPr="00D426DA">
        <w:rPr>
          <w:rStyle w:val="Appelnotedebasdep"/>
          <w:rFonts w:ascii="Times New Roman" w:hAnsi="Times New Roman" w:cs="Times New Roman"/>
        </w:rPr>
        <w:footnoteRef/>
      </w:r>
      <w:r w:rsidRPr="00D426DA">
        <w:rPr>
          <w:rFonts w:ascii="Times New Roman" w:hAnsi="Times New Roman" w:cs="Times New Roman"/>
        </w:rPr>
        <w:t xml:space="preserve"> Rosso Fiorentino, </w:t>
      </w:r>
      <w:r w:rsidRPr="00D426DA">
        <w:rPr>
          <w:rFonts w:ascii="Times New Roman" w:hAnsi="Times New Roman" w:cs="Times New Roman"/>
          <w:i/>
        </w:rPr>
        <w:t>Pietà</w:t>
      </w:r>
      <w:r w:rsidRPr="00D426DA">
        <w:rPr>
          <w:rFonts w:ascii="Times New Roman" w:hAnsi="Times New Roman" w:cs="Times New Roman"/>
        </w:rPr>
        <w:t xml:space="preserve">, huile sur toile (bois transposé sur toile), 1,27 x 1,465 x 1,63 cm, Musée du Louvre. </w:t>
      </w:r>
    </w:p>
  </w:footnote>
  <w:footnote w:id="31">
    <w:p w:rsidR="00D54113" w:rsidRPr="00D426DA" w:rsidRDefault="00D54113" w:rsidP="002C399C">
      <w:pPr>
        <w:pStyle w:val="Notedebasdepage"/>
        <w:jc w:val="both"/>
        <w:rPr>
          <w:rFonts w:ascii="Times New Roman" w:hAnsi="Times New Roman" w:cs="Times New Roman"/>
        </w:rPr>
      </w:pPr>
      <w:r w:rsidRPr="00D426DA">
        <w:rPr>
          <w:rStyle w:val="Appelnotedebasdep"/>
          <w:rFonts w:ascii="Times New Roman" w:hAnsi="Times New Roman" w:cs="Times New Roman"/>
        </w:rPr>
        <w:footnoteRef/>
      </w:r>
      <w:r w:rsidRPr="00D426DA">
        <w:rPr>
          <w:rFonts w:ascii="Times New Roman" w:hAnsi="Times New Roman" w:cs="Times New Roman"/>
        </w:rPr>
        <w:t xml:space="preserve"> </w:t>
      </w:r>
      <w:r>
        <w:rPr>
          <w:rFonts w:ascii="Times New Roman" w:hAnsi="Times New Roman" w:cs="Times New Roman"/>
        </w:rPr>
        <w:t>Ross</w:t>
      </w:r>
      <w:r w:rsidR="004424D4">
        <w:rPr>
          <w:rFonts w:ascii="Times New Roman" w:hAnsi="Times New Roman" w:cs="Times New Roman"/>
        </w:rPr>
        <w:t>o</w:t>
      </w:r>
      <w:r>
        <w:rPr>
          <w:rFonts w:ascii="Times New Roman" w:hAnsi="Times New Roman" w:cs="Times New Roman"/>
        </w:rPr>
        <w:t xml:space="preserve"> Fiorentino, </w:t>
      </w:r>
      <w:r w:rsidRPr="007F0419">
        <w:rPr>
          <w:rFonts w:ascii="Times New Roman" w:hAnsi="Times New Roman" w:cs="Times New Roman"/>
          <w:i/>
        </w:rPr>
        <w:t>La Déposition de Croix de Volterra</w:t>
      </w:r>
      <w:r>
        <w:rPr>
          <w:rFonts w:ascii="Times New Roman" w:hAnsi="Times New Roman" w:cs="Times New Roman"/>
        </w:rPr>
        <w:t xml:space="preserve">, huile sur bois, 375 x 196 cm, Italie, Pinacothèque de Volterra. </w:t>
      </w:r>
      <w:r w:rsidRPr="00D426DA">
        <w:rPr>
          <w:rFonts w:ascii="Times New Roman" w:hAnsi="Times New Roman" w:cs="Times New Roman"/>
        </w:rPr>
        <w:t xml:space="preserve">Souhaitant commenter les étapes de l’analyse, plutôt que de tenir compte de tous les résultats, nous ne nous attarderons pas sur les autres tableaux montrés à l’écran. </w:t>
      </w:r>
      <w:r>
        <w:rPr>
          <w:rFonts w:ascii="Times New Roman" w:hAnsi="Times New Roman" w:cs="Times New Roman"/>
        </w:rPr>
        <w:t xml:space="preserve">On se contentera de noter que </w:t>
      </w:r>
      <w:r w:rsidRPr="00E96193">
        <w:rPr>
          <w:rFonts w:ascii="Times New Roman" w:hAnsi="Times New Roman" w:cs="Times New Roman"/>
          <w:i/>
        </w:rPr>
        <w:t xml:space="preserve">La Vierge à l’Enfant en Majesté et </w:t>
      </w:r>
      <w:r w:rsidRPr="00E96193">
        <w:rPr>
          <w:rFonts w:ascii="Times New Roman" w:eastAsia="Times New Roman" w:hAnsi="Times New Roman" w:cs="Times New Roman"/>
          <w:i/>
          <w:lang w:val="fr-LU" w:eastAsia="fr-FR"/>
        </w:rPr>
        <w:t>Saints Jean le Baptiste, Antoine</w:t>
      </w:r>
      <w:r w:rsidRPr="00E96193">
        <w:rPr>
          <w:rFonts w:ascii="Times New Roman" w:hAnsi="Times New Roman" w:cs="Times New Roman"/>
          <w:i/>
        </w:rPr>
        <w:t>-</w:t>
      </w:r>
      <w:r w:rsidRPr="00E96193">
        <w:rPr>
          <w:rFonts w:ascii="Times New Roman" w:eastAsia="Times New Roman" w:hAnsi="Times New Roman" w:cs="Times New Roman"/>
          <w:i/>
          <w:lang w:val="fr-LU" w:eastAsia="fr-FR"/>
        </w:rPr>
        <w:t>Abb</w:t>
      </w:r>
      <w:r w:rsidRPr="00E96193">
        <w:rPr>
          <w:rFonts w:ascii="Times New Roman" w:hAnsi="Times New Roman" w:cs="Times New Roman"/>
          <w:i/>
        </w:rPr>
        <w:t>é</w:t>
      </w:r>
      <w:r w:rsidRPr="00E96193">
        <w:rPr>
          <w:rFonts w:ascii="Times New Roman" w:eastAsia="Times New Roman" w:hAnsi="Times New Roman" w:cs="Times New Roman"/>
          <w:i/>
          <w:lang w:val="fr-LU" w:eastAsia="fr-FR"/>
        </w:rPr>
        <w:t xml:space="preserve">, Stéphane et Jérôme </w:t>
      </w:r>
      <w:r w:rsidRPr="00E96193">
        <w:rPr>
          <w:rFonts w:ascii="Times New Roman" w:eastAsia="Times New Roman" w:hAnsi="Times New Roman" w:cs="Times New Roman"/>
          <w:lang w:val="fr-LU" w:eastAsia="fr-FR"/>
        </w:rPr>
        <w:t>(tempera sur bois, 1,72 x 1,41, Florence, Galerie des Offices, 1519) figure en troisième position, la récurrence invitant à des recherches supplémentaires</w:t>
      </w:r>
      <w:r>
        <w:rPr>
          <w:rFonts w:ascii="Times New Roman" w:hAnsi="Times New Roman" w:cs="Times New Roman"/>
        </w:rPr>
        <w:t>.</w:t>
      </w:r>
    </w:p>
  </w:footnote>
  <w:footnote w:id="32">
    <w:p w:rsidR="00D54113" w:rsidRPr="0025712D" w:rsidRDefault="00D54113" w:rsidP="00515D5C">
      <w:pPr>
        <w:pStyle w:val="Notedebasdepage"/>
        <w:jc w:val="both"/>
        <w:rPr>
          <w:rFonts w:ascii="Times New Roman" w:hAnsi="Times New Roman" w:cs="Times New Roman"/>
        </w:rPr>
      </w:pPr>
      <w:r w:rsidRPr="00C832A3">
        <w:rPr>
          <w:rStyle w:val="Appelnotedebasdep"/>
          <w:rFonts w:ascii="Times New Roman" w:hAnsi="Times New Roman" w:cs="Times New Roman"/>
        </w:rPr>
        <w:footnoteRef/>
      </w:r>
      <w:r w:rsidRPr="00C832A3">
        <w:rPr>
          <w:rFonts w:ascii="Times New Roman" w:hAnsi="Times New Roman" w:cs="Times New Roman"/>
        </w:rPr>
        <w:t xml:space="preserve"> </w:t>
      </w:r>
      <w:r>
        <w:rPr>
          <w:rFonts w:ascii="Times New Roman" w:hAnsi="Times New Roman" w:cs="Times New Roman"/>
        </w:rPr>
        <w:t xml:space="preserve">Voici, </w:t>
      </w:r>
      <w:r w:rsidRPr="00C832A3">
        <w:rPr>
          <w:rFonts w:ascii="Times New Roman" w:hAnsi="Times New Roman" w:cs="Times New Roman"/>
        </w:rPr>
        <w:t>sur l’espace d’un siècle et par ordre chronologique</w:t>
      </w:r>
      <w:r>
        <w:rPr>
          <w:rFonts w:ascii="Times New Roman" w:hAnsi="Times New Roman" w:cs="Times New Roman"/>
        </w:rPr>
        <w:t>,</w:t>
      </w:r>
      <w:r w:rsidRPr="00C832A3">
        <w:rPr>
          <w:rFonts w:ascii="Times New Roman" w:hAnsi="Times New Roman" w:cs="Times New Roman"/>
        </w:rPr>
        <w:t xml:space="preserve"> une petite sélection</w:t>
      </w:r>
      <w:r>
        <w:rPr>
          <w:rFonts w:ascii="Times New Roman" w:hAnsi="Times New Roman" w:cs="Times New Roman"/>
        </w:rPr>
        <w:t xml:space="preserve"> de tableaux confirmant la récurrence d’une même thématique au XVI</w:t>
      </w:r>
      <w:r w:rsidRPr="00575E52">
        <w:rPr>
          <w:rFonts w:ascii="Times New Roman" w:hAnsi="Times New Roman" w:cs="Times New Roman"/>
          <w:vertAlign w:val="superscript"/>
        </w:rPr>
        <w:t>e</w:t>
      </w:r>
      <w:r>
        <w:rPr>
          <w:rFonts w:ascii="Times New Roman" w:hAnsi="Times New Roman" w:cs="Times New Roman"/>
        </w:rPr>
        <w:t xml:space="preserve"> siècle et au début du XVII</w:t>
      </w:r>
      <w:r w:rsidRPr="00575E52">
        <w:rPr>
          <w:rFonts w:ascii="Times New Roman" w:hAnsi="Times New Roman" w:cs="Times New Roman"/>
          <w:vertAlign w:val="superscript"/>
        </w:rPr>
        <w:t>e</w:t>
      </w:r>
      <w:r>
        <w:rPr>
          <w:rFonts w:ascii="Times New Roman" w:hAnsi="Times New Roman" w:cs="Times New Roman"/>
        </w:rPr>
        <w:t> </w:t>
      </w:r>
      <w:r w:rsidRPr="00C832A3">
        <w:rPr>
          <w:rFonts w:ascii="Times New Roman" w:hAnsi="Times New Roman" w:cs="Times New Roman"/>
        </w:rPr>
        <w:t>:</w:t>
      </w:r>
      <w:r>
        <w:rPr>
          <w:rFonts w:ascii="Times New Roman" w:hAnsi="Times New Roman" w:cs="Times New Roman"/>
        </w:rPr>
        <w:t xml:space="preserve"> Giorgione, </w:t>
      </w:r>
      <w:r w:rsidRPr="00841A8A">
        <w:rPr>
          <w:rFonts w:ascii="Times New Roman" w:hAnsi="Times New Roman" w:cs="Times New Roman"/>
          <w:i/>
        </w:rPr>
        <w:t>Vénus endormie</w:t>
      </w:r>
      <w:r>
        <w:rPr>
          <w:rFonts w:ascii="Times New Roman" w:hAnsi="Times New Roman" w:cs="Times New Roman"/>
        </w:rPr>
        <w:t xml:space="preserve">, 108,5 x 175 cm, Dresde, Gemäldegalerie Alte Meister, vers 1508-1510 ; Titien, </w:t>
      </w:r>
      <w:r w:rsidRPr="00841A8A">
        <w:rPr>
          <w:rFonts w:ascii="Times New Roman" w:hAnsi="Times New Roman" w:cs="Times New Roman"/>
          <w:i/>
        </w:rPr>
        <w:t>Vénus et Cupidon</w:t>
      </w:r>
      <w:r>
        <w:rPr>
          <w:rFonts w:ascii="Times New Roman" w:hAnsi="Times New Roman" w:cs="Times New Roman"/>
        </w:rPr>
        <w:t xml:space="preserve">, huile sur toile, 110,5 x 138,4 cm, Wallace Collection, 1515 ; Palma le Vieux, </w:t>
      </w:r>
      <w:r w:rsidRPr="005250BA">
        <w:rPr>
          <w:rFonts w:ascii="Times New Roman" w:hAnsi="Times New Roman" w:cs="Times New Roman"/>
          <w:i/>
        </w:rPr>
        <w:t>Vénus et Cupidon</w:t>
      </w:r>
      <w:r>
        <w:rPr>
          <w:rFonts w:ascii="Times New Roman" w:hAnsi="Times New Roman" w:cs="Times New Roman"/>
        </w:rPr>
        <w:t xml:space="preserve">, huile sur toile, Cambridge Fitzwilliam Museum, 1523-1524 ; Lorenzo Lotto, </w:t>
      </w:r>
      <w:r w:rsidRPr="00841A8A">
        <w:rPr>
          <w:rFonts w:ascii="Times New Roman" w:hAnsi="Times New Roman" w:cs="Times New Roman"/>
          <w:i/>
        </w:rPr>
        <w:t>Vénus et Cupidon</w:t>
      </w:r>
      <w:r>
        <w:rPr>
          <w:rFonts w:ascii="Times New Roman" w:hAnsi="Times New Roman" w:cs="Times New Roman"/>
        </w:rPr>
        <w:t xml:space="preserve">, huile sur toile, 92.4 x 114 cm, The Metropolitan Museum of Art, 1525-1530 ; Cranach l’Ancien, </w:t>
      </w:r>
      <w:r w:rsidRPr="005250BA">
        <w:rPr>
          <w:rFonts w:ascii="Times New Roman" w:hAnsi="Times New Roman" w:cs="Times New Roman"/>
          <w:i/>
        </w:rPr>
        <w:t>La plainte de Cupidon à Vénus</w:t>
      </w:r>
      <w:r>
        <w:rPr>
          <w:rFonts w:ascii="Times New Roman" w:hAnsi="Times New Roman" w:cs="Times New Roman"/>
        </w:rPr>
        <w:t xml:space="preserve">, huile sur panneau de bois, 81,3 x 54,6 cm, National Gallery, 1525 ; Corrège, </w:t>
      </w:r>
      <w:r w:rsidRPr="00841A8A">
        <w:rPr>
          <w:rFonts w:ascii="Times New Roman" w:hAnsi="Times New Roman" w:cs="Times New Roman"/>
          <w:i/>
        </w:rPr>
        <w:t>Vénus et Cupidon avec un satyre</w:t>
      </w:r>
      <w:r>
        <w:rPr>
          <w:rFonts w:ascii="Times New Roman" w:hAnsi="Times New Roman" w:cs="Times New Roman"/>
        </w:rPr>
        <w:t xml:space="preserve">, huile sur toile, 188cm x 125 cm, Musée du Louvre, vers 1528 ; Véronèse, </w:t>
      </w:r>
      <w:r w:rsidRPr="00841A8A">
        <w:rPr>
          <w:rFonts w:ascii="Times New Roman" w:hAnsi="Times New Roman" w:cs="Times New Roman"/>
          <w:i/>
        </w:rPr>
        <w:t>Mars et Vénus</w:t>
      </w:r>
      <w:r>
        <w:rPr>
          <w:rFonts w:ascii="Times New Roman" w:hAnsi="Times New Roman" w:cs="Times New Roman"/>
        </w:rPr>
        <w:t xml:space="preserve">, huile sur toile, 205.7 x 161 cm, New York, Metropolitan Museum of Art, 1570 ; Véronèse, </w:t>
      </w:r>
      <w:r w:rsidRPr="005250BA">
        <w:rPr>
          <w:rFonts w:ascii="Times New Roman" w:hAnsi="Times New Roman" w:cs="Times New Roman"/>
          <w:i/>
        </w:rPr>
        <w:t xml:space="preserve">Vénus </w:t>
      </w:r>
      <w:r>
        <w:rPr>
          <w:rFonts w:ascii="Times New Roman" w:hAnsi="Times New Roman" w:cs="Times New Roman"/>
          <w:i/>
        </w:rPr>
        <w:t>avec l’</w:t>
      </w:r>
      <w:r w:rsidRPr="005250BA">
        <w:rPr>
          <w:rFonts w:ascii="Times New Roman" w:hAnsi="Times New Roman" w:cs="Times New Roman"/>
          <w:i/>
        </w:rPr>
        <w:t>Amour</w:t>
      </w:r>
      <w:r>
        <w:rPr>
          <w:rFonts w:ascii="Times New Roman" w:hAnsi="Times New Roman" w:cs="Times New Roman"/>
        </w:rPr>
        <w:t xml:space="preserve"> </w:t>
      </w:r>
      <w:r w:rsidRPr="003562C3">
        <w:rPr>
          <w:rFonts w:ascii="Times New Roman" w:hAnsi="Times New Roman" w:cs="Times New Roman"/>
          <w:i/>
        </w:rPr>
        <w:t>tenant un miroir</w:t>
      </w:r>
      <w:r>
        <w:rPr>
          <w:rFonts w:ascii="Times New Roman" w:hAnsi="Times New Roman" w:cs="Times New Roman"/>
        </w:rPr>
        <w:t xml:space="preserve">, peinture sur toile, 161.3 x 120.7 cm, Omaha, Jocelyn Art Museum, 1575 ; Spranger, </w:t>
      </w:r>
      <w:r w:rsidRPr="005250BA">
        <w:rPr>
          <w:rFonts w:ascii="Times New Roman" w:hAnsi="Times New Roman" w:cs="Times New Roman"/>
          <w:i/>
        </w:rPr>
        <w:t>Vénus et Adonis</w:t>
      </w:r>
      <w:r>
        <w:rPr>
          <w:rFonts w:ascii="Times New Roman" w:hAnsi="Times New Roman" w:cs="Times New Roman"/>
        </w:rPr>
        <w:t xml:space="preserve">, 135 x 109 cm, Rijksmuseum, vers 1587 ; Hans von Aachen, </w:t>
      </w:r>
      <w:r w:rsidRPr="00DC43E0">
        <w:rPr>
          <w:rFonts w:ascii="Times New Roman" w:hAnsi="Times New Roman" w:cs="Times New Roman"/>
          <w:i/>
        </w:rPr>
        <w:t>Bacchus,</w:t>
      </w:r>
      <w:r>
        <w:rPr>
          <w:rFonts w:ascii="Times New Roman" w:hAnsi="Times New Roman" w:cs="Times New Roman"/>
        </w:rPr>
        <w:t xml:space="preserve"> </w:t>
      </w:r>
      <w:r w:rsidRPr="00841A8A">
        <w:rPr>
          <w:rFonts w:ascii="Times New Roman" w:hAnsi="Times New Roman" w:cs="Times New Roman"/>
          <w:i/>
        </w:rPr>
        <w:t>Vénus et Cupidon</w:t>
      </w:r>
      <w:r>
        <w:rPr>
          <w:rFonts w:ascii="Times New Roman" w:hAnsi="Times New Roman" w:cs="Times New Roman"/>
        </w:rPr>
        <w:t xml:space="preserve">, huile sur toile, 63 x 50 cm, Vienne, Kunsthistorisches Museum, 1585 ; Rubens, </w:t>
      </w:r>
      <w:r w:rsidRPr="00841A8A">
        <w:rPr>
          <w:rFonts w:ascii="Times New Roman" w:hAnsi="Times New Roman" w:cs="Times New Roman"/>
          <w:i/>
        </w:rPr>
        <w:t>Vénus, Cupidon, Bacchus et Cérès</w:t>
      </w:r>
      <w:r>
        <w:rPr>
          <w:rFonts w:ascii="Times New Roman" w:hAnsi="Times New Roman" w:cs="Times New Roman"/>
        </w:rPr>
        <w:t xml:space="preserve">, huile sur toile, 141 x 200 cm, Museumslandschaft Hessen Kassel, 1612-1613 ; Rottenhammer, </w:t>
      </w:r>
      <w:r w:rsidRPr="00841A8A">
        <w:rPr>
          <w:rFonts w:ascii="Times New Roman" w:hAnsi="Times New Roman" w:cs="Times New Roman"/>
          <w:i/>
        </w:rPr>
        <w:t>Vénus et Cupidon</w:t>
      </w:r>
      <w:r>
        <w:rPr>
          <w:rFonts w:ascii="Times New Roman" w:hAnsi="Times New Roman" w:cs="Times New Roman"/>
        </w:rPr>
        <w:t xml:space="preserve">, huile sur cuivre, 26 x 20 cm, coll. privée, </w:t>
      </w:r>
      <w:r w:rsidRPr="0025712D">
        <w:rPr>
          <w:rFonts w:ascii="Times New Roman" w:hAnsi="Times New Roman" w:cs="Times New Roman"/>
        </w:rPr>
        <w:t xml:space="preserve">1620. </w:t>
      </w:r>
    </w:p>
  </w:footnote>
  <w:footnote w:id="33">
    <w:p w:rsidR="00D54113" w:rsidRPr="00614376" w:rsidRDefault="00D54113" w:rsidP="00783E81">
      <w:pPr>
        <w:jc w:val="both"/>
        <w:rPr>
          <w:color w:val="000000" w:themeColor="text1"/>
          <w:sz w:val="20"/>
          <w:szCs w:val="20"/>
        </w:rPr>
      </w:pPr>
      <w:r w:rsidRPr="00540B32">
        <w:rPr>
          <w:rStyle w:val="Appelnotedebasdep"/>
        </w:rPr>
        <w:footnoteRef/>
      </w:r>
      <w:r w:rsidRPr="00540B32">
        <w:rPr>
          <w:sz w:val="20"/>
          <w:szCs w:val="20"/>
        </w:rPr>
        <w:t xml:space="preserve"> </w:t>
      </w:r>
      <w:r>
        <w:rPr>
          <w:sz w:val="20"/>
          <w:szCs w:val="20"/>
        </w:rPr>
        <w:t>Cette application</w:t>
      </w:r>
      <w:r w:rsidRPr="00540B32">
        <w:rPr>
          <w:sz w:val="20"/>
          <w:szCs w:val="20"/>
        </w:rPr>
        <w:t xml:space="preserve"> trouve soit des données similaires à une image URL, soit des images similaires. </w:t>
      </w:r>
      <w:r>
        <w:rPr>
          <w:sz w:val="20"/>
          <w:szCs w:val="20"/>
        </w:rPr>
        <w:t xml:space="preserve">Nous recourons à la seconde fonction. </w:t>
      </w:r>
      <w:r w:rsidRPr="00540B32">
        <w:rPr>
          <w:sz w:val="20"/>
          <w:szCs w:val="20"/>
        </w:rPr>
        <w:t xml:space="preserve">L’image URL utilisée ici est la suivante : </w:t>
      </w:r>
      <w:hyperlink r:id="rId1" w:history="1">
        <w:r w:rsidRPr="00614376">
          <w:rPr>
            <w:rStyle w:val="Lienhypertexte"/>
            <w:color w:val="000000" w:themeColor="text1"/>
            <w:sz w:val="20"/>
            <w:szCs w:val="20"/>
            <w:u w:val="none"/>
          </w:rPr>
          <w:t>https://upload.wikimedia.org/wikipedia/commons/1/1b/Rosso_fiorentino_(attr.),_bacco,_venere_e_marte.jpg</w:t>
        </w:r>
      </w:hyperlink>
    </w:p>
  </w:footnote>
  <w:footnote w:id="34">
    <w:p w:rsidR="00D54113" w:rsidRPr="00783E81" w:rsidRDefault="00D54113" w:rsidP="00783E81">
      <w:pPr>
        <w:pStyle w:val="Notedebasdepage"/>
        <w:jc w:val="both"/>
        <w:rPr>
          <w:rFonts w:ascii="Times New Roman" w:hAnsi="Times New Roman" w:cs="Times New Roman"/>
        </w:rPr>
      </w:pPr>
      <w:r w:rsidRPr="00783E81">
        <w:rPr>
          <w:rStyle w:val="Appelnotedebasdep"/>
          <w:rFonts w:ascii="Times New Roman" w:hAnsi="Times New Roman" w:cs="Times New Roman"/>
        </w:rPr>
        <w:footnoteRef/>
      </w:r>
      <w:r w:rsidRPr="00783E81">
        <w:rPr>
          <w:rFonts w:ascii="Times New Roman" w:hAnsi="Times New Roman" w:cs="Times New Roman"/>
        </w:rPr>
        <w:t xml:space="preserve"> On constatera le mélange des paramètres (catégories relatives aux formants figuratifs et plastiques) et l’impossibilité d’établir aucune priorité ni aucune pondération.</w:t>
      </w:r>
    </w:p>
  </w:footnote>
  <w:footnote w:id="35">
    <w:p w:rsidR="00D54113" w:rsidRPr="001F3318" w:rsidRDefault="00D54113" w:rsidP="008532A3">
      <w:pPr>
        <w:pStyle w:val="Notedebasdepage"/>
        <w:jc w:val="both"/>
        <w:rPr>
          <w:rFonts w:ascii="Times New Roman" w:hAnsi="Times New Roman" w:cs="Times New Roman"/>
        </w:rPr>
      </w:pPr>
      <w:r w:rsidRPr="001F3318">
        <w:rPr>
          <w:rStyle w:val="Appelnotedebasdep"/>
          <w:rFonts w:ascii="Times New Roman" w:hAnsi="Times New Roman" w:cs="Times New Roman"/>
        </w:rPr>
        <w:footnoteRef/>
      </w:r>
      <w:r w:rsidRPr="001F3318">
        <w:rPr>
          <w:rFonts w:ascii="Times New Roman" w:hAnsi="Times New Roman" w:cs="Times New Roman"/>
        </w:rPr>
        <w:t xml:space="preserve"> Les chercheurs participant au projet de recherche AAA peuvent avoir recours à Miro (https//miro.com), une plateforme dédiée à la collaboration visuelle.</w:t>
      </w:r>
    </w:p>
  </w:footnote>
  <w:footnote w:id="36">
    <w:p w:rsidR="00D54113" w:rsidRPr="00783E81" w:rsidRDefault="00D54113" w:rsidP="00783E81">
      <w:pPr>
        <w:pStyle w:val="Notedebasdepage"/>
        <w:jc w:val="both"/>
        <w:rPr>
          <w:rFonts w:ascii="Times New Roman" w:hAnsi="Times New Roman" w:cs="Times New Roman"/>
        </w:rPr>
      </w:pPr>
      <w:r w:rsidRPr="00783E81">
        <w:rPr>
          <w:rStyle w:val="Appelnotedebasdep"/>
          <w:rFonts w:ascii="Times New Roman" w:hAnsi="Times New Roman" w:cs="Times New Roman"/>
        </w:rPr>
        <w:footnoteRef/>
      </w:r>
      <w:r w:rsidRPr="00783E81">
        <w:rPr>
          <w:rFonts w:ascii="Times New Roman" w:hAnsi="Times New Roman" w:cs="Times New Roman"/>
        </w:rPr>
        <w:t xml:space="preserve"> On peut générer jusqu’à 48 images. </w:t>
      </w:r>
    </w:p>
  </w:footnote>
  <w:footnote w:id="37">
    <w:p w:rsidR="00D54113" w:rsidRPr="0034552D" w:rsidRDefault="00D54113" w:rsidP="002C399C">
      <w:pPr>
        <w:pStyle w:val="Notedebasdepage"/>
        <w:jc w:val="both"/>
        <w:rPr>
          <w:rFonts w:ascii="Times New Roman" w:hAnsi="Times New Roman" w:cs="Times New Roman"/>
        </w:rPr>
      </w:pPr>
      <w:r w:rsidRPr="0034552D">
        <w:rPr>
          <w:rStyle w:val="Appelnotedebasdep"/>
          <w:rFonts w:ascii="Times New Roman" w:hAnsi="Times New Roman" w:cs="Times New Roman"/>
        </w:rPr>
        <w:footnoteRef/>
      </w:r>
      <w:r w:rsidRPr="0034552D">
        <w:rPr>
          <w:rFonts w:ascii="Times New Roman" w:hAnsi="Times New Roman" w:cs="Times New Roman"/>
        </w:rPr>
        <w:t xml:space="preserve"> On note des opérations rhétoriques de déplacement</w:t>
      </w:r>
      <w:r>
        <w:rPr>
          <w:rFonts w:ascii="Times New Roman" w:hAnsi="Times New Roman" w:cs="Times New Roman"/>
        </w:rPr>
        <w:t xml:space="preserve"> : ainsi, </w:t>
      </w:r>
      <w:r w:rsidRPr="0034552D">
        <w:rPr>
          <w:rFonts w:ascii="Times New Roman" w:hAnsi="Times New Roman" w:cs="Times New Roman"/>
        </w:rPr>
        <w:t>du tout vers la partie (</w:t>
      </w:r>
      <w:r>
        <w:rPr>
          <w:rFonts w:ascii="Times New Roman" w:hAnsi="Times New Roman" w:cs="Times New Roman"/>
        </w:rPr>
        <w:t>du tableau vers une partie).</w:t>
      </w:r>
      <w:r w:rsidRPr="0034552D">
        <w:rPr>
          <w:rFonts w:ascii="Times New Roman" w:hAnsi="Times New Roman" w:cs="Times New Roman"/>
        </w:rPr>
        <w:t xml:space="preserve"> Dans la deuxième image, </w:t>
      </w:r>
      <w:r w:rsidRPr="0034552D">
        <w:rPr>
          <w:rFonts w:ascii="Times New Roman" w:hAnsi="Times New Roman" w:cs="Times New Roman"/>
          <w:i/>
        </w:rPr>
        <w:t>Cupidon fabriquant son arc</w:t>
      </w:r>
      <w:r w:rsidRPr="0034552D">
        <w:rPr>
          <w:rFonts w:ascii="Times New Roman" w:hAnsi="Times New Roman" w:cs="Times New Roman"/>
        </w:rPr>
        <w:t>, de Rubens (1614), le personnage de Cupidon est hissé au rang de personnage unique. La partie (</w:t>
      </w:r>
      <w:r>
        <w:rPr>
          <w:rFonts w:ascii="Times New Roman" w:hAnsi="Times New Roman" w:cs="Times New Roman"/>
        </w:rPr>
        <w:t>d</w:t>
      </w:r>
      <w:r w:rsidRPr="0034552D">
        <w:rPr>
          <w:rFonts w:ascii="Times New Roman" w:hAnsi="Times New Roman" w:cs="Times New Roman"/>
        </w:rPr>
        <w:t xml:space="preserve">ans le tableau requête) devient le tout. </w:t>
      </w:r>
    </w:p>
  </w:footnote>
  <w:footnote w:id="38">
    <w:p w:rsidR="00D54113" w:rsidRPr="00633BC0" w:rsidRDefault="00D54113" w:rsidP="00FC44FB">
      <w:pPr>
        <w:pStyle w:val="Notedebasdepage"/>
        <w:rPr>
          <w:rFonts w:ascii="Times New Roman" w:hAnsi="Times New Roman" w:cs="Times New Roman"/>
          <w:lang w:val="fr-CH"/>
        </w:rPr>
      </w:pPr>
      <w:r w:rsidRPr="00633BC0">
        <w:rPr>
          <w:rStyle w:val="Appelnotedebasdep"/>
          <w:rFonts w:ascii="Times New Roman" w:hAnsi="Times New Roman" w:cs="Times New Roman"/>
        </w:rPr>
        <w:footnoteRef/>
      </w:r>
      <w:r w:rsidRPr="00633BC0">
        <w:rPr>
          <w:rFonts w:ascii="Times New Roman" w:hAnsi="Times New Roman" w:cs="Times New Roman"/>
        </w:rPr>
        <w:t xml:space="preserve"> </w:t>
      </w:r>
      <w:r w:rsidRPr="00633BC0">
        <w:rPr>
          <w:rFonts w:ascii="Times New Roman" w:hAnsi="Times New Roman" w:cs="Times New Roman"/>
          <w:lang w:val="fr-CH"/>
        </w:rPr>
        <w:t xml:space="preserve">Michel-Ange, </w:t>
      </w:r>
      <w:r w:rsidRPr="00633BC0">
        <w:rPr>
          <w:rFonts w:ascii="Times New Roman" w:hAnsi="Times New Roman" w:cs="Times New Roman"/>
          <w:i/>
          <w:lang w:val="fr-CH"/>
        </w:rPr>
        <w:t>L’ivresse de Noé</w:t>
      </w:r>
      <w:r w:rsidRPr="00633BC0">
        <w:rPr>
          <w:rFonts w:ascii="Times New Roman" w:hAnsi="Times New Roman" w:cs="Times New Roman"/>
          <w:lang w:val="fr-CH"/>
        </w:rPr>
        <w:t>, fresque, 170 x 260 cm, Rome, Musées du Vatican, Chapelle Sixtine</w:t>
      </w:r>
      <w:r>
        <w:rPr>
          <w:rFonts w:ascii="Times New Roman" w:hAnsi="Times New Roman" w:cs="Times New Roman"/>
          <w:lang w:val="fr-CH"/>
        </w:rPr>
        <w:t>, 1509</w:t>
      </w:r>
      <w:r w:rsidRPr="00633BC0">
        <w:rPr>
          <w:rFonts w:ascii="Times New Roman" w:hAnsi="Times New Roman" w:cs="Times New Roman"/>
          <w:lang w:val="fr-CH"/>
        </w:rPr>
        <w:t xml:space="preserve">. </w:t>
      </w:r>
    </w:p>
  </w:footnote>
  <w:footnote w:id="39">
    <w:p w:rsidR="00D54113" w:rsidRPr="00AA3B1E" w:rsidRDefault="00D54113" w:rsidP="00FC44FB">
      <w:pPr>
        <w:pStyle w:val="Notedebasdepage"/>
        <w:jc w:val="both"/>
        <w:rPr>
          <w:rFonts w:ascii="Times New Roman" w:hAnsi="Times New Roman" w:cs="Times New Roman"/>
          <w:lang w:val="fr-CH"/>
        </w:rPr>
      </w:pPr>
      <w:r w:rsidRPr="00AA3B1E">
        <w:rPr>
          <w:rStyle w:val="Appelnotedebasdep"/>
          <w:rFonts w:ascii="Times New Roman" w:hAnsi="Times New Roman" w:cs="Times New Roman"/>
        </w:rPr>
        <w:footnoteRef/>
      </w:r>
      <w:r w:rsidRPr="00AA3B1E">
        <w:rPr>
          <w:rFonts w:ascii="Times New Roman" w:hAnsi="Times New Roman" w:cs="Times New Roman"/>
        </w:rPr>
        <w:t xml:space="preserve"> Le format a, à l’image du cadre</w:t>
      </w:r>
      <w:r>
        <w:rPr>
          <w:rFonts w:ascii="Times New Roman" w:hAnsi="Times New Roman" w:cs="Times New Roman"/>
        </w:rPr>
        <w:t xml:space="preserve"> (Klinkenberg 2016)</w:t>
      </w:r>
      <w:r w:rsidRPr="00AA3B1E">
        <w:rPr>
          <w:rFonts w:ascii="Times New Roman" w:hAnsi="Times New Roman" w:cs="Times New Roman"/>
        </w:rPr>
        <w:t>, une fonction indexicale de centrage et d’homogénéisation.</w:t>
      </w:r>
    </w:p>
  </w:footnote>
  <w:footnote w:id="40">
    <w:p w:rsidR="00D54113" w:rsidRPr="00AA3B1E" w:rsidRDefault="00D54113" w:rsidP="00FC44FB">
      <w:pPr>
        <w:pStyle w:val="Notedebasdepage"/>
        <w:jc w:val="both"/>
        <w:rPr>
          <w:rFonts w:ascii="Times New Roman" w:hAnsi="Times New Roman" w:cs="Times New Roman"/>
          <w:lang w:val="fr-CH"/>
        </w:rPr>
      </w:pPr>
      <w:r w:rsidRPr="00AA3B1E">
        <w:rPr>
          <w:rStyle w:val="Appelnotedebasdep"/>
          <w:rFonts w:ascii="Times New Roman" w:hAnsi="Times New Roman" w:cs="Times New Roman"/>
        </w:rPr>
        <w:footnoteRef/>
      </w:r>
      <w:r w:rsidRPr="00AA3B1E">
        <w:rPr>
          <w:rFonts w:ascii="Times New Roman" w:hAnsi="Times New Roman" w:cs="Times New Roman"/>
        </w:rPr>
        <w:t xml:space="preserve"> </w:t>
      </w:r>
      <w:r w:rsidRPr="00AA3B1E">
        <w:rPr>
          <w:rFonts w:ascii="Times New Roman" w:hAnsi="Times New Roman" w:cs="Times New Roman"/>
          <w:lang w:val="fr-CH"/>
        </w:rPr>
        <w:t xml:space="preserve">Peter Paul Rubens, </w:t>
      </w:r>
      <w:r w:rsidRPr="00AA3B1E">
        <w:rPr>
          <w:rFonts w:ascii="Times New Roman" w:hAnsi="Times New Roman" w:cs="Times New Roman"/>
          <w:i/>
          <w:lang w:val="fr-CH"/>
        </w:rPr>
        <w:t xml:space="preserve">Cupidon </w:t>
      </w:r>
      <w:r w:rsidR="00D4040A">
        <w:rPr>
          <w:rFonts w:ascii="Times New Roman" w:hAnsi="Times New Roman" w:cs="Times New Roman"/>
          <w:i/>
          <w:lang w:val="fr-CH"/>
        </w:rPr>
        <w:t>taillant</w:t>
      </w:r>
      <w:r w:rsidRPr="00AA3B1E">
        <w:rPr>
          <w:rFonts w:ascii="Times New Roman" w:hAnsi="Times New Roman" w:cs="Times New Roman"/>
          <w:i/>
          <w:lang w:val="fr-CH"/>
        </w:rPr>
        <w:t xml:space="preserve"> son arc</w:t>
      </w:r>
      <w:r w:rsidRPr="00AA3B1E">
        <w:rPr>
          <w:rFonts w:ascii="Times New Roman" w:hAnsi="Times New Roman" w:cs="Times New Roman"/>
          <w:lang w:val="fr-CH"/>
        </w:rPr>
        <w:t>, huile sur bois, 142,5 x 107 cm, München, Alte Pinakothek, 1614.</w:t>
      </w:r>
    </w:p>
  </w:footnote>
  <w:footnote w:id="41">
    <w:p w:rsidR="00D54113" w:rsidRPr="00AA3B1E" w:rsidRDefault="00D54113" w:rsidP="00FC44FB">
      <w:pPr>
        <w:pStyle w:val="Notedebasdepage"/>
        <w:jc w:val="both"/>
        <w:rPr>
          <w:rFonts w:ascii="Times New Roman" w:hAnsi="Times New Roman" w:cs="Times New Roman"/>
          <w:lang w:val="fr-LU"/>
        </w:rPr>
      </w:pPr>
      <w:r w:rsidRPr="00AA3B1E">
        <w:rPr>
          <w:rStyle w:val="Appelnotedebasdep"/>
          <w:rFonts w:ascii="Times New Roman" w:hAnsi="Times New Roman" w:cs="Times New Roman"/>
        </w:rPr>
        <w:footnoteRef/>
      </w:r>
      <w:r w:rsidRPr="00AA3B1E">
        <w:rPr>
          <w:rFonts w:ascii="Times New Roman" w:hAnsi="Times New Roman" w:cs="Times New Roman"/>
          <w:lang w:val="fr-LU"/>
        </w:rPr>
        <w:t xml:space="preserve"> Hans von Aachen, </w:t>
      </w:r>
      <w:r w:rsidRPr="00AA3B1E">
        <w:rPr>
          <w:rFonts w:ascii="Times New Roman" w:hAnsi="Times New Roman" w:cs="Times New Roman"/>
          <w:i/>
          <w:lang w:val="fr-LU"/>
        </w:rPr>
        <w:t>Jupiter, Antiope et Cupidon</w:t>
      </w:r>
      <w:r w:rsidRPr="00AA3B1E">
        <w:rPr>
          <w:rFonts w:ascii="Times New Roman" w:hAnsi="Times New Roman" w:cs="Times New Roman"/>
          <w:lang w:val="fr-LU"/>
        </w:rPr>
        <w:t>, peint sur cuivre, 30,5 x 21 cm, Kunsthistorisches Museum, 1595.</w:t>
      </w:r>
    </w:p>
  </w:footnote>
  <w:footnote w:id="42">
    <w:p w:rsidR="00D54113" w:rsidRPr="0065667B" w:rsidRDefault="00D54113" w:rsidP="00FC44FB">
      <w:pPr>
        <w:jc w:val="both"/>
        <w:rPr>
          <w:sz w:val="20"/>
          <w:szCs w:val="20"/>
        </w:rPr>
      </w:pPr>
      <w:r w:rsidRPr="00AA3B1E">
        <w:rPr>
          <w:rStyle w:val="Appelnotedebasdep"/>
        </w:rPr>
        <w:footnoteRef/>
      </w:r>
      <w:r w:rsidRPr="00AA3B1E">
        <w:rPr>
          <w:sz w:val="20"/>
          <w:szCs w:val="20"/>
        </w:rPr>
        <w:t xml:space="preserve"> </w:t>
      </w:r>
      <w:r w:rsidRPr="00AA3B1E">
        <w:rPr>
          <w:color w:val="212529"/>
          <w:sz w:val="20"/>
          <w:szCs w:val="20"/>
          <w:shd w:val="clear" w:color="auto" w:fill="FFFFFF"/>
        </w:rPr>
        <w:t>Par ailleurs, l’on peut noter la récurrence de la forme triangulaire formé</w:t>
      </w:r>
      <w:r>
        <w:rPr>
          <w:color w:val="212529"/>
          <w:sz w:val="20"/>
          <w:szCs w:val="20"/>
          <w:shd w:val="clear" w:color="auto" w:fill="FFFFFF"/>
        </w:rPr>
        <w:t>e</w:t>
      </w:r>
      <w:r w:rsidRPr="00AA3B1E">
        <w:rPr>
          <w:color w:val="212529"/>
          <w:sz w:val="20"/>
          <w:szCs w:val="20"/>
          <w:shd w:val="clear" w:color="auto" w:fill="FFFFFF"/>
        </w:rPr>
        <w:t xml:space="preserve"> par la jambe </w:t>
      </w:r>
      <w:r>
        <w:rPr>
          <w:color w:val="212529"/>
          <w:sz w:val="20"/>
          <w:szCs w:val="20"/>
          <w:shd w:val="clear" w:color="auto" w:fill="FFFFFF"/>
        </w:rPr>
        <w:t>droite</w:t>
      </w:r>
      <w:r w:rsidRPr="00AA3B1E">
        <w:rPr>
          <w:color w:val="212529"/>
          <w:sz w:val="20"/>
          <w:szCs w:val="20"/>
          <w:shd w:val="clear" w:color="auto" w:fill="FFFFFF"/>
        </w:rPr>
        <w:t xml:space="preserve"> de Cupidon et la jambe gauche d’Antiope, dans le coin gauche inférieur, des symétries par rapport à une ligne oblique reliant la tête de Jupiter au pied droit de Cupidon</w:t>
      </w:r>
      <w:r>
        <w:rPr>
          <w:color w:val="212529"/>
          <w:sz w:val="20"/>
          <w:szCs w:val="20"/>
          <w:shd w:val="clear" w:color="auto" w:fill="FFFFFF"/>
        </w:rPr>
        <w:t xml:space="preserve"> (en passant par la main droite de Jupiter)</w:t>
      </w:r>
      <w:r w:rsidRPr="00AA3B1E">
        <w:rPr>
          <w:color w:val="212529"/>
          <w:sz w:val="20"/>
          <w:szCs w:val="20"/>
          <w:shd w:val="clear" w:color="auto" w:fill="FFFFFF"/>
        </w:rPr>
        <w:t xml:space="preserve">, ou encore une opposition entre le geste qui enserre et le bras gauche de Cupidon, tendu vers le bord gauche du tableau. </w:t>
      </w:r>
    </w:p>
  </w:footnote>
  <w:footnote w:id="43">
    <w:p w:rsidR="00D54113" w:rsidRPr="00C52648" w:rsidRDefault="00D54113" w:rsidP="00FC44FB">
      <w:pPr>
        <w:pStyle w:val="Notedebasdepage"/>
        <w:jc w:val="both"/>
        <w:rPr>
          <w:rFonts w:ascii="Times New Roman" w:hAnsi="Times New Roman" w:cs="Times New Roman"/>
        </w:rPr>
      </w:pPr>
      <w:r w:rsidRPr="00C52648">
        <w:rPr>
          <w:rStyle w:val="Appelnotedebasdep"/>
          <w:rFonts w:ascii="Times New Roman" w:hAnsi="Times New Roman" w:cs="Times New Roman"/>
        </w:rPr>
        <w:footnoteRef/>
      </w:r>
      <w:r w:rsidRPr="00C52648">
        <w:rPr>
          <w:rFonts w:ascii="Times New Roman" w:hAnsi="Times New Roman" w:cs="Times New Roman"/>
        </w:rPr>
        <w:t xml:space="preserve"> Agnolo Bronzino, </w:t>
      </w:r>
      <w:r w:rsidRPr="00C52648">
        <w:rPr>
          <w:rFonts w:ascii="Times New Roman" w:hAnsi="Times New Roman" w:cs="Times New Roman"/>
          <w:i/>
        </w:rPr>
        <w:t>Allégorie avec Vénus et Cupidon</w:t>
      </w:r>
      <w:r w:rsidRPr="00C52648">
        <w:rPr>
          <w:rFonts w:ascii="Times New Roman" w:hAnsi="Times New Roman" w:cs="Times New Roman"/>
        </w:rPr>
        <w:t>, huile sur bois, 146 x 116 cm, Londres, National Gallery, v. 1545.</w:t>
      </w:r>
    </w:p>
  </w:footnote>
  <w:footnote w:id="44">
    <w:p w:rsidR="003C5528" w:rsidRPr="00AA00C3" w:rsidRDefault="003C5528" w:rsidP="003C5528">
      <w:pPr>
        <w:pStyle w:val="Notedebasdepage"/>
        <w:jc w:val="both"/>
        <w:rPr>
          <w:rFonts w:ascii="Times New Roman" w:hAnsi="Times New Roman" w:cs="Times New Roman"/>
        </w:rPr>
      </w:pPr>
      <w:r w:rsidRPr="00AA00C3">
        <w:rPr>
          <w:rStyle w:val="Appelnotedebasdep"/>
          <w:rFonts w:ascii="Times New Roman" w:hAnsi="Times New Roman" w:cs="Times New Roman"/>
        </w:rPr>
        <w:footnoteRef/>
      </w:r>
      <w:r w:rsidRPr="00AA00C3">
        <w:rPr>
          <w:rFonts w:ascii="Times New Roman" w:hAnsi="Times New Roman" w:cs="Times New Roman"/>
        </w:rPr>
        <w:t xml:space="preserve"> </w:t>
      </w:r>
      <w:r>
        <w:rPr>
          <w:rFonts w:ascii="Times New Roman" w:hAnsi="Times New Roman" w:cs="Times New Roman"/>
        </w:rPr>
        <w:t xml:space="preserve">Pour approfondir l’analyse, il faudrait s’attarder sur le visage à l’allure de masque qui, en haut à gauche de l’image, est volontiers associé à la figure de l’Oubli. On peut associer l’Oubli au Temps, symbolisé par le vieil homme barbu recouvrant la scène incestueuse d’un voile bleu (le mouvement horizontal, en écho aux jambes repliées en bas de l’image, renvoie à une composition similaire dans </w:t>
      </w:r>
      <w:r w:rsidRPr="00E173A8">
        <w:rPr>
          <w:rFonts w:ascii="Times New Roman" w:hAnsi="Times New Roman" w:cs="Times New Roman"/>
          <w:i/>
        </w:rPr>
        <w:t>Bacchus, Vénus et Cupidon</w:t>
      </w:r>
      <w:r>
        <w:rPr>
          <w:rFonts w:ascii="Times New Roman" w:hAnsi="Times New Roman" w:cs="Times New Roman"/>
        </w:rPr>
        <w:t xml:space="preserve">, voire dans </w:t>
      </w:r>
      <w:r w:rsidRPr="00E173A8">
        <w:rPr>
          <w:rFonts w:ascii="Times New Roman" w:hAnsi="Times New Roman" w:cs="Times New Roman"/>
          <w:i/>
        </w:rPr>
        <w:t>La déposition de croix de Volterra</w:t>
      </w:r>
      <w:r>
        <w:rPr>
          <w:rFonts w:ascii="Times New Roman" w:hAnsi="Times New Roman" w:cs="Times New Roman"/>
        </w:rPr>
        <w:t xml:space="preserve">). On pourra également entamer des recherches parallèles sur la récurrence des masques dans la peinture de cette époque. Cf., aussi </w:t>
      </w:r>
      <w:r>
        <w:rPr>
          <w:rFonts w:ascii="Times New Roman" w:hAnsi="Times New Roman" w:cs="Times New Roman"/>
          <w:i/>
        </w:rPr>
        <w:t>Tête de</w:t>
      </w:r>
      <w:r w:rsidRPr="00410714">
        <w:rPr>
          <w:rFonts w:ascii="Times New Roman" w:hAnsi="Times New Roman" w:cs="Times New Roman"/>
          <w:i/>
        </w:rPr>
        <w:t xml:space="preserve"> Méduse</w:t>
      </w:r>
      <w:r>
        <w:rPr>
          <w:rFonts w:ascii="Times New Roman" w:hAnsi="Times New Roman" w:cs="Times New Roman"/>
        </w:rPr>
        <w:t xml:space="preserve">, du Caravage, huile sur toile de lin, montée sur un bouclier de parade en peuplier, 60 x 55 cm, Florence, Galerie des Offices, 1597-1598. Méduse, légèrement de profil, qui a la bouche ouverte, les yeux révulsés, les cheveux en serpents, n’est pas sans rappeler la figure de l’Oubli, dans le tableau de Bronzino. L’expression de cette dernière est horrifiée (sans doute devant l’amour incestueux de Vénus et Cupidon). </w:t>
      </w:r>
    </w:p>
  </w:footnote>
  <w:footnote w:id="45">
    <w:p w:rsidR="00D54113" w:rsidRPr="00BE3C51" w:rsidRDefault="00D54113" w:rsidP="00132286">
      <w:pPr>
        <w:pStyle w:val="Notedebasdepage"/>
        <w:rPr>
          <w:rFonts w:ascii="Times New Roman" w:hAnsi="Times New Roman" w:cs="Times New Roman"/>
        </w:rPr>
      </w:pPr>
      <w:r w:rsidRPr="00BE3C51">
        <w:rPr>
          <w:rStyle w:val="Appelnotedebasdep"/>
          <w:rFonts w:ascii="Times New Roman" w:hAnsi="Times New Roman" w:cs="Times New Roman"/>
        </w:rPr>
        <w:footnoteRef/>
      </w:r>
      <w:r w:rsidRPr="00BE3C51">
        <w:rPr>
          <w:rFonts w:ascii="Times New Roman" w:hAnsi="Times New Roman" w:cs="Times New Roman"/>
        </w:rPr>
        <w:t xml:space="preserve"> Cf. également le lion comme allégorie du roi. </w:t>
      </w:r>
    </w:p>
  </w:footnote>
  <w:footnote w:id="46">
    <w:p w:rsidR="00D54113" w:rsidRPr="00FC44FB" w:rsidRDefault="00D54113" w:rsidP="00FC44FB">
      <w:pPr>
        <w:pStyle w:val="Notedebasdepage"/>
        <w:jc w:val="both"/>
        <w:rPr>
          <w:rFonts w:ascii="Times New Roman" w:hAnsi="Times New Roman" w:cs="Times New Roman"/>
        </w:rPr>
      </w:pPr>
      <w:r w:rsidRPr="00AA00C3">
        <w:rPr>
          <w:rStyle w:val="Appelnotedebasdep"/>
          <w:rFonts w:ascii="Times New Roman" w:hAnsi="Times New Roman" w:cs="Times New Roman"/>
        </w:rPr>
        <w:footnoteRef/>
      </w:r>
      <w:r w:rsidRPr="00AA00C3">
        <w:rPr>
          <w:rFonts w:ascii="Times New Roman" w:hAnsi="Times New Roman" w:cs="Times New Roman"/>
        </w:rPr>
        <w:t xml:space="preserve"> Au château de Fontainebleau (Galerie François </w:t>
      </w:r>
      <w:r>
        <w:rPr>
          <w:rFonts w:ascii="Times New Roman" w:hAnsi="Times New Roman" w:cs="Times New Roman"/>
        </w:rPr>
        <w:t>I</w:t>
      </w:r>
      <w:r w:rsidRPr="00AA00C3">
        <w:rPr>
          <w:rFonts w:ascii="Times New Roman" w:hAnsi="Times New Roman" w:cs="Times New Roman"/>
          <w:vertAlign w:val="superscript"/>
        </w:rPr>
        <w:t>er</w:t>
      </w:r>
      <w:r w:rsidRPr="00AA00C3">
        <w:rPr>
          <w:rFonts w:ascii="Times New Roman" w:hAnsi="Times New Roman" w:cs="Times New Roman"/>
        </w:rPr>
        <w:t xml:space="preserve">), Francisque Scibec de Carpi orna des boiseries en noyer de </w:t>
      </w:r>
      <w:r w:rsidRPr="00FC44FB">
        <w:rPr>
          <w:rFonts w:ascii="Times New Roman" w:hAnsi="Times New Roman" w:cs="Times New Roman"/>
        </w:rPr>
        <w:t xml:space="preserve">salamandres sculptées (1539). </w:t>
      </w:r>
    </w:p>
  </w:footnote>
  <w:footnote w:id="47">
    <w:p w:rsidR="00D54113" w:rsidRPr="00FC44FB" w:rsidRDefault="00D54113" w:rsidP="00FC44FB">
      <w:pPr>
        <w:jc w:val="both"/>
        <w:rPr>
          <w:sz w:val="20"/>
          <w:szCs w:val="20"/>
        </w:rPr>
      </w:pPr>
      <w:r w:rsidRPr="00FC44FB">
        <w:rPr>
          <w:rStyle w:val="Appelnotedebasdep"/>
          <w:sz w:val="20"/>
          <w:szCs w:val="20"/>
        </w:rPr>
        <w:footnoteRef/>
      </w:r>
      <w:r w:rsidRPr="00FC44FB">
        <w:rPr>
          <w:sz w:val="20"/>
          <w:szCs w:val="20"/>
        </w:rPr>
        <w:t xml:space="preserve"> Nous renvoyons à un texte publié sur Internet, en 2019, suite à la thèse de doctorat en histoire de l’art (Université Bordeaux-Montaigne, 2019), intitulée « Sans Bacchus et Vénus, la Galerie se refroidit : dispositif libérant le programme de l’intégralité du décor de la Galerie du Roi de Fontainebleau ». </w:t>
      </w:r>
    </w:p>
  </w:footnote>
  <w:footnote w:id="48">
    <w:p w:rsidR="00D54113" w:rsidRPr="0025712D" w:rsidRDefault="00D54113" w:rsidP="00FC44FB">
      <w:pPr>
        <w:pStyle w:val="Notedebasdepage"/>
        <w:jc w:val="both"/>
        <w:rPr>
          <w:rFonts w:ascii="Times New Roman" w:hAnsi="Times New Roman" w:cs="Times New Roman"/>
        </w:rPr>
      </w:pPr>
      <w:r w:rsidRPr="00FC44FB">
        <w:rPr>
          <w:rStyle w:val="Appelnotedebasdep"/>
          <w:rFonts w:ascii="Times New Roman" w:hAnsi="Times New Roman" w:cs="Times New Roman"/>
        </w:rPr>
        <w:footnoteRef/>
      </w:r>
      <w:r w:rsidRPr="00FC44FB">
        <w:rPr>
          <w:rFonts w:ascii="Times New Roman" w:hAnsi="Times New Roman" w:cs="Times New Roman"/>
        </w:rPr>
        <w:t xml:space="preserve"> Léotard-Sommer identifie également deux « allégories savantes, l’enfant à l’envers sur le lion comme allégorie du désir refroidi de Vénus, en peine d’être “amour vainqueur”, et le faune au visage d’enfant rieur comme allégorie</w:t>
      </w:r>
      <w:r w:rsidRPr="0025712D">
        <w:rPr>
          <w:rFonts w:ascii="Times New Roman" w:hAnsi="Times New Roman" w:cs="Times New Roman"/>
        </w:rPr>
        <w:t xml:space="preserve"> d’un “tout” harmonieux (Pan Faunus de l’orphisme) unissant les plaisir</w:t>
      </w:r>
      <w:r>
        <w:rPr>
          <w:rFonts w:ascii="Times New Roman" w:hAnsi="Times New Roman" w:cs="Times New Roman"/>
        </w:rPr>
        <w:t>s</w:t>
      </w:r>
      <w:r w:rsidRPr="0025712D">
        <w:rPr>
          <w:rFonts w:ascii="Times New Roman" w:hAnsi="Times New Roman" w:cs="Times New Roman"/>
        </w:rPr>
        <w:t xml:space="preserve"> intenses promis aux trois autres figures dans un avenir proche (enfant rieur de la 4</w:t>
      </w:r>
      <w:r w:rsidRPr="0025712D">
        <w:rPr>
          <w:rFonts w:ascii="Times New Roman" w:hAnsi="Times New Roman" w:cs="Times New Roman"/>
          <w:vertAlign w:val="superscript"/>
        </w:rPr>
        <w:t>e</w:t>
      </w:r>
      <w:r w:rsidRPr="0025712D">
        <w:rPr>
          <w:rFonts w:ascii="Times New Roman" w:hAnsi="Times New Roman" w:cs="Times New Roman"/>
        </w:rPr>
        <w:t xml:space="preserve"> églogue des </w:t>
      </w:r>
      <w:r w:rsidRPr="0025712D">
        <w:rPr>
          <w:rFonts w:ascii="Times New Roman" w:hAnsi="Times New Roman" w:cs="Times New Roman"/>
          <w:i/>
        </w:rPr>
        <w:t xml:space="preserve">Bucoliques </w:t>
      </w:r>
      <w:r w:rsidRPr="0025712D">
        <w:rPr>
          <w:rFonts w:ascii="Times New Roman" w:hAnsi="Times New Roman" w:cs="Times New Roman"/>
        </w:rPr>
        <w:t xml:space="preserve">de Virgile) ». </w:t>
      </w:r>
    </w:p>
  </w:footnote>
  <w:footnote w:id="49">
    <w:p w:rsidR="00D54113" w:rsidRPr="00C52648" w:rsidRDefault="00D54113" w:rsidP="002C399C">
      <w:pPr>
        <w:pStyle w:val="Notedebasdepage"/>
        <w:jc w:val="both"/>
        <w:rPr>
          <w:rFonts w:ascii="Times New Roman" w:hAnsi="Times New Roman" w:cs="Times New Roman"/>
        </w:rPr>
      </w:pPr>
      <w:r w:rsidRPr="00C52648">
        <w:rPr>
          <w:rStyle w:val="Appelnotedebasdep"/>
          <w:rFonts w:ascii="Times New Roman" w:hAnsi="Times New Roman" w:cs="Times New Roman"/>
        </w:rPr>
        <w:footnoteRef/>
      </w:r>
      <w:r w:rsidRPr="00C52648">
        <w:rPr>
          <w:rFonts w:ascii="Times New Roman" w:hAnsi="Times New Roman" w:cs="Times New Roman"/>
        </w:rPr>
        <w:t xml:space="preserve"> Le croquis inscrit les mots français « Charité », « Sapience », « Justice », « Force », « Tempérance », « Espérance, Foi », « Persévérance », « Obédience », entourés de petits soleils, dans deux grands losanges et huit petits triangles.  </w:t>
      </w:r>
    </w:p>
  </w:footnote>
  <w:footnote w:id="50">
    <w:p w:rsidR="00D54113" w:rsidRPr="00D82B4E" w:rsidRDefault="00D54113" w:rsidP="008911B0">
      <w:pPr>
        <w:pStyle w:val="Notedebasdepage"/>
        <w:jc w:val="both"/>
        <w:rPr>
          <w:rFonts w:ascii="Times New Roman" w:hAnsi="Times New Roman" w:cs="Times New Roman"/>
        </w:rPr>
      </w:pPr>
      <w:r w:rsidRPr="00A14607">
        <w:rPr>
          <w:rStyle w:val="Appelnotedebasdep"/>
          <w:rFonts w:ascii="Times New Roman" w:hAnsi="Times New Roman" w:cs="Times New Roman"/>
        </w:rPr>
        <w:footnoteRef/>
      </w:r>
      <w:r w:rsidRPr="00A14607">
        <w:rPr>
          <w:rFonts w:ascii="Times New Roman" w:hAnsi="Times New Roman" w:cs="Times New Roman"/>
        </w:rPr>
        <w:t xml:space="preserve"> Il s’agit alors de montrer en quoi les scènes latérales sont liées à la scène centrale, en quoi d’autres composants </w:t>
      </w:r>
      <w:r w:rsidRPr="00D82B4E">
        <w:rPr>
          <w:rFonts w:ascii="Times New Roman" w:hAnsi="Times New Roman" w:cs="Times New Roman"/>
        </w:rPr>
        <w:t xml:space="preserve">pour ainsi dire s’autonomisent. </w:t>
      </w:r>
    </w:p>
  </w:footnote>
  <w:footnote w:id="51">
    <w:p w:rsidR="00D54113" w:rsidRPr="009F6761" w:rsidRDefault="00D54113" w:rsidP="009F6761">
      <w:pPr>
        <w:pStyle w:val="Notedebasdepage"/>
        <w:jc w:val="both"/>
        <w:rPr>
          <w:rFonts w:ascii="Times New Roman" w:hAnsi="Times New Roman" w:cs="Times New Roman"/>
        </w:rPr>
      </w:pPr>
      <w:r w:rsidRPr="009F6761">
        <w:rPr>
          <w:rStyle w:val="Appelnotedebasdep"/>
          <w:rFonts w:ascii="Times New Roman" w:hAnsi="Times New Roman" w:cs="Times New Roman"/>
        </w:rPr>
        <w:footnoteRef/>
      </w:r>
      <w:r w:rsidRPr="009F6761">
        <w:rPr>
          <w:rFonts w:ascii="Times New Roman" w:hAnsi="Times New Roman" w:cs="Times New Roman"/>
        </w:rPr>
        <w:t xml:space="preserve"> </w:t>
      </w:r>
      <w:r w:rsidRPr="009F6761">
        <w:rPr>
          <w:rFonts w:ascii="Times New Roman" w:hAnsi="Times New Roman" w:cs="Times New Roman"/>
          <w:color w:val="000000" w:themeColor="text1"/>
        </w:rPr>
        <w:t xml:space="preserve">Retenons, sans prétention à l’exhaustivité, </w:t>
      </w:r>
      <w:r w:rsidRPr="009F6761">
        <w:rPr>
          <w:rFonts w:ascii="Times New Roman" w:hAnsi="Times New Roman" w:cs="Times New Roman"/>
        </w:rPr>
        <w:t>la</w:t>
      </w:r>
      <w:r w:rsidRPr="009F6761">
        <w:rPr>
          <w:rFonts w:ascii="Times New Roman" w:hAnsi="Times New Roman" w:cs="Times New Roman"/>
          <w:i/>
        </w:rPr>
        <w:t xml:space="preserve"> Naissance de Vénus</w:t>
      </w:r>
      <w:r w:rsidRPr="009F6761">
        <w:rPr>
          <w:rFonts w:ascii="Times New Roman" w:hAnsi="Times New Roman" w:cs="Times New Roman"/>
        </w:rPr>
        <w:t xml:space="preserve">, d’après le stuc endommagé de Fiorentino sur le mur nord de la Galerie, </w:t>
      </w:r>
      <w:r w:rsidRPr="009F6761">
        <w:rPr>
          <w:rFonts w:ascii="Times New Roman" w:hAnsi="Times New Roman" w:cs="Times New Roman"/>
          <w:i/>
        </w:rPr>
        <w:t>Mars et Vénus</w:t>
      </w:r>
      <w:r w:rsidRPr="009F6761">
        <w:rPr>
          <w:rFonts w:ascii="Times New Roman" w:hAnsi="Times New Roman" w:cs="Times New Roman"/>
        </w:rPr>
        <w:t xml:space="preserve">, dessin de Fiorentino, </w:t>
      </w:r>
      <w:r w:rsidRPr="009F6761">
        <w:rPr>
          <w:rFonts w:ascii="Times New Roman" w:hAnsi="Times New Roman" w:cs="Times New Roman"/>
          <w:i/>
        </w:rPr>
        <w:t>Vénus frustrée</w:t>
      </w:r>
      <w:r w:rsidRPr="009F6761">
        <w:rPr>
          <w:rFonts w:ascii="Times New Roman" w:hAnsi="Times New Roman" w:cs="Times New Roman"/>
        </w:rPr>
        <w:t xml:space="preserve"> de Fiorentino (fresque et stuc) sur le mur nord de la Galerie, mais aussi </w:t>
      </w:r>
      <w:r w:rsidRPr="009F6761">
        <w:rPr>
          <w:rFonts w:ascii="Times New Roman" w:hAnsi="Times New Roman" w:cs="Times New Roman"/>
          <w:i/>
        </w:rPr>
        <w:t>Les trois destins</w:t>
      </w:r>
      <w:r w:rsidRPr="009F6761">
        <w:rPr>
          <w:rFonts w:ascii="Times New Roman" w:hAnsi="Times New Roman" w:cs="Times New Roman"/>
        </w:rPr>
        <w:t xml:space="preserve">, de Pierre Milan, </w:t>
      </w:r>
      <w:r w:rsidR="00D4040A">
        <w:rPr>
          <w:rFonts w:ascii="Times New Roman" w:hAnsi="Times New Roman" w:cs="Times New Roman"/>
        </w:rPr>
        <w:t>œuvre réalisée</w:t>
      </w:r>
      <w:r w:rsidRPr="009F6761">
        <w:rPr>
          <w:rFonts w:ascii="Times New Roman" w:hAnsi="Times New Roman" w:cs="Times New Roman"/>
        </w:rPr>
        <w:t xml:space="preserve"> d’après Fiorentino, et </w:t>
      </w:r>
      <w:r w:rsidRPr="009F6761">
        <w:rPr>
          <w:rFonts w:ascii="Times New Roman" w:hAnsi="Times New Roman" w:cs="Times New Roman"/>
          <w:i/>
        </w:rPr>
        <w:t>La</w:t>
      </w:r>
      <w:r w:rsidRPr="009F6761">
        <w:rPr>
          <w:rFonts w:ascii="Times New Roman" w:hAnsi="Times New Roman" w:cs="Times New Roman"/>
        </w:rPr>
        <w:t xml:space="preserve"> </w:t>
      </w:r>
      <w:r w:rsidRPr="009F6761">
        <w:rPr>
          <w:rFonts w:ascii="Times New Roman" w:hAnsi="Times New Roman" w:cs="Times New Roman"/>
          <w:i/>
        </w:rPr>
        <w:t>Nymphe de Fontainebleau</w:t>
      </w:r>
      <w:r w:rsidRPr="009F6761">
        <w:rPr>
          <w:rFonts w:ascii="Times New Roman" w:hAnsi="Times New Roman" w:cs="Times New Roman"/>
        </w:rPr>
        <w:t xml:space="preserve"> (n. d.), gravée par Pierre Milan (documenté en 1542/1557 ; Fantoni, 2014), complétée par René Boyvin, d’après Fiorentino</w:t>
      </w:r>
      <w:r>
        <w:rPr>
          <w:rFonts w:ascii="Times New Roman" w:hAnsi="Times New Roman" w:cs="Times New Roman"/>
        </w:rPr>
        <w:t>,</w:t>
      </w:r>
      <w:r w:rsidRPr="009F6761">
        <w:rPr>
          <w:rFonts w:ascii="Times New Roman" w:hAnsi="Times New Roman" w:cs="Times New Roman"/>
        </w:rPr>
        <w:t xml:space="preserve"> sur un dessin de Rosso, Musée national de la Renaissance, Ecouen. On peut établir une ressemblance avec l’une des </w:t>
      </w:r>
      <w:r w:rsidRPr="009F6761">
        <w:rPr>
          <w:rFonts w:ascii="Times New Roman" w:hAnsi="Times New Roman" w:cs="Times New Roman"/>
          <w:i/>
        </w:rPr>
        <w:t xml:space="preserve">Parques </w:t>
      </w:r>
      <w:r w:rsidRPr="009F6761">
        <w:rPr>
          <w:rFonts w:ascii="Times New Roman" w:hAnsi="Times New Roman" w:cs="Times New Roman"/>
        </w:rPr>
        <w:t xml:space="preserve">dans une gravure de René Boyvin ainsi qu’avec </w:t>
      </w:r>
      <w:r w:rsidRPr="009F6761">
        <w:rPr>
          <w:rFonts w:ascii="Times New Roman" w:hAnsi="Times New Roman" w:cs="Times New Roman"/>
          <w:i/>
        </w:rPr>
        <w:t>La Fortune</w:t>
      </w:r>
      <w:r w:rsidRPr="009F6761">
        <w:rPr>
          <w:rFonts w:ascii="Times New Roman" w:hAnsi="Times New Roman" w:cs="Times New Roman"/>
        </w:rPr>
        <w:t xml:space="preserve">, enserrée dans le médaillon de stuc à l’extrémité Ouest de la Galerie (toujours au Château de Fontainebleau, mais dans la chambre de la Duchesse d’Etampes, on peut mentionner deux fresques avec cariatides du Primatice (dont </w:t>
      </w:r>
      <w:r w:rsidRPr="009F6761">
        <w:rPr>
          <w:rFonts w:ascii="Times New Roman" w:hAnsi="Times New Roman" w:cs="Times New Roman"/>
          <w:i/>
        </w:rPr>
        <w:t>Apelle peignant Alexandre et Campaspe</w:t>
      </w:r>
      <w:r w:rsidRPr="009F6761">
        <w:rPr>
          <w:rFonts w:ascii="Times New Roman" w:hAnsi="Times New Roman" w:cs="Times New Roman"/>
        </w:rPr>
        <w:t>, gravure sur cuivre, 37,5 x 26 cm, British Museum, entre 1541 et 1545)</w:t>
      </w:r>
      <w:r w:rsidR="0075707F">
        <w:rPr>
          <w:rFonts w:ascii="Times New Roman" w:hAnsi="Times New Roman" w:cs="Times New Roman"/>
        </w:rPr>
        <w:t>)</w:t>
      </w:r>
      <w:r w:rsidRPr="009F6761">
        <w:rPr>
          <w:rFonts w:ascii="Times New Roman" w:hAnsi="Times New Roman" w:cs="Times New Roman"/>
        </w:rPr>
        <w:t xml:space="preserve">. On notera des ramifications non seulement vers la gravure, mais encore vers des sculptures en bronze, tels que le relief de Cellini, </w:t>
      </w:r>
      <w:r w:rsidRPr="009F6761">
        <w:rPr>
          <w:rFonts w:ascii="Times New Roman" w:hAnsi="Times New Roman" w:cs="Times New Roman"/>
          <w:i/>
        </w:rPr>
        <w:t>Nymphe au Cerf</w:t>
      </w:r>
      <w:r w:rsidRPr="009F6761">
        <w:rPr>
          <w:rFonts w:ascii="Times New Roman" w:hAnsi="Times New Roman" w:cs="Times New Roman"/>
        </w:rPr>
        <w:t xml:space="preserve">, de Fontainebleau, 1543, ou </w:t>
      </w:r>
      <w:r w:rsidRPr="009F6761">
        <w:rPr>
          <w:rFonts w:ascii="Times New Roman" w:hAnsi="Times New Roman" w:cs="Times New Roman"/>
          <w:i/>
        </w:rPr>
        <w:t>Vénus de Cnide</w:t>
      </w:r>
      <w:r w:rsidRPr="009F6761">
        <w:rPr>
          <w:rFonts w:ascii="Times New Roman" w:hAnsi="Times New Roman" w:cs="Times New Roman"/>
        </w:rPr>
        <w:t xml:space="preserve">, du Primatice, 1543.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0982"/>
    <w:multiLevelType w:val="hybridMultilevel"/>
    <w:tmpl w:val="6D76A804"/>
    <w:lvl w:ilvl="0" w:tplc="B7444918">
      <w:start w:val="3"/>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 w15:restartNumberingAfterBreak="0">
    <w:nsid w:val="04810271"/>
    <w:multiLevelType w:val="multilevel"/>
    <w:tmpl w:val="A4DAAA3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935355"/>
    <w:multiLevelType w:val="multilevel"/>
    <w:tmpl w:val="46D86396"/>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0141D8"/>
    <w:multiLevelType w:val="hybridMultilevel"/>
    <w:tmpl w:val="1D7A1384"/>
    <w:lvl w:ilvl="0" w:tplc="7608AB26">
      <w:start w:val="1"/>
      <w:numFmt w:val="lowerRoman"/>
      <w:lvlText w:val="(%1)"/>
      <w:lvlJc w:val="left"/>
      <w:pPr>
        <w:ind w:left="1004"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B426F77"/>
    <w:multiLevelType w:val="hybridMultilevel"/>
    <w:tmpl w:val="6DB89148"/>
    <w:lvl w:ilvl="0" w:tplc="7608AB2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52C50C1"/>
    <w:multiLevelType w:val="hybridMultilevel"/>
    <w:tmpl w:val="161C907E"/>
    <w:lvl w:ilvl="0" w:tplc="A2669E4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74A7E44"/>
    <w:multiLevelType w:val="hybridMultilevel"/>
    <w:tmpl w:val="AA5C257E"/>
    <w:lvl w:ilvl="0" w:tplc="494EA2B6">
      <w:start w:val="1"/>
      <w:numFmt w:val="lowerRoman"/>
      <w:lvlText w:val="(%1)"/>
      <w:lvlJc w:val="left"/>
      <w:pPr>
        <w:ind w:left="72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6D26353"/>
    <w:multiLevelType w:val="hybridMultilevel"/>
    <w:tmpl w:val="1D7A1384"/>
    <w:lvl w:ilvl="0" w:tplc="7608AB2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6D05898"/>
    <w:multiLevelType w:val="hybridMultilevel"/>
    <w:tmpl w:val="6DB89148"/>
    <w:lvl w:ilvl="0" w:tplc="7608AB2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EA52B29"/>
    <w:multiLevelType w:val="multilevel"/>
    <w:tmpl w:val="0168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F90F83"/>
    <w:multiLevelType w:val="hybridMultilevel"/>
    <w:tmpl w:val="FC4A3C80"/>
    <w:lvl w:ilvl="0" w:tplc="07B88F6E">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2EE11ED"/>
    <w:multiLevelType w:val="hybridMultilevel"/>
    <w:tmpl w:val="1D7A1384"/>
    <w:lvl w:ilvl="0" w:tplc="7608AB2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7753BCB"/>
    <w:multiLevelType w:val="hybridMultilevel"/>
    <w:tmpl w:val="93C2F634"/>
    <w:lvl w:ilvl="0" w:tplc="7608AB2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C610A8F"/>
    <w:multiLevelType w:val="hybridMultilevel"/>
    <w:tmpl w:val="1472E10A"/>
    <w:lvl w:ilvl="0" w:tplc="7608AB2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6D220A3"/>
    <w:multiLevelType w:val="hybridMultilevel"/>
    <w:tmpl w:val="643A69B6"/>
    <w:lvl w:ilvl="0" w:tplc="7608AB2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89D7E2D"/>
    <w:multiLevelType w:val="multilevel"/>
    <w:tmpl w:val="96CCA10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0F52BA"/>
    <w:multiLevelType w:val="hybridMultilevel"/>
    <w:tmpl w:val="613CAB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590441"/>
    <w:multiLevelType w:val="hybridMultilevel"/>
    <w:tmpl w:val="6DB89148"/>
    <w:lvl w:ilvl="0" w:tplc="7608AB2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6"/>
  </w:num>
  <w:num w:numId="3">
    <w:abstractNumId w:val="10"/>
  </w:num>
  <w:num w:numId="4">
    <w:abstractNumId w:val="17"/>
  </w:num>
  <w:num w:numId="5">
    <w:abstractNumId w:val="4"/>
  </w:num>
  <w:num w:numId="6">
    <w:abstractNumId w:val="12"/>
  </w:num>
  <w:num w:numId="7">
    <w:abstractNumId w:val="3"/>
  </w:num>
  <w:num w:numId="8">
    <w:abstractNumId w:val="11"/>
  </w:num>
  <w:num w:numId="9">
    <w:abstractNumId w:val="7"/>
  </w:num>
  <w:num w:numId="10">
    <w:abstractNumId w:val="6"/>
  </w:num>
  <w:num w:numId="11">
    <w:abstractNumId w:val="0"/>
  </w:num>
  <w:num w:numId="12">
    <w:abstractNumId w:val="1"/>
  </w:num>
  <w:num w:numId="13">
    <w:abstractNumId w:val="2"/>
  </w:num>
  <w:num w:numId="14">
    <w:abstractNumId w:val="15"/>
  </w:num>
  <w:num w:numId="15">
    <w:abstractNumId w:val="9"/>
  </w:num>
  <w:num w:numId="16">
    <w:abstractNumId w:val="13"/>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99C"/>
    <w:rsid w:val="00000579"/>
    <w:rsid w:val="00007126"/>
    <w:rsid w:val="000149CE"/>
    <w:rsid w:val="00055BEC"/>
    <w:rsid w:val="00093B21"/>
    <w:rsid w:val="000D0A4F"/>
    <w:rsid w:val="000F615F"/>
    <w:rsid w:val="0012450D"/>
    <w:rsid w:val="00132286"/>
    <w:rsid w:val="00191173"/>
    <w:rsid w:val="0019148F"/>
    <w:rsid w:val="001A7293"/>
    <w:rsid w:val="001B7298"/>
    <w:rsid w:val="001D1988"/>
    <w:rsid w:val="00237033"/>
    <w:rsid w:val="00243EB7"/>
    <w:rsid w:val="00264110"/>
    <w:rsid w:val="002C399C"/>
    <w:rsid w:val="002F098B"/>
    <w:rsid w:val="00314882"/>
    <w:rsid w:val="00320BB4"/>
    <w:rsid w:val="00324007"/>
    <w:rsid w:val="00330FAD"/>
    <w:rsid w:val="003323E5"/>
    <w:rsid w:val="00346D10"/>
    <w:rsid w:val="00383D0A"/>
    <w:rsid w:val="003B4DA0"/>
    <w:rsid w:val="003C5528"/>
    <w:rsid w:val="003C6BA4"/>
    <w:rsid w:val="004051FD"/>
    <w:rsid w:val="004302FE"/>
    <w:rsid w:val="00434D18"/>
    <w:rsid w:val="004424D4"/>
    <w:rsid w:val="004510AC"/>
    <w:rsid w:val="004572E4"/>
    <w:rsid w:val="00472C92"/>
    <w:rsid w:val="004C4569"/>
    <w:rsid w:val="00515D5C"/>
    <w:rsid w:val="00533540"/>
    <w:rsid w:val="005413D0"/>
    <w:rsid w:val="00575E52"/>
    <w:rsid w:val="005A0462"/>
    <w:rsid w:val="005B3044"/>
    <w:rsid w:val="00614376"/>
    <w:rsid w:val="0062053E"/>
    <w:rsid w:val="00621D32"/>
    <w:rsid w:val="00662D43"/>
    <w:rsid w:val="00706C16"/>
    <w:rsid w:val="00753AD4"/>
    <w:rsid w:val="0075707F"/>
    <w:rsid w:val="007737B4"/>
    <w:rsid w:val="00777321"/>
    <w:rsid w:val="00783E81"/>
    <w:rsid w:val="0078610D"/>
    <w:rsid w:val="007E08A8"/>
    <w:rsid w:val="007E2032"/>
    <w:rsid w:val="00813FA9"/>
    <w:rsid w:val="0082012C"/>
    <w:rsid w:val="008345C8"/>
    <w:rsid w:val="008459A4"/>
    <w:rsid w:val="008532A3"/>
    <w:rsid w:val="00874679"/>
    <w:rsid w:val="008911B0"/>
    <w:rsid w:val="008A77B9"/>
    <w:rsid w:val="008F5EFE"/>
    <w:rsid w:val="008F7E14"/>
    <w:rsid w:val="00912925"/>
    <w:rsid w:val="00914484"/>
    <w:rsid w:val="00963C11"/>
    <w:rsid w:val="009B2176"/>
    <w:rsid w:val="009B3366"/>
    <w:rsid w:val="009F6761"/>
    <w:rsid w:val="00A334C5"/>
    <w:rsid w:val="00A45927"/>
    <w:rsid w:val="00A676C2"/>
    <w:rsid w:val="00A77AC3"/>
    <w:rsid w:val="00BA6AE3"/>
    <w:rsid w:val="00BC12B5"/>
    <w:rsid w:val="00BD5326"/>
    <w:rsid w:val="00BE2569"/>
    <w:rsid w:val="00BE3D11"/>
    <w:rsid w:val="00C526F3"/>
    <w:rsid w:val="00C566FA"/>
    <w:rsid w:val="00C67CAE"/>
    <w:rsid w:val="00C729AE"/>
    <w:rsid w:val="00C77994"/>
    <w:rsid w:val="00C913A2"/>
    <w:rsid w:val="00C96214"/>
    <w:rsid w:val="00CB7FDF"/>
    <w:rsid w:val="00CF402A"/>
    <w:rsid w:val="00D140D3"/>
    <w:rsid w:val="00D4040A"/>
    <w:rsid w:val="00D54113"/>
    <w:rsid w:val="00D738B1"/>
    <w:rsid w:val="00D76E30"/>
    <w:rsid w:val="00D82B1C"/>
    <w:rsid w:val="00D85973"/>
    <w:rsid w:val="00DA3314"/>
    <w:rsid w:val="00DD153D"/>
    <w:rsid w:val="00E07190"/>
    <w:rsid w:val="00E47AEC"/>
    <w:rsid w:val="00E76D65"/>
    <w:rsid w:val="00E96363"/>
    <w:rsid w:val="00EC30FA"/>
    <w:rsid w:val="00ED140D"/>
    <w:rsid w:val="00ED5827"/>
    <w:rsid w:val="00F02EFE"/>
    <w:rsid w:val="00F2196C"/>
    <w:rsid w:val="00F2474B"/>
    <w:rsid w:val="00F541A5"/>
    <w:rsid w:val="00F62152"/>
    <w:rsid w:val="00F66B09"/>
    <w:rsid w:val="00FC44FB"/>
    <w:rsid w:val="00FC4927"/>
    <w:rsid w:val="00FE26B6"/>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C0CFBE-38AC-E34A-91E8-5CA17D938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L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5528"/>
    <w:rPr>
      <w:rFonts w:ascii="Times New Roman" w:eastAsia="Times New Roman" w:hAnsi="Times New Roman" w:cs="Times New Roman"/>
      <w:lang w:eastAsia="fr-FR"/>
    </w:rPr>
  </w:style>
  <w:style w:type="paragraph" w:styleId="Titre1">
    <w:name w:val="heading 1"/>
    <w:basedOn w:val="Normal"/>
    <w:link w:val="Titre1Car"/>
    <w:uiPriority w:val="9"/>
    <w:qFormat/>
    <w:rsid w:val="002C399C"/>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C399C"/>
    <w:rPr>
      <w:rFonts w:ascii="Times New Roman" w:eastAsia="Times New Roman" w:hAnsi="Times New Roman" w:cs="Times New Roman"/>
      <w:b/>
      <w:bCs/>
      <w:kern w:val="36"/>
      <w:sz w:val="48"/>
      <w:szCs w:val="48"/>
      <w:lang w:eastAsia="fr-FR"/>
    </w:rPr>
  </w:style>
  <w:style w:type="paragraph" w:styleId="Paragraphedeliste">
    <w:name w:val="List Paragraph"/>
    <w:basedOn w:val="Normal"/>
    <w:uiPriority w:val="34"/>
    <w:qFormat/>
    <w:rsid w:val="002C399C"/>
    <w:pPr>
      <w:ind w:left="720"/>
      <w:contextualSpacing/>
    </w:pPr>
    <w:rPr>
      <w:rFonts w:asciiTheme="minorHAnsi" w:eastAsiaTheme="minorHAnsi" w:hAnsiTheme="minorHAnsi" w:cstheme="minorBidi"/>
      <w:lang w:val="fr-FR" w:eastAsia="en-US"/>
    </w:rPr>
  </w:style>
  <w:style w:type="paragraph" w:styleId="Notedebasdepage">
    <w:name w:val="footnote text"/>
    <w:aliases w:val="Carattere, Carattere,Note de bas de pageGL"/>
    <w:basedOn w:val="Normal"/>
    <w:link w:val="NotedebasdepageCar"/>
    <w:uiPriority w:val="99"/>
    <w:unhideWhenUsed/>
    <w:qFormat/>
    <w:rsid w:val="002C399C"/>
    <w:rPr>
      <w:rFonts w:asciiTheme="minorHAnsi" w:eastAsiaTheme="minorHAnsi" w:hAnsiTheme="minorHAnsi" w:cstheme="minorBidi"/>
      <w:sz w:val="20"/>
      <w:szCs w:val="20"/>
      <w:lang w:val="fr-FR" w:eastAsia="en-US"/>
    </w:rPr>
  </w:style>
  <w:style w:type="character" w:customStyle="1" w:styleId="NotedebasdepageCar">
    <w:name w:val="Note de bas de page Car"/>
    <w:aliases w:val="Carattere Car, Carattere Car,Note de bas de pageGL Car"/>
    <w:basedOn w:val="Policepardfaut"/>
    <w:link w:val="Notedebasdepage"/>
    <w:uiPriority w:val="99"/>
    <w:rsid w:val="002C399C"/>
    <w:rPr>
      <w:sz w:val="20"/>
      <w:szCs w:val="20"/>
      <w:lang w:val="fr-FR"/>
    </w:rPr>
  </w:style>
  <w:style w:type="character" w:styleId="Appelnotedebasdep">
    <w:name w:val="footnote reference"/>
    <w:aliases w:val="numéro d'appel de note"/>
    <w:basedOn w:val="Policepardfaut"/>
    <w:unhideWhenUsed/>
    <w:qFormat/>
    <w:rsid w:val="002C399C"/>
    <w:rPr>
      <w:vertAlign w:val="superscript"/>
    </w:rPr>
  </w:style>
  <w:style w:type="character" w:customStyle="1" w:styleId="apple-converted-space">
    <w:name w:val="apple-converted-space"/>
    <w:basedOn w:val="Policepardfaut"/>
    <w:rsid w:val="002C399C"/>
  </w:style>
  <w:style w:type="character" w:styleId="Lienhypertexte">
    <w:name w:val="Hyperlink"/>
    <w:basedOn w:val="Policepardfaut"/>
    <w:uiPriority w:val="99"/>
    <w:unhideWhenUsed/>
    <w:rsid w:val="002C399C"/>
    <w:rPr>
      <w:color w:val="0000FF"/>
      <w:u w:val="single"/>
    </w:rPr>
  </w:style>
  <w:style w:type="paragraph" w:styleId="NormalWeb">
    <w:name w:val="Normal (Web)"/>
    <w:basedOn w:val="Normal"/>
    <w:uiPriority w:val="99"/>
    <w:unhideWhenUsed/>
    <w:rsid w:val="002C399C"/>
    <w:pPr>
      <w:spacing w:before="100" w:beforeAutospacing="1" w:after="100" w:afterAutospacing="1"/>
    </w:pPr>
  </w:style>
  <w:style w:type="character" w:styleId="Accentuation">
    <w:name w:val="Emphasis"/>
    <w:basedOn w:val="Policepardfaut"/>
    <w:uiPriority w:val="20"/>
    <w:qFormat/>
    <w:rsid w:val="002C399C"/>
    <w:rPr>
      <w:i/>
      <w:iCs/>
    </w:rPr>
  </w:style>
  <w:style w:type="paragraph" w:customStyle="1" w:styleId="Paragrapheavecretraitapr4">
    <w:name w:val="Paragraphe avec retrait apr. 4"/>
    <w:basedOn w:val="Normal"/>
    <w:uiPriority w:val="99"/>
    <w:rsid w:val="002C399C"/>
    <w:pPr>
      <w:overflowPunct w:val="0"/>
      <w:autoSpaceDE w:val="0"/>
      <w:autoSpaceDN w:val="0"/>
      <w:adjustRightInd w:val="0"/>
      <w:spacing w:after="80"/>
      <w:ind w:firstLine="567"/>
      <w:jc w:val="both"/>
      <w:textAlignment w:val="baseline"/>
    </w:pPr>
    <w:rPr>
      <w:sz w:val="22"/>
      <w:szCs w:val="20"/>
    </w:rPr>
  </w:style>
  <w:style w:type="character" w:customStyle="1" w:styleId="auteur">
    <w:name w:val="auteur"/>
    <w:basedOn w:val="Policepardfaut"/>
    <w:rsid w:val="002C399C"/>
  </w:style>
  <w:style w:type="character" w:customStyle="1" w:styleId="doi">
    <w:name w:val="doi"/>
    <w:basedOn w:val="Policepardfaut"/>
    <w:rsid w:val="002C399C"/>
  </w:style>
  <w:style w:type="character" w:customStyle="1" w:styleId="contributor">
    <w:name w:val="contributor"/>
    <w:basedOn w:val="Policepardfaut"/>
    <w:rsid w:val="002C399C"/>
  </w:style>
  <w:style w:type="character" w:customStyle="1" w:styleId="orcidlink">
    <w:name w:val="orcidlink"/>
    <w:basedOn w:val="Policepardfaut"/>
    <w:rsid w:val="002C399C"/>
  </w:style>
  <w:style w:type="paragraph" w:customStyle="1" w:styleId="bibliographie">
    <w:name w:val="bibliographie"/>
    <w:basedOn w:val="Normal"/>
    <w:rsid w:val="002C399C"/>
    <w:pPr>
      <w:spacing w:before="100" w:beforeAutospacing="1" w:after="100" w:afterAutospacing="1"/>
    </w:pPr>
  </w:style>
  <w:style w:type="character" w:styleId="Lienhypertextesuivivisit">
    <w:name w:val="FollowedHyperlink"/>
    <w:basedOn w:val="Policepardfaut"/>
    <w:uiPriority w:val="99"/>
    <w:semiHidden/>
    <w:unhideWhenUsed/>
    <w:rsid w:val="002C399C"/>
    <w:rPr>
      <w:color w:val="954F72" w:themeColor="followedHyperlink"/>
      <w:u w:val="single"/>
    </w:rPr>
  </w:style>
  <w:style w:type="character" w:styleId="Mentionnonrsolue">
    <w:name w:val="Unresolved Mention"/>
    <w:basedOn w:val="Policepardfaut"/>
    <w:uiPriority w:val="99"/>
    <w:semiHidden/>
    <w:unhideWhenUsed/>
    <w:rsid w:val="002C399C"/>
    <w:rPr>
      <w:color w:val="605E5C"/>
      <w:shd w:val="clear" w:color="auto" w:fill="E1DFDD"/>
    </w:rPr>
  </w:style>
  <w:style w:type="character" w:styleId="lev">
    <w:name w:val="Strong"/>
    <w:basedOn w:val="Policepardfaut"/>
    <w:uiPriority w:val="22"/>
    <w:qFormat/>
    <w:rsid w:val="002C399C"/>
    <w:rPr>
      <w:b/>
      <w:bCs/>
    </w:rPr>
  </w:style>
  <w:style w:type="character" w:customStyle="1" w:styleId="grey">
    <w:name w:val="grey"/>
    <w:basedOn w:val="Policepardfaut"/>
    <w:rsid w:val="002C399C"/>
  </w:style>
  <w:style w:type="paragraph" w:customStyle="1" w:styleId="Default">
    <w:name w:val="Default"/>
    <w:rsid w:val="002C399C"/>
    <w:pPr>
      <w:autoSpaceDE w:val="0"/>
      <w:autoSpaceDN w:val="0"/>
      <w:adjustRightInd w:val="0"/>
    </w:pPr>
    <w:rPr>
      <w:rFonts w:ascii="Times" w:hAnsi="Times" w:cs="Times"/>
      <w:color w:val="000000"/>
      <w:lang w:val="fr-FR"/>
    </w:rPr>
  </w:style>
  <w:style w:type="character" w:customStyle="1" w:styleId="converted-anchor">
    <w:name w:val="converted-anchor"/>
    <w:basedOn w:val="Policepardfaut"/>
    <w:rsid w:val="002C399C"/>
  </w:style>
  <w:style w:type="paragraph" w:styleId="Textedebulles">
    <w:name w:val="Balloon Text"/>
    <w:basedOn w:val="Normal"/>
    <w:link w:val="TextedebullesCar"/>
    <w:uiPriority w:val="99"/>
    <w:semiHidden/>
    <w:unhideWhenUsed/>
    <w:rsid w:val="00912925"/>
    <w:rPr>
      <w:sz w:val="18"/>
      <w:szCs w:val="18"/>
    </w:rPr>
  </w:style>
  <w:style w:type="character" w:customStyle="1" w:styleId="TextedebullesCar">
    <w:name w:val="Texte de bulles Car"/>
    <w:basedOn w:val="Policepardfaut"/>
    <w:link w:val="Textedebulles"/>
    <w:uiPriority w:val="99"/>
    <w:semiHidden/>
    <w:rsid w:val="00912925"/>
    <w:rPr>
      <w:rFonts w:ascii="Times New Roman" w:eastAsia="Times New Roman" w:hAnsi="Times New Roman" w:cs="Times New Roman"/>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07474">
      <w:bodyDiv w:val="1"/>
      <w:marLeft w:val="0"/>
      <w:marRight w:val="0"/>
      <w:marTop w:val="0"/>
      <w:marBottom w:val="0"/>
      <w:divBdr>
        <w:top w:val="none" w:sz="0" w:space="0" w:color="auto"/>
        <w:left w:val="none" w:sz="0" w:space="0" w:color="auto"/>
        <w:bottom w:val="none" w:sz="0" w:space="0" w:color="auto"/>
        <w:right w:val="none" w:sz="0" w:space="0" w:color="auto"/>
      </w:divBdr>
    </w:div>
    <w:div w:id="424503159">
      <w:bodyDiv w:val="1"/>
      <w:marLeft w:val="0"/>
      <w:marRight w:val="0"/>
      <w:marTop w:val="0"/>
      <w:marBottom w:val="0"/>
      <w:divBdr>
        <w:top w:val="none" w:sz="0" w:space="0" w:color="auto"/>
        <w:left w:val="none" w:sz="0" w:space="0" w:color="auto"/>
        <w:bottom w:val="none" w:sz="0" w:space="0" w:color="auto"/>
        <w:right w:val="none" w:sz="0" w:space="0" w:color="auto"/>
      </w:divBdr>
    </w:div>
    <w:div w:id="494614245">
      <w:bodyDiv w:val="1"/>
      <w:marLeft w:val="0"/>
      <w:marRight w:val="0"/>
      <w:marTop w:val="0"/>
      <w:marBottom w:val="0"/>
      <w:divBdr>
        <w:top w:val="none" w:sz="0" w:space="0" w:color="auto"/>
        <w:left w:val="none" w:sz="0" w:space="0" w:color="auto"/>
        <w:bottom w:val="none" w:sz="0" w:space="0" w:color="auto"/>
        <w:right w:val="none" w:sz="0" w:space="0" w:color="auto"/>
      </w:divBdr>
    </w:div>
    <w:div w:id="1250970814">
      <w:bodyDiv w:val="1"/>
      <w:marLeft w:val="0"/>
      <w:marRight w:val="0"/>
      <w:marTop w:val="0"/>
      <w:marBottom w:val="0"/>
      <w:divBdr>
        <w:top w:val="none" w:sz="0" w:space="0" w:color="auto"/>
        <w:left w:val="none" w:sz="0" w:space="0" w:color="auto"/>
        <w:bottom w:val="none" w:sz="0" w:space="0" w:color="auto"/>
        <w:right w:val="none" w:sz="0" w:space="0" w:color="auto"/>
      </w:divBdr>
    </w:div>
    <w:div w:id="1261376253">
      <w:bodyDiv w:val="1"/>
      <w:marLeft w:val="0"/>
      <w:marRight w:val="0"/>
      <w:marTop w:val="0"/>
      <w:marBottom w:val="0"/>
      <w:divBdr>
        <w:top w:val="none" w:sz="0" w:space="0" w:color="auto"/>
        <w:left w:val="none" w:sz="0" w:space="0" w:color="auto"/>
        <w:bottom w:val="none" w:sz="0" w:space="0" w:color="auto"/>
        <w:right w:val="none" w:sz="0" w:space="0" w:color="auto"/>
      </w:divBdr>
    </w:div>
    <w:div w:id="1266768694">
      <w:bodyDiv w:val="1"/>
      <w:marLeft w:val="0"/>
      <w:marRight w:val="0"/>
      <w:marTop w:val="0"/>
      <w:marBottom w:val="0"/>
      <w:divBdr>
        <w:top w:val="none" w:sz="0" w:space="0" w:color="auto"/>
        <w:left w:val="none" w:sz="0" w:space="0" w:color="auto"/>
        <w:bottom w:val="none" w:sz="0" w:space="0" w:color="auto"/>
        <w:right w:val="none" w:sz="0" w:space="0" w:color="auto"/>
      </w:divBdr>
    </w:div>
    <w:div w:id="1585264219">
      <w:bodyDiv w:val="1"/>
      <w:marLeft w:val="0"/>
      <w:marRight w:val="0"/>
      <w:marTop w:val="0"/>
      <w:marBottom w:val="0"/>
      <w:divBdr>
        <w:top w:val="none" w:sz="0" w:space="0" w:color="auto"/>
        <w:left w:val="none" w:sz="0" w:space="0" w:color="auto"/>
        <w:bottom w:val="none" w:sz="0" w:space="0" w:color="auto"/>
        <w:right w:val="none" w:sz="0" w:space="0" w:color="auto"/>
      </w:divBdr>
    </w:div>
    <w:div w:id="1722246968">
      <w:bodyDiv w:val="1"/>
      <w:marLeft w:val="0"/>
      <w:marRight w:val="0"/>
      <w:marTop w:val="0"/>
      <w:marBottom w:val="0"/>
      <w:divBdr>
        <w:top w:val="none" w:sz="0" w:space="0" w:color="auto"/>
        <w:left w:val="none" w:sz="0" w:space="0" w:color="auto"/>
        <w:bottom w:val="none" w:sz="0" w:space="0" w:color="auto"/>
        <w:right w:val="none" w:sz="0" w:space="0" w:color="auto"/>
      </w:divBdr>
    </w:div>
    <w:div w:id="1820345469">
      <w:bodyDiv w:val="1"/>
      <w:marLeft w:val="0"/>
      <w:marRight w:val="0"/>
      <w:marTop w:val="0"/>
      <w:marBottom w:val="0"/>
      <w:divBdr>
        <w:top w:val="none" w:sz="0" w:space="0" w:color="auto"/>
        <w:left w:val="none" w:sz="0" w:space="0" w:color="auto"/>
        <w:bottom w:val="none" w:sz="0" w:space="0" w:color="auto"/>
        <w:right w:val="none" w:sz="0" w:space="0" w:color="auto"/>
      </w:divBdr>
    </w:div>
    <w:div w:id="1862746068">
      <w:bodyDiv w:val="1"/>
      <w:marLeft w:val="0"/>
      <w:marRight w:val="0"/>
      <w:marTop w:val="0"/>
      <w:marBottom w:val="0"/>
      <w:divBdr>
        <w:top w:val="none" w:sz="0" w:space="0" w:color="auto"/>
        <w:left w:val="none" w:sz="0" w:space="0" w:color="auto"/>
        <w:bottom w:val="none" w:sz="0" w:space="0" w:color="auto"/>
        <w:right w:val="none" w:sz="0" w:space="0" w:color="auto"/>
      </w:divBdr>
    </w:div>
    <w:div w:id="1881942009">
      <w:bodyDiv w:val="1"/>
      <w:marLeft w:val="0"/>
      <w:marRight w:val="0"/>
      <w:marTop w:val="0"/>
      <w:marBottom w:val="0"/>
      <w:divBdr>
        <w:top w:val="none" w:sz="0" w:space="0" w:color="auto"/>
        <w:left w:val="none" w:sz="0" w:space="0" w:color="auto"/>
        <w:bottom w:val="none" w:sz="0" w:space="0" w:color="auto"/>
        <w:right w:val="none" w:sz="0" w:space="0" w:color="auto"/>
      </w:divBdr>
    </w:div>
    <w:div w:id="203256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epublications.unilim.fr/revues/as/2673" TargetMode="External"/><Relationship Id="rId3" Type="http://schemas.openxmlformats.org/officeDocument/2006/relationships/settings" Target="settings.xml"/><Relationship Id="rId21" Type="http://schemas.openxmlformats.org/officeDocument/2006/relationships/hyperlink" Target="https://doi.org/10.4000/methodos.88" TargetMode="External"/><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hyperlink" Target="https://doi.org/10.3406/xvi.2007.917"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dx.doi.org/10.1515/sem-2018-010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mart.datavalor.com/image-similarity"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archivesetmanuscrits.bnf.fr/ark:/12148/cc8" TargetMode="External"/><Relationship Id="rId10" Type="http://schemas.openxmlformats.org/officeDocument/2006/relationships/image" Target="media/image4.jpeg"/><Relationship Id="rId19" Type="http://schemas.openxmlformats.org/officeDocument/2006/relationships/hyperlink" Target="https://doi.org/10.4000/signata.226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academia.ed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upload.wikimedia.org/wikipedia/commons/1/1b/Rosso_fiorentino_(attr.),_bacco,_venere_e_marte.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12121</Words>
  <Characters>66671</Characters>
  <Application>Microsoft Office Word</Application>
  <DocSecurity>0</DocSecurity>
  <Lines>1041</Lines>
  <Paragraphs>268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Marion COLAS-BLAISE</cp:lastModifiedBy>
  <cp:revision>2</cp:revision>
  <cp:lastPrinted>2023-01-30T09:19:00Z</cp:lastPrinted>
  <dcterms:created xsi:type="dcterms:W3CDTF">2023-12-28T09:42:00Z</dcterms:created>
  <dcterms:modified xsi:type="dcterms:W3CDTF">2023-12-28T09:42:00Z</dcterms:modified>
</cp:coreProperties>
</file>