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32D3" w:rsidRPr="00DA2896" w:rsidRDefault="006B32D3" w:rsidP="006B32D3">
      <w:pPr>
        <w:ind w:firstLine="284"/>
        <w:jc w:val="center"/>
        <w:rPr>
          <w:b/>
          <w:lang w:val="fr-CH"/>
        </w:rPr>
      </w:pPr>
      <w:bookmarkStart w:id="0" w:name="_GoBack"/>
      <w:bookmarkEnd w:id="0"/>
      <w:r w:rsidRPr="00DA2896">
        <w:rPr>
          <w:b/>
          <w:lang w:val="fr-CH"/>
        </w:rPr>
        <w:t xml:space="preserve">Modalités, modes d’existence et modes d’expérience </w:t>
      </w:r>
    </w:p>
    <w:p w:rsidR="006B32D3" w:rsidRDefault="006B32D3" w:rsidP="006B32D3">
      <w:pPr>
        <w:ind w:firstLine="284"/>
        <w:jc w:val="center"/>
        <w:rPr>
          <w:b/>
          <w:lang w:val="fr-CH"/>
        </w:rPr>
      </w:pPr>
      <w:r w:rsidRPr="00DA2896">
        <w:rPr>
          <w:b/>
          <w:lang w:val="fr-CH"/>
        </w:rPr>
        <w:t>L’énonciation risquée</w:t>
      </w:r>
    </w:p>
    <w:p w:rsidR="006B32D3" w:rsidRPr="00DA2896" w:rsidRDefault="006B32D3" w:rsidP="006B32D3">
      <w:pPr>
        <w:ind w:firstLine="284"/>
        <w:jc w:val="center"/>
        <w:rPr>
          <w:b/>
          <w:lang w:val="fr-CH"/>
        </w:rPr>
      </w:pPr>
    </w:p>
    <w:p w:rsidR="006B32D3" w:rsidRPr="00DA2896" w:rsidRDefault="006B32D3" w:rsidP="006B32D3">
      <w:pPr>
        <w:ind w:firstLine="284"/>
        <w:jc w:val="center"/>
        <w:rPr>
          <w:lang w:val="fr-CH"/>
        </w:rPr>
      </w:pPr>
      <w:r w:rsidRPr="00DA2896">
        <w:rPr>
          <w:lang w:val="fr-CH"/>
        </w:rPr>
        <w:t>Marion Colas-Blaise (Université du Luxembourg)</w:t>
      </w:r>
    </w:p>
    <w:p w:rsidR="006B32D3" w:rsidRPr="00DA2896" w:rsidRDefault="006B32D3" w:rsidP="006B32D3">
      <w:pPr>
        <w:ind w:firstLine="284"/>
        <w:jc w:val="both"/>
      </w:pPr>
    </w:p>
    <w:p w:rsidR="006B32D3" w:rsidRPr="00DA2896" w:rsidRDefault="006B32D3" w:rsidP="006B32D3">
      <w:pPr>
        <w:ind w:firstLine="284"/>
        <w:jc w:val="both"/>
      </w:pPr>
      <w:r w:rsidRPr="00DA2896">
        <w:t xml:space="preserve">La notion de modalité, en relation avec celle de </w:t>
      </w:r>
      <w:r w:rsidR="00162DD9">
        <w:t>mode d’existence</w:t>
      </w:r>
      <w:r w:rsidRPr="00DA2896">
        <w:t xml:space="preserve"> et celle de mode d’expérience</w:t>
      </w:r>
      <w:r w:rsidRPr="00DA2896">
        <w:rPr>
          <w:rStyle w:val="Appelnotedebasdep"/>
        </w:rPr>
        <w:footnoteReference w:id="1"/>
      </w:r>
      <w:r w:rsidRPr="00DA2896">
        <w:t>, peut être érigée en notion</w:t>
      </w:r>
      <w:r w:rsidR="00C02B47">
        <w:t xml:space="preserve"> </w:t>
      </w:r>
      <w:r w:rsidRPr="00DA2896">
        <w:t xml:space="preserve">phare </w:t>
      </w:r>
      <w:r w:rsidR="00C02B47">
        <w:t xml:space="preserve">dont les modulations </w:t>
      </w:r>
      <w:r w:rsidRPr="00DA2896">
        <w:t>invit</w:t>
      </w:r>
      <w:r w:rsidR="00C02B47">
        <w:t>e</w:t>
      </w:r>
      <w:r w:rsidRPr="00DA2896">
        <w:t xml:space="preserve">nt à parcourir l’ensemble des travaux scientifiques de Jacques Fontanille, jusqu’aux passages consacrés aux modes d’existence dans le sillage de Souriau et de Latour. Les déclinaisons de la notion de modalité sont en effet propres à mettre en évidence la grande cohérence et originalité de ces </w:t>
      </w:r>
      <w:r w:rsidR="0039731E">
        <w:t>écrits</w:t>
      </w:r>
      <w:r w:rsidRPr="00DA2896">
        <w:t>, la constance ou persévérance de ce chercheur hors pair</w:t>
      </w:r>
      <w:r w:rsidR="00C02B47">
        <w:t xml:space="preserve"> ainsi que </w:t>
      </w:r>
      <w:r w:rsidRPr="00DA2896">
        <w:t>son inventivité</w:t>
      </w:r>
      <w:r w:rsidR="00C02B47">
        <w:t xml:space="preserve">. </w:t>
      </w:r>
      <w:r w:rsidRPr="00DA2896">
        <w:t>Inlassablement, il explore de</w:t>
      </w:r>
      <w:r w:rsidR="00C02B47">
        <w:t xml:space="preserve">s </w:t>
      </w:r>
      <w:r w:rsidRPr="00DA2896">
        <w:t xml:space="preserve">versants </w:t>
      </w:r>
      <w:r w:rsidR="00C02B47">
        <w:t xml:space="preserve">inédits </w:t>
      </w:r>
      <w:r w:rsidRPr="00DA2896">
        <w:t xml:space="preserve">de la sémiotique, sans renier l’ancrage de sa pensée dans la sémiotique greimassienne et en poursuivant un même objectif : mettre à nu les processus sémiosiques, que ce soit en ciblant les textes, les objets, les pratiques ou encore les formes de vie. Le parcours </w:t>
      </w:r>
      <w:r w:rsidR="00C11865">
        <w:t xml:space="preserve">de recherche </w:t>
      </w:r>
      <w:r w:rsidRPr="00DA2896">
        <w:t>est alors jalonné de stations</w:t>
      </w:r>
      <w:r w:rsidR="0098235D">
        <w:t xml:space="preserve"> </w:t>
      </w:r>
      <w:r w:rsidRPr="00DA2896">
        <w:t xml:space="preserve">dont certaines sont plus </w:t>
      </w:r>
      <w:r w:rsidR="0039731E">
        <w:t>marquantes</w:t>
      </w:r>
      <w:r w:rsidRPr="00DA2896">
        <w:t xml:space="preserve"> que d’autres : ainsi, la sémiotique des passions a fortement influé sur la conception de la modalisation. </w:t>
      </w:r>
    </w:p>
    <w:p w:rsidR="006B32D3" w:rsidRPr="00DA2896" w:rsidRDefault="006B32D3" w:rsidP="006B32D3">
      <w:pPr>
        <w:ind w:firstLine="284"/>
        <w:jc w:val="both"/>
      </w:pPr>
      <w:r w:rsidRPr="00DA2896">
        <w:t>Aussi les sémiotiques qu’il développe – la sémiotique des passions (</w:t>
      </w:r>
      <w:r w:rsidR="0039731E">
        <w:t xml:space="preserve">Greimas &amp; Fontanille </w:t>
      </w:r>
      <w:r w:rsidRPr="00DA2896">
        <w:t>1991), la sémiotique du visible (1995</w:t>
      </w:r>
      <w:r w:rsidR="0039731E">
        <w:t>a</w:t>
      </w:r>
      <w:r w:rsidRPr="00DA2896">
        <w:t>), la sémiotique du discours (2003b [1998]), la sémiotique du corps (2004, 2011), la sémiotique des pratiques (2008), la sémiotique des formes de vie (2015), l’anthroposémiotique (</w:t>
      </w:r>
      <w:r w:rsidR="0039731E">
        <w:t xml:space="preserve">Fontanille &amp; Couégnas </w:t>
      </w:r>
      <w:r w:rsidRPr="00DA2896">
        <w:t xml:space="preserve">2018)… – contribuent-elles, de manière décisive, à constituer la sémiotique greimassienne et post-greimassienne en corps disciplinaire. En cela, les écrits de Jacques Fontanille </w:t>
      </w:r>
      <w:r w:rsidRPr="00DA2896">
        <w:rPr>
          <w:i/>
        </w:rPr>
        <w:t>indiquent la direction</w:t>
      </w:r>
      <w:r w:rsidRPr="00DA2896">
        <w:t xml:space="preserve"> d’études futures. Particulièrement féconds, ils marquent l’évolution de la sémiotique d’une empreinte qui est déterminante pour son avenir.</w:t>
      </w:r>
    </w:p>
    <w:p w:rsidR="006B32D3" w:rsidRPr="00DA2896" w:rsidRDefault="006B32D3" w:rsidP="006B32D3">
      <w:pPr>
        <w:ind w:firstLine="284"/>
        <w:jc w:val="both"/>
      </w:pPr>
      <w:r w:rsidRPr="00DA2896">
        <w:t>Si ces travaux ont un retentissement certain, c’est aussi parce qu’ils nouent le dialogue avec des disciplines et des théories de la connaissance connexes, dont la linguistique, la philosophie et l’anthropologie, réalisant ainsi un vœu cher à Greimas. Saussure, Benveniste, Guillaume, Merleau-Ponty, Anzieu, Souriau, Descola, Latour… : ces quelques noms, parmi bien d’autres, attestent la volonté non point d’emprunter des concepts, mais de les discuter, de les aménager, de les réinventer, en fournissant des éclairages novateurs à partir du cadre théorique et épistémologique de la sémiotique. Chaque livre s’inscrit ainsi dans une trajectoire ; en même temps, chaque livre ouvre un chantier inédit et relève de nouveaux défis</w:t>
      </w:r>
      <w:r w:rsidR="00C8723B">
        <w:t xml:space="preserve">. </w:t>
      </w:r>
      <w:r w:rsidRPr="00DA2896">
        <w:t xml:space="preserve">À chaque fois, la sémiotique se risque, se retrouve et se renouvelle.  </w:t>
      </w:r>
    </w:p>
    <w:p w:rsidR="006B32D3" w:rsidRPr="00DA2896" w:rsidRDefault="006B32D3" w:rsidP="006B32D3">
      <w:pPr>
        <w:ind w:firstLine="284"/>
        <w:jc w:val="both"/>
      </w:pPr>
      <w:r w:rsidRPr="00DA2896">
        <w:t xml:space="preserve">Nous avons parlé de notion phare. Sans aucun souci d’exhaustivité, retenons quelques jalons qui paraissent marquants, surtout en vue des développements que nous proposerons ici. </w:t>
      </w:r>
    </w:p>
    <w:p w:rsidR="006B32D3" w:rsidRPr="00DA2896" w:rsidRDefault="006B32D3" w:rsidP="006B32D3">
      <w:pPr>
        <w:ind w:firstLine="284"/>
        <w:jc w:val="both"/>
      </w:pPr>
      <w:r w:rsidRPr="00DA2896">
        <w:t xml:space="preserve">Dans un article intitulé « Le </w:t>
      </w:r>
      <w:r w:rsidRPr="00DA2896">
        <w:rPr>
          <w:i/>
        </w:rPr>
        <w:t>tournant modal</w:t>
      </w:r>
      <w:r w:rsidRPr="00DA2896">
        <w:t xml:space="preserve"> de la sémiotique »</w:t>
      </w:r>
      <w:r w:rsidR="00C8723B">
        <w:t xml:space="preserve"> (</w:t>
      </w:r>
      <w:r w:rsidRPr="00DA2896">
        <w:t>1995</w:t>
      </w:r>
      <w:r w:rsidR="0039731E">
        <w:t>b</w:t>
      </w:r>
      <w:r w:rsidR="00C8723B">
        <w:t>)</w:t>
      </w:r>
      <w:r w:rsidRPr="00DA2896">
        <w:t xml:space="preserve">, Jacques Fontanille confère au mode d’existence défini comme (i) une modalité existentielle (virtualisé, actualisé, réalisé, potentialisé) et (ii) un mode d’expérience (devoir, vouloir, croire, savoir, pouvoir, etc.) un soubassement solide, avant des développements dans </w:t>
      </w:r>
      <w:r w:rsidRPr="00DA2896">
        <w:rPr>
          <w:i/>
        </w:rPr>
        <w:t>Sémiotique du discours</w:t>
      </w:r>
      <w:r w:rsidRPr="00DA2896">
        <w:t xml:space="preserve"> (2003 [1998]) et un article tout aussi décisif intitulé « Les modes d’existence : Greimas et les ontologies sémiotiques » (2014), qui instaure le dialogue avec Souriau. </w:t>
      </w:r>
    </w:p>
    <w:p w:rsidR="00C8723B" w:rsidRDefault="006B32D3" w:rsidP="00C02B47">
      <w:pPr>
        <w:ind w:firstLine="284"/>
        <w:jc w:val="both"/>
      </w:pPr>
      <w:r w:rsidRPr="00DA2896">
        <w:t xml:space="preserve">Gérant le passage entre la modalité et la modalisation, nous considérerons plus particulièrement la modalisation comme cet élan et cet emportement d’une instance d’énonciation </w:t>
      </w:r>
      <w:r w:rsidR="00C02B47">
        <w:t xml:space="preserve">sensible et perceptivo-cognitive </w:t>
      </w:r>
      <w:r w:rsidRPr="00DA2896">
        <w:t xml:space="preserve">qui, aux prises avec une matérialité, s’implique </w:t>
      </w:r>
      <w:r w:rsidRPr="00DA2896">
        <w:lastRenderedPageBreak/>
        <w:t>dans le devenir du sens, à partir d’une « visée énonciative » ainsi que d’un « défaut d’actualisation » et à travers un « dispositif conflictuel sous-jacent » (1995</w:t>
      </w:r>
      <w:r w:rsidR="0098235D">
        <w:t>b</w:t>
      </w:r>
      <w:r w:rsidR="008841F6">
        <w:t xml:space="preserve"> : </w:t>
      </w:r>
      <w:r w:rsidRPr="00DA2896">
        <w:t xml:space="preserve">180). </w:t>
      </w:r>
      <w:r w:rsidR="00C02B47" w:rsidRPr="00DA2896">
        <w:t xml:space="preserve">Ce processus convoque alors à la fois des grandeurs continues, c’est-à-dire des </w:t>
      </w:r>
      <w:r w:rsidR="00C02B47" w:rsidRPr="003265C6">
        <w:t xml:space="preserve">modulations, et des grandeurs discrètes, catégorielles et articulées. </w:t>
      </w:r>
      <w:r w:rsidR="00C02B47">
        <w:t>L</w:t>
      </w:r>
      <w:r w:rsidRPr="00DA2896">
        <w:t xml:space="preserve">es investigations ouvrent sur un </w:t>
      </w:r>
      <w:r w:rsidRPr="00DA2896">
        <w:rPr>
          <w:i/>
        </w:rPr>
        <w:t>imaginaire</w:t>
      </w:r>
      <w:r w:rsidRPr="00DA2896">
        <w:t xml:space="preserve"> dont il faudra étudier davantage le versant </w:t>
      </w:r>
      <w:r w:rsidR="00C8723B">
        <w:t xml:space="preserve">non seulement polémique (déploiement de forces antagonistes), mais </w:t>
      </w:r>
      <w:r w:rsidRPr="00DA2896">
        <w:t>sensible, Nous nous demanderons</w:t>
      </w:r>
      <w:r w:rsidR="008841F6">
        <w:t xml:space="preserve"> </w:t>
      </w:r>
      <w:r w:rsidRPr="00DA2896">
        <w:t>en quoi il est possible de dégager un</w:t>
      </w:r>
      <w:r w:rsidR="00C02B47">
        <w:t xml:space="preserve"> socle </w:t>
      </w:r>
      <w:r w:rsidRPr="00DA2896">
        <w:rPr>
          <w:i/>
        </w:rPr>
        <w:t>proto-modal</w:t>
      </w:r>
      <w:r w:rsidR="00C02B47">
        <w:rPr>
          <w:i/>
        </w:rPr>
        <w:t xml:space="preserve"> </w:t>
      </w:r>
      <w:r w:rsidRPr="00DA2896">
        <w:t>à la base du déploiement des modes d’expérience</w:t>
      </w:r>
      <w:r w:rsidR="00C02B47">
        <w:t>, en captant les modalités à leur état d’ébauche</w:t>
      </w:r>
      <w:r w:rsidR="00C8723B">
        <w:t xml:space="preserve"> (première partie). </w:t>
      </w:r>
    </w:p>
    <w:p w:rsidR="006B32D3" w:rsidRPr="00DA2896" w:rsidRDefault="006B32D3" w:rsidP="006B32D3">
      <w:pPr>
        <w:ind w:firstLine="284"/>
        <w:jc w:val="both"/>
      </w:pPr>
      <w:r w:rsidRPr="00DA2896">
        <w:t>À cela s’ajoutera le rapprochement entre la modalité et l’aspectualité (</w:t>
      </w:r>
      <w:r w:rsidRPr="00DA2896">
        <w:rPr>
          <w:i/>
        </w:rPr>
        <w:t>ibid.</w:t>
      </w:r>
      <w:r w:rsidRPr="00DA2896">
        <w:t xml:space="preserve">), que nous viserons à aborder à nouveaux frais sous l’angle de l’expérience ana- et cataphorique de l’énonciation, de la topicalisation ou mise en perspective dont elle est responsable et de ses effets de sens aspecto-temporels. Plus précisément, nous élargirons la réflexion à une « grammaire de l’existence », en nous inspirant de Souriau (2009 [1943]) librement et en prenant appui sur les propositions de Jacques Fontanille et de Nicolas Couégnas (2018) à ce sujet. La question qui se posera à nous peut être résumée en ces termes : en quoi </w:t>
      </w:r>
      <w:r w:rsidR="00C02B47">
        <w:t xml:space="preserve">est-il possible et pertinent d’approcher </w:t>
      </w:r>
      <w:r w:rsidR="0039731E">
        <w:t xml:space="preserve">le socle (proto-)modal </w:t>
      </w:r>
      <w:r w:rsidR="00C02B47">
        <w:t>à la lumière de</w:t>
      </w:r>
      <w:r w:rsidRPr="00DA2896">
        <w:t xml:space="preserve"> cette « grammaire de l’existence », </w:t>
      </w:r>
      <w:r w:rsidR="00C02B47">
        <w:t xml:space="preserve">c’est-à-dire en mettant en avant </w:t>
      </w:r>
      <w:r w:rsidRPr="00DA2896">
        <w:t xml:space="preserve">des moments </w:t>
      </w:r>
      <w:r w:rsidR="00F329EF">
        <w:t>« synaptiques »</w:t>
      </w:r>
      <w:r w:rsidR="00F329EF">
        <w:rPr>
          <w:rStyle w:val="Appelnotedebasdep"/>
        </w:rPr>
        <w:footnoteReference w:id="2"/>
      </w:r>
      <w:r w:rsidR="00F329EF">
        <w:t xml:space="preserve"> </w:t>
      </w:r>
      <w:r w:rsidRPr="00DA2896">
        <w:t>où le sens se risque et où un élan porte vers l’aval de la reprise</w:t>
      </w:r>
      <w:r w:rsidR="00C8723B">
        <w:t xml:space="preserve"> (deuxième partie)</w:t>
      </w:r>
      <w:r w:rsidRPr="00DA2896">
        <w:t xml:space="preserve"> ? </w:t>
      </w:r>
    </w:p>
    <w:p w:rsidR="006B32D3" w:rsidRDefault="006B32D3" w:rsidP="006B32D3">
      <w:pPr>
        <w:ind w:firstLine="284"/>
        <w:jc w:val="both"/>
      </w:pPr>
      <w:r w:rsidRPr="00DA2896">
        <w:t>Dans un premier temps, tournons-nous vers l’amont du bagage modal</w:t>
      </w:r>
      <w:r w:rsidR="00C02B47">
        <w:t xml:space="preserve"> proprement dit</w:t>
      </w:r>
      <w:r w:rsidRPr="00DA2896">
        <w:t>, que ce dernier soit pensé comme une structure modale ou comme un dispositif modal. L’hypothèse à valider est que l’édifice modal est porté, à sa base, par une ou plusieurs proto-modalités</w:t>
      </w:r>
      <w:r w:rsidR="00C02B47">
        <w:t>.</w:t>
      </w:r>
    </w:p>
    <w:p w:rsidR="00C02B47" w:rsidRPr="00DA2896" w:rsidRDefault="00C02B47" w:rsidP="006B32D3">
      <w:pPr>
        <w:ind w:firstLine="284"/>
        <w:jc w:val="both"/>
      </w:pPr>
    </w:p>
    <w:p w:rsidR="006B32D3" w:rsidRPr="00DA2896" w:rsidRDefault="006B32D3" w:rsidP="006B32D3">
      <w:pPr>
        <w:jc w:val="both"/>
        <w:rPr>
          <w:b/>
        </w:rPr>
      </w:pPr>
      <w:r w:rsidRPr="00DA2896">
        <w:rPr>
          <w:b/>
        </w:rPr>
        <w:t xml:space="preserve">1. </w:t>
      </w:r>
      <w:r w:rsidR="00C8723B">
        <w:rPr>
          <w:b/>
        </w:rPr>
        <w:t xml:space="preserve">Vers </w:t>
      </w:r>
      <w:r w:rsidR="008841F6">
        <w:rPr>
          <w:b/>
        </w:rPr>
        <w:t>un socle proto-modal</w:t>
      </w:r>
    </w:p>
    <w:p w:rsidR="006B32D3" w:rsidRDefault="006B32D3" w:rsidP="006B32D3">
      <w:pPr>
        <w:ind w:firstLine="284"/>
        <w:jc w:val="both"/>
      </w:pPr>
    </w:p>
    <w:p w:rsidR="00C02B47" w:rsidRDefault="00C8723B" w:rsidP="00713A96">
      <w:pPr>
        <w:pStyle w:val="NormalWeb"/>
        <w:spacing w:before="0" w:beforeAutospacing="0" w:after="0" w:afterAutospacing="0"/>
        <w:ind w:firstLine="284"/>
        <w:jc w:val="both"/>
        <w:rPr>
          <w:rFonts w:ascii="Times New Roman" w:hAnsi="Times New Roman"/>
          <w:sz w:val="24"/>
          <w:szCs w:val="24"/>
        </w:rPr>
      </w:pPr>
      <w:r w:rsidRPr="003265C6">
        <w:rPr>
          <w:rFonts w:ascii="Times New Roman" w:hAnsi="Times New Roman"/>
          <w:sz w:val="24"/>
          <w:szCs w:val="24"/>
        </w:rPr>
        <w:t xml:space="preserve">Nous proposons de dégager un soubassement proto-modal dans lequel le dispositif modal, mais aussi la dimension passionnelle trouvent à s’ancrer, l’entrelacement </w:t>
      </w:r>
      <w:r w:rsidR="00C02B47">
        <w:rPr>
          <w:rFonts w:ascii="Times New Roman" w:hAnsi="Times New Roman"/>
          <w:sz w:val="24"/>
          <w:szCs w:val="24"/>
        </w:rPr>
        <w:t xml:space="preserve">primordial </w:t>
      </w:r>
      <w:r w:rsidRPr="003265C6">
        <w:rPr>
          <w:rFonts w:ascii="Times New Roman" w:hAnsi="Times New Roman"/>
          <w:sz w:val="24"/>
          <w:szCs w:val="24"/>
        </w:rPr>
        <w:t xml:space="preserve">des modalités de l’être et des modalités du faire, et, plus précisément, une </w:t>
      </w:r>
      <w:r w:rsidRPr="003265C6">
        <w:rPr>
          <w:rFonts w:ascii="Times New Roman" w:hAnsi="Times New Roman"/>
          <w:i/>
          <w:sz w:val="24"/>
          <w:szCs w:val="24"/>
        </w:rPr>
        <w:t>attitude</w:t>
      </w:r>
      <w:r w:rsidRPr="003265C6">
        <w:rPr>
          <w:rFonts w:ascii="Times New Roman" w:hAnsi="Times New Roman"/>
          <w:sz w:val="24"/>
          <w:szCs w:val="24"/>
        </w:rPr>
        <w:t xml:space="preserve"> diathétique (Bordron 2012) primitive. Une première </w:t>
      </w:r>
      <w:r w:rsidR="006B32D3" w:rsidRPr="003265C6">
        <w:rPr>
          <w:rFonts w:ascii="Times New Roman" w:hAnsi="Times New Roman"/>
          <w:sz w:val="24"/>
          <w:szCs w:val="24"/>
        </w:rPr>
        <w:t xml:space="preserve">hypothèse </w:t>
      </w:r>
      <w:r w:rsidRPr="003265C6">
        <w:rPr>
          <w:rFonts w:ascii="Times New Roman" w:hAnsi="Times New Roman"/>
          <w:sz w:val="24"/>
          <w:szCs w:val="24"/>
        </w:rPr>
        <w:t>concerne</w:t>
      </w:r>
      <w:r w:rsidR="006B32D3" w:rsidRPr="003265C6">
        <w:rPr>
          <w:rFonts w:ascii="Times New Roman" w:hAnsi="Times New Roman"/>
          <w:sz w:val="24"/>
          <w:szCs w:val="24"/>
        </w:rPr>
        <w:t xml:space="preserve"> </w:t>
      </w:r>
      <w:r w:rsidRPr="003265C6">
        <w:rPr>
          <w:rFonts w:ascii="Times New Roman" w:hAnsi="Times New Roman"/>
          <w:sz w:val="24"/>
          <w:szCs w:val="24"/>
        </w:rPr>
        <w:t xml:space="preserve">le principe </w:t>
      </w:r>
      <w:r w:rsidR="00713A96">
        <w:rPr>
          <w:rFonts w:ascii="Times New Roman" w:hAnsi="Times New Roman"/>
          <w:sz w:val="24"/>
          <w:szCs w:val="24"/>
        </w:rPr>
        <w:t xml:space="preserve">de </w:t>
      </w:r>
      <w:r w:rsidRPr="003265C6">
        <w:rPr>
          <w:rFonts w:ascii="Times New Roman" w:hAnsi="Times New Roman"/>
          <w:sz w:val="24"/>
          <w:szCs w:val="24"/>
        </w:rPr>
        <w:t xml:space="preserve">rationalité qui la sous-tend : il serait </w:t>
      </w:r>
      <w:r w:rsidR="006B32D3" w:rsidRPr="003265C6">
        <w:rPr>
          <w:rFonts w:ascii="Times New Roman" w:hAnsi="Times New Roman"/>
          <w:sz w:val="24"/>
          <w:szCs w:val="24"/>
        </w:rPr>
        <w:t xml:space="preserve">de type </w:t>
      </w:r>
      <w:r w:rsidRPr="003265C6">
        <w:rPr>
          <w:rFonts w:ascii="Times New Roman" w:hAnsi="Times New Roman"/>
          <w:sz w:val="24"/>
          <w:szCs w:val="24"/>
        </w:rPr>
        <w:t xml:space="preserve">non point narratif, mais </w:t>
      </w:r>
      <w:r w:rsidR="006B32D3" w:rsidRPr="003265C6">
        <w:rPr>
          <w:rFonts w:ascii="Times New Roman" w:hAnsi="Times New Roman"/>
          <w:sz w:val="24"/>
          <w:szCs w:val="24"/>
        </w:rPr>
        <w:t xml:space="preserve">réticulaire. Dans ce cas, </w:t>
      </w:r>
      <w:r w:rsidRPr="003265C6">
        <w:rPr>
          <w:rFonts w:ascii="Times New Roman" w:hAnsi="Times New Roman"/>
          <w:sz w:val="24"/>
          <w:szCs w:val="24"/>
        </w:rPr>
        <w:t xml:space="preserve">dirons-nous, </w:t>
      </w:r>
      <w:r w:rsidR="006B32D3" w:rsidRPr="003265C6">
        <w:rPr>
          <w:rFonts w:ascii="Times New Roman" w:hAnsi="Times New Roman"/>
          <w:sz w:val="24"/>
          <w:szCs w:val="24"/>
        </w:rPr>
        <w:t xml:space="preserve">une forme de </w:t>
      </w:r>
      <w:r w:rsidR="006B32D3" w:rsidRPr="003265C6">
        <w:rPr>
          <w:rFonts w:ascii="Times New Roman" w:hAnsi="Times New Roman"/>
          <w:i/>
          <w:sz w:val="24"/>
          <w:szCs w:val="24"/>
        </w:rPr>
        <w:t>vouloir</w:t>
      </w:r>
      <w:r w:rsidRPr="003265C6">
        <w:rPr>
          <w:rFonts w:ascii="Times New Roman" w:hAnsi="Times New Roman"/>
          <w:sz w:val="24"/>
          <w:szCs w:val="24"/>
        </w:rPr>
        <w:t xml:space="preserve"> </w:t>
      </w:r>
      <w:r w:rsidR="006B32D3" w:rsidRPr="003265C6">
        <w:rPr>
          <w:rFonts w:ascii="Times New Roman" w:hAnsi="Times New Roman"/>
          <w:sz w:val="24"/>
          <w:szCs w:val="24"/>
        </w:rPr>
        <w:t xml:space="preserve">– d’élan primitif ou emportement vers </w:t>
      </w:r>
      <w:r w:rsidRPr="003265C6">
        <w:rPr>
          <w:rFonts w:ascii="Times New Roman" w:hAnsi="Times New Roman"/>
          <w:sz w:val="24"/>
          <w:szCs w:val="24"/>
        </w:rPr>
        <w:t>–</w:t>
      </w:r>
      <w:r w:rsidR="006B32D3" w:rsidRPr="003265C6">
        <w:rPr>
          <w:rFonts w:ascii="Times New Roman" w:hAnsi="Times New Roman"/>
          <w:sz w:val="24"/>
          <w:szCs w:val="24"/>
        </w:rPr>
        <w:t xml:space="preserve"> </w:t>
      </w:r>
      <w:r w:rsidRPr="003265C6">
        <w:rPr>
          <w:rFonts w:ascii="Times New Roman" w:hAnsi="Times New Roman"/>
          <w:sz w:val="24"/>
          <w:szCs w:val="24"/>
        </w:rPr>
        <w:t>ne se traduit pas</w:t>
      </w:r>
      <w:r w:rsidR="006B32D3" w:rsidRPr="003265C6">
        <w:rPr>
          <w:rFonts w:ascii="Times New Roman" w:hAnsi="Times New Roman"/>
          <w:sz w:val="24"/>
          <w:szCs w:val="24"/>
        </w:rPr>
        <w:t xml:space="preserve"> par </w:t>
      </w:r>
      <w:r w:rsidR="00C02B47">
        <w:rPr>
          <w:rFonts w:ascii="Times New Roman" w:hAnsi="Times New Roman"/>
          <w:sz w:val="24"/>
          <w:szCs w:val="24"/>
        </w:rPr>
        <w:t>l</w:t>
      </w:r>
      <w:r w:rsidR="006B32D3" w:rsidRPr="003265C6">
        <w:rPr>
          <w:rFonts w:ascii="Times New Roman" w:hAnsi="Times New Roman"/>
          <w:sz w:val="24"/>
          <w:szCs w:val="24"/>
        </w:rPr>
        <w:t>es connexions qu’une instance sortant de l’inhérence à elle-même établirait entre des unités déjà données – entre elle et le  « monde », lieu du « il y a » auquel l’instance pleinement constituée serait d’entrée confrontée</w:t>
      </w:r>
      <w:r w:rsidRPr="003265C6">
        <w:rPr>
          <w:rFonts w:ascii="Times New Roman" w:hAnsi="Times New Roman"/>
          <w:sz w:val="24"/>
          <w:szCs w:val="24"/>
        </w:rPr>
        <w:t xml:space="preserve">. </w:t>
      </w:r>
      <w:r w:rsidR="00C02B47">
        <w:rPr>
          <w:rFonts w:ascii="Times New Roman" w:hAnsi="Times New Roman"/>
          <w:sz w:val="24"/>
          <w:szCs w:val="24"/>
        </w:rPr>
        <w:t xml:space="preserve">Elle </w:t>
      </w:r>
      <w:r w:rsidRPr="003265C6">
        <w:rPr>
          <w:rFonts w:ascii="Times New Roman" w:hAnsi="Times New Roman"/>
          <w:sz w:val="24"/>
          <w:szCs w:val="24"/>
        </w:rPr>
        <w:t xml:space="preserve">correspond à </w:t>
      </w:r>
      <w:r w:rsidR="006B32D3" w:rsidRPr="003265C6">
        <w:rPr>
          <w:rFonts w:ascii="Times New Roman" w:hAnsi="Times New Roman"/>
          <w:sz w:val="24"/>
          <w:szCs w:val="24"/>
        </w:rPr>
        <w:t xml:space="preserve">des entrées en relation et en résonance qui </w:t>
      </w:r>
      <w:r w:rsidR="006B32D3" w:rsidRPr="00C02B47">
        <w:rPr>
          <w:rFonts w:ascii="Times New Roman" w:hAnsi="Times New Roman"/>
          <w:i/>
          <w:sz w:val="24"/>
          <w:szCs w:val="24"/>
        </w:rPr>
        <w:t>donnent lieu</w:t>
      </w:r>
      <w:r w:rsidR="006B32D3" w:rsidRPr="003265C6">
        <w:rPr>
          <w:rFonts w:ascii="Times New Roman" w:hAnsi="Times New Roman"/>
          <w:sz w:val="24"/>
          <w:szCs w:val="24"/>
        </w:rPr>
        <w:t xml:space="preserve"> à des cristallisations provisoires : le </w:t>
      </w:r>
      <w:r w:rsidR="006B32D3" w:rsidRPr="00C02B47">
        <w:rPr>
          <w:rFonts w:ascii="Times New Roman" w:hAnsi="Times New Roman"/>
          <w:i/>
          <w:sz w:val="24"/>
          <w:szCs w:val="24"/>
        </w:rPr>
        <w:t>monde</w:t>
      </w:r>
      <w:r w:rsidR="006B32D3" w:rsidRPr="003265C6">
        <w:rPr>
          <w:rFonts w:ascii="Times New Roman" w:hAnsi="Times New Roman"/>
          <w:sz w:val="24"/>
          <w:szCs w:val="24"/>
        </w:rPr>
        <w:t xml:space="preserve"> tel qu’expérimenté par une instance en train de se constituer, quand le </w:t>
      </w:r>
      <w:r w:rsidR="006B32D3" w:rsidRPr="003265C6">
        <w:rPr>
          <w:rFonts w:ascii="Times New Roman" w:hAnsi="Times New Roman"/>
          <w:i/>
          <w:sz w:val="24"/>
          <w:szCs w:val="24"/>
        </w:rPr>
        <w:t>il y a</w:t>
      </w:r>
      <w:r w:rsidR="006B32D3" w:rsidRPr="003265C6">
        <w:rPr>
          <w:rFonts w:ascii="Times New Roman" w:hAnsi="Times New Roman"/>
          <w:sz w:val="24"/>
          <w:szCs w:val="24"/>
        </w:rPr>
        <w:t xml:space="preserve"> </w:t>
      </w:r>
      <w:r w:rsidR="00C02B47">
        <w:rPr>
          <w:rFonts w:ascii="Times New Roman" w:hAnsi="Times New Roman"/>
          <w:sz w:val="24"/>
          <w:szCs w:val="24"/>
        </w:rPr>
        <w:t xml:space="preserve">se constitue en </w:t>
      </w:r>
      <w:r w:rsidR="006B32D3" w:rsidRPr="003265C6">
        <w:rPr>
          <w:rFonts w:ascii="Times New Roman" w:hAnsi="Times New Roman"/>
          <w:sz w:val="24"/>
          <w:szCs w:val="24"/>
        </w:rPr>
        <w:t>se mu</w:t>
      </w:r>
      <w:r w:rsidR="00C02B47">
        <w:rPr>
          <w:rFonts w:ascii="Times New Roman" w:hAnsi="Times New Roman"/>
          <w:sz w:val="24"/>
          <w:szCs w:val="24"/>
        </w:rPr>
        <w:t>ant</w:t>
      </w:r>
      <w:r w:rsidR="006B32D3" w:rsidRPr="003265C6">
        <w:rPr>
          <w:rFonts w:ascii="Times New Roman" w:hAnsi="Times New Roman"/>
          <w:sz w:val="24"/>
          <w:szCs w:val="24"/>
        </w:rPr>
        <w:t xml:space="preserve"> en </w:t>
      </w:r>
      <w:r w:rsidR="006B32D3" w:rsidRPr="003265C6">
        <w:rPr>
          <w:rFonts w:ascii="Times New Roman" w:hAnsi="Times New Roman"/>
          <w:i/>
          <w:sz w:val="24"/>
          <w:szCs w:val="24"/>
        </w:rPr>
        <w:t>il y a quelque chose pour moi</w:t>
      </w:r>
      <w:r w:rsidR="006B32D3" w:rsidRPr="003265C6">
        <w:rPr>
          <w:rFonts w:ascii="Times New Roman" w:hAnsi="Times New Roman"/>
          <w:sz w:val="24"/>
          <w:szCs w:val="24"/>
        </w:rPr>
        <w:t xml:space="preserve">. </w:t>
      </w:r>
    </w:p>
    <w:p w:rsidR="003265C6" w:rsidRPr="003265C6" w:rsidRDefault="00C8723B" w:rsidP="003265C6">
      <w:pPr>
        <w:pStyle w:val="NormalWeb"/>
        <w:spacing w:before="0" w:beforeAutospacing="0" w:after="0" w:afterAutospacing="0"/>
        <w:ind w:firstLine="284"/>
        <w:jc w:val="both"/>
        <w:rPr>
          <w:rFonts w:ascii="Times New Roman" w:hAnsi="Times New Roman"/>
          <w:sz w:val="24"/>
          <w:szCs w:val="24"/>
          <w:lang w:val="fr-CH"/>
        </w:rPr>
      </w:pPr>
      <w:r w:rsidRPr="003265C6">
        <w:rPr>
          <w:rFonts w:ascii="Times New Roman" w:hAnsi="Times New Roman"/>
          <w:sz w:val="24"/>
          <w:szCs w:val="24"/>
        </w:rPr>
        <w:t>Le</w:t>
      </w:r>
      <w:r w:rsidR="006B32D3" w:rsidRPr="003265C6">
        <w:rPr>
          <w:rFonts w:ascii="Times New Roman" w:hAnsi="Times New Roman"/>
          <w:sz w:val="24"/>
          <w:szCs w:val="24"/>
        </w:rPr>
        <w:t xml:space="preserve"> proto-vouloir </w:t>
      </w:r>
      <w:r w:rsidR="00C02B47">
        <w:rPr>
          <w:rFonts w:ascii="Times New Roman" w:hAnsi="Times New Roman"/>
          <w:sz w:val="24"/>
          <w:szCs w:val="24"/>
        </w:rPr>
        <w:t xml:space="preserve">et les tensions qui l’habitent sont </w:t>
      </w:r>
      <w:r w:rsidRPr="003265C6">
        <w:rPr>
          <w:rFonts w:ascii="Times New Roman" w:hAnsi="Times New Roman"/>
          <w:sz w:val="24"/>
          <w:szCs w:val="24"/>
        </w:rPr>
        <w:t>d’emblée lié</w:t>
      </w:r>
      <w:r w:rsidR="00C02B47">
        <w:rPr>
          <w:rFonts w:ascii="Times New Roman" w:hAnsi="Times New Roman"/>
          <w:sz w:val="24"/>
          <w:szCs w:val="24"/>
        </w:rPr>
        <w:t>s</w:t>
      </w:r>
      <w:r w:rsidRPr="003265C6">
        <w:rPr>
          <w:rFonts w:ascii="Times New Roman" w:hAnsi="Times New Roman"/>
          <w:sz w:val="24"/>
          <w:szCs w:val="24"/>
        </w:rPr>
        <w:t xml:space="preserve"> à un </w:t>
      </w:r>
      <w:r w:rsidRPr="003265C6">
        <w:rPr>
          <w:rFonts w:ascii="Times New Roman" w:hAnsi="Times New Roman"/>
          <w:i/>
          <w:sz w:val="24"/>
          <w:szCs w:val="24"/>
        </w:rPr>
        <w:t>proto-devoir</w:t>
      </w:r>
      <w:r w:rsidRPr="003265C6">
        <w:rPr>
          <w:rFonts w:ascii="Times New Roman" w:hAnsi="Times New Roman"/>
          <w:sz w:val="24"/>
          <w:szCs w:val="24"/>
        </w:rPr>
        <w:t xml:space="preserve">, quand une interrogation fondamentale rencontre des sollicitations, </w:t>
      </w:r>
      <w:r w:rsidR="00713A96">
        <w:rPr>
          <w:rFonts w:ascii="Times New Roman" w:hAnsi="Times New Roman"/>
          <w:sz w:val="24"/>
          <w:szCs w:val="24"/>
        </w:rPr>
        <w:t xml:space="preserve">voire des contraintes, </w:t>
      </w:r>
      <w:r w:rsidRPr="003265C6">
        <w:rPr>
          <w:rFonts w:ascii="Times New Roman" w:hAnsi="Times New Roman"/>
          <w:sz w:val="24"/>
          <w:szCs w:val="24"/>
        </w:rPr>
        <w:t>quand une double « préhension » initiale réciproque</w:t>
      </w:r>
      <w:r w:rsidR="008841F6">
        <w:rPr>
          <w:rFonts w:ascii="Times New Roman" w:hAnsi="Times New Roman"/>
          <w:sz w:val="24"/>
          <w:szCs w:val="24"/>
        </w:rPr>
        <w:t xml:space="preserve"> </w:t>
      </w:r>
      <w:r w:rsidRPr="003265C6">
        <w:rPr>
          <w:rFonts w:ascii="Times New Roman" w:hAnsi="Times New Roman"/>
          <w:sz w:val="24"/>
          <w:szCs w:val="24"/>
        </w:rPr>
        <w:t xml:space="preserve">est co-constitutive : le « monde » préhende l’instance, tout comme l’instance pressent, questionne et fait exister un « il y a ». </w:t>
      </w:r>
      <w:r w:rsidR="003265C6" w:rsidRPr="003265C6">
        <w:rPr>
          <w:rFonts w:ascii="Times New Roman" w:hAnsi="Times New Roman"/>
          <w:sz w:val="24"/>
          <w:szCs w:val="24"/>
        </w:rPr>
        <w:t>L</w:t>
      </w:r>
      <w:r w:rsidR="003265C6" w:rsidRPr="003265C6">
        <w:rPr>
          <w:rFonts w:ascii="Times New Roman" w:hAnsi="Times New Roman"/>
          <w:sz w:val="24"/>
          <w:szCs w:val="24"/>
          <w:lang w:val="fr-CH"/>
        </w:rPr>
        <w:t xml:space="preserve">a sollicitation ne générerait-elle pas l’« émotion-surprise » que Paul Ricoeur met en relation avec le « vouloir involontaire » ? Cédons-lui la parole brièvement : </w:t>
      </w:r>
      <w:r w:rsidR="003265C6" w:rsidRPr="003265C6">
        <w:rPr>
          <w:rFonts w:ascii="Times New Roman" w:eastAsia="Code2000" w:hAnsi="Times New Roman"/>
          <w:sz w:val="24"/>
          <w:szCs w:val="24"/>
        </w:rPr>
        <w:t>« Ce cercle, à son tour, s'enracine dans la plus élémentaire des réciprocités, celle de l'involontaire et du volontaire, l'involontaire</w:t>
      </w:r>
      <w:r w:rsidR="003265C6" w:rsidRPr="00DA2896">
        <w:rPr>
          <w:rFonts w:ascii="Times New Roman" w:eastAsia="Code2000" w:hAnsi="Times New Roman"/>
          <w:sz w:val="24"/>
          <w:szCs w:val="24"/>
        </w:rPr>
        <w:t xml:space="preserve"> corporel étant la source existentielle de la première couche des valeurs et le résonateur affectif de toutes les valeurs même les plus fines » (1988 [1950]</w:t>
      </w:r>
      <w:r w:rsidR="008841F6">
        <w:rPr>
          <w:rFonts w:ascii="Times New Roman" w:eastAsia="Code2000" w:hAnsi="Times New Roman"/>
          <w:sz w:val="24"/>
          <w:szCs w:val="24"/>
        </w:rPr>
        <w:t xml:space="preserve"> : </w:t>
      </w:r>
      <w:r w:rsidR="003265C6" w:rsidRPr="00DA2896">
        <w:rPr>
          <w:rFonts w:ascii="Times New Roman" w:eastAsia="Code2000" w:hAnsi="Times New Roman"/>
          <w:sz w:val="24"/>
          <w:szCs w:val="24"/>
        </w:rPr>
        <w:t xml:space="preserve">75). </w:t>
      </w:r>
      <w:r w:rsidR="003265C6" w:rsidRPr="00DA2896">
        <w:rPr>
          <w:rFonts w:ascii="Times New Roman" w:hAnsi="Times New Roman"/>
          <w:sz w:val="24"/>
          <w:szCs w:val="24"/>
        </w:rPr>
        <w:t xml:space="preserve">L’émotion est alors un « involontaire qui </w:t>
      </w:r>
      <w:r w:rsidR="003265C6" w:rsidRPr="00DA2896">
        <w:rPr>
          <w:rFonts w:ascii="Times New Roman" w:hAnsi="Times New Roman"/>
          <w:i/>
          <w:sz w:val="24"/>
          <w:szCs w:val="24"/>
        </w:rPr>
        <w:t>alimente</w:t>
      </w:r>
      <w:r w:rsidR="003265C6" w:rsidRPr="00DA2896">
        <w:rPr>
          <w:rFonts w:ascii="Times New Roman" w:hAnsi="Times New Roman"/>
          <w:sz w:val="24"/>
          <w:szCs w:val="24"/>
        </w:rPr>
        <w:t xml:space="preserve"> l’action volontaire, qui la </w:t>
      </w:r>
      <w:r w:rsidR="003265C6" w:rsidRPr="00DA2896">
        <w:rPr>
          <w:rFonts w:ascii="Times New Roman" w:hAnsi="Times New Roman"/>
          <w:i/>
          <w:sz w:val="24"/>
          <w:szCs w:val="24"/>
        </w:rPr>
        <w:t>sert</w:t>
      </w:r>
      <w:r w:rsidR="003265C6" w:rsidRPr="00DA2896">
        <w:rPr>
          <w:rFonts w:ascii="Times New Roman" w:hAnsi="Times New Roman"/>
          <w:sz w:val="24"/>
          <w:szCs w:val="24"/>
        </w:rPr>
        <w:t xml:space="preserve"> en la précédant et en la débordant » (</w:t>
      </w:r>
      <w:r w:rsidR="003265C6" w:rsidRPr="00DA2896">
        <w:rPr>
          <w:rFonts w:ascii="Times New Roman" w:hAnsi="Times New Roman"/>
          <w:i/>
          <w:sz w:val="24"/>
          <w:szCs w:val="24"/>
        </w:rPr>
        <w:t>ibid.</w:t>
      </w:r>
      <w:r w:rsidR="008841F6">
        <w:rPr>
          <w:rFonts w:ascii="Times New Roman" w:hAnsi="Times New Roman"/>
          <w:sz w:val="24"/>
          <w:szCs w:val="24"/>
        </w:rPr>
        <w:t xml:space="preserve"> : </w:t>
      </w:r>
      <w:r w:rsidR="003265C6" w:rsidRPr="00DA2896">
        <w:rPr>
          <w:rFonts w:ascii="Times New Roman" w:hAnsi="Times New Roman"/>
          <w:sz w:val="24"/>
          <w:szCs w:val="24"/>
        </w:rPr>
        <w:t xml:space="preserve">236). La </w:t>
      </w:r>
      <w:r w:rsidR="003265C6" w:rsidRPr="00DA2896">
        <w:rPr>
          <w:rFonts w:ascii="Times New Roman" w:hAnsi="Times New Roman"/>
          <w:sz w:val="24"/>
          <w:szCs w:val="24"/>
        </w:rPr>
        <w:lastRenderedPageBreak/>
        <w:t xml:space="preserve">surprise constitue ce tressaillement encore involontaire qui, sans doute, n’est pas – n’est plus </w:t>
      </w:r>
      <w:r w:rsidR="00C02B47" w:rsidRPr="00DA2896">
        <w:rPr>
          <w:rFonts w:ascii="Times New Roman" w:hAnsi="Times New Roman"/>
          <w:sz w:val="24"/>
          <w:szCs w:val="24"/>
        </w:rPr>
        <w:t xml:space="preserve">– </w:t>
      </w:r>
      <w:r w:rsidR="003265C6" w:rsidRPr="00DA2896">
        <w:rPr>
          <w:rFonts w:ascii="Times New Roman" w:hAnsi="Times New Roman"/>
          <w:sz w:val="24"/>
          <w:szCs w:val="24"/>
        </w:rPr>
        <w:t>de l’ordre du réflexe, mais en qui se résume une « attitude émotive » primaire</w:t>
      </w:r>
      <w:r w:rsidR="00C02B47">
        <w:rPr>
          <w:rFonts w:ascii="Times New Roman" w:hAnsi="Times New Roman"/>
          <w:sz w:val="24"/>
          <w:szCs w:val="24"/>
        </w:rPr>
        <w:t>, avant toute prise</w:t>
      </w:r>
      <w:r w:rsidR="008841F6">
        <w:rPr>
          <w:rFonts w:ascii="Times New Roman" w:hAnsi="Times New Roman"/>
          <w:sz w:val="24"/>
          <w:szCs w:val="24"/>
        </w:rPr>
        <w:t xml:space="preserve"> </w:t>
      </w:r>
      <w:r w:rsidR="00C02B47">
        <w:rPr>
          <w:rFonts w:ascii="Times New Roman" w:hAnsi="Times New Roman"/>
          <w:sz w:val="24"/>
          <w:szCs w:val="24"/>
        </w:rPr>
        <w:t>en charge par un sujet cognitif.</w:t>
      </w:r>
      <w:r w:rsidR="003265C6" w:rsidRPr="00DA2896">
        <w:rPr>
          <w:rFonts w:ascii="Times New Roman" w:hAnsi="Times New Roman"/>
          <w:sz w:val="24"/>
          <w:szCs w:val="24"/>
        </w:rPr>
        <w:t> </w:t>
      </w:r>
      <w:r w:rsidR="003265C6" w:rsidRPr="00DA2896">
        <w:rPr>
          <w:rFonts w:ascii="Times New Roman" w:eastAsia="Code2000" w:hAnsi="Times New Roman"/>
          <w:sz w:val="24"/>
          <w:szCs w:val="24"/>
        </w:rPr>
        <w:t xml:space="preserve"> </w:t>
      </w:r>
    </w:p>
    <w:p w:rsidR="00C8723B" w:rsidRDefault="00C8723B" w:rsidP="006B32D3">
      <w:pPr>
        <w:ind w:firstLine="284"/>
        <w:jc w:val="both"/>
      </w:pPr>
      <w:r>
        <w:t xml:space="preserve">Enfin,  le proto-vouloir </w:t>
      </w:r>
      <w:r w:rsidR="006B32D3" w:rsidRPr="00DA2896">
        <w:t xml:space="preserve">entraîne un </w:t>
      </w:r>
      <w:r w:rsidR="006B32D3" w:rsidRPr="00C8723B">
        <w:rPr>
          <w:i/>
        </w:rPr>
        <w:t>proto-pouvoir</w:t>
      </w:r>
      <w:r w:rsidR="006B32D3" w:rsidRPr="00DA2896">
        <w:t xml:space="preserve">, quand le monde entraperçu et questionné livre un ensemble de possibles. </w:t>
      </w:r>
    </w:p>
    <w:p w:rsidR="00C8723B" w:rsidRDefault="006B32D3" w:rsidP="006B32D3">
      <w:pPr>
        <w:ind w:firstLine="284"/>
        <w:jc w:val="both"/>
      </w:pPr>
      <w:r w:rsidRPr="00DA2896">
        <w:t>L’existence d’un</w:t>
      </w:r>
      <w:r w:rsidR="003265C6">
        <w:t xml:space="preserve"> tel socle proto-modal</w:t>
      </w:r>
      <w:r w:rsidRPr="00DA2896">
        <w:t xml:space="preserve"> complexe peut </w:t>
      </w:r>
      <w:r w:rsidR="00C02B47">
        <w:t>relever</w:t>
      </w:r>
      <w:r w:rsidRPr="00DA2896">
        <w:t xml:space="preserve"> de la conjecture. Pourtant, on notera une certaine urgence d’en rendre compte, dans la mesure où les textes en portent les traces. </w:t>
      </w:r>
      <w:r w:rsidR="00C8723B">
        <w:t>Ainsi, s</w:t>
      </w:r>
      <w:r w:rsidRPr="00DA2896">
        <w:t>e souvenir</w:t>
      </w:r>
      <w:r w:rsidR="00C8723B">
        <w:t xml:space="preserve"> de</w:t>
      </w:r>
      <w:r w:rsidRPr="00DA2896">
        <w:t>s stades de l’égogenèse (Détrie &amp; Verine 2011)</w:t>
      </w:r>
      <w:r w:rsidR="00C02B47">
        <w:t xml:space="preserve"> </w:t>
      </w:r>
      <w:r w:rsidRPr="00DA2896">
        <w:t xml:space="preserve">qui se solde par l’émergence textuelle du « je » – l’actualisation est liminaire (énoncés à l’infinitif), moyenne (pronoms « on » et « ça ») ou pleine (personnes 1, 2, 4, 5) –, c’est viser les traces, au niveau du texte lui-même, de la </w:t>
      </w:r>
      <w:r w:rsidRPr="0098235D">
        <w:rPr>
          <w:i/>
        </w:rPr>
        <w:t xml:space="preserve">constitution </w:t>
      </w:r>
      <w:r w:rsidRPr="0098235D">
        <w:t>de</w:t>
      </w:r>
      <w:r w:rsidRPr="00DA2896">
        <w:t xml:space="preserve"> l’</w:t>
      </w:r>
      <w:r w:rsidRPr="00DA2896">
        <w:rPr>
          <w:i/>
        </w:rPr>
        <w:t xml:space="preserve">identité </w:t>
      </w:r>
      <w:r w:rsidRPr="00DA2896">
        <w:t xml:space="preserve">des instances. Or, cette identité est d’abord une identité </w:t>
      </w:r>
      <w:r w:rsidRPr="00DA2896">
        <w:rPr>
          <w:i/>
        </w:rPr>
        <w:t>modale</w:t>
      </w:r>
      <w:r w:rsidRPr="00DA2896">
        <w:t xml:space="preserve"> et les verbes modaux</w:t>
      </w:r>
      <w:r w:rsidR="00C02B47">
        <w:t xml:space="preserve">, </w:t>
      </w:r>
      <w:r w:rsidR="00C02B47" w:rsidRPr="00DA2896">
        <w:t>qui gardent d’office la mémoire d’une composante sensible originaire</w:t>
      </w:r>
      <w:r w:rsidR="00C02B47">
        <w:t>,</w:t>
      </w:r>
      <w:r w:rsidRPr="00DA2896">
        <w:t xml:space="preserve"> constituent autant d’inscriptions linguistiques</w:t>
      </w:r>
      <w:r w:rsidR="0039731E">
        <w:t xml:space="preserve"> renvoyant à une poussée signifiante primitive</w:t>
      </w:r>
      <w:r w:rsidRPr="00DA2896">
        <w:t xml:space="preserve">. </w:t>
      </w:r>
    </w:p>
    <w:p w:rsidR="006B32D3" w:rsidRPr="00DA2896" w:rsidRDefault="006B32D3" w:rsidP="006B32D3">
      <w:pPr>
        <w:ind w:firstLine="284"/>
        <w:jc w:val="both"/>
      </w:pPr>
      <w:r w:rsidRPr="00DA2896">
        <w:t>C’est une telle position que nous essayerons d’argumenter maintenant, en repartant des quatre propriétés de la modalisation linguistique (Fontanille 1995</w:t>
      </w:r>
      <w:r w:rsidR="008841F6">
        <w:t xml:space="preserve"> : </w:t>
      </w:r>
      <w:r w:rsidRPr="00DA2896">
        <w:t xml:space="preserve">180) : « visée énonciative, défaut d’actualisation, dispositif conflictuel sous-jacent, ouverture d’un imaginaire ». Il importera de vérifier en quoi ces propriétés se retrouvent dans le bagage proto-modal d’une instance « participante » (Colas-Blaise 2019). </w:t>
      </w:r>
    </w:p>
    <w:p w:rsidR="003265C6" w:rsidRDefault="006B32D3" w:rsidP="003265C6">
      <w:pPr>
        <w:ind w:firstLine="284"/>
        <w:jc w:val="both"/>
        <w:rPr>
          <w:lang w:val="fr-CH"/>
        </w:rPr>
      </w:pPr>
      <w:r w:rsidRPr="00DA2896">
        <w:t xml:space="preserve">On peut tenter </w:t>
      </w:r>
      <w:r w:rsidR="003265C6">
        <w:t>de rendre compte de la visée</w:t>
      </w:r>
      <w:r w:rsidRPr="00DA2896">
        <w:t xml:space="preserve"> à partir de cadres théoriques différents. Si nous suivons Jean-François Bordron (2011), il est possible de penser </w:t>
      </w:r>
      <w:r w:rsidRPr="00DA2896">
        <w:rPr>
          <w:lang w:val="fr-CH"/>
        </w:rPr>
        <w:t xml:space="preserve">le </w:t>
      </w:r>
      <w:r w:rsidRPr="00DA2896">
        <w:rPr>
          <w:i/>
          <w:lang w:val="fr-CH"/>
        </w:rPr>
        <w:t>moment indiciel</w:t>
      </w:r>
      <w:r w:rsidRPr="00DA2896">
        <w:rPr>
          <w:lang w:val="fr-CH"/>
        </w:rPr>
        <w:t xml:space="preserve"> inaugural de l’être-au-monde d’une instance encore diffuse, impersonnelle et antérieure à toute individuation : un infléchissement originaire du flux d’existence selon William James (Bordron 2012), le proto-embrayage, selon l’expression de Denis Bertrand</w:t>
      </w:r>
      <w:r w:rsidRPr="00DA2896">
        <w:rPr>
          <w:rStyle w:val="Appelnotedebasdep"/>
          <w:lang w:val="fr-CH"/>
        </w:rPr>
        <w:footnoteReference w:id="3"/>
      </w:r>
      <w:r w:rsidRPr="00DA2896">
        <w:rPr>
          <w:lang w:val="fr-CH"/>
        </w:rPr>
        <w:t>. D’où une attitude diathétique (</w:t>
      </w:r>
      <w:r w:rsidR="00C34F0A">
        <w:rPr>
          <w:lang w:val="fr-CH"/>
        </w:rPr>
        <w:t>Bordron 2012</w:t>
      </w:r>
      <w:r w:rsidRPr="00DA2896">
        <w:rPr>
          <w:lang w:val="fr-CH"/>
        </w:rPr>
        <w:t xml:space="preserve">), plus primitive que la disposition passionnelle, que toute structure actantielle, où les </w:t>
      </w:r>
      <w:r w:rsidR="0039731E">
        <w:rPr>
          <w:lang w:val="fr-CH"/>
        </w:rPr>
        <w:t>proto-</w:t>
      </w:r>
      <w:r w:rsidRPr="00DA2896">
        <w:rPr>
          <w:lang w:val="fr-CH"/>
        </w:rPr>
        <w:t>modalités s’ébauchent entre devoir, interrogativité ou vouloir primaire</w:t>
      </w:r>
      <w:r w:rsidR="00C02B47">
        <w:rPr>
          <w:lang w:val="fr-CH"/>
        </w:rPr>
        <w:t>s</w:t>
      </w:r>
      <w:r w:rsidRPr="00DA2896">
        <w:rPr>
          <w:lang w:val="fr-CH"/>
        </w:rPr>
        <w:t xml:space="preserve"> et possibilisation. </w:t>
      </w:r>
    </w:p>
    <w:p w:rsidR="006B32D3" w:rsidRPr="003265C6" w:rsidRDefault="006B32D3" w:rsidP="003265C6">
      <w:pPr>
        <w:ind w:firstLine="284"/>
        <w:jc w:val="both"/>
        <w:rPr>
          <w:lang w:val="fr-CH"/>
        </w:rPr>
      </w:pPr>
      <w:r w:rsidRPr="00DA2896">
        <w:t>Quant au « défaut d’actualisation », selon Jacques Fontanille (1995</w:t>
      </w:r>
      <w:r w:rsidR="008841F6">
        <w:t xml:space="preserve"> : </w:t>
      </w:r>
      <w:r w:rsidRPr="00DA2896">
        <w:t>179), il « résulte de l’actualisation indirecte d’une structure tensive et agoniste, au lieu de l’actualisation du procès accompli ». Il est d’emblée lié aux possibles auxquels une instance est confrontée, c’est-à-dire</w:t>
      </w:r>
      <w:r w:rsidR="00DA75FE">
        <w:t>, disons-nous,</w:t>
      </w:r>
      <w:r w:rsidRPr="00DA2896">
        <w:t xml:space="preserve"> moins à des différences, qui exigeraient une vue en surplomb, qu’à des écarts, au sens topologique du terme, entre l</w:t>
      </w:r>
      <w:r w:rsidR="00C02B47">
        <w:t>e vouloir faire et le ne pas vouloir faire, entre la</w:t>
      </w:r>
      <w:r w:rsidRPr="00DA2896">
        <w:t xml:space="preserve"> possibilité de faire et celle de ne pas faire</w:t>
      </w:r>
      <w:r w:rsidR="00C02B47">
        <w:t>..</w:t>
      </w:r>
      <w:r w:rsidRPr="00DA2896">
        <w:t xml:space="preserve">. L’immersion dans un devenir rend sensible à des séparations, des interstices, des « entre » (Jullien 2012). Des « entre » dans un sens plus large, </w:t>
      </w:r>
      <w:r w:rsidR="00C02B47">
        <w:t xml:space="preserve">à la base d’un « style expérientiel » (Colas-Blaise 2012), </w:t>
      </w:r>
      <w:r w:rsidRPr="00DA2896">
        <w:t xml:space="preserve">dans la mesure où l’instance, en sortant de l’inhérence à elle-même, doit organiser le temps et l’espace de manière minimale, là où se dessine l’ombre d’un </w:t>
      </w:r>
      <w:r w:rsidRPr="00DA2896">
        <w:rPr>
          <w:i/>
        </w:rPr>
        <w:t>ici</w:t>
      </w:r>
      <w:r w:rsidRPr="00DA2896">
        <w:t xml:space="preserve"> et d’un </w:t>
      </w:r>
      <w:r w:rsidRPr="00DA2896">
        <w:rPr>
          <w:i/>
        </w:rPr>
        <w:t>là</w:t>
      </w:r>
      <w:r w:rsidRPr="00DA2896">
        <w:t xml:space="preserve"> encore non actualisés, d’un maintenant, d’un passé et d’un futur potentiels. Une organisation qui est sans doute encore de l’ordre du tâtonnement, mais qui est voulue, globalement, par l’appréhension d’une altérité. Tel serait en effet le moteur de l’énonciation comme geste sensible. « L’énonciation, écrit Jacques Fontanille (2017 : 55), ne se contente pas de  présupposer l’existence : elle en résout le problème principal, qui est de faire face au risque de l’altérité, pour persister. D’une certaine manière, la petite philosophie de l’énonciation est une petite histoire de l’autre, racontée du point de vue du même qui compte bien persister à travers lui ». </w:t>
      </w:r>
    </w:p>
    <w:p w:rsidR="006B32D3" w:rsidRPr="00DA2896" w:rsidRDefault="006B32D3" w:rsidP="006B32D3">
      <w:pPr>
        <w:ind w:firstLine="284"/>
        <w:jc w:val="both"/>
      </w:pPr>
      <w:r w:rsidRPr="00DA2896">
        <w:t xml:space="preserve">Cela montre aussi à quel point l’amont que nous cherchons à concevoir est parcouru de tensions, dans quelle mesure le devoir, le vouloir et le pouvoir proto-modaux sont exposés au déploiement de forces contraires, agonistes et antagonistes. Le vouloir se définit à travers sa </w:t>
      </w:r>
      <w:r w:rsidRPr="00DA2896">
        <w:lastRenderedPageBreak/>
        <w:t>confrontation avec des vouloirs contraires, les pressions exercées par</w:t>
      </w:r>
      <w:r w:rsidR="00C34F0A">
        <w:t>/sur</w:t>
      </w:r>
      <w:r w:rsidRPr="00DA2896">
        <w:t xml:space="preserve"> le « monde »</w:t>
      </w:r>
      <w:r w:rsidR="00C02B47">
        <w:t xml:space="preserve"> suscitent des résistances</w:t>
      </w:r>
      <w:r w:rsidRPr="00DA2896">
        <w:t xml:space="preserve">, tout comme la possibilité de faire est immédiatement confrontée au ne pas pouvoir faire. Il y aurait ainsi une base éminemment dialectique, qui accueille les mises en tension, en résonance et en conflit, les chevauchements, les bifurcations, les rebroussements, les progressions qui animent une </w:t>
      </w:r>
      <w:r w:rsidRPr="00C02B47">
        <w:rPr>
          <w:i/>
        </w:rPr>
        <w:t>proto-narrativité</w:t>
      </w:r>
      <w:r w:rsidRPr="00DA2896">
        <w:t xml:space="preserve"> comme horizon ou imaginaire du sens, comme nous essayerons de le dire mieux maintenant.  </w:t>
      </w:r>
    </w:p>
    <w:p w:rsidR="00C02B47" w:rsidRDefault="006B32D3" w:rsidP="006B32D3">
      <w:pPr>
        <w:ind w:firstLine="284"/>
        <w:jc w:val="both"/>
        <w:rPr>
          <w:color w:val="323232"/>
          <w:shd w:val="clear" w:color="auto" w:fill="FAFAFA"/>
        </w:rPr>
      </w:pPr>
      <w:r w:rsidRPr="00DA2896">
        <w:t xml:space="preserve">Le réseau dont il a été question plus haut se confondrait, telle </w:t>
      </w:r>
      <w:r w:rsidR="008841F6">
        <w:t>est</w:t>
      </w:r>
      <w:r w:rsidR="00C02B47">
        <w:t xml:space="preserve"> </w:t>
      </w:r>
      <w:r w:rsidRPr="00DA2896">
        <w:t>notre hypothèse, avec une proto-narrativité nécessairement distincte du modèle du récit qui, selon Latour</w:t>
      </w:r>
      <w:r w:rsidR="00C02B47">
        <w:t xml:space="preserve"> (2014)</w:t>
      </w:r>
      <w:r w:rsidRPr="00DA2896">
        <w:t>, enferme et stabilise le sens en se trouvant projeté sur des connexions mouvantes de type réticulaire, dont il réduit la richesse. Revenons à Ricoeur</w:t>
      </w:r>
      <w:r w:rsidR="00C02B47">
        <w:t xml:space="preserve"> </w:t>
      </w:r>
      <w:r w:rsidRPr="00DA2896">
        <w:rPr>
          <w:color w:val="323232"/>
          <w:shd w:val="clear" w:color="auto" w:fill="FAFAFA"/>
        </w:rPr>
        <w:t>(1983</w:t>
      </w:r>
      <w:r w:rsidR="008841F6">
        <w:rPr>
          <w:color w:val="323232"/>
          <w:shd w:val="clear" w:color="auto" w:fill="FAFAFA"/>
        </w:rPr>
        <w:t xml:space="preserve"> : </w:t>
      </w:r>
      <w:r w:rsidRPr="00DA2896">
        <w:rPr>
          <w:color w:val="323232"/>
          <w:shd w:val="clear" w:color="auto" w:fill="FAFAFA"/>
        </w:rPr>
        <w:t>17)</w:t>
      </w:r>
      <w:r w:rsidR="00C02B47">
        <w:rPr>
          <w:color w:val="323232"/>
          <w:shd w:val="clear" w:color="auto" w:fill="FAFAFA"/>
        </w:rPr>
        <w:t xml:space="preserve"> : </w:t>
      </w:r>
      <w:r w:rsidRPr="00DA2896">
        <w:rPr>
          <w:color w:val="323232"/>
          <w:shd w:val="clear" w:color="auto" w:fill="FAFAFA"/>
        </w:rPr>
        <w:t>« le temps devient temps humain dans la mesure où il est articulé de manière narrative ; en retour, le récit est significatif dans la mesure où il dessine les traits de l’expérience humaine » (</w:t>
      </w:r>
      <w:r w:rsidR="008841F6">
        <w:rPr>
          <w:i/>
          <w:color w:val="323232"/>
          <w:shd w:val="clear" w:color="auto" w:fill="FAFAFA"/>
        </w:rPr>
        <w:t>idem</w:t>
      </w:r>
      <w:r w:rsidRPr="00DA2896">
        <w:rPr>
          <w:color w:val="323232"/>
          <w:shd w:val="clear" w:color="auto" w:fill="FAFAFA"/>
        </w:rPr>
        <w:t>). On se donne les moyens de rétablir l’« inchoatif » en amont du « pleinement déterminé » (Carr, Taylor, Ricoeur 1985</w:t>
      </w:r>
      <w:r w:rsidR="008841F6">
        <w:rPr>
          <w:color w:val="323232"/>
          <w:shd w:val="clear" w:color="auto" w:fill="FAFAFA"/>
        </w:rPr>
        <w:t xml:space="preserve"> : </w:t>
      </w:r>
      <w:r w:rsidRPr="00DA2896">
        <w:rPr>
          <w:color w:val="323232"/>
          <w:shd w:val="clear" w:color="auto" w:fill="FAFAFA"/>
        </w:rPr>
        <w:t>318), de penser une narrativité inchoative, un « arrière-plan </w:t>
      </w:r>
      <w:r w:rsidRPr="00DA2896">
        <w:rPr>
          <w:color w:val="323232"/>
        </w:rPr>
        <w:t>fait de l’“imbrication vivante” de toutes les histoires vécues les unes dans les autres ». Il faut alors que « les histoires racontées “émergent” (</w:t>
      </w:r>
      <w:r w:rsidRPr="00DA2896">
        <w:rPr>
          <w:rStyle w:val="Accentuation"/>
          <w:color w:val="323232"/>
        </w:rPr>
        <w:t>Auftauchen</w:t>
      </w:r>
      <w:r w:rsidRPr="00DA2896">
        <w:rPr>
          <w:color w:val="323232"/>
        </w:rPr>
        <w:t>) de cet arrière-plan. […] Raconter, suivre, comprendre des histoires n’est que la “continuation” de ces histoires non dites » (Ricoeur 1983</w:t>
      </w:r>
      <w:r w:rsidR="008841F6">
        <w:rPr>
          <w:color w:val="323232"/>
        </w:rPr>
        <w:t xml:space="preserve"> : </w:t>
      </w:r>
      <w:r w:rsidRPr="00DA2896">
        <w:rPr>
          <w:color w:val="323232"/>
        </w:rPr>
        <w:t xml:space="preserve">115). Tant il est vrai que, </w:t>
      </w:r>
      <w:r w:rsidRPr="00DA2896">
        <w:rPr>
          <w:color w:val="323232"/>
          <w:shd w:val="clear" w:color="auto" w:fill="FAFAFA"/>
        </w:rPr>
        <w:t xml:space="preserve">comme le note Raphaël Baroni (2010), la vie est elle-même caractérisée par l’expérience d’une « concordance discordante » en deçà de la médiation narratologique. </w:t>
      </w:r>
    </w:p>
    <w:p w:rsidR="006B32D3" w:rsidRDefault="006B32D3" w:rsidP="006B32D3">
      <w:pPr>
        <w:ind w:firstLine="284"/>
        <w:jc w:val="both"/>
        <w:rPr>
          <w:color w:val="323232"/>
          <w:shd w:val="clear" w:color="auto" w:fill="FAFAFA"/>
        </w:rPr>
      </w:pPr>
      <w:r w:rsidRPr="00DA2896">
        <w:rPr>
          <w:color w:val="323232"/>
          <w:shd w:val="clear" w:color="auto" w:fill="FAFAFA"/>
        </w:rPr>
        <w:t>Tel est donc l’imaginaire que nous associons aux proto-modalités : une proto-narrativité appuyée à l’expérience vive d’une « concordance discordante » fondamentale, qui irrigue toutes les velléités de sens et qui fonde, selon nous, un style sémiotique expérientiel qui est d’abord d’ordre proto-modal.</w:t>
      </w:r>
    </w:p>
    <w:p w:rsidR="006B32D3" w:rsidRPr="00DA2896" w:rsidRDefault="006B32D3" w:rsidP="006B32D3">
      <w:pPr>
        <w:ind w:firstLine="284"/>
        <w:jc w:val="both"/>
        <w:rPr>
          <w:color w:val="323232"/>
        </w:rPr>
      </w:pPr>
    </w:p>
    <w:p w:rsidR="006B32D3" w:rsidRPr="00DA2896" w:rsidRDefault="006B32D3" w:rsidP="006B32D3">
      <w:pPr>
        <w:jc w:val="both"/>
        <w:rPr>
          <w:b/>
        </w:rPr>
      </w:pPr>
      <w:r w:rsidRPr="00DA2896">
        <w:rPr>
          <w:b/>
        </w:rPr>
        <w:t xml:space="preserve">2. Les altérations risquées  </w:t>
      </w:r>
    </w:p>
    <w:p w:rsidR="00DA75FE" w:rsidRDefault="00DA75FE" w:rsidP="00DA75FE">
      <w:pPr>
        <w:jc w:val="both"/>
      </w:pPr>
    </w:p>
    <w:p w:rsidR="00C02B47" w:rsidRPr="00DA2896" w:rsidRDefault="00DA75FE" w:rsidP="00285B63">
      <w:pPr>
        <w:ind w:firstLine="284"/>
        <w:jc w:val="both"/>
      </w:pPr>
      <w:r>
        <w:t xml:space="preserve">Selon Jacques Fontanille (2014), </w:t>
      </w:r>
      <w:r w:rsidR="00C8723B">
        <w:t>Greimas et Souriau fournissent</w:t>
      </w:r>
      <w:r>
        <w:t xml:space="preserve"> dans </w:t>
      </w:r>
      <w:r w:rsidRPr="00DA75FE">
        <w:rPr>
          <w:i/>
        </w:rPr>
        <w:t>De</w:t>
      </w:r>
      <w:r>
        <w:t xml:space="preserve"> </w:t>
      </w:r>
      <w:r>
        <w:rPr>
          <w:i/>
        </w:rPr>
        <w:t>l</w:t>
      </w:r>
      <w:r w:rsidRPr="00C8723B">
        <w:rPr>
          <w:i/>
        </w:rPr>
        <w:t>’</w:t>
      </w:r>
      <w:r>
        <w:rPr>
          <w:i/>
        </w:rPr>
        <w:t>i</w:t>
      </w:r>
      <w:r w:rsidRPr="00C8723B">
        <w:rPr>
          <w:i/>
        </w:rPr>
        <w:t>mperfection</w:t>
      </w:r>
      <w:r>
        <w:t xml:space="preserve"> (1987) et </w:t>
      </w:r>
      <w:r w:rsidR="00C8723B">
        <w:t xml:space="preserve"> </w:t>
      </w:r>
      <w:r>
        <w:t xml:space="preserve">dans </w:t>
      </w:r>
      <w:r w:rsidRPr="00DA75FE">
        <w:rPr>
          <w:i/>
        </w:rPr>
        <w:t xml:space="preserve">Les </w:t>
      </w:r>
      <w:r>
        <w:rPr>
          <w:i/>
        </w:rPr>
        <w:t>d</w:t>
      </w:r>
      <w:r w:rsidRPr="00C8723B">
        <w:rPr>
          <w:i/>
        </w:rPr>
        <w:t xml:space="preserve">ifférents modes d’existence </w:t>
      </w:r>
      <w:r>
        <w:t xml:space="preserve">(2009 [1943]) </w:t>
      </w:r>
      <w:r w:rsidR="00C8723B">
        <w:t>des solutions diverses à un même problème de base : celui des « altérations du rapport entre les humains et leur</w:t>
      </w:r>
      <w:r w:rsidR="004439E3">
        <w:t xml:space="preserve"> </w:t>
      </w:r>
      <w:r w:rsidR="00C8723B">
        <w:t>environnement » (</w:t>
      </w:r>
      <w:r w:rsidR="00C34F0A" w:rsidRPr="00C34F0A">
        <w:t>Fontanille 2014</w:t>
      </w:r>
      <w:r w:rsidR="008841F6">
        <w:t xml:space="preserve"> : </w:t>
      </w:r>
      <w:r w:rsidR="00C8723B">
        <w:t xml:space="preserve">15), </w:t>
      </w:r>
      <w:r w:rsidR="00C02B47">
        <w:t xml:space="preserve">de </w:t>
      </w:r>
      <w:r w:rsidR="00C8723B">
        <w:t xml:space="preserve">la production ou </w:t>
      </w:r>
      <w:r w:rsidR="00C02B47">
        <w:t xml:space="preserve">de </w:t>
      </w:r>
      <w:r w:rsidR="00C8723B">
        <w:t>l’instauration</w:t>
      </w:r>
      <w:r w:rsidR="008841F6">
        <w:t xml:space="preserve"> </w:t>
      </w:r>
      <w:r w:rsidR="00C8723B">
        <w:t>de mondes, celui des régimes sémiotiques et des conditions d’existence. Dans ce cas,</w:t>
      </w:r>
      <w:r w:rsidR="006B32D3" w:rsidRPr="00DA2896">
        <w:t xml:space="preserve"> </w:t>
      </w:r>
      <w:r w:rsidR="00C8723B" w:rsidRPr="00DA2896">
        <w:t>est-il possible / avantageux d’établir un lien entre différentes « solutions » rendant compte des altérations du cours de l’existence : « jonctions méréologiques, modalisations de l’être, formes de processus,… » (</w:t>
      </w:r>
      <w:r w:rsidR="00C34F0A" w:rsidRPr="00C34F0A">
        <w:rPr>
          <w:i/>
        </w:rPr>
        <w:t>idem</w:t>
      </w:r>
      <w:r w:rsidR="00C8723B" w:rsidRPr="00DA2896">
        <w:t xml:space="preserve">) ? </w:t>
      </w:r>
      <w:r w:rsidR="00C8723B">
        <w:t>E</w:t>
      </w:r>
      <w:r w:rsidR="006B32D3" w:rsidRPr="00DA2896">
        <w:t>n quoi les altérations comme « modalisation</w:t>
      </w:r>
      <w:r>
        <w:t>s</w:t>
      </w:r>
      <w:r w:rsidR="006B32D3" w:rsidRPr="00DA2896">
        <w:t xml:space="preserve"> (vouloir, pouvoir, etc.) » (Fontanille &amp; Couégnas 2018</w:t>
      </w:r>
      <w:r w:rsidR="008841F6">
        <w:t xml:space="preserve"> : </w:t>
      </w:r>
      <w:r w:rsidR="006B32D3" w:rsidRPr="00DA2896">
        <w:t>68) peuvent</w:t>
      </w:r>
      <w:r w:rsidR="00C8723B">
        <w:t>-elles</w:t>
      </w:r>
      <w:r w:rsidR="006B32D3" w:rsidRPr="00DA2896">
        <w:t xml:space="preserve"> être réexaminées à la lumière des altérations conjonctives et pr</w:t>
      </w:r>
      <w:r>
        <w:t>é</w:t>
      </w:r>
      <w:r w:rsidR="006B32D3" w:rsidRPr="00DA2896">
        <w:t xml:space="preserve">positionnelles </w:t>
      </w:r>
      <w:r w:rsidR="00C02B47">
        <w:t>qui correspondent au synaptique selon</w:t>
      </w:r>
      <w:r w:rsidR="006B32D3" w:rsidRPr="00DA2896">
        <w:t xml:space="preserve"> Souriau (2009 [1943]</w:t>
      </w:r>
      <w:r w:rsidR="008841F6">
        <w:t xml:space="preserve"> : </w:t>
      </w:r>
      <w:r w:rsidR="006B32D3" w:rsidRPr="00DA2896">
        <w:t>16</w:t>
      </w:r>
      <w:r w:rsidR="008841F6">
        <w:t>2</w:t>
      </w:r>
      <w:r w:rsidR="006B32D3" w:rsidRPr="00DA2896">
        <w:t>)</w:t>
      </w:r>
      <w:r w:rsidR="004439E3">
        <w:rPr>
          <w:rStyle w:val="Appelnotedebasdep"/>
        </w:rPr>
        <w:footnoteReference w:id="4"/>
      </w:r>
      <w:r w:rsidR="00C8723B">
        <w:t> ?</w:t>
      </w:r>
      <w:r w:rsidR="006B32D3" w:rsidRPr="00DA2896">
        <w:t xml:space="preserve"> En d’autres termes, </w:t>
      </w:r>
      <w:r w:rsidR="00285B63">
        <w:t xml:space="preserve">il s’agira de se demander davantage en quoi </w:t>
      </w:r>
      <w:r w:rsidR="006B32D3" w:rsidRPr="00DA2896">
        <w:t xml:space="preserve">les modalisations </w:t>
      </w:r>
      <w:r>
        <w:t>visées par</w:t>
      </w:r>
      <w:r w:rsidR="006B32D3" w:rsidRPr="00DA2896">
        <w:t xml:space="preserve"> Greimas d</w:t>
      </w:r>
      <w:r>
        <w:t>ans</w:t>
      </w:r>
      <w:r w:rsidR="006B32D3" w:rsidRPr="00DA2896">
        <w:t xml:space="preserve"> </w:t>
      </w:r>
      <w:r w:rsidR="006B32D3" w:rsidRPr="00DA2896">
        <w:rPr>
          <w:i/>
        </w:rPr>
        <w:t>De l’imperfection</w:t>
      </w:r>
      <w:r w:rsidR="006B32D3" w:rsidRPr="00DA2896">
        <w:t xml:space="preserve"> (1987</w:t>
      </w:r>
      <w:r w:rsidR="008841F6">
        <w:t xml:space="preserve"> : </w:t>
      </w:r>
      <w:r w:rsidR="006B32D3" w:rsidRPr="00DA2896">
        <w:t xml:space="preserve">9) – « Tout paraître est imparfait : il cache l’être, c’est à partir de lui que se construisent un vouloir-être et un devoir-être, ce qui est déjà une déviation du sens » – mettent en œuvre des relations qu’il est possible de penser également sur le mode des prépositions et conjonctions – </w:t>
      </w:r>
      <w:r w:rsidR="006B32D3" w:rsidRPr="00C02B47">
        <w:t>les</w:t>
      </w:r>
      <w:r w:rsidR="006B32D3" w:rsidRPr="00DA2896">
        <w:rPr>
          <w:i/>
        </w:rPr>
        <w:t xml:space="preserve"> ou bien</w:t>
      </w:r>
      <w:r w:rsidR="006B32D3" w:rsidRPr="00DA2896">
        <w:t xml:space="preserve">, </w:t>
      </w:r>
      <w:r w:rsidR="006B32D3" w:rsidRPr="00DA2896">
        <w:rPr>
          <w:i/>
        </w:rPr>
        <w:t>à cause de</w:t>
      </w:r>
      <w:r w:rsidR="006B32D3" w:rsidRPr="00DA2896">
        <w:t xml:space="preserve">, </w:t>
      </w:r>
      <w:r w:rsidR="006B32D3" w:rsidRPr="00DA2896">
        <w:rPr>
          <w:i/>
        </w:rPr>
        <w:t>pour</w:t>
      </w:r>
      <w:r w:rsidR="006B32D3" w:rsidRPr="00DA2896">
        <w:t xml:space="preserve">, </w:t>
      </w:r>
      <w:r w:rsidR="006B32D3" w:rsidRPr="00DA2896">
        <w:rPr>
          <w:i/>
        </w:rPr>
        <w:t>avant tout</w:t>
      </w:r>
      <w:r w:rsidR="006B32D3" w:rsidRPr="00DA2896">
        <w:t xml:space="preserve">, </w:t>
      </w:r>
      <w:r w:rsidR="006B32D3" w:rsidRPr="00DA2896">
        <w:rPr>
          <w:i/>
        </w:rPr>
        <w:t>alors</w:t>
      </w:r>
      <w:r w:rsidR="006B32D3" w:rsidRPr="00DA2896">
        <w:t xml:space="preserve">, </w:t>
      </w:r>
      <w:r w:rsidR="006B32D3" w:rsidRPr="00DA2896">
        <w:rPr>
          <w:i/>
        </w:rPr>
        <w:t>ensuite</w:t>
      </w:r>
      <w:r w:rsidR="006B32D3" w:rsidRPr="00DA2896">
        <w:t xml:space="preserve"> – qui, selon Souriau (2009 [1943]</w:t>
      </w:r>
      <w:r w:rsidR="008841F6">
        <w:t> : 154</w:t>
      </w:r>
      <w:r w:rsidR="006B32D3" w:rsidRPr="00DA2896">
        <w:t>), « seraient les véritables existences », au fondement de la « grammaire de l’existence » rythmant le flux de l’expérience</w:t>
      </w:r>
      <w:r w:rsidR="00285B63">
        <w:t>.</w:t>
      </w:r>
      <w:r w:rsidR="006B32D3" w:rsidRPr="00DA2896">
        <w:t xml:space="preserve"> </w:t>
      </w:r>
      <w:r w:rsidR="00C02B47">
        <w:t>Enfin, est-il possible de creuser une des pistes que Souriau, qui met l’accent sur l’instauration par le faire, se contente de mentionner : rendre compte du « genre d’événement » lié à</w:t>
      </w:r>
      <w:r w:rsidR="00C02B47" w:rsidRPr="00DA2896">
        <w:t xml:space="preserve"> la « croissance », </w:t>
      </w:r>
      <w:r w:rsidR="00C02B47">
        <w:t xml:space="preserve">à </w:t>
      </w:r>
      <w:r w:rsidR="00C02B47" w:rsidRPr="00DA2896">
        <w:t xml:space="preserve">l’« évolution », </w:t>
      </w:r>
      <w:r w:rsidR="00C02B47">
        <w:t>au</w:t>
      </w:r>
      <w:r w:rsidR="00C02B47" w:rsidRPr="00DA2896">
        <w:t xml:space="preserve"> « schème dynamique », </w:t>
      </w:r>
      <w:r w:rsidR="00C02B47">
        <w:t>au</w:t>
      </w:r>
      <w:r w:rsidR="00C02B47" w:rsidRPr="00DA2896">
        <w:t xml:space="preserve"> « développement conduisant à une émergence » (2009 [1956]</w:t>
      </w:r>
      <w:r w:rsidR="008841F6">
        <w:t xml:space="preserve"> : </w:t>
      </w:r>
      <w:r w:rsidR="00C02B47" w:rsidRPr="00DA2896">
        <w:t>201)</w:t>
      </w:r>
      <w:r w:rsidR="00C02B47">
        <w:t xml:space="preserve"> ? </w:t>
      </w:r>
    </w:p>
    <w:p w:rsidR="00C02B47" w:rsidRDefault="00C02B47" w:rsidP="00C02B47">
      <w:pPr>
        <w:ind w:firstLine="284"/>
        <w:jc w:val="both"/>
      </w:pPr>
      <w:r>
        <w:lastRenderedPageBreak/>
        <w:t xml:space="preserve">Avant de cerner ces mises en relation davantage, notons, d’entrée, qu’elles comportent une part de risque, la </w:t>
      </w:r>
      <w:r w:rsidRPr="00DA2896">
        <w:t xml:space="preserve">reprise après la prise initiale, toujours précaire, </w:t>
      </w:r>
      <w:r>
        <w:t xml:space="preserve">n’étant </w:t>
      </w:r>
      <w:r w:rsidRPr="00DA2896">
        <w:t>pas garantie</w:t>
      </w:r>
      <w:r>
        <w:t xml:space="preserve"> (Fontanille &amp; Couégnas 2018</w:t>
      </w:r>
      <w:r w:rsidR="008841F6">
        <w:t xml:space="preserve"> : </w:t>
      </w:r>
      <w:r>
        <w:t>70)</w:t>
      </w:r>
      <w:r w:rsidRPr="00DA2896">
        <w:t xml:space="preserve">. Ainsi, dirons-nous, « Jeanne veut danser » influe sur la suite, la « profile » d’une certaine manière, mais ne garantit aucunement qu’elle danse effectivement ; il se peut qu’elle danse tout comme il est possible qu’elle ne danse pas. Dans ce cas, la relation entre « Jeanne veut danser » </w:t>
      </w:r>
      <w:r w:rsidR="00C34F0A">
        <w:t xml:space="preserve">et le faire effectif </w:t>
      </w:r>
      <w:r w:rsidRPr="00DA2896">
        <w:t xml:space="preserve">n’est pas </w:t>
      </w:r>
      <w:r>
        <w:t xml:space="preserve">nécessairement </w:t>
      </w:r>
      <w:r w:rsidRPr="00DA2896">
        <w:t xml:space="preserve">une relation de conséquence, ni même de consécution. S’agirait-il davantage de vouloir danser </w:t>
      </w:r>
      <w:r w:rsidRPr="00DA2896">
        <w:rPr>
          <w:i/>
        </w:rPr>
        <w:t>pour</w:t>
      </w:r>
      <w:r w:rsidRPr="00DA2896">
        <w:t xml:space="preserve"> danser ensuite </w:t>
      </w:r>
      <w:r>
        <w:t xml:space="preserve">ou, pour le dire dans l’autre sens, de danser </w:t>
      </w:r>
      <w:r w:rsidRPr="00C8723B">
        <w:rPr>
          <w:i/>
        </w:rPr>
        <w:t>parce que</w:t>
      </w:r>
      <w:r>
        <w:t xml:space="preserve"> Jeanne voulait danser ou </w:t>
      </w:r>
      <w:r w:rsidRPr="00C8723B">
        <w:rPr>
          <w:i/>
        </w:rPr>
        <w:t>bien que</w:t>
      </w:r>
      <w:r>
        <w:t xml:space="preserve"> Jeanne n’ait pas voulu danser </w:t>
      </w:r>
      <w:r w:rsidRPr="00DA2896">
        <w:t xml:space="preserve">? Contentons-nous, pour l’instant, de cette première proposition. </w:t>
      </w:r>
    </w:p>
    <w:p w:rsidR="00C02B47" w:rsidRDefault="00C02B47" w:rsidP="00C02B47">
      <w:pPr>
        <w:ind w:firstLine="284"/>
        <w:jc w:val="both"/>
      </w:pPr>
      <w:r>
        <w:t xml:space="preserve">Ensuite, ce que l’exemple a montré, c’est que l’expérience anaphorique alterne, </w:t>
      </w:r>
      <w:r w:rsidRPr="00DA2896">
        <w:t xml:space="preserve">selon le point de vue adopté, </w:t>
      </w:r>
      <w:r>
        <w:t xml:space="preserve">avec une expérience </w:t>
      </w:r>
      <w:r w:rsidRPr="00DA2896">
        <w:t>cataphoriqu</w:t>
      </w:r>
      <w:r>
        <w:t xml:space="preserve">e. Il suffit de rappeler le </w:t>
      </w:r>
      <w:r w:rsidRPr="00DA2896">
        <w:t>fonctionnement linguistique que l’on observe dans « Il entre en gare, le train », où le groupe nominal vient rétroactivement fournir un contenu référentiel au pronom « il ». L’emploi du pronom a donné lieu à un moment de flottement, d’imprécision du sens, caractérisé par un déploiement des possibles et une attente en direction d’une « fixation » (provisoire) du sens (par sélection d’un des possibles).</w:t>
      </w:r>
    </w:p>
    <w:p w:rsidR="00C02B47" w:rsidRDefault="00C02B47" w:rsidP="00C02B47">
      <w:pPr>
        <w:ind w:firstLine="284"/>
        <w:jc w:val="both"/>
      </w:pPr>
      <w:r>
        <w:t>Le cadre ayant été tracé, q</w:t>
      </w:r>
      <w:r w:rsidRPr="00DA2896">
        <w:t xml:space="preserve">uatre aspects méritent d’être creusés plus particulièrement : (i) le rapport au(x) monde(s), (ii) le « genre d’être » et de faire, (iii) l’événement et le futur et (iv) la relation « à faire », entre possibles et contraintes. </w:t>
      </w:r>
    </w:p>
    <w:p w:rsidR="006B32D3" w:rsidRDefault="00C02B47" w:rsidP="00C02B47">
      <w:pPr>
        <w:ind w:firstLine="284"/>
        <w:jc w:val="both"/>
      </w:pPr>
      <w:r>
        <w:t>Nous l’avons vu, d</w:t>
      </w:r>
      <w:r w:rsidR="006B32D3" w:rsidRPr="00DA2896">
        <w:t>égager un double mouvement vers l’aval et vers l’amont, par exemple quand la causalité déclenche une « régression à l’infini » (Souriau (2009 [1943] : 155) – Jeanne danse </w:t>
      </w:r>
      <w:r w:rsidR="006B32D3" w:rsidRPr="00DA2896">
        <w:rPr>
          <w:i/>
        </w:rPr>
        <w:t>parce qu</w:t>
      </w:r>
      <w:r w:rsidR="006B32D3" w:rsidRPr="00DA2896">
        <w:t xml:space="preserve">’elle voulait danser </w:t>
      </w:r>
      <w:r w:rsidR="00C8723B">
        <w:t xml:space="preserve">ou </w:t>
      </w:r>
      <w:r w:rsidR="00C8723B" w:rsidRPr="00C8723B">
        <w:rPr>
          <w:i/>
        </w:rPr>
        <w:t>bien qu</w:t>
      </w:r>
      <w:r w:rsidR="00C8723B">
        <w:t>’elle n’ait pas voulu danser</w:t>
      </w:r>
      <w:r w:rsidRPr="00DA2896">
        <w:rPr>
          <w:rStyle w:val="Appelnotedebasdep"/>
        </w:rPr>
        <w:footnoteReference w:id="5"/>
      </w:r>
      <w:r w:rsidR="00C8723B">
        <w:t xml:space="preserve"> </w:t>
      </w:r>
      <w:r w:rsidR="006B32D3" w:rsidRPr="00DA2896">
        <w:t xml:space="preserve">–, c’est donner la priorité aux liens </w:t>
      </w:r>
      <w:r w:rsidR="00C8723B">
        <w:t xml:space="preserve">(qui peuvent être </w:t>
      </w:r>
      <w:r w:rsidR="006B32D3" w:rsidRPr="00DA2896">
        <w:t>logiques ou de consécution</w:t>
      </w:r>
      <w:r w:rsidR="00C8723B">
        <w:t>)</w:t>
      </w:r>
      <w:r w:rsidR="006B32D3" w:rsidRPr="00DA2896">
        <w:t xml:space="preserve"> sur les unités reliées entre elles. Y voir autant de modes d’existence, c’est privilégier les relations qui permettent soit de concevoir des « interprétations existentielles d’un même monde », soit de distinguer des mondes différents (</w:t>
      </w:r>
      <w:r w:rsidR="006B32D3" w:rsidRPr="00DA2896">
        <w:rPr>
          <w:i/>
        </w:rPr>
        <w:t>idem</w:t>
      </w:r>
      <w:r w:rsidR="006B32D3" w:rsidRPr="00DA2896">
        <w:t xml:space="preserve">). </w:t>
      </w:r>
      <w:r>
        <w:t xml:space="preserve">D’où l’idée, fondamentale, de la constitution de mondes </w:t>
      </w:r>
      <w:r w:rsidR="00110A69">
        <w:t xml:space="preserve">qui peuvent être </w:t>
      </w:r>
      <w:r w:rsidR="006B32D3" w:rsidRPr="00DA2896">
        <w:t>suscités</w:t>
      </w:r>
      <w:r>
        <w:t xml:space="preserve"> </w:t>
      </w:r>
      <w:r w:rsidR="006B32D3" w:rsidRPr="00DA2896">
        <w:t>à travers l’expérience ana</w:t>
      </w:r>
      <w:r>
        <w:t>- ou cata</w:t>
      </w:r>
      <w:r w:rsidR="006B32D3" w:rsidRPr="00DA2896">
        <w:t>phorique</w:t>
      </w:r>
      <w:r w:rsidR="00110A69">
        <w:t>, d’une part,</w:t>
      </w:r>
      <w:r w:rsidR="006B32D3" w:rsidRPr="00DA2896">
        <w:t xml:space="preserve"> et à travers </w:t>
      </w:r>
      <w:r w:rsidR="00110A69">
        <w:t>l</w:t>
      </w:r>
      <w:r w:rsidR="006B32D3" w:rsidRPr="00DA2896">
        <w:t xml:space="preserve">es « colorations modales » </w:t>
      </w:r>
      <w:r w:rsidR="00C34F0A">
        <w:t xml:space="preserve">de l’expérience, </w:t>
      </w:r>
      <w:r w:rsidR="006B32D3" w:rsidRPr="00DA2896">
        <w:t>selon Greimas</w:t>
      </w:r>
      <w:r w:rsidR="00110A69">
        <w:t>, d’autre part.</w:t>
      </w:r>
      <w:r>
        <w:t xml:space="preserve"> </w:t>
      </w:r>
      <w:r w:rsidR="006B32D3" w:rsidRPr="00DA2896">
        <w:t>Jacques Fontanille (2014</w:t>
      </w:r>
      <w:r w:rsidR="008841F6">
        <w:t xml:space="preserve"> : </w:t>
      </w:r>
      <w:r w:rsidR="006B32D3" w:rsidRPr="00DA2896">
        <w:t>15) </w:t>
      </w:r>
      <w:r>
        <w:t xml:space="preserve">note ceci </w:t>
      </w:r>
      <w:r w:rsidR="00110A69">
        <w:t> </w:t>
      </w:r>
      <w:r w:rsidR="006B32D3" w:rsidRPr="00DA2896">
        <w:t xml:space="preserve">: </w:t>
      </w:r>
    </w:p>
    <w:p w:rsidR="00C02B47" w:rsidRPr="00DA2896" w:rsidRDefault="00C02B47" w:rsidP="00C02B47">
      <w:pPr>
        <w:ind w:firstLine="284"/>
        <w:jc w:val="both"/>
      </w:pPr>
    </w:p>
    <w:p w:rsidR="006B32D3" w:rsidRDefault="006B32D3" w:rsidP="00110A69">
      <w:pPr>
        <w:ind w:left="284"/>
        <w:jc w:val="both"/>
      </w:pPr>
      <w:r w:rsidRPr="00DA2896">
        <w:t xml:space="preserve">Greimas focalise de son côté sur les colorations modales de l’expérience (vouloir, savoir, devoir, pouvoir être), chacune étant susceptible de susciter un monde qui lui est propre, et les différences entre modalités font des mondes qu’elles suscitent des mondes alternatifs. Cette diversité des modes existentiels est recouverte globalement par le principe de l’« imperfection », qui subsume toutes les « déviations » modales. </w:t>
      </w:r>
    </w:p>
    <w:p w:rsidR="00C8723B" w:rsidRPr="00DA2896" w:rsidRDefault="00C8723B" w:rsidP="006B32D3">
      <w:pPr>
        <w:ind w:firstLine="284"/>
        <w:jc w:val="both"/>
      </w:pPr>
    </w:p>
    <w:p w:rsidR="00C02B47" w:rsidRDefault="00C02B47" w:rsidP="00DA75FE">
      <w:pPr>
        <w:ind w:firstLine="284"/>
        <w:jc w:val="both"/>
      </w:pPr>
      <w:r>
        <w:t xml:space="preserve">En même temps, </w:t>
      </w:r>
      <w:r w:rsidR="006B32D3" w:rsidRPr="00DA2896">
        <w:t xml:space="preserve">les relations qui correspondent à des « modulations d’existence » </w:t>
      </w:r>
      <w:r w:rsidR="00FD500D" w:rsidRPr="00DA2896">
        <w:t>–</w:t>
      </w:r>
      <w:r>
        <w:t xml:space="preserve"> </w:t>
      </w:r>
      <w:r w:rsidR="006B32D3" w:rsidRPr="00DA2896">
        <w:rPr>
          <w:i/>
        </w:rPr>
        <w:t>pour</w:t>
      </w:r>
      <w:r w:rsidR="006B32D3" w:rsidRPr="00DA2896">
        <w:t xml:space="preserve">, </w:t>
      </w:r>
      <w:r w:rsidR="006B32D3" w:rsidRPr="00DA2896">
        <w:rPr>
          <w:i/>
        </w:rPr>
        <w:t>devant</w:t>
      </w:r>
      <w:r w:rsidR="006B32D3" w:rsidRPr="00DA2896">
        <w:t xml:space="preserve">, </w:t>
      </w:r>
      <w:r w:rsidR="006B32D3" w:rsidRPr="00DA2896">
        <w:rPr>
          <w:i/>
        </w:rPr>
        <w:t>avec</w:t>
      </w:r>
      <w:r w:rsidR="006B32D3" w:rsidRPr="00DA2896">
        <w:t xml:space="preserve">… </w:t>
      </w:r>
      <w:r w:rsidR="00FD500D" w:rsidRPr="00DA2896">
        <w:t>–</w:t>
      </w:r>
      <w:r w:rsidR="006B32D3" w:rsidRPr="00DA2896">
        <w:t xml:space="preserve"> </w:t>
      </w:r>
      <w:r>
        <w:t>ont-elles leur ancrage dans le socle proto-modal que nous avons visé à dégager ?</w:t>
      </w:r>
      <w:r w:rsidR="006B32D3" w:rsidRPr="00DA2896">
        <w:t xml:space="preserve"> </w:t>
      </w:r>
      <w:r>
        <w:t>Dans des</w:t>
      </w:r>
      <w:r w:rsidR="006B32D3" w:rsidRPr="00DA2896">
        <w:t xml:space="preserve"> proto-modalités </w:t>
      </w:r>
      <w:r>
        <w:t xml:space="preserve">de l’être, d’abord, qui </w:t>
      </w:r>
      <w:r w:rsidR="006B32D3" w:rsidRPr="00DA2896">
        <w:t xml:space="preserve">sont d’emblée traversées par des tensions, des mouvements </w:t>
      </w:r>
      <w:r w:rsidR="006B32D3" w:rsidRPr="008841F6">
        <w:rPr>
          <w:i/>
        </w:rPr>
        <w:t>vers</w:t>
      </w:r>
      <w:r w:rsidR="006B32D3" w:rsidRPr="00DA2896">
        <w:t xml:space="preserve">, </w:t>
      </w:r>
      <w:r w:rsidR="006B32D3" w:rsidRPr="008841F6">
        <w:rPr>
          <w:i/>
        </w:rPr>
        <w:t>avec</w:t>
      </w:r>
      <w:r w:rsidR="006B32D3" w:rsidRPr="00DA2896">
        <w:t xml:space="preserve">, mais aussi </w:t>
      </w:r>
      <w:r w:rsidR="006B32D3" w:rsidRPr="008841F6">
        <w:rPr>
          <w:i/>
        </w:rPr>
        <w:t>contre</w:t>
      </w:r>
      <w:r>
        <w:t xml:space="preserve">, c’est-à-dire </w:t>
      </w:r>
      <w:r w:rsidR="006B32D3" w:rsidRPr="00DA2896">
        <w:t>un devoir, un vouloir et un pouvoir</w:t>
      </w:r>
      <w:r>
        <w:t xml:space="preserve"> </w:t>
      </w:r>
      <w:r w:rsidR="006B32D3" w:rsidRPr="00DA2896">
        <w:t>« primitifs »</w:t>
      </w:r>
      <w:r w:rsidR="008841F6">
        <w:t xml:space="preserve"> </w:t>
      </w:r>
      <w:r w:rsidR="006B32D3" w:rsidRPr="00DA2896">
        <w:t>d’e</w:t>
      </w:r>
      <w:r w:rsidR="00110A69">
        <w:t>ntrée</w:t>
      </w:r>
      <w:r w:rsidR="006B32D3" w:rsidRPr="00DA2896">
        <w:t xml:space="preserve"> impliqués dans l’expérience de ce </w:t>
      </w:r>
      <w:r w:rsidR="006B32D3" w:rsidRPr="00DA2896">
        <w:rPr>
          <w:i/>
        </w:rPr>
        <w:t>il y a</w:t>
      </w:r>
      <w:r w:rsidR="006B32D3" w:rsidRPr="00DA2896">
        <w:t xml:space="preserve"> auquel une instance sensible est confrontée</w:t>
      </w:r>
      <w:r w:rsidR="00285B63">
        <w:t> ?</w:t>
      </w:r>
      <w:r>
        <w:t xml:space="preserve"> </w:t>
      </w:r>
      <w:r w:rsidR="006B32D3" w:rsidRPr="00DA2896">
        <w:t xml:space="preserve">Non plus d’un </w:t>
      </w:r>
      <w:r w:rsidR="006B32D3" w:rsidRPr="00DA2896">
        <w:rPr>
          <w:i/>
        </w:rPr>
        <w:t>il y a</w:t>
      </w:r>
      <w:r w:rsidR="006B32D3" w:rsidRPr="00DA2896">
        <w:t xml:space="preserve"> donné une fois pour toutes et connaissable, mais d’un </w:t>
      </w:r>
      <w:r w:rsidR="006B32D3" w:rsidRPr="00DA2896">
        <w:rPr>
          <w:i/>
        </w:rPr>
        <w:t>il y a</w:t>
      </w:r>
      <w:r w:rsidR="006B32D3" w:rsidRPr="00DA2896">
        <w:t xml:space="preserve"> qui se définit à travers la relation avec l’instance qui en fait l’expérience, d’un </w:t>
      </w:r>
      <w:r w:rsidR="006B32D3" w:rsidRPr="00DA2896">
        <w:rPr>
          <w:i/>
        </w:rPr>
        <w:t>il y a quelque chose pour moi</w:t>
      </w:r>
      <w:r w:rsidR="001A6EBE">
        <w:t xml:space="preserve"> ? </w:t>
      </w:r>
      <w:r w:rsidR="006B32D3" w:rsidRPr="00DA2896">
        <w:t xml:space="preserve">Dirons-nous que ce quelque chose advient, que le </w:t>
      </w:r>
      <w:r w:rsidR="006B32D3" w:rsidRPr="00DA2896">
        <w:rPr>
          <w:i/>
        </w:rPr>
        <w:t>il y a</w:t>
      </w:r>
      <w:r w:rsidR="006B32D3" w:rsidRPr="00DA2896">
        <w:t xml:space="preserve"> est le </w:t>
      </w:r>
      <w:r w:rsidR="006B32D3" w:rsidRPr="00DA2896">
        <w:rPr>
          <w:i/>
        </w:rPr>
        <w:t>il y a</w:t>
      </w:r>
      <w:r w:rsidR="006B32D3" w:rsidRPr="00DA2896">
        <w:t xml:space="preserve"> de  l’advenue de quelque chose ? Dans ce cas, il y aurait bien ce que Souriau appellerait un « genre d’être » </w:t>
      </w:r>
      <w:r w:rsidR="00DA75FE">
        <w:t>présupposant</w:t>
      </w:r>
      <w:r w:rsidR="00FD500D">
        <w:t xml:space="preserve"> </w:t>
      </w:r>
      <w:r w:rsidR="006B32D3" w:rsidRPr="00DA2896">
        <w:t>le devoir-être, le vouloir-être, le pouvoir-être</w:t>
      </w:r>
      <w:r w:rsidR="00DA75FE">
        <w:t>..</w:t>
      </w:r>
      <w:r>
        <w:t>. L</w:t>
      </w:r>
      <w:r w:rsidRPr="00DA2896">
        <w:t>’« essentiel</w:t>
      </w:r>
      <w:r>
        <w:t xml:space="preserve">, </w:t>
      </w:r>
      <w:r w:rsidRPr="00DA2896">
        <w:t xml:space="preserve"> écrit Souriau (</w:t>
      </w:r>
      <w:r w:rsidRPr="00C02B47">
        <w:t>2009 [1943]</w:t>
      </w:r>
      <w:r w:rsidR="008841F6">
        <w:t xml:space="preserve"> : </w:t>
      </w:r>
      <w:r w:rsidRPr="00DA2896">
        <w:t xml:space="preserve">156), est de bien sentir que l’existence dans toutes ses modulations </w:t>
      </w:r>
      <w:r w:rsidRPr="00DA2896">
        <w:lastRenderedPageBreak/>
        <w:t>s’investit, non dans l’homme ou dans le monde, ni même dans leur ensemble, mais dans ce pour, dans ce contre, où réside le fait d’un genre d’être, et auxquels, de ce point de vue, sont suspendus aussi bien l’homme que le monde »</w:t>
      </w:r>
      <w:r>
        <w:t xml:space="preserve">. </w:t>
      </w:r>
      <w:r w:rsidRPr="00DA2896">
        <w:t xml:space="preserve">Si le devoir-être, le vouloir-être et le pouvoir-être, mais aussi le ne pas vouloir être, etc. </w:t>
      </w:r>
      <w:r w:rsidR="00110A69">
        <w:t>sont aptes à susciter</w:t>
      </w:r>
      <w:r>
        <w:t xml:space="preserve"> des mondes</w:t>
      </w:r>
      <w:r w:rsidR="00DA75FE">
        <w:t xml:space="preserve">, </w:t>
      </w:r>
      <w:r w:rsidRPr="00DA2896">
        <w:t>les proto-modalités caractériseraient le rapport d’une instance au monde ou, mieux, selon Souriau, l’existence de l’homme devant le monde, voire de l’homme contre le monde : « </w:t>
      </w:r>
      <w:r w:rsidRPr="00DA2896">
        <w:rPr>
          <w:i/>
        </w:rPr>
        <w:t>adversus</w:t>
      </w:r>
      <w:r w:rsidRPr="00DA2896">
        <w:t> : le contre en tant que conflit, que heurt et choc violent, qu’essai d’une prise d’ascendance tout offensive » (</w:t>
      </w:r>
      <w:r w:rsidRPr="00DA2896">
        <w:rPr>
          <w:i/>
        </w:rPr>
        <w:t>idem</w:t>
      </w:r>
      <w:r w:rsidRPr="00DA2896">
        <w:t xml:space="preserve">). L’être-au-monde ou l’être devant ou contre le monde en tant qu’il est marqué par une imperfection, pour le dire encore avec Greimas (1987), </w:t>
      </w:r>
      <w:r w:rsidR="001A6EBE">
        <w:t xml:space="preserve">par </w:t>
      </w:r>
      <w:r w:rsidRPr="00DA2896">
        <w:t xml:space="preserve">une </w:t>
      </w:r>
      <w:r>
        <w:t xml:space="preserve">« déviation » modale, </w:t>
      </w:r>
      <w:r w:rsidRPr="00DA2896">
        <w:t xml:space="preserve">ne peut être saisi qu’à travers une expérience </w:t>
      </w:r>
      <w:r w:rsidR="001A6EBE">
        <w:t>(proto-)</w:t>
      </w:r>
      <w:r w:rsidRPr="00DA2896">
        <w:t xml:space="preserve">modale. </w:t>
      </w:r>
    </w:p>
    <w:p w:rsidR="006B32D3" w:rsidRPr="00DA2896" w:rsidRDefault="00C02B47" w:rsidP="00C02B47">
      <w:pPr>
        <w:ind w:firstLine="284"/>
        <w:jc w:val="both"/>
      </w:pPr>
      <w:r>
        <w:t>À cela s’ajoutent les</w:t>
      </w:r>
      <w:r w:rsidR="006B32D3" w:rsidRPr="00DA2896">
        <w:t xml:space="preserve"> « genre</w:t>
      </w:r>
      <w:r>
        <w:t>s</w:t>
      </w:r>
      <w:r w:rsidR="006B32D3" w:rsidRPr="00DA2896">
        <w:t xml:space="preserve"> de faire » : nous proposons de considérer </w:t>
      </w:r>
      <w:r w:rsidR="00DA75FE">
        <w:t xml:space="preserve">qu’ils présupposent le </w:t>
      </w:r>
      <w:r w:rsidR="006B32D3" w:rsidRPr="00DA2896">
        <w:t xml:space="preserve">devoir-faire, </w:t>
      </w:r>
      <w:r w:rsidR="00DA75FE">
        <w:t>le</w:t>
      </w:r>
      <w:r w:rsidR="006B32D3" w:rsidRPr="00DA2896">
        <w:t xml:space="preserve"> vouloir-faire, </w:t>
      </w:r>
      <w:r w:rsidR="00DA75FE">
        <w:t>le</w:t>
      </w:r>
      <w:r w:rsidR="006B32D3" w:rsidRPr="00DA2896">
        <w:t xml:space="preserve"> pouvoir-faire, </w:t>
      </w:r>
      <w:r w:rsidR="006B32D3" w:rsidRPr="00DA2896">
        <w:rPr>
          <w:i/>
        </w:rPr>
        <w:t>pour</w:t>
      </w:r>
      <w:r w:rsidR="006B32D3" w:rsidRPr="00DA2896">
        <w:t xml:space="preserve">, </w:t>
      </w:r>
      <w:r w:rsidR="006B32D3" w:rsidRPr="00DA2896">
        <w:rPr>
          <w:i/>
        </w:rPr>
        <w:t>avec</w:t>
      </w:r>
      <w:r w:rsidR="006B32D3" w:rsidRPr="00DA2896">
        <w:t xml:space="preserve">, </w:t>
      </w:r>
      <w:r w:rsidR="006B32D3" w:rsidRPr="00DA2896">
        <w:rPr>
          <w:i/>
        </w:rPr>
        <w:t>contre</w:t>
      </w:r>
      <w:r w:rsidR="006B32D3" w:rsidRPr="00DA2896">
        <w:t xml:space="preserve">…, </w:t>
      </w:r>
      <w:r>
        <w:t xml:space="preserve">qui gardent la mémoire des proto-modalités du faire, </w:t>
      </w:r>
      <w:r w:rsidR="006B32D3" w:rsidRPr="00DA2896">
        <w:t xml:space="preserve">avant toute réalisation. </w:t>
      </w:r>
      <w:r>
        <w:t xml:space="preserve">La question est en effet celle-ci : dans quelle mesure les (proto-)modalités entrent-elles dans le processus de l’instauration par le faire, de l’événement – par exemple, </w:t>
      </w:r>
      <w:r w:rsidRPr="00DA2896">
        <w:t>de l’ordre du « </w:t>
      </w:r>
      <w:r w:rsidRPr="00DA2896">
        <w:rPr>
          <w:i/>
        </w:rPr>
        <w:t>il y a</w:t>
      </w:r>
      <w:r w:rsidRPr="00DA2896">
        <w:t xml:space="preserve"> le</w:t>
      </w:r>
      <w:r w:rsidRPr="00DA2896">
        <w:rPr>
          <w:i/>
        </w:rPr>
        <w:t xml:space="preserve"> </w:t>
      </w:r>
      <w:r w:rsidRPr="00DA2896">
        <w:t>se-briser</w:t>
      </w:r>
      <w:r w:rsidRPr="00DA2896">
        <w:rPr>
          <w:i/>
        </w:rPr>
        <w:t> </w:t>
      </w:r>
      <w:r w:rsidRPr="00110A69">
        <w:t xml:space="preserve">» </w:t>
      </w:r>
      <w:r w:rsidRPr="00DA2896">
        <w:t>(le verre qui se brise en tombant par terre) (Souriau 2009 [1943]</w:t>
      </w:r>
      <w:r w:rsidR="008841F6">
        <w:t xml:space="preserve"> : </w:t>
      </w:r>
      <w:r w:rsidRPr="00DA2896">
        <w:t>153)</w:t>
      </w:r>
      <w:r>
        <w:t xml:space="preserve"> – dont témoigne </w:t>
      </w:r>
      <w:r w:rsidR="006B32D3" w:rsidRPr="00DA2896">
        <w:t>le verbe</w:t>
      </w:r>
      <w:r>
        <w:t> ?</w:t>
      </w:r>
      <w:r w:rsidR="006B32D3" w:rsidRPr="00DA2896">
        <w:t xml:space="preserve"> Dans ce cas, les modalités (vouloir-faire, pouvoir-faire, devoir-faire…)</w:t>
      </w:r>
      <w:r>
        <w:t xml:space="preserve"> </w:t>
      </w:r>
      <w:r w:rsidR="006B32D3" w:rsidRPr="00C02B47">
        <w:rPr>
          <w:i/>
        </w:rPr>
        <w:t xml:space="preserve">prépareraient </w:t>
      </w:r>
      <w:r w:rsidR="006B32D3" w:rsidRPr="00DA2896">
        <w:t>l’événement qui « est le fait », « ce qui a lieu » (</w:t>
      </w:r>
      <w:r w:rsidR="006B32D3" w:rsidRPr="00DA2896">
        <w:rPr>
          <w:i/>
        </w:rPr>
        <w:t>idem</w:t>
      </w:r>
      <w:r w:rsidR="006B32D3" w:rsidRPr="00DA2896">
        <w:t xml:space="preserve">) et elles seraient de l’ordre non pas encore du « se faire », mais du « à faire », dont nous essayerons de rendre compte maintenant. </w:t>
      </w:r>
    </w:p>
    <w:p w:rsidR="006B32D3" w:rsidRPr="00DA2896" w:rsidRDefault="00C02B47" w:rsidP="006B32D3">
      <w:pPr>
        <w:ind w:firstLine="284"/>
        <w:jc w:val="both"/>
      </w:pPr>
      <w:r>
        <w:t>D’abord</w:t>
      </w:r>
      <w:r w:rsidR="006B32D3" w:rsidRPr="00DA2896">
        <w:t xml:space="preserve">, </w:t>
      </w:r>
      <w:r>
        <w:t xml:space="preserve">examinons les conséquences de l’expérience (proto-)modale </w:t>
      </w:r>
      <w:r w:rsidR="006B32D3" w:rsidRPr="00DA2896">
        <w:t xml:space="preserve">sur la structure du temps. L’événement à venir est à la fois appelé, écrit Souriau, et renvoyé dans le passé, ce dont témoignent les connecteurs </w:t>
      </w:r>
      <w:r w:rsidR="006B32D3" w:rsidRPr="00DA2896">
        <w:rPr>
          <w:i/>
        </w:rPr>
        <w:t>et puis</w:t>
      </w:r>
      <w:r w:rsidR="006B32D3" w:rsidRPr="00DA2896">
        <w:t xml:space="preserve">, </w:t>
      </w:r>
      <w:r w:rsidR="006B32D3" w:rsidRPr="00DA2896">
        <w:rPr>
          <w:i/>
        </w:rPr>
        <w:t xml:space="preserve">et alors </w:t>
      </w:r>
      <w:r w:rsidR="006B32D3" w:rsidRPr="00DA2896">
        <w:t>(</w:t>
      </w:r>
      <w:r w:rsidR="006B32D3" w:rsidRPr="00DA2896">
        <w:rPr>
          <w:i/>
        </w:rPr>
        <w:t>ibid</w:t>
      </w:r>
      <w:r w:rsidRPr="00C02B47">
        <w:t>.</w:t>
      </w:r>
      <w:r w:rsidR="008841F6">
        <w:t xml:space="preserve"> : </w:t>
      </w:r>
      <w:r w:rsidR="006B32D3" w:rsidRPr="00DA2896">
        <w:t xml:space="preserve">155). D’où l’idée que, d’un point de vue temporel, l’instant du vouloir danser est interstitiel. Ce qui serait une autre manière de mettre en avant cette « sorte de demi-jour », cette « pénombre où s’ébauche de l’inachevé, où rien n’a ni plénitude de présence, ni évidente patuité, ni total accomplissement, ni existence plénière » dont il est question dans </w:t>
      </w:r>
      <w:r w:rsidR="006B32D3" w:rsidRPr="00DA2896">
        <w:rPr>
          <w:i/>
        </w:rPr>
        <w:t>Du mode d’existence de l’œuvre à faire</w:t>
      </w:r>
      <w:r w:rsidR="006B32D3" w:rsidRPr="00DA2896">
        <w:t xml:space="preserve"> (</w:t>
      </w:r>
      <w:r>
        <w:t>2009 [</w:t>
      </w:r>
      <w:r w:rsidR="008841F6">
        <w:t xml:space="preserve">1956] : </w:t>
      </w:r>
      <w:r w:rsidR="006B32D3" w:rsidRPr="00DA2896">
        <w:t xml:space="preserve">196). L’accent se déplacerait de l’être et du faire aux </w:t>
      </w:r>
      <w:r>
        <w:t>(proto-)</w:t>
      </w:r>
      <w:r w:rsidR="006B32D3" w:rsidRPr="00DA2896">
        <w:t>modalités de l’être et du faire, dont la visée énonciative, le défaut d’actualisation et la teneur polémique constituent des propriétés</w:t>
      </w:r>
      <w:r w:rsidR="008841F6">
        <w:t xml:space="preserve"> (Fontanille 1995</w:t>
      </w:r>
      <w:r w:rsidR="001A6EBE">
        <w:t>b</w:t>
      </w:r>
      <w:r w:rsidR="008841F6">
        <w:t>)</w:t>
      </w:r>
      <w:r w:rsidR="006B32D3" w:rsidRPr="00DA2896">
        <w:t xml:space="preserve">. </w:t>
      </w:r>
      <w:r>
        <w:t>On retrouve l’idée de l</w:t>
      </w:r>
      <w:r w:rsidR="006B32D3" w:rsidRPr="00DA2896">
        <w:t xml:space="preserve">’écart ou </w:t>
      </w:r>
      <w:r>
        <w:t xml:space="preserve">de </w:t>
      </w:r>
      <w:r w:rsidR="006B32D3" w:rsidRPr="00DA2896">
        <w:t xml:space="preserve">l’entre </w:t>
      </w:r>
      <w:r>
        <w:t>qui seraient</w:t>
      </w:r>
      <w:r w:rsidR="006B32D3" w:rsidRPr="00DA2896">
        <w:t xml:space="preserve"> inhérents à toute production du sens</w:t>
      </w:r>
      <w:r>
        <w:t xml:space="preserve">, à toute </w:t>
      </w:r>
      <w:r w:rsidR="006B32D3" w:rsidRPr="00DA2896">
        <w:t>expérience-interprétation du ou des mondes portés, par</w:t>
      </w:r>
      <w:r>
        <w:t xml:space="preserve"> </w:t>
      </w:r>
      <w:r w:rsidR="006B32D3" w:rsidRPr="00DA2896">
        <w:t xml:space="preserve">là, à un mode d’existence. </w:t>
      </w:r>
    </w:p>
    <w:p w:rsidR="006B32D3" w:rsidRDefault="006B32D3" w:rsidP="006B32D3">
      <w:pPr>
        <w:ind w:firstLine="284"/>
        <w:jc w:val="both"/>
      </w:pPr>
      <w:r w:rsidRPr="00DA2896">
        <w:t xml:space="preserve"> </w:t>
      </w:r>
      <w:r w:rsidR="00C02B47">
        <w:t>Enfin, creusons</w:t>
      </w:r>
      <w:r w:rsidRPr="00DA2896">
        <w:t xml:space="preserve"> la notion « à faire » en nous souvenant de l’image du potier que Souriau a convoquée. Si les (proto</w:t>
      </w:r>
      <w:r w:rsidR="00C02B47">
        <w:t>-</w:t>
      </w:r>
      <w:r w:rsidRPr="00DA2896">
        <w:t xml:space="preserve">)modalités ont un rôle à jouer dans ce que Souriau appelle l’instauration, c’est à condition qu’elles soient en accord avec une logique du trajet, plutôt que du programme ou du projet. C’est aussi ce que notent Isabelle Stengers et Bruno Latour (2009 : 68) : </w:t>
      </w:r>
    </w:p>
    <w:p w:rsidR="00C8723B" w:rsidRPr="00DA2896" w:rsidRDefault="00C8723B" w:rsidP="006B32D3">
      <w:pPr>
        <w:ind w:firstLine="284"/>
        <w:jc w:val="both"/>
      </w:pPr>
    </w:p>
    <w:p w:rsidR="006B32D3" w:rsidRDefault="006B32D3" w:rsidP="00110A69">
      <w:pPr>
        <w:ind w:left="284"/>
        <w:jc w:val="both"/>
      </w:pPr>
      <w:r w:rsidRPr="00DA2896">
        <w:t xml:space="preserve">Instaurer, ce n’est pas se représenter ce à quoi on veut arriver, puis mobiliser les moyens pour la réalisation de cette fin. Ce n’est pas suivre un plan. </w:t>
      </w:r>
      <w:r w:rsidR="00DA75FE">
        <w:t>[…]</w:t>
      </w:r>
      <w:r w:rsidRPr="00DA2896">
        <w:t xml:space="preserve"> Si l’instauration est ontagogique, réalisant la convergence de l’action et du rêve, elle témoigne de ce que cette convergence est un trajet de déterminations progressives.</w:t>
      </w:r>
    </w:p>
    <w:p w:rsidR="00C8723B" w:rsidRPr="00DA2896" w:rsidRDefault="00C8723B" w:rsidP="00FD500D">
      <w:pPr>
        <w:ind w:left="567"/>
        <w:jc w:val="both"/>
      </w:pPr>
    </w:p>
    <w:p w:rsidR="006B32D3" w:rsidRDefault="006B32D3" w:rsidP="006B32D3">
      <w:pPr>
        <w:ind w:firstLine="284"/>
        <w:jc w:val="both"/>
      </w:pPr>
      <w:r w:rsidRPr="00DA2896">
        <w:t xml:space="preserve">En même temps, le virtuel ne suffit pas : il faut cette visée originaire, un devoir, un vouloir, un pouvoir… </w:t>
      </w:r>
      <w:r w:rsidR="00C02B47">
        <w:t xml:space="preserve">primaires </w:t>
      </w:r>
      <w:r w:rsidRPr="00DA2896">
        <w:t xml:space="preserve">orientés, </w:t>
      </w:r>
      <w:r w:rsidR="00C02B47">
        <w:t>préparant</w:t>
      </w:r>
      <w:r w:rsidRPr="00DA2896">
        <w:t xml:space="preserve"> la variation anaphorique </w:t>
      </w:r>
      <w:r w:rsidR="00C02B47">
        <w:t xml:space="preserve">qui </w:t>
      </w:r>
      <w:r w:rsidRPr="00DA2896">
        <w:t xml:space="preserve">« dramatise » (Stengers &amp; Latour </w:t>
      </w:r>
      <w:r w:rsidRPr="00DA2896">
        <w:rPr>
          <w:i/>
        </w:rPr>
        <w:t>ibid</w:t>
      </w:r>
      <w:r w:rsidRPr="00DA2896">
        <w:t>. : 19-20) la progression du tas de glaise du potier à l’œuvre comme point d’achèvement.  En même temps, l’image du potier est intéressante pour une autre raison : il semblerait que toute implication modale d’une instance d’énonciation annonce une interaction avec une substance, un matériau qui dicte ses conditions. L’instance n’est plus souveraine, imposant sa volonté à la glaise, mais au contraire, comme le notent Isabelle Stengers et Bruno Latour (</w:t>
      </w:r>
      <w:r w:rsidRPr="00DA2896">
        <w:rPr>
          <w:i/>
        </w:rPr>
        <w:t>ibid</w:t>
      </w:r>
      <w:r w:rsidRPr="00DA2896">
        <w:t xml:space="preserve">. : 11), le potier est celui qui </w:t>
      </w:r>
    </w:p>
    <w:p w:rsidR="00FD500D" w:rsidRPr="00DA2896" w:rsidRDefault="00FD500D" w:rsidP="006B32D3">
      <w:pPr>
        <w:ind w:firstLine="284"/>
        <w:jc w:val="both"/>
      </w:pPr>
    </w:p>
    <w:p w:rsidR="006B32D3" w:rsidRPr="00DA2896" w:rsidRDefault="006B32D3" w:rsidP="00110A69">
      <w:pPr>
        <w:ind w:left="284"/>
        <w:jc w:val="both"/>
      </w:pPr>
      <w:r w:rsidRPr="00DA2896">
        <w:t xml:space="preserve">accueille, recueille, prépare, explore, invente – comme on invente un trésor – la forme de l’œuvre. Si elles viennent d’une ébauche alors les œuvres tiennent, résistent, obligent – et les humains, leurs auteurs, doivent se </w:t>
      </w:r>
      <w:r w:rsidRPr="00DA2896">
        <w:rPr>
          <w:i/>
          <w:iCs/>
        </w:rPr>
        <w:t xml:space="preserve">dévouer </w:t>
      </w:r>
      <w:r w:rsidRPr="00DA2896">
        <w:t xml:space="preserve">pour elles, ce qui ne veut pourtant pas dire qu’ils leur servent de simple conduit. Le temps des Muses est passé, et la question de la responsabilité a changé. Si le sculpteur est responsable, c’est au sens d’« avoir à répondre de », et c’est devant cette glaise qu’il n’a pas su aider à s’accomplir qu’il aura à répondre. </w:t>
      </w:r>
    </w:p>
    <w:p w:rsidR="006B32D3" w:rsidRPr="00DA2896" w:rsidRDefault="006B32D3" w:rsidP="00110A69">
      <w:pPr>
        <w:ind w:left="284" w:firstLine="284"/>
        <w:jc w:val="both"/>
      </w:pPr>
    </w:p>
    <w:p w:rsidR="006B32D3" w:rsidRPr="00DA2896" w:rsidRDefault="006B32D3" w:rsidP="008841F6">
      <w:pPr>
        <w:ind w:firstLine="284"/>
        <w:jc w:val="both"/>
      </w:pPr>
      <w:r w:rsidRPr="00DA2896">
        <w:t xml:space="preserve">Toute réalisation réclame l’interaction avec une substance ou un matériau qui font connaître leurs propres exigences. Nous proposons de placer cette interaction sous le contrôle non seulement du faire de la réalisation – faudrait-il dire de l’« accomplissement » ? </w:t>
      </w:r>
      <w:r w:rsidR="006375D4" w:rsidRPr="00DA2896">
        <w:t>–</w:t>
      </w:r>
      <w:r w:rsidRPr="00DA2896">
        <w:t>, mais aussi des (proto</w:t>
      </w:r>
      <w:r w:rsidR="00C02B47">
        <w:t>-</w:t>
      </w:r>
      <w:r w:rsidRPr="00DA2896">
        <w:t>)modalités. Ce seraient elles qui garantiraient le « contact expérientiel avec le mode d’existence de l’œuvre à faire ». Ce seraient elles qui négocieraient le passage entre l</w:t>
      </w:r>
      <w:r w:rsidR="008841F6">
        <w:t>’</w:t>
      </w:r>
      <w:r w:rsidRPr="00DA2896">
        <w:t xml:space="preserve">existence </w:t>
      </w:r>
      <w:r w:rsidR="008841F6">
        <w:t>« </w:t>
      </w:r>
      <w:r w:rsidRPr="00DA2896">
        <w:t>virtuelle</w:t>
      </w:r>
      <w:r w:rsidR="008841F6">
        <w:t> »</w:t>
      </w:r>
      <w:r w:rsidRPr="00DA2896">
        <w:t xml:space="preserve"> et l’existence </w:t>
      </w:r>
      <w:r w:rsidR="008841F6">
        <w:t>« </w:t>
      </w:r>
      <w:r w:rsidRPr="00DA2896">
        <w:t>concrète</w:t>
      </w:r>
      <w:r w:rsidR="008841F6">
        <w:t xml:space="preserve"> » </w:t>
      </w:r>
      <w:r w:rsidR="008841F6" w:rsidRPr="00DA2896">
        <w:t>(</w:t>
      </w:r>
      <w:r w:rsidR="008841F6" w:rsidRPr="008841F6">
        <w:t>Souriau</w:t>
      </w:r>
      <w:r w:rsidR="008841F6">
        <w:rPr>
          <w:i/>
        </w:rPr>
        <w:t xml:space="preserve"> </w:t>
      </w:r>
      <w:r w:rsidR="008841F6">
        <w:t xml:space="preserve">2009 [1956] : </w:t>
      </w:r>
      <w:r w:rsidR="008841F6" w:rsidRPr="00DA2896">
        <w:t>200)</w:t>
      </w:r>
      <w:r w:rsidRPr="00DA2896">
        <w:t>. </w:t>
      </w:r>
    </w:p>
    <w:p w:rsidR="006B32D3" w:rsidRPr="00DA2896" w:rsidRDefault="006B32D3" w:rsidP="006B32D3">
      <w:pPr>
        <w:ind w:firstLine="284"/>
        <w:jc w:val="both"/>
      </w:pPr>
    </w:p>
    <w:p w:rsidR="00C02B47" w:rsidRDefault="00110A69" w:rsidP="00C02B47">
      <w:pPr>
        <w:ind w:firstLine="284"/>
        <w:jc w:val="both"/>
      </w:pPr>
      <w:r>
        <w:t xml:space="preserve">Essayons de conclure. </w:t>
      </w:r>
      <w:r w:rsidR="00C02B47">
        <w:t>L’hypothèse de la fécondité d’un regard croisé sur les (proto</w:t>
      </w:r>
      <w:r w:rsidR="00C333C0">
        <w:t>- )</w:t>
      </w:r>
      <w:r w:rsidR="00C02B47">
        <w:t xml:space="preserve">modalités </w:t>
      </w:r>
      <w:r w:rsidR="00DA75FE">
        <w:t>en sémiotique</w:t>
      </w:r>
      <w:r w:rsidR="00C02B47">
        <w:t xml:space="preserve"> et </w:t>
      </w:r>
      <w:r>
        <w:t xml:space="preserve">sur </w:t>
      </w:r>
      <w:r w:rsidR="00C02B47">
        <w:t xml:space="preserve">la « grammaire de l’existence » a-t-elle été validée ? </w:t>
      </w:r>
      <w:r>
        <w:t>C</w:t>
      </w:r>
      <w:r w:rsidR="006B32D3" w:rsidRPr="00DA2896">
        <w:t>itons encore Souriau (</w:t>
      </w:r>
      <w:r w:rsidR="008841F6" w:rsidRPr="008841F6">
        <w:rPr>
          <w:i/>
        </w:rPr>
        <w:t>ibid</w:t>
      </w:r>
      <w:r w:rsidR="008841F6">
        <w:t xml:space="preserve">. : </w:t>
      </w:r>
      <w:r w:rsidR="006B32D3" w:rsidRPr="00DA2896">
        <w:t xml:space="preserve">196) : </w:t>
      </w:r>
    </w:p>
    <w:p w:rsidR="00C02B47" w:rsidRDefault="00C02B47" w:rsidP="00C02B47">
      <w:pPr>
        <w:ind w:firstLine="284"/>
        <w:jc w:val="both"/>
      </w:pPr>
    </w:p>
    <w:p w:rsidR="006B32D3" w:rsidRDefault="006B32D3" w:rsidP="00110A69">
      <w:pPr>
        <w:ind w:left="284"/>
        <w:jc w:val="both"/>
      </w:pPr>
      <w:r w:rsidRPr="00DA2896">
        <w:t xml:space="preserve">L’existence est-elle jamais un bien qu’on possède ? N’est-elle pas bien plutôt une prétention et un espoir ? […] De sorte qu’ici l’existence accomplie n’est pas seulement un espoir, elle répond aussi à un pouvoir. </w:t>
      </w:r>
    </w:p>
    <w:p w:rsidR="00FD500D" w:rsidRPr="00DA2896" w:rsidRDefault="00FD500D" w:rsidP="006B32D3">
      <w:pPr>
        <w:ind w:firstLine="284"/>
        <w:jc w:val="both"/>
      </w:pPr>
    </w:p>
    <w:p w:rsidR="00C02B47" w:rsidRDefault="006B32D3" w:rsidP="006B32D3">
      <w:pPr>
        <w:ind w:firstLine="284"/>
        <w:jc w:val="both"/>
      </w:pPr>
      <w:r w:rsidRPr="00DA2896">
        <w:t xml:space="preserve">Ce passage des </w:t>
      </w:r>
      <w:r w:rsidRPr="00DA2896">
        <w:rPr>
          <w:i/>
        </w:rPr>
        <w:t>Différents modes d’existence</w:t>
      </w:r>
      <w:r w:rsidRPr="00DA2896">
        <w:t xml:space="preserve"> </w:t>
      </w:r>
      <w:r w:rsidR="00C02B47">
        <w:t>semble autoriser un regard</w:t>
      </w:r>
      <w:r w:rsidRPr="00DA2896">
        <w:t> </w:t>
      </w:r>
      <w:r w:rsidR="00C02B47">
        <w:t xml:space="preserve">rapprochant </w:t>
      </w:r>
      <w:r w:rsidRPr="00DA2896">
        <w:t>les prépositions, conjonctions, articles, etc. et les modes d’expérience selon Greimas</w:t>
      </w:r>
      <w:r w:rsidR="00C02B47">
        <w:t xml:space="preserve"> et Fontanille</w:t>
      </w:r>
      <w:r w:rsidRPr="00DA2896">
        <w:t>, c’est-à-dire les altérations conjonctives et prépositionnelles et les modalisation</w:t>
      </w:r>
      <w:r w:rsidR="00DA75FE">
        <w:t>s</w:t>
      </w:r>
      <w:r w:rsidRPr="00DA2896">
        <w:t xml:space="preserve">. Et </w:t>
      </w:r>
      <w:r w:rsidR="00C02B47">
        <w:t>confirmer l’avantage, sur le plan scientifique,</w:t>
      </w:r>
      <w:r w:rsidRPr="00DA2896">
        <w:t xml:space="preserve"> de penser les premières à la lumière des secondes, et inversement. </w:t>
      </w:r>
    </w:p>
    <w:p w:rsidR="006B32D3" w:rsidRDefault="006B32D3" w:rsidP="00C02B47">
      <w:pPr>
        <w:ind w:firstLine="284"/>
        <w:jc w:val="both"/>
      </w:pPr>
      <w:r w:rsidRPr="00DA2896">
        <w:t>En même temps, selon Souriau, l’instauration, c’est d’abord un faire, le faire de la « métamorphose » : c’est dans l’expérience « intime, immédiate et directe » (</w:t>
      </w:r>
      <w:r w:rsidRPr="008841F6">
        <w:rPr>
          <w:i/>
        </w:rPr>
        <w:t>ibid.</w:t>
      </w:r>
      <w:r w:rsidR="008841F6">
        <w:t xml:space="preserve"> : </w:t>
      </w:r>
      <w:r w:rsidRPr="00DA2896">
        <w:t xml:space="preserve">202) du faire que l’ébauche est portée au stade de l’accomplissement. Dans ce cas, quel est le rôle qui </w:t>
      </w:r>
      <w:r w:rsidR="00110A69">
        <w:t>revient</w:t>
      </w:r>
      <w:r w:rsidRPr="00DA2896">
        <w:t xml:space="preserve"> au vouloir, au pouvoir, au devoir… ? </w:t>
      </w:r>
      <w:r w:rsidR="00C02B47">
        <w:t xml:space="preserve">Il leur incombe déjà la tâche de la médiation sans laquelle, disent les sémioticiens, il ne saurait y avoir de sens. Ceci, alors même que le faire selon Souriau y échapperait. Ensuite, l’on peut sans doute imaginer un continuum entre les altérations (proto-)modales du sens et </w:t>
      </w:r>
      <w:r w:rsidR="00A33E1B">
        <w:t>les</w:t>
      </w:r>
      <w:r w:rsidRPr="00DA2896">
        <w:t xml:space="preserve"> transformations. L’altération est inhérente à la production énonciative :</w:t>
      </w:r>
    </w:p>
    <w:p w:rsidR="00FD500D" w:rsidRPr="00DA2896" w:rsidRDefault="00FD500D" w:rsidP="006B32D3">
      <w:pPr>
        <w:ind w:firstLine="284"/>
        <w:jc w:val="both"/>
      </w:pPr>
    </w:p>
    <w:p w:rsidR="006B32D3" w:rsidRDefault="006B32D3" w:rsidP="00110A69">
      <w:pPr>
        <w:ind w:left="284"/>
        <w:jc w:val="both"/>
      </w:pPr>
      <w:r w:rsidRPr="00DA2896">
        <w:t xml:space="preserve">[…] le sens ne peut être saisi qu’en transformation, en traduction, en transposition, en interaction, en </w:t>
      </w:r>
      <w:r w:rsidRPr="00DA2896">
        <w:rPr>
          <w:i/>
        </w:rPr>
        <w:t>altération</w:t>
      </w:r>
      <w:r w:rsidRPr="00DA2896">
        <w:t xml:space="preserve">. Altération, c’est-à-dire production de l’autre. Peu importe ici la nature exacte de l’opération, qui réactiverait les divergences : quelque chose passe à </w:t>
      </w:r>
      <w:r w:rsidRPr="00DA2896">
        <w:rPr>
          <w:i/>
        </w:rPr>
        <w:t>autre chose</w:t>
      </w:r>
      <w:r w:rsidRPr="00DA2896">
        <w:t xml:space="preserve">, et c’est dans ce passage et cette </w:t>
      </w:r>
      <w:r w:rsidRPr="00DA2896">
        <w:rPr>
          <w:i/>
        </w:rPr>
        <w:t>altération</w:t>
      </w:r>
      <w:r w:rsidRPr="00DA2896">
        <w:t xml:space="preserve"> que du sens peut être saisi et construit (Fontanille 2017</w:t>
      </w:r>
      <w:r w:rsidR="008841F6">
        <w:t xml:space="preserve"> : </w:t>
      </w:r>
      <w:r w:rsidRPr="00DA2896">
        <w:t xml:space="preserve">54). </w:t>
      </w:r>
    </w:p>
    <w:p w:rsidR="00FD500D" w:rsidRPr="00DA2896" w:rsidRDefault="00FD500D" w:rsidP="006B32D3">
      <w:pPr>
        <w:ind w:firstLine="284"/>
        <w:jc w:val="both"/>
      </w:pPr>
    </w:p>
    <w:p w:rsidR="00C02B47" w:rsidRDefault="008841F6" w:rsidP="006B32D3">
      <w:pPr>
        <w:ind w:firstLine="284"/>
        <w:jc w:val="both"/>
      </w:pPr>
      <w:r>
        <w:t xml:space="preserve">Une altération qui comprend sa part de risque. </w:t>
      </w:r>
      <w:r w:rsidR="00C02B47">
        <w:t>Enfin, nous avons cherché à</w:t>
      </w:r>
      <w:r w:rsidR="006B32D3" w:rsidRPr="00DA2896">
        <w:t xml:space="preserve"> distinguer le faire d’un sujet cognitif des investissements d’une instance sensible qui, avant de devenir une instance pourvue d’un bagage modal, est une instance questionnante, mue par un devoir, un vouloir et un pouvoir primaires. </w:t>
      </w:r>
    </w:p>
    <w:p w:rsidR="006B32D3" w:rsidRPr="00DA2896" w:rsidRDefault="00C02B47" w:rsidP="00C02B47">
      <w:pPr>
        <w:ind w:firstLine="284"/>
        <w:jc w:val="both"/>
      </w:pPr>
      <w:r>
        <w:t>Au terme de ces investigations, la centralité de la notion de modalité dans l’œuvre de Jacques Fontanille, son rôle moteur dans</w:t>
      </w:r>
      <w:r w:rsidRPr="00DA2896">
        <w:t xml:space="preserve"> les développements négoci</w:t>
      </w:r>
      <w:r>
        <w:t>a</w:t>
      </w:r>
      <w:r w:rsidRPr="00DA2896">
        <w:t xml:space="preserve">nt le passage de la sémiotique greimassienne </w:t>
      </w:r>
      <w:r>
        <w:t>à des</w:t>
      </w:r>
      <w:r w:rsidRPr="00DA2896">
        <w:t xml:space="preserve"> volets de la sémiotique post-greimassienne</w:t>
      </w:r>
      <w:r w:rsidR="008841F6">
        <w:t xml:space="preserve">, </w:t>
      </w:r>
      <w:r>
        <w:t>se trouve confirmé</w:t>
      </w:r>
      <w:r w:rsidR="008841F6">
        <w:t>e</w:t>
      </w:r>
      <w:r>
        <w:t xml:space="preserve">, surtout </w:t>
      </w:r>
      <w:r w:rsidRPr="00DA2896">
        <w:t xml:space="preserve">si </w:t>
      </w:r>
      <w:r>
        <w:lastRenderedPageBreak/>
        <w:t xml:space="preserve">la notion </w:t>
      </w:r>
      <w:r w:rsidRPr="00DA2896">
        <w:t>se conjugue avec celles de l’altération et de la production d’une pluralité de « mondes » (Fontanille &amp; Couégnas 2018</w:t>
      </w:r>
      <w:r w:rsidR="008841F6">
        <w:t xml:space="preserve"> : </w:t>
      </w:r>
      <w:r w:rsidRPr="00DA2896">
        <w:t>68).</w:t>
      </w:r>
      <w:r w:rsidR="006B32D3" w:rsidRPr="00DA2896">
        <w:t xml:space="preserve"> </w:t>
      </w:r>
      <w:r>
        <w:t xml:space="preserve">Non seulement </w:t>
      </w:r>
      <w:r w:rsidRPr="00DA2896">
        <w:t>contribue</w:t>
      </w:r>
      <w:r>
        <w:t>-t-elle</w:t>
      </w:r>
      <w:r w:rsidRPr="00DA2896">
        <w:t xml:space="preserve"> à jeter les bases sensibles de l’édifice du sens</w:t>
      </w:r>
      <w:r>
        <w:t xml:space="preserve">, surtout si elle accepte </w:t>
      </w:r>
      <w:r w:rsidR="00DA75FE">
        <w:t xml:space="preserve">la </w:t>
      </w:r>
      <w:r>
        <w:t>modélisation proto-modale</w:t>
      </w:r>
      <w:r w:rsidR="00DA75FE">
        <w:t xml:space="preserve"> dont nous avons cherché à rendre compte</w:t>
      </w:r>
      <w:r>
        <w:t xml:space="preserve">, mais encore elle </w:t>
      </w:r>
      <w:r w:rsidR="008841F6">
        <w:t>conduit à</w:t>
      </w:r>
      <w:r>
        <w:t xml:space="preserve"> </w:t>
      </w:r>
      <w:r w:rsidR="00B50F92">
        <w:t>préciser</w:t>
      </w:r>
      <w:r>
        <w:t xml:space="preserve"> les </w:t>
      </w:r>
      <w:r w:rsidR="008841F6">
        <w:t>fondements</w:t>
      </w:r>
      <w:r>
        <w:t xml:space="preserve"> épistémologiques de </w:t>
      </w:r>
      <w:r w:rsidR="001E0AE5">
        <w:t xml:space="preserve">la </w:t>
      </w:r>
      <w:r>
        <w:t>sémiotique</w:t>
      </w:r>
      <w:r w:rsidR="008841F6">
        <w:t xml:space="preserve">. </w:t>
      </w:r>
      <w:r>
        <w:t xml:space="preserve"> </w:t>
      </w:r>
      <w:r w:rsidR="006B32D3" w:rsidRPr="00DA2896">
        <w:t xml:space="preserve">Ceci en donnant la possibilité de concevoir des alternatives théoriques par rapport à </w:t>
      </w:r>
      <w:r w:rsidR="008841F6">
        <w:t>une « pensée référentielle »,</w:t>
      </w:r>
      <w:r w:rsidR="00C333C0">
        <w:t xml:space="preserve"> </w:t>
      </w:r>
      <w:r w:rsidR="008841F6">
        <w:t xml:space="preserve">mais aussi par rapport à </w:t>
      </w:r>
      <w:r w:rsidR="006B32D3" w:rsidRPr="00DA2896">
        <w:t>une phénoménologie mettant l’accent sur l</w:t>
      </w:r>
      <w:r w:rsidR="00C34F0A">
        <w:t>e</w:t>
      </w:r>
      <w:r w:rsidR="006B32D3" w:rsidRPr="00DA2896">
        <w:t xml:space="preserve"> « </w:t>
      </w:r>
      <w:r w:rsidR="00C34F0A">
        <w:t xml:space="preserve">monde </w:t>
      </w:r>
      <w:r w:rsidR="006B32D3" w:rsidRPr="00DA2896">
        <w:t xml:space="preserve">» sensible approché par un sujet </w:t>
      </w:r>
      <w:r w:rsidR="00C34F0A">
        <w:t xml:space="preserve">percevant et </w:t>
      </w:r>
      <w:r w:rsidR="006B32D3" w:rsidRPr="00DA2896">
        <w:t>connaissant</w:t>
      </w:r>
      <w:r w:rsidR="008841F6">
        <w:t xml:space="preserve">. </w:t>
      </w:r>
      <w:r w:rsidR="006B32D3" w:rsidRPr="00DA2896">
        <w:t xml:space="preserve">Plus exactement, en invitant à les faire dialoguer </w:t>
      </w:r>
      <w:r w:rsidR="008841F6">
        <w:t>ensemble</w:t>
      </w:r>
      <w:r w:rsidR="006B32D3" w:rsidRPr="00DA2896">
        <w:t xml:space="preserve">. </w:t>
      </w:r>
      <w:r>
        <w:t xml:space="preserve">Et de ce point de vue encore, l’action de Jacques Fontanille est exemplaire. </w:t>
      </w:r>
    </w:p>
    <w:p w:rsidR="006B32D3" w:rsidRPr="00DA2896" w:rsidRDefault="006B32D3" w:rsidP="006B32D3">
      <w:pPr>
        <w:ind w:firstLine="284"/>
        <w:jc w:val="both"/>
      </w:pPr>
    </w:p>
    <w:p w:rsidR="006B32D3" w:rsidRDefault="006B32D3" w:rsidP="00FD500D">
      <w:pPr>
        <w:jc w:val="both"/>
      </w:pPr>
      <w:r w:rsidRPr="00DA2896">
        <w:t>Bibliographie</w:t>
      </w:r>
    </w:p>
    <w:p w:rsidR="00C8723B" w:rsidRDefault="00C8723B" w:rsidP="00FD500D">
      <w:pPr>
        <w:jc w:val="both"/>
      </w:pPr>
    </w:p>
    <w:p w:rsidR="008841F6" w:rsidRPr="008841F6" w:rsidRDefault="008841F6" w:rsidP="008841F6">
      <w:pPr>
        <w:jc w:val="both"/>
        <w:rPr>
          <w:i/>
        </w:rPr>
      </w:pPr>
      <w:r w:rsidRPr="008841F6">
        <w:t>BARONI Raphaël</w:t>
      </w:r>
      <w:r>
        <w:t xml:space="preserve">, </w:t>
      </w:r>
      <w:r w:rsidRPr="008841F6">
        <w:t xml:space="preserve">2010/3, « Ce que l’intrigue ajoute au temps. Une relecture critique de </w:t>
      </w:r>
      <w:r w:rsidRPr="008841F6">
        <w:rPr>
          <w:i/>
        </w:rPr>
        <w:t>Temps et récit</w:t>
      </w:r>
      <w:r w:rsidRPr="008841F6">
        <w:t xml:space="preserve"> de Paul Ricoeur »</w:t>
      </w:r>
      <w:r>
        <w:t>,</w:t>
      </w:r>
      <w:r w:rsidRPr="008841F6">
        <w:t xml:space="preserve"> </w:t>
      </w:r>
      <w:r w:rsidRPr="008841F6">
        <w:rPr>
          <w:i/>
        </w:rPr>
        <w:t>Poétique</w:t>
      </w:r>
      <w:r>
        <w:t>, n</w:t>
      </w:r>
      <w:r w:rsidRPr="008841F6">
        <w:rPr>
          <w:vertAlign w:val="superscript"/>
        </w:rPr>
        <w:t>o</w:t>
      </w:r>
      <w:r>
        <w:t xml:space="preserve"> </w:t>
      </w:r>
      <w:r w:rsidRPr="008841F6">
        <w:t>163, p. 361-382.</w:t>
      </w:r>
    </w:p>
    <w:p w:rsidR="006B32D3" w:rsidRPr="008841F6" w:rsidRDefault="006B32D3" w:rsidP="008841F6">
      <w:pPr>
        <w:jc w:val="both"/>
      </w:pPr>
      <w:r w:rsidRPr="008841F6">
        <w:t xml:space="preserve">BERTRAND Denis, 2005, « Deixis et opérations énonciatives », </w:t>
      </w:r>
      <w:r w:rsidRPr="008841F6">
        <w:rPr>
          <w:i/>
        </w:rPr>
        <w:t>in</w:t>
      </w:r>
      <w:r w:rsidRPr="008841F6">
        <w:rPr>
          <w:i/>
          <w:iCs/>
        </w:rPr>
        <w:t xml:space="preserve"> </w:t>
      </w:r>
      <w:r w:rsidRPr="008841F6">
        <w:t xml:space="preserve">D. Monticelli, R. Pajusalu, A. Treikelder (dirs), « De l’énoncé à l’énonciation et vice versa. Regards multidisciplinaires sur la deixis », </w:t>
      </w:r>
      <w:r w:rsidRPr="008841F6">
        <w:rPr>
          <w:i/>
          <w:iCs/>
        </w:rPr>
        <w:t>Studia Romanica Tartuensia</w:t>
      </w:r>
      <w:r w:rsidRPr="008841F6">
        <w:t xml:space="preserve">, IVa, Tartu University Press, p. 171-185. </w:t>
      </w:r>
    </w:p>
    <w:p w:rsidR="006B32D3" w:rsidRPr="008841F6" w:rsidRDefault="006B32D3" w:rsidP="008841F6">
      <w:pPr>
        <w:jc w:val="both"/>
        <w:rPr>
          <w:color w:val="000000" w:themeColor="text1"/>
        </w:rPr>
      </w:pPr>
      <w:r w:rsidRPr="008841F6">
        <w:rPr>
          <w:color w:val="000000" w:themeColor="text1"/>
        </w:rPr>
        <w:t xml:space="preserve">BORDRON Jean-François, 2011, </w:t>
      </w:r>
      <w:r w:rsidRPr="008841F6">
        <w:rPr>
          <w:i/>
          <w:color w:val="000000" w:themeColor="text1"/>
        </w:rPr>
        <w:t>L’iconicité et ses images</w:t>
      </w:r>
      <w:r w:rsidRPr="008841F6">
        <w:rPr>
          <w:color w:val="000000" w:themeColor="text1"/>
        </w:rPr>
        <w:t xml:space="preserve">, Paris, PUF. </w:t>
      </w:r>
    </w:p>
    <w:p w:rsidR="006B32D3" w:rsidRPr="008841F6" w:rsidRDefault="006B32D3" w:rsidP="008841F6">
      <w:pPr>
        <w:jc w:val="both"/>
        <w:rPr>
          <w:color w:val="000000" w:themeColor="text1"/>
        </w:rPr>
      </w:pPr>
      <w:r w:rsidRPr="008841F6">
        <w:t>BORDRON</w:t>
      </w:r>
      <w:r w:rsidRPr="008841F6">
        <w:rPr>
          <w:color w:val="000000" w:themeColor="text1"/>
        </w:rPr>
        <w:t xml:space="preserve"> Jean-François, 2012, « Vie(s) et diathèses », </w:t>
      </w:r>
      <w:r w:rsidRPr="008841F6">
        <w:rPr>
          <w:i/>
          <w:color w:val="000000" w:themeColor="text1"/>
        </w:rPr>
        <w:t>Actes Sémiotiques</w:t>
      </w:r>
      <w:r w:rsidRPr="008841F6">
        <w:rPr>
          <w:color w:val="000000" w:themeColor="text1"/>
        </w:rPr>
        <w:t>, n</w:t>
      </w:r>
      <w:r w:rsidRPr="008841F6">
        <w:rPr>
          <w:color w:val="000000" w:themeColor="text1"/>
          <w:vertAlign w:val="superscript"/>
        </w:rPr>
        <w:t>o</w:t>
      </w:r>
      <w:r w:rsidRPr="008841F6">
        <w:rPr>
          <w:color w:val="000000" w:themeColor="text1"/>
        </w:rPr>
        <w:t xml:space="preserve"> 115. En lig</w:t>
      </w:r>
      <w:r w:rsidR="008841F6" w:rsidRPr="008841F6">
        <w:rPr>
          <w:color w:val="000000" w:themeColor="text1"/>
        </w:rPr>
        <w:t>n</w:t>
      </w:r>
      <w:r w:rsidRPr="008841F6">
        <w:rPr>
          <w:color w:val="000000" w:themeColor="text1"/>
        </w:rPr>
        <w:t>e.</w:t>
      </w:r>
    </w:p>
    <w:p w:rsidR="008841F6" w:rsidRPr="008841F6" w:rsidRDefault="008841F6" w:rsidP="008841F6">
      <w:pPr>
        <w:widowControl w:val="0"/>
        <w:autoSpaceDE w:val="0"/>
        <w:autoSpaceDN w:val="0"/>
        <w:adjustRightInd w:val="0"/>
        <w:jc w:val="both"/>
        <w:rPr>
          <w:i/>
          <w:iCs/>
        </w:rPr>
      </w:pPr>
      <w:r w:rsidRPr="008841F6">
        <w:rPr>
          <w:smallCaps/>
        </w:rPr>
        <w:t>CARR,</w:t>
      </w:r>
      <w:r w:rsidRPr="008841F6">
        <w:t xml:space="preserve"> D</w:t>
      </w:r>
      <w:r>
        <w:t>avid</w:t>
      </w:r>
      <w:r w:rsidRPr="008841F6">
        <w:t xml:space="preserve">, </w:t>
      </w:r>
      <w:r w:rsidRPr="008841F6">
        <w:rPr>
          <w:smallCaps/>
        </w:rPr>
        <w:t>TAYLOR,</w:t>
      </w:r>
      <w:r w:rsidRPr="008841F6">
        <w:t xml:space="preserve"> C</w:t>
      </w:r>
      <w:r>
        <w:t>harles</w:t>
      </w:r>
      <w:r w:rsidRPr="008841F6">
        <w:t xml:space="preserve"> &amp; </w:t>
      </w:r>
      <w:r w:rsidRPr="008841F6">
        <w:rPr>
          <w:smallCaps/>
        </w:rPr>
        <w:t>RIC</w:t>
      </w:r>
      <w:r w:rsidRPr="008841F6">
        <w:rPr>
          <w:bCs/>
          <w:iCs/>
          <w:smallCaps/>
        </w:rPr>
        <w:t>Œ</w:t>
      </w:r>
      <w:r w:rsidRPr="008841F6">
        <w:rPr>
          <w:smallCaps/>
        </w:rPr>
        <w:t xml:space="preserve">UR </w:t>
      </w:r>
      <w:r w:rsidRPr="008841F6">
        <w:t>Paul, 1985</w:t>
      </w:r>
      <w:r>
        <w:t xml:space="preserve">, </w:t>
      </w:r>
      <w:r w:rsidRPr="008841F6">
        <w:t xml:space="preserve">« Table ronde. </w:t>
      </w:r>
      <w:r w:rsidRPr="008841F6">
        <w:rPr>
          <w:i/>
        </w:rPr>
        <w:t>Temps et récit</w:t>
      </w:r>
      <w:r w:rsidRPr="008841F6">
        <w:t>, vol.1 »</w:t>
      </w:r>
      <w:r>
        <w:t>,</w:t>
      </w:r>
      <w:r w:rsidRPr="008841F6">
        <w:t xml:space="preserve"> </w:t>
      </w:r>
      <w:r w:rsidRPr="008841F6">
        <w:rPr>
          <w:i/>
        </w:rPr>
        <w:t>Revue de l’Université</w:t>
      </w:r>
      <w:r w:rsidRPr="008841F6">
        <w:t xml:space="preserve"> </w:t>
      </w:r>
      <w:r w:rsidRPr="008841F6">
        <w:rPr>
          <w:i/>
        </w:rPr>
        <w:t>d’Ottawa</w:t>
      </w:r>
      <w:r>
        <w:t>, n</w:t>
      </w:r>
      <w:r w:rsidRPr="008841F6">
        <w:rPr>
          <w:vertAlign w:val="superscript"/>
        </w:rPr>
        <w:t>o</w:t>
      </w:r>
      <w:r w:rsidRPr="008841F6">
        <w:t xml:space="preserve"> 55 (4), p. 301-322. </w:t>
      </w:r>
    </w:p>
    <w:p w:rsidR="008841F6" w:rsidRPr="008841F6" w:rsidRDefault="008841F6" w:rsidP="008841F6">
      <w:pPr>
        <w:pStyle w:val="NormalWeb"/>
        <w:spacing w:before="0" w:beforeAutospacing="0" w:after="0" w:afterAutospacing="0"/>
        <w:jc w:val="both"/>
        <w:rPr>
          <w:rFonts w:ascii="Times New Roman" w:eastAsia="Times New Roman" w:hAnsi="Times New Roman"/>
          <w:sz w:val="24"/>
          <w:szCs w:val="24"/>
        </w:rPr>
      </w:pPr>
      <w:r w:rsidRPr="008841F6">
        <w:rPr>
          <w:rFonts w:ascii="Times New Roman" w:hAnsi="Times New Roman"/>
          <w:color w:val="000000" w:themeColor="text1"/>
          <w:sz w:val="24"/>
          <w:szCs w:val="24"/>
        </w:rPr>
        <w:t xml:space="preserve">COLAS-BLAISE  Marion, 2012, </w:t>
      </w:r>
      <w:r w:rsidRPr="008841F6">
        <w:rPr>
          <w:rFonts w:ascii="Times New Roman" w:eastAsia="Times New Roman" w:hAnsi="Times New Roman"/>
          <w:sz w:val="24"/>
          <w:szCs w:val="24"/>
        </w:rPr>
        <w:t> « Forme de vie et formes de vie », </w:t>
      </w:r>
      <w:r w:rsidRPr="008841F6">
        <w:rPr>
          <w:rFonts w:ascii="Times New Roman" w:eastAsia="Times New Roman" w:hAnsi="Times New Roman"/>
          <w:i/>
          <w:iCs/>
          <w:sz w:val="24"/>
          <w:szCs w:val="24"/>
        </w:rPr>
        <w:t>Actes Sémiotiques</w:t>
      </w:r>
      <w:r w:rsidRPr="008841F6">
        <w:rPr>
          <w:rFonts w:ascii="Times New Roman" w:eastAsia="Times New Roman" w:hAnsi="Times New Roman"/>
          <w:sz w:val="24"/>
          <w:szCs w:val="24"/>
        </w:rPr>
        <w:t>, n</w:t>
      </w:r>
      <w:r w:rsidRPr="008841F6">
        <w:rPr>
          <w:rFonts w:ascii="Times New Roman" w:eastAsia="Times New Roman" w:hAnsi="Times New Roman"/>
          <w:sz w:val="24"/>
          <w:szCs w:val="24"/>
          <w:vertAlign w:val="superscript"/>
        </w:rPr>
        <w:t>o</w:t>
      </w:r>
      <w:r w:rsidRPr="008841F6">
        <w:rPr>
          <w:rFonts w:ascii="Times New Roman" w:eastAsia="Times New Roman" w:hAnsi="Times New Roman"/>
          <w:sz w:val="24"/>
          <w:szCs w:val="24"/>
        </w:rPr>
        <w:t xml:space="preserve"> 115, En ligne</w:t>
      </w:r>
      <w:r w:rsidR="00DA75FE">
        <w:rPr>
          <w:rFonts w:ascii="Times New Roman" w:eastAsia="Times New Roman" w:hAnsi="Times New Roman"/>
          <w:sz w:val="24"/>
          <w:szCs w:val="24"/>
        </w:rPr>
        <w:t>.</w:t>
      </w:r>
      <w:r w:rsidRPr="008841F6">
        <w:rPr>
          <w:rFonts w:ascii="Times New Roman" w:eastAsia="Times New Roman" w:hAnsi="Times New Roman"/>
          <w:sz w:val="24"/>
          <w:szCs w:val="24"/>
        </w:rPr>
        <w:t xml:space="preserve"> </w:t>
      </w:r>
    </w:p>
    <w:p w:rsidR="006B32D3" w:rsidRPr="0039731E" w:rsidRDefault="006B32D3" w:rsidP="0039731E">
      <w:pPr>
        <w:jc w:val="both"/>
        <w:rPr>
          <w:color w:val="000000" w:themeColor="text1"/>
        </w:rPr>
      </w:pPr>
      <w:r w:rsidRPr="0039731E">
        <w:rPr>
          <w:color w:val="000000" w:themeColor="text1"/>
        </w:rPr>
        <w:t xml:space="preserve">COLAS-BLAISE Marion, 2019, « Subjetividad, subjetalidad y subjetivación : el devenir (del) sujeto », « Del sujeto y la subjetividad », II, </w:t>
      </w:r>
      <w:r w:rsidRPr="0039731E">
        <w:rPr>
          <w:i/>
          <w:color w:val="000000" w:themeColor="text1"/>
        </w:rPr>
        <w:t>Tópicos del Seminario</w:t>
      </w:r>
      <w:r w:rsidRPr="0039731E">
        <w:rPr>
          <w:color w:val="000000" w:themeColor="text1"/>
        </w:rPr>
        <w:t>, 21, n</w:t>
      </w:r>
      <w:r w:rsidRPr="0039731E">
        <w:rPr>
          <w:color w:val="000000" w:themeColor="text1"/>
          <w:vertAlign w:val="superscript"/>
        </w:rPr>
        <w:t>o</w:t>
      </w:r>
      <w:r w:rsidRPr="0039731E">
        <w:rPr>
          <w:color w:val="000000" w:themeColor="text1"/>
        </w:rPr>
        <w:t xml:space="preserve"> 41, p. 57-77. </w:t>
      </w:r>
    </w:p>
    <w:p w:rsidR="0039731E" w:rsidRPr="0039731E" w:rsidRDefault="006B32D3" w:rsidP="0039731E">
      <w:pPr>
        <w:jc w:val="both"/>
        <w:rPr>
          <w:color w:val="263033"/>
        </w:rPr>
      </w:pPr>
      <w:r w:rsidRPr="0039731E">
        <w:t xml:space="preserve">DÉTRIE Catherine, </w:t>
      </w:r>
      <w:r w:rsidR="00110A69">
        <w:t xml:space="preserve">VERINE, Bertrand, </w:t>
      </w:r>
      <w:r w:rsidR="0039731E" w:rsidRPr="0039731E">
        <w:rPr>
          <w:color w:val="263033"/>
        </w:rPr>
        <w:t xml:space="preserve">2011, « Egogenèse et textualisation : l’apport de Jeanne-Marie Barbéris », </w:t>
      </w:r>
      <w:r w:rsidR="0039731E" w:rsidRPr="0039731E">
        <w:rPr>
          <w:i/>
          <w:color w:val="263033"/>
        </w:rPr>
        <w:t>in</w:t>
      </w:r>
      <w:r w:rsidR="0039731E" w:rsidRPr="0039731E">
        <w:rPr>
          <w:rStyle w:val="apple-converted-space"/>
          <w:color w:val="263033"/>
        </w:rPr>
        <w:t> B. Verine, C. Détrie</w:t>
      </w:r>
      <w:r w:rsidR="0039731E">
        <w:rPr>
          <w:rStyle w:val="apple-converted-space"/>
          <w:color w:val="263033"/>
        </w:rPr>
        <w:t xml:space="preserve"> </w:t>
      </w:r>
      <w:r w:rsidR="0039731E" w:rsidRPr="0039731E">
        <w:rPr>
          <w:rStyle w:val="apple-converted-space"/>
          <w:color w:val="263033"/>
        </w:rPr>
        <w:t xml:space="preserve">(dirs), </w:t>
      </w:r>
      <w:r w:rsidR="0039731E" w:rsidRPr="0039731E">
        <w:rPr>
          <w:i/>
          <w:iCs/>
          <w:color w:val="263033"/>
        </w:rPr>
        <w:t>L’Actualisation de l’intersubjectivité : de la langue au discours</w:t>
      </w:r>
      <w:r w:rsidR="0039731E" w:rsidRPr="0039731E">
        <w:rPr>
          <w:color w:val="263033"/>
        </w:rPr>
        <w:t>, Limoges, Lambert Lucas, p. 7-15.</w:t>
      </w:r>
    </w:p>
    <w:p w:rsidR="001E0AE5" w:rsidRPr="0039731E" w:rsidRDefault="001E0AE5" w:rsidP="001E0AE5">
      <w:pPr>
        <w:jc w:val="both"/>
      </w:pPr>
      <w:r w:rsidRPr="0039731E">
        <w:t>FONTANILLE Jacques, 1995</w:t>
      </w:r>
      <w:r>
        <w:t>a</w:t>
      </w:r>
      <w:r w:rsidRPr="0039731E">
        <w:t xml:space="preserve">, </w:t>
      </w:r>
      <w:r w:rsidRPr="0039731E">
        <w:rPr>
          <w:i/>
        </w:rPr>
        <w:t>Sémiotique du visible. Des mondes de lumière</w:t>
      </w:r>
      <w:r w:rsidRPr="0039731E">
        <w:t xml:space="preserve">, Paris, PUF.  </w:t>
      </w:r>
    </w:p>
    <w:p w:rsidR="006B32D3" w:rsidRPr="0039731E" w:rsidRDefault="006B32D3" w:rsidP="0039731E">
      <w:pPr>
        <w:pStyle w:val="NormalWeb"/>
        <w:spacing w:before="0" w:beforeAutospacing="0" w:after="0" w:afterAutospacing="0"/>
        <w:jc w:val="both"/>
        <w:rPr>
          <w:rFonts w:ascii="Times New Roman" w:eastAsia="Times New Roman" w:hAnsi="Times New Roman"/>
          <w:color w:val="000000" w:themeColor="text1"/>
          <w:sz w:val="24"/>
          <w:szCs w:val="24"/>
        </w:rPr>
      </w:pPr>
      <w:r w:rsidRPr="0039731E">
        <w:rPr>
          <w:rFonts w:ascii="Times New Roman" w:eastAsia="Times New Roman" w:hAnsi="Times New Roman"/>
          <w:sz w:val="24"/>
          <w:szCs w:val="24"/>
        </w:rPr>
        <w:t>FONTANILLE Jacques, 1995</w:t>
      </w:r>
      <w:r w:rsidR="001E0AE5">
        <w:rPr>
          <w:rFonts w:ascii="Times New Roman" w:eastAsia="Times New Roman" w:hAnsi="Times New Roman"/>
          <w:sz w:val="24"/>
          <w:szCs w:val="24"/>
        </w:rPr>
        <w:t>b</w:t>
      </w:r>
      <w:r w:rsidRPr="0039731E">
        <w:rPr>
          <w:rFonts w:ascii="Times New Roman" w:eastAsia="Times New Roman" w:hAnsi="Times New Roman"/>
          <w:sz w:val="24"/>
          <w:szCs w:val="24"/>
        </w:rPr>
        <w:t xml:space="preserve">, « Le </w:t>
      </w:r>
      <w:r w:rsidRPr="0039731E">
        <w:rPr>
          <w:rFonts w:ascii="Times New Roman" w:eastAsia="Times New Roman" w:hAnsi="Times New Roman"/>
          <w:i/>
          <w:sz w:val="24"/>
          <w:szCs w:val="24"/>
        </w:rPr>
        <w:t>tournant modal</w:t>
      </w:r>
      <w:r w:rsidRPr="0039731E">
        <w:rPr>
          <w:rFonts w:ascii="Times New Roman" w:eastAsia="Times New Roman" w:hAnsi="Times New Roman"/>
          <w:sz w:val="24"/>
          <w:szCs w:val="24"/>
        </w:rPr>
        <w:t> en sémiotique »</w:t>
      </w:r>
      <w:r w:rsidRPr="0039731E">
        <w:rPr>
          <w:rFonts w:ascii="Times New Roman" w:eastAsia="Times New Roman" w:hAnsi="Times New Roman"/>
          <w:color w:val="000000" w:themeColor="text1"/>
          <w:sz w:val="24"/>
          <w:szCs w:val="24"/>
        </w:rPr>
        <w:t xml:space="preserve">, </w:t>
      </w:r>
      <w:r w:rsidRPr="0039731E">
        <w:rPr>
          <w:rFonts w:ascii="Times New Roman" w:eastAsia="Times New Roman" w:hAnsi="Times New Roman"/>
          <w:i/>
          <w:color w:val="000000" w:themeColor="text1"/>
          <w:sz w:val="24"/>
          <w:szCs w:val="24"/>
        </w:rPr>
        <w:t>Organon. Revista de Instituto de Letras da UFRGS</w:t>
      </w:r>
      <w:r w:rsidRPr="0039731E">
        <w:rPr>
          <w:rFonts w:ascii="Times New Roman" w:eastAsia="Times New Roman" w:hAnsi="Times New Roman"/>
          <w:color w:val="000000" w:themeColor="text1"/>
          <w:sz w:val="24"/>
          <w:szCs w:val="24"/>
        </w:rPr>
        <w:t>, Universidade Federal do Rio Grande do Sul, n</w:t>
      </w:r>
      <w:r w:rsidRPr="0039731E">
        <w:rPr>
          <w:rFonts w:ascii="Times New Roman" w:eastAsia="Times New Roman" w:hAnsi="Times New Roman"/>
          <w:color w:val="000000" w:themeColor="text1"/>
          <w:sz w:val="24"/>
          <w:szCs w:val="24"/>
          <w:vertAlign w:val="superscript"/>
        </w:rPr>
        <w:t>o</w:t>
      </w:r>
      <w:r w:rsidRPr="0039731E">
        <w:rPr>
          <w:rFonts w:ascii="Times New Roman" w:eastAsia="Times New Roman" w:hAnsi="Times New Roman"/>
          <w:color w:val="000000" w:themeColor="text1"/>
          <w:sz w:val="24"/>
          <w:szCs w:val="24"/>
        </w:rPr>
        <w:t xml:space="preserve"> 23, p. 177-193. </w:t>
      </w:r>
    </w:p>
    <w:p w:rsidR="006B32D3" w:rsidRPr="008841F6" w:rsidRDefault="006B32D3" w:rsidP="0039731E">
      <w:pPr>
        <w:pStyle w:val="NormalWeb"/>
        <w:spacing w:before="0" w:beforeAutospacing="0" w:after="0" w:afterAutospacing="0"/>
        <w:jc w:val="both"/>
        <w:rPr>
          <w:rFonts w:ascii="Times New Roman" w:eastAsia="Times New Roman" w:hAnsi="Times New Roman"/>
          <w:sz w:val="24"/>
          <w:szCs w:val="24"/>
        </w:rPr>
      </w:pPr>
      <w:r w:rsidRPr="0039731E">
        <w:rPr>
          <w:rFonts w:ascii="Times New Roman" w:eastAsia="Times New Roman" w:hAnsi="Times New Roman"/>
          <w:sz w:val="24"/>
          <w:szCs w:val="24"/>
        </w:rPr>
        <w:t>FONTANILLE Jacques, 2003a, « Paesaggio, esperienza ed esistenza, Per una semiotica del</w:t>
      </w:r>
      <w:r w:rsidRPr="008841F6">
        <w:rPr>
          <w:rFonts w:ascii="Times New Roman" w:eastAsia="Times New Roman" w:hAnsi="Times New Roman"/>
          <w:sz w:val="24"/>
          <w:szCs w:val="24"/>
        </w:rPr>
        <w:t xml:space="preserve"> mondo natural », </w:t>
      </w:r>
      <w:r w:rsidRPr="008841F6">
        <w:rPr>
          <w:rFonts w:ascii="Times New Roman" w:eastAsia="Times New Roman" w:hAnsi="Times New Roman"/>
          <w:i/>
          <w:sz w:val="24"/>
          <w:szCs w:val="24"/>
        </w:rPr>
        <w:t>in</w:t>
      </w:r>
      <w:r w:rsidRPr="008841F6">
        <w:rPr>
          <w:rFonts w:ascii="Times New Roman" w:eastAsia="Times New Roman" w:hAnsi="Times New Roman"/>
          <w:sz w:val="24"/>
          <w:szCs w:val="24"/>
        </w:rPr>
        <w:t xml:space="preserve"> G.P. Caprettini (dir.), </w:t>
      </w:r>
      <w:r w:rsidRPr="008841F6">
        <w:rPr>
          <w:rFonts w:ascii="Times New Roman" w:eastAsia="Times New Roman" w:hAnsi="Times New Roman"/>
          <w:i/>
          <w:iCs/>
          <w:sz w:val="24"/>
          <w:szCs w:val="24"/>
        </w:rPr>
        <w:t>Semiotiche</w:t>
      </w:r>
      <w:r w:rsidRPr="008841F6">
        <w:rPr>
          <w:rFonts w:ascii="Times New Roman" w:eastAsia="Times New Roman" w:hAnsi="Times New Roman"/>
          <w:sz w:val="24"/>
          <w:szCs w:val="24"/>
        </w:rPr>
        <w:t xml:space="preserve">, n°1/03, Turin, Anan ke. </w:t>
      </w:r>
    </w:p>
    <w:p w:rsidR="006B32D3" w:rsidRPr="008841F6" w:rsidRDefault="006B32D3" w:rsidP="008841F6">
      <w:pPr>
        <w:jc w:val="both"/>
      </w:pPr>
      <w:r w:rsidRPr="008841F6">
        <w:t xml:space="preserve">FONTANILLE Jacques, 2003b [1998], </w:t>
      </w:r>
      <w:r w:rsidRPr="008841F6">
        <w:rPr>
          <w:i/>
        </w:rPr>
        <w:t>Sémiotique du discours</w:t>
      </w:r>
      <w:r w:rsidRPr="008841F6">
        <w:t>, Limoges, Pulim.</w:t>
      </w:r>
    </w:p>
    <w:p w:rsidR="006B32D3" w:rsidRPr="008841F6" w:rsidRDefault="006B32D3" w:rsidP="008841F6">
      <w:pPr>
        <w:jc w:val="both"/>
      </w:pPr>
      <w:r w:rsidRPr="008841F6">
        <w:t xml:space="preserve">FONTANILLE Jacques, 2004, </w:t>
      </w:r>
      <w:r w:rsidRPr="008841F6">
        <w:rPr>
          <w:i/>
        </w:rPr>
        <w:t>Soma et séma. Figures du corps</w:t>
      </w:r>
      <w:r w:rsidRPr="008841F6">
        <w:t xml:space="preserve">, Paris, Maisonneuve et Larose. </w:t>
      </w:r>
    </w:p>
    <w:p w:rsidR="001E0AE5" w:rsidRPr="008841F6" w:rsidRDefault="001E0AE5" w:rsidP="001E0AE5">
      <w:pPr>
        <w:jc w:val="both"/>
      </w:pPr>
      <w:r w:rsidRPr="008841F6">
        <w:t xml:space="preserve">FONTANILLE Jacques, 2008, </w:t>
      </w:r>
      <w:r w:rsidRPr="008841F6">
        <w:rPr>
          <w:i/>
        </w:rPr>
        <w:t>Pratiques sémiotiques</w:t>
      </w:r>
      <w:r w:rsidRPr="008841F6">
        <w:t xml:space="preserve">, Paris, PUF. </w:t>
      </w:r>
    </w:p>
    <w:p w:rsidR="006B32D3" w:rsidRPr="008841F6" w:rsidRDefault="006B32D3" w:rsidP="008841F6">
      <w:pPr>
        <w:jc w:val="both"/>
      </w:pPr>
      <w:r w:rsidRPr="008841F6">
        <w:t xml:space="preserve">FONTANILLE Jacques, 2011, </w:t>
      </w:r>
      <w:r w:rsidRPr="008841F6">
        <w:rPr>
          <w:i/>
        </w:rPr>
        <w:t>Corps et sens</w:t>
      </w:r>
      <w:r w:rsidRPr="008841F6">
        <w:t xml:space="preserve">, Paris, PUF. </w:t>
      </w:r>
    </w:p>
    <w:p w:rsidR="006B32D3" w:rsidRPr="008841F6" w:rsidRDefault="006B32D3" w:rsidP="008841F6">
      <w:pPr>
        <w:jc w:val="both"/>
      </w:pPr>
      <w:r w:rsidRPr="008841F6">
        <w:t xml:space="preserve">FONTANILLE Jacques, 2014/2, « Les modes d’existence : Greimas et les ontologies sémiotiques », </w:t>
      </w:r>
      <w:r w:rsidRPr="008841F6">
        <w:rPr>
          <w:i/>
        </w:rPr>
        <w:t>Dilbilim Dergisi</w:t>
      </w:r>
      <w:r w:rsidRPr="008841F6">
        <w:t>, n</w:t>
      </w:r>
      <w:r w:rsidRPr="008841F6">
        <w:rPr>
          <w:vertAlign w:val="superscript"/>
        </w:rPr>
        <w:t>o</w:t>
      </w:r>
      <w:r w:rsidRPr="008841F6">
        <w:t xml:space="preserve"> 32, p. 7-22. </w:t>
      </w:r>
    </w:p>
    <w:p w:rsidR="006B32D3" w:rsidRPr="008841F6" w:rsidRDefault="006B32D3" w:rsidP="008841F6">
      <w:pPr>
        <w:jc w:val="both"/>
      </w:pPr>
      <w:r w:rsidRPr="008841F6">
        <w:t xml:space="preserve">FONTANILLE Jacques, 2015, </w:t>
      </w:r>
      <w:r w:rsidRPr="008841F6">
        <w:rPr>
          <w:i/>
        </w:rPr>
        <w:t>Formes de vie,</w:t>
      </w:r>
      <w:r w:rsidRPr="008841F6">
        <w:t xml:space="preserve"> Liège, Presses universitaires de Liège. </w:t>
      </w:r>
    </w:p>
    <w:p w:rsidR="006B32D3" w:rsidRPr="008841F6" w:rsidRDefault="006B32D3" w:rsidP="008841F6">
      <w:pPr>
        <w:jc w:val="both"/>
      </w:pPr>
      <w:r w:rsidRPr="008841F6">
        <w:t xml:space="preserve">FONTANILLE Jacques, 2017, « Des actes d’énonciation aux modes d’existence. À propos de “Petite philosophie de l’énonciation” de Bruno Latour », </w:t>
      </w:r>
      <w:r w:rsidRPr="008841F6">
        <w:rPr>
          <w:i/>
        </w:rPr>
        <w:t>in</w:t>
      </w:r>
      <w:r w:rsidRPr="008841F6">
        <w:t xml:space="preserve"> </w:t>
      </w:r>
      <w:r w:rsidRPr="008841F6">
        <w:rPr>
          <w:i/>
        </w:rPr>
        <w:t>Bruno Latour. Piccola filosofia dell’enunciazione. Con una nota di Jacques Fontanille</w:t>
      </w:r>
      <w:r w:rsidRPr="008841F6">
        <w:t xml:space="preserve">, Documenti di lavoro del CISS de Urbino, Roma, Aracne editrice, p. 53-63. </w:t>
      </w:r>
    </w:p>
    <w:p w:rsidR="006B32D3" w:rsidRPr="008841F6" w:rsidRDefault="006B32D3" w:rsidP="008841F6">
      <w:pPr>
        <w:jc w:val="both"/>
      </w:pPr>
      <w:r w:rsidRPr="008841F6">
        <w:t xml:space="preserve">FONTANILLE Jacques, COUÉGNAS Nicolas, 2018, </w:t>
      </w:r>
      <w:r w:rsidRPr="008841F6">
        <w:rPr>
          <w:i/>
        </w:rPr>
        <w:t>Terres de sens. Essai d’anthroposémiotique</w:t>
      </w:r>
      <w:r w:rsidRPr="008841F6">
        <w:t xml:space="preserve">, Limoges, Pulim. </w:t>
      </w:r>
    </w:p>
    <w:p w:rsidR="006B32D3" w:rsidRPr="008841F6" w:rsidRDefault="006B32D3" w:rsidP="008841F6">
      <w:pPr>
        <w:jc w:val="both"/>
      </w:pPr>
      <w:r w:rsidRPr="008841F6">
        <w:rPr>
          <w:color w:val="000000" w:themeColor="text1"/>
        </w:rPr>
        <w:t xml:space="preserve">GREIMAS Algirdas Julien, 1987, </w:t>
      </w:r>
      <w:r w:rsidRPr="008841F6">
        <w:rPr>
          <w:i/>
          <w:color w:val="000000" w:themeColor="text1"/>
        </w:rPr>
        <w:t>De l’imperfection</w:t>
      </w:r>
      <w:r w:rsidRPr="008841F6">
        <w:rPr>
          <w:color w:val="000000" w:themeColor="text1"/>
        </w:rPr>
        <w:t xml:space="preserve">, Périgueux, Fanlac. </w:t>
      </w:r>
    </w:p>
    <w:p w:rsidR="006B32D3" w:rsidRPr="008841F6" w:rsidRDefault="006B32D3" w:rsidP="008841F6">
      <w:pPr>
        <w:jc w:val="both"/>
        <w:rPr>
          <w:color w:val="000000" w:themeColor="text1"/>
        </w:rPr>
      </w:pPr>
      <w:r w:rsidRPr="008841F6">
        <w:rPr>
          <w:color w:val="000000" w:themeColor="text1"/>
        </w:rPr>
        <w:t xml:space="preserve">GREIMAS Algirdas Julien, FONTANILLE Jacques, 1991, </w:t>
      </w:r>
      <w:r w:rsidRPr="008841F6">
        <w:rPr>
          <w:i/>
          <w:color w:val="000000" w:themeColor="text1"/>
        </w:rPr>
        <w:t>Sémiotique des passions. Des états de choses aux états d’âme</w:t>
      </w:r>
      <w:r w:rsidRPr="008841F6">
        <w:rPr>
          <w:color w:val="000000" w:themeColor="text1"/>
        </w:rPr>
        <w:t xml:space="preserve">, Paris, Seuil. </w:t>
      </w:r>
    </w:p>
    <w:p w:rsidR="008841F6" w:rsidRDefault="008841F6" w:rsidP="008841F6">
      <w:pPr>
        <w:pStyle w:val="NormalWeb"/>
        <w:spacing w:before="0" w:beforeAutospacing="0" w:after="0" w:afterAutospacing="0"/>
        <w:jc w:val="both"/>
        <w:rPr>
          <w:rFonts w:ascii="Times New Roman" w:eastAsia="Times New Roman" w:hAnsi="Times New Roman"/>
          <w:sz w:val="24"/>
          <w:szCs w:val="24"/>
        </w:rPr>
      </w:pPr>
      <w:r w:rsidRPr="008841F6">
        <w:rPr>
          <w:rFonts w:ascii="Times New Roman" w:eastAsia="Times New Roman" w:hAnsi="Times New Roman"/>
          <w:color w:val="000000" w:themeColor="text1"/>
          <w:sz w:val="24"/>
          <w:szCs w:val="24"/>
        </w:rPr>
        <w:t xml:space="preserve">JULLIEN François, 2012, </w:t>
      </w:r>
      <w:r w:rsidRPr="008841F6">
        <w:rPr>
          <w:rFonts w:ascii="Times New Roman" w:eastAsia="Times New Roman" w:hAnsi="Times New Roman"/>
          <w:sz w:val="24"/>
          <w:szCs w:val="24"/>
        </w:rPr>
        <w:t>« L’écart et l’entre. Ou comment penser l’altérité »</w:t>
      </w:r>
      <w:r>
        <w:rPr>
          <w:rFonts w:ascii="Times New Roman" w:eastAsia="Times New Roman" w:hAnsi="Times New Roman"/>
          <w:sz w:val="24"/>
          <w:szCs w:val="24"/>
        </w:rPr>
        <w:t xml:space="preserve">. En ligne. </w:t>
      </w:r>
    </w:p>
    <w:p w:rsidR="001E0AE5" w:rsidRPr="008841F6" w:rsidRDefault="001E0AE5" w:rsidP="008841F6">
      <w:pPr>
        <w:pStyle w:val="NormalWeb"/>
        <w:spacing w:before="0" w:beforeAutospacing="0" w:after="0" w:afterAutospacing="0"/>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LATOUR Bruno, 2014, « L’anti-zoom ». En ligne. </w:t>
      </w:r>
    </w:p>
    <w:p w:rsidR="008841F6" w:rsidRDefault="008841F6" w:rsidP="008841F6">
      <w:r w:rsidRPr="008841F6">
        <w:rPr>
          <w:color w:val="000000" w:themeColor="text1"/>
        </w:rPr>
        <w:t xml:space="preserve">RICOEUR Paul, </w:t>
      </w:r>
      <w:r w:rsidRPr="008841F6">
        <w:t xml:space="preserve">1983-1985, </w:t>
      </w:r>
      <w:r w:rsidRPr="008841F6">
        <w:rPr>
          <w:i/>
        </w:rPr>
        <w:t>Temps et récit</w:t>
      </w:r>
      <w:r w:rsidRPr="008841F6">
        <w:t xml:space="preserve">, I-III, Paris, Seuil. </w:t>
      </w:r>
    </w:p>
    <w:p w:rsidR="001E0AE5" w:rsidRPr="001E0AE5" w:rsidRDefault="001E0AE5" w:rsidP="001E0AE5">
      <w:pPr>
        <w:jc w:val="both"/>
      </w:pPr>
      <w:r w:rsidRPr="001E0AE5">
        <w:t>RICOEUR Paul,</w:t>
      </w:r>
      <w:r>
        <w:t xml:space="preserve"> </w:t>
      </w:r>
      <w:r w:rsidRPr="001E0AE5">
        <w:t xml:space="preserve">1988[1950], </w:t>
      </w:r>
      <w:r w:rsidRPr="001E0AE5">
        <w:rPr>
          <w:i/>
        </w:rPr>
        <w:t>Philosophie de la volonté. Le volontaire et l’involontaire</w:t>
      </w:r>
      <w:r w:rsidRPr="001E0AE5">
        <w:t xml:space="preserve">, Paris, Aubier. </w:t>
      </w:r>
    </w:p>
    <w:p w:rsidR="006B32D3" w:rsidRPr="001E0AE5" w:rsidRDefault="006B32D3" w:rsidP="001E0AE5">
      <w:pPr>
        <w:jc w:val="both"/>
        <w:rPr>
          <w:color w:val="000000" w:themeColor="text1"/>
        </w:rPr>
      </w:pPr>
      <w:r w:rsidRPr="001E0AE5">
        <w:rPr>
          <w:color w:val="000000" w:themeColor="text1"/>
        </w:rPr>
        <w:t xml:space="preserve">SOURIAU Étienne, 2009 [1943, 1956], </w:t>
      </w:r>
      <w:r w:rsidRPr="001E0AE5">
        <w:rPr>
          <w:i/>
          <w:color w:val="000000" w:themeColor="text1"/>
        </w:rPr>
        <w:t xml:space="preserve">Les différents modes d’existence </w:t>
      </w:r>
      <w:r w:rsidRPr="001E0AE5">
        <w:rPr>
          <w:color w:val="000000" w:themeColor="text1"/>
        </w:rPr>
        <w:t xml:space="preserve">suivi de </w:t>
      </w:r>
      <w:r w:rsidRPr="001E0AE5">
        <w:rPr>
          <w:i/>
          <w:color w:val="000000" w:themeColor="text1"/>
        </w:rPr>
        <w:t>De l’œuvre à faire</w:t>
      </w:r>
      <w:r w:rsidRPr="001E0AE5">
        <w:rPr>
          <w:color w:val="000000" w:themeColor="text1"/>
        </w:rPr>
        <w:t xml:space="preserve">, Paris, PUF. </w:t>
      </w:r>
    </w:p>
    <w:p w:rsidR="006B32D3" w:rsidRPr="008841F6" w:rsidRDefault="006B32D3" w:rsidP="008841F6">
      <w:pPr>
        <w:jc w:val="both"/>
        <w:rPr>
          <w:color w:val="000000" w:themeColor="text1"/>
        </w:rPr>
      </w:pPr>
      <w:r w:rsidRPr="008841F6">
        <w:rPr>
          <w:color w:val="000000" w:themeColor="text1"/>
        </w:rPr>
        <w:t xml:space="preserve">STENGERS Isabelle, LATOUR, Bruno, 2009, « Le sphinx de l’œuvre », </w:t>
      </w:r>
      <w:r w:rsidRPr="008841F6">
        <w:rPr>
          <w:i/>
          <w:color w:val="000000" w:themeColor="text1"/>
        </w:rPr>
        <w:t>in</w:t>
      </w:r>
      <w:r w:rsidRPr="008841F6">
        <w:rPr>
          <w:color w:val="000000" w:themeColor="text1"/>
        </w:rPr>
        <w:t xml:space="preserve"> É. Souriau, </w:t>
      </w:r>
      <w:r w:rsidRPr="008841F6">
        <w:rPr>
          <w:i/>
          <w:color w:val="000000" w:themeColor="text1"/>
        </w:rPr>
        <w:t xml:space="preserve">Les différents modes d’existence </w:t>
      </w:r>
      <w:r w:rsidRPr="008841F6">
        <w:rPr>
          <w:color w:val="000000" w:themeColor="text1"/>
        </w:rPr>
        <w:t xml:space="preserve">suivi de </w:t>
      </w:r>
      <w:r w:rsidRPr="008841F6">
        <w:rPr>
          <w:i/>
          <w:color w:val="000000" w:themeColor="text1"/>
        </w:rPr>
        <w:t>De l’œuvre à faire</w:t>
      </w:r>
      <w:r w:rsidRPr="008841F6">
        <w:rPr>
          <w:color w:val="000000" w:themeColor="text1"/>
        </w:rPr>
        <w:t xml:space="preserve">, Paris, PUF, p. 1-75.  </w:t>
      </w:r>
    </w:p>
    <w:p w:rsidR="006B32D3" w:rsidRPr="008841F6" w:rsidRDefault="006B32D3" w:rsidP="008841F6">
      <w:pPr>
        <w:jc w:val="both"/>
        <w:rPr>
          <w:color w:val="000000" w:themeColor="text1"/>
        </w:rPr>
      </w:pPr>
    </w:p>
    <w:p w:rsidR="006B32D3" w:rsidRPr="008841F6" w:rsidRDefault="006B32D3" w:rsidP="008841F6">
      <w:pPr>
        <w:jc w:val="both"/>
        <w:rPr>
          <w:color w:val="000000" w:themeColor="text1"/>
        </w:rPr>
      </w:pPr>
    </w:p>
    <w:p w:rsidR="006B32D3" w:rsidRPr="008841F6" w:rsidRDefault="006B32D3" w:rsidP="008841F6">
      <w:pPr>
        <w:ind w:firstLine="284"/>
        <w:jc w:val="both"/>
        <w:rPr>
          <w:color w:val="000000" w:themeColor="text1"/>
        </w:rPr>
      </w:pPr>
    </w:p>
    <w:p w:rsidR="006B32D3" w:rsidRPr="008841F6" w:rsidRDefault="006B32D3" w:rsidP="008841F6">
      <w:pPr>
        <w:ind w:firstLine="284"/>
        <w:jc w:val="both"/>
      </w:pPr>
    </w:p>
    <w:p w:rsidR="006B32D3" w:rsidRPr="008841F6" w:rsidRDefault="006B32D3" w:rsidP="008841F6">
      <w:pPr>
        <w:ind w:firstLine="284"/>
        <w:jc w:val="both"/>
      </w:pPr>
    </w:p>
    <w:p w:rsidR="006B32D3" w:rsidRPr="008841F6" w:rsidRDefault="006B32D3" w:rsidP="008841F6">
      <w:pPr>
        <w:ind w:firstLine="284"/>
        <w:jc w:val="both"/>
      </w:pPr>
    </w:p>
    <w:p w:rsidR="006B32D3" w:rsidRPr="008841F6" w:rsidRDefault="006B32D3" w:rsidP="008841F6">
      <w:pPr>
        <w:ind w:firstLine="284"/>
        <w:jc w:val="both"/>
      </w:pPr>
    </w:p>
    <w:p w:rsidR="006B32D3" w:rsidRPr="008841F6" w:rsidRDefault="006B32D3" w:rsidP="008841F6">
      <w:pPr>
        <w:ind w:firstLine="284"/>
        <w:jc w:val="both"/>
      </w:pPr>
    </w:p>
    <w:p w:rsidR="006B32D3" w:rsidRPr="008841F6" w:rsidRDefault="006B32D3" w:rsidP="008841F6">
      <w:pPr>
        <w:jc w:val="both"/>
      </w:pPr>
    </w:p>
    <w:p w:rsidR="006B32D3" w:rsidRPr="008841F6" w:rsidRDefault="006B32D3" w:rsidP="008841F6">
      <w:pPr>
        <w:jc w:val="both"/>
      </w:pPr>
    </w:p>
    <w:p w:rsidR="006B32D3" w:rsidRPr="008841F6" w:rsidRDefault="006B32D3" w:rsidP="008841F6">
      <w:pPr>
        <w:jc w:val="both"/>
      </w:pPr>
    </w:p>
    <w:p w:rsidR="006B32D3" w:rsidRPr="008841F6" w:rsidRDefault="006B32D3" w:rsidP="008841F6">
      <w:pPr>
        <w:jc w:val="both"/>
      </w:pPr>
    </w:p>
    <w:p w:rsidR="006B32D3" w:rsidRPr="008841F6" w:rsidRDefault="006B32D3" w:rsidP="008841F6">
      <w:pPr>
        <w:jc w:val="both"/>
      </w:pPr>
    </w:p>
    <w:p w:rsidR="006B32D3" w:rsidRPr="008841F6" w:rsidRDefault="006B32D3" w:rsidP="008841F6">
      <w:pPr>
        <w:jc w:val="both"/>
      </w:pPr>
    </w:p>
    <w:p w:rsidR="008A77B9" w:rsidRPr="006B32D3" w:rsidRDefault="008A77B9"/>
    <w:sectPr w:rsidR="008A77B9" w:rsidRPr="006B32D3" w:rsidSect="0078610D">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6A0C" w:rsidRDefault="00E46A0C" w:rsidP="006B32D3">
      <w:r>
        <w:separator/>
      </w:r>
    </w:p>
  </w:endnote>
  <w:endnote w:type="continuationSeparator" w:id="0">
    <w:p w:rsidR="00E46A0C" w:rsidRDefault="00E46A0C" w:rsidP="006B3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Code2000">
    <w:altName w:val="Heiti TC Light"/>
    <w:panose1 w:val="020B0604020202020204"/>
    <w:charset w:val="80"/>
    <w:family w:val="auto"/>
    <w:notTrueType/>
    <w:pitch w:val="default"/>
    <w:sig w:usb0="00002A87" w:usb1="08070000" w:usb2="00000010" w:usb3="00000000" w:csb0="0002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6A0C" w:rsidRDefault="00E46A0C" w:rsidP="006B32D3">
      <w:r>
        <w:separator/>
      </w:r>
    </w:p>
  </w:footnote>
  <w:footnote w:type="continuationSeparator" w:id="0">
    <w:p w:rsidR="00E46A0C" w:rsidRDefault="00E46A0C" w:rsidP="006B32D3">
      <w:r>
        <w:continuationSeparator/>
      </w:r>
    </w:p>
  </w:footnote>
  <w:footnote w:id="1">
    <w:p w:rsidR="006B32D3" w:rsidRPr="001F2868" w:rsidRDefault="006B32D3" w:rsidP="006B32D3">
      <w:pPr>
        <w:pStyle w:val="NormalWeb"/>
        <w:jc w:val="both"/>
        <w:rPr>
          <w:rFonts w:ascii="Times New Roman" w:eastAsia="Times New Roman" w:hAnsi="Times New Roman"/>
        </w:rPr>
      </w:pPr>
      <w:r w:rsidRPr="001F2868">
        <w:rPr>
          <w:rStyle w:val="Appelnotedebasdep"/>
          <w:rFonts w:ascii="Times New Roman" w:hAnsi="Times New Roman"/>
        </w:rPr>
        <w:footnoteRef/>
      </w:r>
      <w:r w:rsidRPr="001F2868">
        <w:rPr>
          <w:rFonts w:ascii="Times New Roman" w:hAnsi="Times New Roman"/>
        </w:rPr>
        <w:t xml:space="preserve"> Cf. notamment Jacques Fontanille (2003</w:t>
      </w:r>
      <w:r>
        <w:rPr>
          <w:rFonts w:ascii="Times New Roman" w:hAnsi="Times New Roman"/>
        </w:rPr>
        <w:t>a</w:t>
      </w:r>
      <w:r w:rsidRPr="001F2868">
        <w:rPr>
          <w:rFonts w:ascii="Times New Roman" w:hAnsi="Times New Roman"/>
        </w:rPr>
        <w:t xml:space="preserve">) au sujet des </w:t>
      </w:r>
      <w:r w:rsidRPr="001F2868">
        <w:rPr>
          <w:rFonts w:ascii="Times New Roman" w:eastAsia="Times New Roman" w:hAnsi="Times New Roman"/>
        </w:rPr>
        <w:t xml:space="preserve">modalités résultant de la </w:t>
      </w:r>
      <w:r>
        <w:rPr>
          <w:rFonts w:ascii="Times New Roman" w:eastAsia="Times New Roman" w:hAnsi="Times New Roman"/>
        </w:rPr>
        <w:t>« </w:t>
      </w:r>
      <w:r w:rsidRPr="001F2868">
        <w:rPr>
          <w:rFonts w:ascii="Times New Roman" w:eastAsia="Times New Roman" w:hAnsi="Times New Roman"/>
        </w:rPr>
        <w:t xml:space="preserve">modalisation réciproque entre les modes d’existence (virtuel, actuel, potentiel et réel) projetés sur les prédicats d’expérience, </w:t>
      </w:r>
      <w:r>
        <w:rPr>
          <w:rFonts w:ascii="Times New Roman" w:eastAsia="Times New Roman" w:hAnsi="Times New Roman"/>
        </w:rPr>
        <w:t>[</w:t>
      </w:r>
      <w:r w:rsidRPr="001F2868">
        <w:rPr>
          <w:rFonts w:ascii="Times New Roman" w:eastAsia="Times New Roman" w:hAnsi="Times New Roman"/>
        </w:rPr>
        <w:t>et</w:t>
      </w:r>
      <w:r>
        <w:rPr>
          <w:rFonts w:ascii="Times New Roman" w:eastAsia="Times New Roman" w:hAnsi="Times New Roman"/>
        </w:rPr>
        <w:t>]</w:t>
      </w:r>
      <w:r w:rsidRPr="001F2868">
        <w:rPr>
          <w:rFonts w:ascii="Times New Roman" w:eastAsia="Times New Roman" w:hAnsi="Times New Roman"/>
        </w:rPr>
        <w:t xml:space="preserve"> les modes d’expérience (devoir, vouloir, croire, savoir, pouvoir, etc.) projetés sur les prédicats d’existence. </w:t>
      </w:r>
    </w:p>
    <w:p w:rsidR="006B32D3" w:rsidRPr="001F2868" w:rsidRDefault="006B32D3" w:rsidP="006B32D3">
      <w:pPr>
        <w:pStyle w:val="Notedebasdepage"/>
      </w:pPr>
    </w:p>
  </w:footnote>
  <w:footnote w:id="2">
    <w:p w:rsidR="00F329EF" w:rsidRPr="00F329EF" w:rsidRDefault="00F329EF" w:rsidP="00713A96">
      <w:pPr>
        <w:pStyle w:val="Notedebasdepage"/>
        <w:jc w:val="both"/>
      </w:pPr>
      <w:r>
        <w:rPr>
          <w:rStyle w:val="Appelnotedebasdep"/>
        </w:rPr>
        <w:footnoteRef/>
      </w:r>
      <w:r>
        <w:t xml:space="preserve"> </w:t>
      </w:r>
      <w:r w:rsidR="00713A96">
        <w:t xml:space="preserve">Cf. Souriau (2009 [1943] : 154) : « […] le synaptique, dans l’ordre des morphèmes, correspondrait à tout ce matériel grammatical (conjonctions, prépositions, articles, etc.) auquel on opposerait bien (tout en le comprenant dans le même ordre morphématique) l’événement comme correspondant à l’essence propre du verbe ». Nous visons à vérifier en quoi la « grammaire de l’existence » peut être mise en relation avec les modalisations comprises comme des altérations selon Greimas (1987).  </w:t>
      </w:r>
    </w:p>
  </w:footnote>
  <w:footnote w:id="3">
    <w:p w:rsidR="006B32D3" w:rsidRPr="00332E9C" w:rsidRDefault="006B32D3" w:rsidP="006B32D3">
      <w:pPr>
        <w:jc w:val="both"/>
        <w:rPr>
          <w:sz w:val="20"/>
          <w:szCs w:val="20"/>
        </w:rPr>
      </w:pPr>
      <w:r w:rsidRPr="00747F26">
        <w:rPr>
          <w:rStyle w:val="Appelnotedebasdep"/>
          <w:sz w:val="20"/>
          <w:szCs w:val="20"/>
        </w:rPr>
        <w:footnoteRef/>
      </w:r>
      <w:r w:rsidRPr="00747F26">
        <w:rPr>
          <w:sz w:val="20"/>
          <w:szCs w:val="20"/>
        </w:rPr>
        <w:t xml:space="preserve"> Cf. Denis Bertrand (2005) : il s’agit de « donner langue et sens à une instance antérieure, plus originaire, plus “génitive”, se tenant au plus près de l’engendrement, au plus près de la présence corporelle à partir de l’impression sensible ».</w:t>
      </w:r>
    </w:p>
  </w:footnote>
  <w:footnote w:id="4">
    <w:p w:rsidR="004439E3" w:rsidRPr="004439E3" w:rsidRDefault="004439E3" w:rsidP="00285B63">
      <w:pPr>
        <w:pStyle w:val="Notedebasdepage"/>
        <w:jc w:val="both"/>
      </w:pPr>
      <w:r>
        <w:rPr>
          <w:rStyle w:val="Appelnotedebasdep"/>
        </w:rPr>
        <w:footnoteRef/>
      </w:r>
      <w:r>
        <w:t xml:space="preserve"> </w:t>
      </w:r>
      <w:r w:rsidR="00285B63">
        <w:t xml:space="preserve">Cf. une note de Jacques Fontanille et Nicolas Couégnas (2018 : 70) : « C’est ici qu’il faut faire le rapprochement avec la “seconde voie” de Greimas : les “ou bien”, les “pour”, les “alors”, les “à cause de” sont les modalités d’altération et d’imperfection qui constituent le flux de l’expérience ». </w:t>
      </w:r>
    </w:p>
  </w:footnote>
  <w:footnote w:id="5">
    <w:p w:rsidR="00C02B47" w:rsidRPr="009F56B8" w:rsidRDefault="00C02B47" w:rsidP="00C02B47">
      <w:pPr>
        <w:pStyle w:val="Notedebasdepage"/>
        <w:jc w:val="both"/>
      </w:pPr>
      <w:r>
        <w:rPr>
          <w:rStyle w:val="Appelnotedebasdep"/>
        </w:rPr>
        <w:footnoteRef/>
      </w:r>
      <w:r>
        <w:t xml:space="preserve"> Il serait intéressant de mettre les progressions anaphoriques</w:t>
      </w:r>
      <w:r w:rsidR="008841F6">
        <w:t>/cataphoriques</w:t>
      </w:r>
      <w:r>
        <w:t xml:space="preserve"> en relation avec les logiques implicative et concessive selon Zilberberg (not. 2006).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8B5E55"/>
    <w:multiLevelType w:val="multilevel"/>
    <w:tmpl w:val="7D7EE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2D3"/>
    <w:rsid w:val="00096A9E"/>
    <w:rsid w:val="000F6AF2"/>
    <w:rsid w:val="0010460B"/>
    <w:rsid w:val="00110A69"/>
    <w:rsid w:val="00162DD9"/>
    <w:rsid w:val="001A6EBE"/>
    <w:rsid w:val="001E0AE5"/>
    <w:rsid w:val="0027472D"/>
    <w:rsid w:val="00285B63"/>
    <w:rsid w:val="003265C6"/>
    <w:rsid w:val="003918B8"/>
    <w:rsid w:val="0039731E"/>
    <w:rsid w:val="003D42A8"/>
    <w:rsid w:val="004439E3"/>
    <w:rsid w:val="006375D4"/>
    <w:rsid w:val="006B32D3"/>
    <w:rsid w:val="00713A96"/>
    <w:rsid w:val="0078610D"/>
    <w:rsid w:val="008841F6"/>
    <w:rsid w:val="008A77B9"/>
    <w:rsid w:val="0098235D"/>
    <w:rsid w:val="00A33E1B"/>
    <w:rsid w:val="00B50F92"/>
    <w:rsid w:val="00C02B47"/>
    <w:rsid w:val="00C11865"/>
    <w:rsid w:val="00C333C0"/>
    <w:rsid w:val="00C34F0A"/>
    <w:rsid w:val="00C5360E"/>
    <w:rsid w:val="00C8723B"/>
    <w:rsid w:val="00DA75FE"/>
    <w:rsid w:val="00DB0255"/>
    <w:rsid w:val="00E46A0C"/>
    <w:rsid w:val="00F329EF"/>
    <w:rsid w:val="00F55DC4"/>
    <w:rsid w:val="00FD500D"/>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DA2608-1AE8-AA45-8BCE-FD7157F5A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L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731E"/>
    <w:rPr>
      <w:rFonts w:ascii="Times New Roman" w:eastAsia="Times New Roman" w:hAnsi="Times New Roman"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aliases w:val=" Carattere,Carattere,Note de bas de pageGL"/>
    <w:basedOn w:val="Normal"/>
    <w:link w:val="NotedebasdepageCar"/>
    <w:unhideWhenUsed/>
    <w:rsid w:val="006B32D3"/>
    <w:rPr>
      <w:sz w:val="20"/>
      <w:szCs w:val="20"/>
    </w:rPr>
  </w:style>
  <w:style w:type="character" w:customStyle="1" w:styleId="NotedebasdepageCar">
    <w:name w:val="Note de bas de page Car"/>
    <w:aliases w:val=" Carattere Car,Carattere Car,Note de bas de pageGL Car"/>
    <w:basedOn w:val="Policepardfaut"/>
    <w:link w:val="Notedebasdepage"/>
    <w:rsid w:val="006B32D3"/>
    <w:rPr>
      <w:rFonts w:ascii="Times New Roman" w:eastAsia="Times New Roman" w:hAnsi="Times New Roman" w:cs="Times New Roman"/>
      <w:sz w:val="20"/>
      <w:szCs w:val="20"/>
      <w:lang w:eastAsia="fr-FR"/>
    </w:rPr>
  </w:style>
  <w:style w:type="character" w:styleId="Accentuation">
    <w:name w:val="Emphasis"/>
    <w:basedOn w:val="Policepardfaut"/>
    <w:uiPriority w:val="20"/>
    <w:qFormat/>
    <w:rsid w:val="006B32D3"/>
    <w:rPr>
      <w:i/>
      <w:iCs/>
    </w:rPr>
  </w:style>
  <w:style w:type="character" w:styleId="Appelnotedebasdep">
    <w:name w:val="footnote reference"/>
    <w:basedOn w:val="Policepardfaut"/>
    <w:unhideWhenUsed/>
    <w:rsid w:val="006B32D3"/>
    <w:rPr>
      <w:vertAlign w:val="superscript"/>
    </w:rPr>
  </w:style>
  <w:style w:type="paragraph" w:styleId="NormalWeb">
    <w:name w:val="Normal (Web)"/>
    <w:basedOn w:val="Normal"/>
    <w:uiPriority w:val="99"/>
    <w:unhideWhenUsed/>
    <w:rsid w:val="006B32D3"/>
    <w:pPr>
      <w:spacing w:before="100" w:beforeAutospacing="1" w:after="100" w:afterAutospacing="1"/>
    </w:pPr>
    <w:rPr>
      <w:rFonts w:ascii="Times" w:eastAsiaTheme="minorEastAsia" w:hAnsi="Times"/>
      <w:sz w:val="20"/>
      <w:szCs w:val="20"/>
    </w:rPr>
  </w:style>
  <w:style w:type="character" w:customStyle="1" w:styleId="apple-converted-space">
    <w:name w:val="apple-converted-space"/>
    <w:basedOn w:val="Policepardfaut"/>
    <w:rsid w:val="008841F6"/>
  </w:style>
  <w:style w:type="character" w:styleId="Lienhypertexte">
    <w:name w:val="Hyperlink"/>
    <w:basedOn w:val="Policepardfaut"/>
    <w:uiPriority w:val="99"/>
    <w:unhideWhenUsed/>
    <w:rsid w:val="001E0A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39619">
      <w:bodyDiv w:val="1"/>
      <w:marLeft w:val="0"/>
      <w:marRight w:val="0"/>
      <w:marTop w:val="0"/>
      <w:marBottom w:val="0"/>
      <w:divBdr>
        <w:top w:val="none" w:sz="0" w:space="0" w:color="auto"/>
        <w:left w:val="none" w:sz="0" w:space="0" w:color="auto"/>
        <w:bottom w:val="none" w:sz="0" w:space="0" w:color="auto"/>
        <w:right w:val="none" w:sz="0" w:space="0" w:color="auto"/>
      </w:divBdr>
      <w:divsChild>
        <w:div w:id="442312193">
          <w:marLeft w:val="0"/>
          <w:marRight w:val="0"/>
          <w:marTop w:val="0"/>
          <w:marBottom w:val="0"/>
          <w:divBdr>
            <w:top w:val="none" w:sz="0" w:space="0" w:color="auto"/>
            <w:left w:val="none" w:sz="0" w:space="0" w:color="auto"/>
            <w:bottom w:val="none" w:sz="0" w:space="0" w:color="auto"/>
            <w:right w:val="none" w:sz="0" w:space="0" w:color="auto"/>
          </w:divBdr>
          <w:divsChild>
            <w:div w:id="1750888356">
              <w:marLeft w:val="0"/>
              <w:marRight w:val="0"/>
              <w:marTop w:val="0"/>
              <w:marBottom w:val="0"/>
              <w:divBdr>
                <w:top w:val="none" w:sz="0" w:space="0" w:color="auto"/>
                <w:left w:val="none" w:sz="0" w:space="0" w:color="auto"/>
                <w:bottom w:val="none" w:sz="0" w:space="0" w:color="auto"/>
                <w:right w:val="none" w:sz="0" w:space="0" w:color="auto"/>
              </w:divBdr>
              <w:divsChild>
                <w:div w:id="39624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13276">
      <w:bodyDiv w:val="1"/>
      <w:marLeft w:val="0"/>
      <w:marRight w:val="0"/>
      <w:marTop w:val="0"/>
      <w:marBottom w:val="0"/>
      <w:divBdr>
        <w:top w:val="none" w:sz="0" w:space="0" w:color="auto"/>
        <w:left w:val="none" w:sz="0" w:space="0" w:color="auto"/>
        <w:bottom w:val="none" w:sz="0" w:space="0" w:color="auto"/>
        <w:right w:val="none" w:sz="0" w:space="0" w:color="auto"/>
      </w:divBdr>
      <w:divsChild>
        <w:div w:id="1045641046">
          <w:marLeft w:val="0"/>
          <w:marRight w:val="0"/>
          <w:marTop w:val="0"/>
          <w:marBottom w:val="0"/>
          <w:divBdr>
            <w:top w:val="none" w:sz="0" w:space="0" w:color="auto"/>
            <w:left w:val="none" w:sz="0" w:space="0" w:color="auto"/>
            <w:bottom w:val="none" w:sz="0" w:space="0" w:color="auto"/>
            <w:right w:val="none" w:sz="0" w:space="0" w:color="auto"/>
          </w:divBdr>
        </w:div>
      </w:divsChild>
    </w:div>
    <w:div w:id="31295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4843</Words>
  <Characters>26640</Characters>
  <Application>Microsoft Office Word</Application>
  <DocSecurity>0</DocSecurity>
  <Lines>416</Lines>
  <Paragraphs>107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dc:creator>
  <cp:keywords/>
  <dc:description/>
  <cp:lastModifiedBy>Marion COLAS-BLAISE</cp:lastModifiedBy>
  <cp:revision>2</cp:revision>
  <cp:lastPrinted>2019-11-30T15:02:00Z</cp:lastPrinted>
  <dcterms:created xsi:type="dcterms:W3CDTF">2023-12-27T11:01:00Z</dcterms:created>
  <dcterms:modified xsi:type="dcterms:W3CDTF">2023-12-27T11:01:00Z</dcterms:modified>
</cp:coreProperties>
</file>