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5540" w14:textId="77777777" w:rsidR="00F93310" w:rsidRDefault="00F93310">
      <w:pPr>
        <w:pStyle w:val="CorpsA"/>
        <w:rPr>
          <w:rStyle w:val="Aucun"/>
          <w:b/>
          <w:bCs/>
        </w:rPr>
      </w:pPr>
    </w:p>
    <w:p w14:paraId="01CE58D6" w14:textId="77777777" w:rsidR="00F93310" w:rsidRDefault="00000000">
      <w:pPr>
        <w:pStyle w:val="CorpsA"/>
        <w:jc w:val="center"/>
        <w:rPr>
          <w:rStyle w:val="Aucun"/>
          <w:b/>
          <w:bCs/>
        </w:rPr>
      </w:pPr>
      <w:r>
        <w:rPr>
          <w:rStyle w:val="Aucun"/>
          <w:b/>
          <w:bCs/>
        </w:rPr>
        <w:t>ÉCONOMIE CIRCULAIRE, SYSTEMES D</w:t>
      </w:r>
      <w:r>
        <w:rPr>
          <w:rStyle w:val="Aucun"/>
          <w:b/>
          <w:bCs/>
          <w:rtl/>
          <w:lang w:val="ar-SA"/>
        </w:rPr>
        <w:t>’</w:t>
      </w:r>
      <w:r>
        <w:rPr>
          <w:rStyle w:val="Aucun"/>
          <w:b/>
          <w:bCs/>
        </w:rPr>
        <w:t>ECHANGE LOCAUX, MONNAIES LOCALES</w:t>
      </w:r>
    </w:p>
    <w:p w14:paraId="6432C263" w14:textId="77777777" w:rsidR="00F93310" w:rsidRDefault="00F93310">
      <w:pPr>
        <w:pStyle w:val="CorpsA"/>
        <w:jc w:val="center"/>
        <w:rPr>
          <w:rStyle w:val="Aucun"/>
          <w:b/>
          <w:bCs/>
        </w:rPr>
      </w:pPr>
    </w:p>
    <w:p w14:paraId="0A583619" w14:textId="77777777" w:rsidR="00F93310" w:rsidRDefault="00000000">
      <w:pPr>
        <w:pStyle w:val="CorpsA"/>
        <w:jc w:val="center"/>
        <w:rPr>
          <w:rStyle w:val="Aucun"/>
          <w:b/>
          <w:bCs/>
        </w:rPr>
      </w:pPr>
      <w:r>
        <w:rPr>
          <w:rStyle w:val="Aucun"/>
          <w:b/>
          <w:bCs/>
        </w:rPr>
        <w:t>David HIEZ</w:t>
      </w:r>
    </w:p>
    <w:p w14:paraId="7520174C" w14:textId="77777777" w:rsidR="00F93310" w:rsidRDefault="00000000">
      <w:pPr>
        <w:pStyle w:val="CorpsA"/>
        <w:jc w:val="center"/>
        <w:rPr>
          <w:rStyle w:val="PageNumber"/>
        </w:rPr>
      </w:pPr>
      <w:r>
        <w:rPr>
          <w:rStyle w:val="PageNumber"/>
        </w:rPr>
        <w:t xml:space="preserve"> Professeur de droit privé à l’université du Luxembourg</w:t>
      </w:r>
    </w:p>
    <w:p w14:paraId="6B2AC3FB" w14:textId="77777777" w:rsidR="00F93310" w:rsidRDefault="00F93310">
      <w:pPr>
        <w:pStyle w:val="CorpsA"/>
        <w:jc w:val="center"/>
        <w:rPr>
          <w:rStyle w:val="Aucun"/>
          <w:b/>
          <w:bCs/>
        </w:rPr>
      </w:pPr>
    </w:p>
    <w:p w14:paraId="62AD5A4F" w14:textId="77777777" w:rsidR="00F93310" w:rsidRDefault="00000000">
      <w:pPr>
        <w:pStyle w:val="CorpsA"/>
        <w:rPr>
          <w:rStyle w:val="Aucun"/>
          <w:b/>
          <w:bCs/>
        </w:rPr>
      </w:pPr>
      <w:r>
        <w:rPr>
          <w:rStyle w:val="Aucun"/>
          <w:b/>
          <w:bCs/>
        </w:rPr>
        <w:br/>
      </w:r>
    </w:p>
    <w:p w14:paraId="2F6E78B8" w14:textId="77777777" w:rsidR="00F93310" w:rsidRDefault="00000000">
      <w:pPr>
        <w:pStyle w:val="Heading2"/>
        <w:jc w:val="both"/>
        <w:rPr>
          <w:rStyle w:val="Aucun"/>
          <w:rFonts w:ascii="Times New Roman" w:eastAsia="Times New Roman" w:hAnsi="Times New Roman" w:cs="Times New Roman"/>
          <w:i/>
          <w:iCs/>
          <w:sz w:val="24"/>
          <w:szCs w:val="24"/>
          <w:lang w:val="fr-FR"/>
        </w:rPr>
      </w:pPr>
      <w:r>
        <w:rPr>
          <w:rStyle w:val="Aucun"/>
          <w:rFonts w:ascii="Times New Roman" w:hAnsi="Times New Roman"/>
          <w:b/>
          <w:bCs/>
          <w:i/>
          <w:iCs/>
          <w:color w:val="000000"/>
          <w:u w:color="000000"/>
          <w:lang w:val="fr-FR"/>
        </w:rPr>
        <w:t>Résumé</w:t>
      </w:r>
      <w:r>
        <w:rPr>
          <w:rStyle w:val="Aucun"/>
          <w:rFonts w:ascii="Times New Roman" w:hAnsi="Times New Roman"/>
          <w:i/>
          <w:iCs/>
          <w:color w:val="000000"/>
          <w:u w:color="000000"/>
          <w:lang w:val="fr-FR"/>
        </w:rPr>
        <w:t xml:space="preserve"> : </w:t>
      </w:r>
      <w:r>
        <w:rPr>
          <w:rStyle w:val="Aucun"/>
          <w:rFonts w:ascii="Times New Roman" w:hAnsi="Times New Roman"/>
          <w:i/>
          <w:iCs/>
          <w:sz w:val="24"/>
          <w:szCs w:val="24"/>
          <w:lang w:val="fr-FR"/>
        </w:rPr>
        <w:t>L’économie circulaire, les monnaies locales et les services d’échange locaux (SEL) sont de très bons exemples du mouvement de démondialisation. Concomitants à la mondialisation, ce n’est pas tant leur existence qui atteste d’un mouvement de démondialisation que leur développement, le regain d’intérêt qu’ils suscitent. Ils renvoient à la démondialisation à plusieurs titres. Au premier chef, ils partagent une dimension locale marquée, ce qui naturellement peut se rattacher à une relocalisation en rupture avec l’internationalisation désincarnée de la mondialisation. En outre, ils sont porteurs d’une conception de l’activité économique alternative à celle du capitalisme. Or la démondialisation est aussi une réaction aux excès du néo-libéralisme, la recherche d’autres équilibres entre le local et le global, et nul doute que l’économie circulaire, les monnaies locales et les SEL constituent des modèles qui contribuent à l’élaboration d’un nouvel ordre économique.</w:t>
      </w:r>
    </w:p>
    <w:p w14:paraId="3C19F386" w14:textId="77777777" w:rsidR="00F93310" w:rsidRDefault="00F93310">
      <w:pPr>
        <w:pStyle w:val="CorpsA"/>
        <w:rPr>
          <w:rStyle w:val="Aucun"/>
          <w:b/>
          <w:bCs/>
        </w:rPr>
      </w:pPr>
    </w:p>
    <w:p w14:paraId="4AA03CDD" w14:textId="77777777" w:rsidR="00F93310" w:rsidRDefault="00F93310">
      <w:pPr>
        <w:pStyle w:val="CorpsA"/>
        <w:rPr>
          <w:rStyle w:val="Aucun"/>
          <w:b/>
          <w:bCs/>
        </w:rPr>
      </w:pPr>
    </w:p>
    <w:p w14:paraId="004BB452" w14:textId="77777777" w:rsidR="00F93310" w:rsidRDefault="00000000">
      <w:pPr>
        <w:pStyle w:val="Heading1"/>
        <w:numPr>
          <w:ilvl w:val="3"/>
          <w:numId w:val="2"/>
        </w:numPr>
        <w:spacing w:before="0"/>
        <w:jc w:val="both"/>
        <w:rPr>
          <w:rFonts w:ascii="Times New Roman" w:hAnsi="Times New Roman"/>
          <w:color w:val="000000"/>
          <w:sz w:val="24"/>
          <w:szCs w:val="24"/>
        </w:rPr>
      </w:pPr>
      <w:r>
        <w:rPr>
          <w:rStyle w:val="Aucun"/>
          <w:rFonts w:ascii="Times New Roman" w:hAnsi="Times New Roman"/>
          <w:color w:val="000000"/>
          <w:sz w:val="24"/>
          <w:szCs w:val="24"/>
          <w:u w:color="000000"/>
        </w:rPr>
        <w:t>Introduction</w:t>
      </w:r>
    </w:p>
    <w:p w14:paraId="73514C95" w14:textId="77777777" w:rsidR="00F93310" w:rsidRDefault="00000000">
      <w:pPr>
        <w:pStyle w:val="Heading2"/>
        <w:numPr>
          <w:ilvl w:val="3"/>
          <w:numId w:val="2"/>
        </w:numPr>
        <w:spacing w:before="0"/>
        <w:jc w:val="both"/>
        <w:rPr>
          <w:rFonts w:ascii="Times New Roman" w:hAnsi="Times New Roman"/>
          <w:color w:val="000000"/>
          <w:sz w:val="24"/>
          <w:szCs w:val="24"/>
          <w:lang w:val="fr-FR"/>
        </w:rPr>
      </w:pPr>
      <w:r>
        <w:rPr>
          <w:rStyle w:val="Aucun"/>
          <w:rFonts w:ascii="Times New Roman" w:hAnsi="Times New Roman"/>
          <w:color w:val="000000"/>
          <w:sz w:val="24"/>
          <w:szCs w:val="24"/>
          <w:u w:color="000000"/>
          <w:lang w:val="fr-FR"/>
        </w:rPr>
        <w:t>Le minimum commun : la dimension locale</w:t>
      </w:r>
    </w:p>
    <w:p w14:paraId="10F3E313" w14:textId="77777777" w:rsidR="00F93310" w:rsidRDefault="00000000">
      <w:pPr>
        <w:pStyle w:val="Heading3"/>
        <w:numPr>
          <w:ilvl w:val="1"/>
          <w:numId w:val="4"/>
        </w:numPr>
        <w:spacing w:before="0"/>
        <w:jc w:val="both"/>
        <w:rPr>
          <w:rFonts w:ascii="Times New Roman" w:hAnsi="Times New Roman"/>
          <w:color w:val="000000"/>
          <w:lang w:val="fr-FR"/>
        </w:rPr>
      </w:pPr>
      <w:r>
        <w:rPr>
          <w:rStyle w:val="Aucun"/>
          <w:rFonts w:ascii="Times New Roman" w:hAnsi="Times New Roman"/>
          <w:color w:val="000000"/>
          <w:u w:color="000000"/>
          <w:lang w:val="fr-FR"/>
        </w:rPr>
        <w:t>La proximité territoriale des échanges</w:t>
      </w:r>
    </w:p>
    <w:p w14:paraId="775B03D3" w14:textId="77777777" w:rsidR="00F93310" w:rsidRDefault="00000000">
      <w:pPr>
        <w:pStyle w:val="CorpsAA"/>
        <w:ind w:left="284"/>
        <w:jc w:val="both"/>
        <w:rPr>
          <w:rStyle w:val="Aucun"/>
          <w:rFonts w:ascii="Times New Roman" w:eastAsia="Times New Roman" w:hAnsi="Times New Roman" w:cs="Times New Roman"/>
          <w:sz w:val="24"/>
          <w:szCs w:val="24"/>
        </w:rPr>
      </w:pPr>
      <w:r>
        <w:rPr>
          <w:rStyle w:val="Aucun"/>
          <w:rFonts w:ascii="Times New Roman" w:hAnsi="Times New Roman"/>
          <w:sz w:val="24"/>
          <w:szCs w:val="24"/>
        </w:rPr>
        <w:t>2 .2 L’existence d’une communauté de base</w:t>
      </w:r>
    </w:p>
    <w:p w14:paraId="79AEB122" w14:textId="77777777" w:rsidR="00F93310" w:rsidRDefault="00000000">
      <w:pPr>
        <w:pStyle w:val="Heading2"/>
        <w:numPr>
          <w:ilvl w:val="3"/>
          <w:numId w:val="5"/>
        </w:numPr>
        <w:spacing w:before="0"/>
        <w:jc w:val="both"/>
        <w:rPr>
          <w:rFonts w:ascii="Times New Roman" w:hAnsi="Times New Roman"/>
          <w:color w:val="000000"/>
          <w:sz w:val="24"/>
          <w:szCs w:val="24"/>
          <w:lang w:val="fr-FR"/>
        </w:rPr>
      </w:pPr>
      <w:r>
        <w:rPr>
          <w:rStyle w:val="Aucun"/>
          <w:rFonts w:ascii="Times New Roman" w:hAnsi="Times New Roman"/>
          <w:color w:val="000000"/>
          <w:sz w:val="24"/>
          <w:szCs w:val="24"/>
          <w:u w:color="000000"/>
          <w:lang w:val="fr-FR"/>
        </w:rPr>
        <w:t>La condition d’une contribution à une société plus heureuse : la dimension alternative</w:t>
      </w:r>
    </w:p>
    <w:p w14:paraId="3DCE4C61" w14:textId="77777777" w:rsidR="00F93310" w:rsidRDefault="00000000">
      <w:pPr>
        <w:pStyle w:val="Heading3"/>
        <w:numPr>
          <w:ilvl w:val="1"/>
          <w:numId w:val="7"/>
        </w:numPr>
        <w:spacing w:before="0"/>
        <w:jc w:val="both"/>
        <w:rPr>
          <w:rFonts w:ascii="Times New Roman" w:hAnsi="Times New Roman"/>
          <w:color w:val="000000"/>
        </w:rPr>
      </w:pPr>
      <w:r>
        <w:rPr>
          <w:rStyle w:val="Aucun"/>
          <w:rFonts w:ascii="Times New Roman" w:hAnsi="Times New Roman"/>
          <w:color w:val="000000"/>
          <w:u w:color="000000"/>
        </w:rPr>
        <w:t xml:space="preserve">Un mode </w:t>
      </w:r>
      <w:r>
        <w:rPr>
          <w:rStyle w:val="Aucun"/>
          <w:rFonts w:ascii="Times New Roman" w:hAnsi="Times New Roman"/>
          <w:color w:val="000000"/>
          <w:u w:color="000000"/>
          <w:lang w:val="fr-FR"/>
        </w:rPr>
        <w:t>alternatif d’échange</w:t>
      </w:r>
    </w:p>
    <w:p w14:paraId="2E54F5CA" w14:textId="77777777" w:rsidR="00F93310" w:rsidRDefault="00000000">
      <w:pPr>
        <w:pStyle w:val="CorpsAA"/>
        <w:ind w:left="284"/>
        <w:jc w:val="both"/>
        <w:rPr>
          <w:rStyle w:val="Aucun"/>
          <w:rFonts w:ascii="Times New Roman" w:eastAsia="Times New Roman" w:hAnsi="Times New Roman" w:cs="Times New Roman"/>
          <w:color w:val="00507F"/>
          <w:sz w:val="24"/>
          <w:szCs w:val="24"/>
          <w:u w:color="00507F"/>
        </w:rPr>
      </w:pPr>
      <w:r>
        <w:rPr>
          <w:rStyle w:val="Aucun"/>
          <w:rFonts w:ascii="Times New Roman" w:hAnsi="Times New Roman"/>
          <w:sz w:val="24"/>
          <w:szCs w:val="24"/>
        </w:rPr>
        <w:t xml:space="preserve">3.2 </w:t>
      </w:r>
      <w:r>
        <w:rPr>
          <w:rStyle w:val="Aucun"/>
          <w:rFonts w:ascii="Times New Roman" w:hAnsi="Times New Roman"/>
        </w:rPr>
        <w:t>Un mode alternatif de production</w:t>
      </w:r>
    </w:p>
    <w:p w14:paraId="0C6603FA" w14:textId="77777777" w:rsidR="00F93310" w:rsidRDefault="00F93310">
      <w:pPr>
        <w:pStyle w:val="CorpsA"/>
      </w:pPr>
    </w:p>
    <w:p w14:paraId="40B34D23" w14:textId="77777777" w:rsidR="00F93310" w:rsidRDefault="00F93310">
      <w:pPr>
        <w:pStyle w:val="CorpsA"/>
      </w:pPr>
    </w:p>
    <w:p w14:paraId="39A2FDD9" w14:textId="77777777" w:rsidR="00F93310" w:rsidRDefault="00F93310">
      <w:pPr>
        <w:pStyle w:val="CorpsA"/>
      </w:pPr>
    </w:p>
    <w:p w14:paraId="3CF14845" w14:textId="77777777" w:rsidR="00F93310" w:rsidRDefault="00000000">
      <w:pPr>
        <w:pStyle w:val="Heading1"/>
        <w:numPr>
          <w:ilvl w:val="6"/>
          <w:numId w:val="2"/>
        </w:numPr>
        <w:spacing w:before="0"/>
        <w:jc w:val="both"/>
        <w:rPr>
          <w:rFonts w:ascii="Times New Roman" w:hAnsi="Times New Roman"/>
          <w:b/>
          <w:bCs/>
          <w:color w:val="000000"/>
        </w:rPr>
      </w:pPr>
      <w:r>
        <w:rPr>
          <w:rStyle w:val="Aucun"/>
          <w:rFonts w:ascii="Times New Roman" w:hAnsi="Times New Roman"/>
          <w:b/>
          <w:bCs/>
          <w:color w:val="000000"/>
          <w:u w:color="000000"/>
        </w:rPr>
        <w:t xml:space="preserve">INTRODUCTION </w:t>
      </w:r>
    </w:p>
    <w:p w14:paraId="0F6E6220" w14:textId="77777777" w:rsidR="00F93310" w:rsidRDefault="00F93310">
      <w:pPr>
        <w:pStyle w:val="CorpsA"/>
        <w:rPr>
          <w:rStyle w:val="PageNumber"/>
        </w:rPr>
      </w:pPr>
    </w:p>
    <w:p w14:paraId="18B71E0C" w14:textId="77777777" w:rsidR="00F93310" w:rsidRDefault="00000000">
      <w:pPr>
        <w:pStyle w:val="CorpsA"/>
        <w:rPr>
          <w:rStyle w:val="PageNumber"/>
        </w:rPr>
      </w:pPr>
      <w:r>
        <w:rPr>
          <w:rStyle w:val="PageNumber"/>
        </w:rPr>
        <w:t>Le thème de cette présentation présente un côté éclectique puisque cette dernière est circonscrite par la juxtaposition de plusieurs phénomènes. Il n’est pourtant pas difficile de voir le lien qui les unit : ce sont des domaines de l’économie sociale et solidaire, particulièrement inscrits dans le mouvement de relocalisation, et c’est ce caractère qui justifie l’inclusion dans ce dossier. Cette relocalisation s’apparente en apparence à une démondialisation, son nécessaire couplage avec la dimension alternative de tous ces mécanismes la rapproche toutefois beaucoup plus d’une remondialisation. Il serait possible de montrer que cette dimension locale est beaucoup plus largement partagée dans l’ensemble de l’économie sociale et solidaire pour un lien entre économie circulaire et économie sociale et solidaire</w:t>
      </w:r>
      <w:r>
        <w:rPr>
          <w:rStyle w:val="FootnoteReference"/>
          <w:rFonts w:eastAsia="Times New Roman" w:cs="Times New Roman"/>
        </w:rPr>
        <w:footnoteReference w:id="2"/>
      </w:r>
      <w:r>
        <w:rPr>
          <w:rStyle w:val="PageNumber"/>
        </w:rPr>
        <w:t>; le respect du thème limité de cette contribution s’y oppose. Ceci mérite toutefois d’être gardé à l’esprit car les débats qui traversent l’économie sociale et solidaire et sa place dans la conception socio-économique de notre monde ne sont pas absents des trois objets compris dans cette présentation. Ainsi, il convient d’observer que la dimension locale qui retient le regard est finalement pauvre si elle n’est pas complétée par une dimension alternative au modèle dominant.</w:t>
      </w:r>
    </w:p>
    <w:p w14:paraId="44088395" w14:textId="50660BEF"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Mais de quoi s’agit-il exactement ? Pour éviter une présentation purement descriptive, il est nécessaire en introduction de fournir au lecteur une connaissance superficielle suffisante pour apprécier les analyses qui suivront. Pour commencer, l’économie circulaire suscite d’importants débats. Faute de définition légale, il est possible de se référer au site du ministère français de l’écologie, qui indique : « L’économie circulaire consiste à produire des biens et des services de manière durable en limitant la consommation et le gaspillage des ressources et la production des déchets</w:t>
      </w:r>
      <w:r>
        <w:rPr>
          <w:rStyle w:val="Aucun"/>
          <w:rFonts w:ascii="Times New Roman" w:hAnsi="Times New Roman"/>
          <w:sz w:val="24"/>
          <w:szCs w:val="24"/>
          <w:lang w:val="it-IT"/>
        </w:rPr>
        <w:t>. Il s</w:t>
      </w:r>
      <w:r>
        <w:rPr>
          <w:rStyle w:val="Aucun"/>
          <w:rFonts w:ascii="Arial Unicode MS" w:hAnsi="Arial Unicode MS"/>
          <w:sz w:val="24"/>
          <w:szCs w:val="24"/>
          <w:rtl/>
          <w:lang w:val="ar-SA"/>
        </w:rPr>
        <w:t>’</w:t>
      </w:r>
      <w:r>
        <w:rPr>
          <w:rStyle w:val="Aucun"/>
          <w:rFonts w:ascii="Times New Roman" w:hAnsi="Times New Roman"/>
          <w:sz w:val="24"/>
          <w:szCs w:val="24"/>
        </w:rPr>
        <w:t>agit de passer d</w:t>
      </w:r>
      <w:r>
        <w:rPr>
          <w:rStyle w:val="Aucun"/>
          <w:rFonts w:ascii="Arial Unicode MS" w:hAnsi="Arial Unicode MS"/>
          <w:sz w:val="24"/>
          <w:szCs w:val="24"/>
          <w:rtl/>
          <w:lang w:val="ar-SA"/>
        </w:rPr>
        <w:t>’</w:t>
      </w:r>
      <w:r>
        <w:rPr>
          <w:rStyle w:val="Aucun"/>
          <w:rFonts w:ascii="Times New Roman" w:hAnsi="Times New Roman"/>
          <w:sz w:val="24"/>
          <w:szCs w:val="24"/>
        </w:rPr>
        <w:t>une société du tout jetable à un mod</w:t>
      </w:r>
      <w:r>
        <w:rPr>
          <w:rStyle w:val="Aucun"/>
          <w:rFonts w:ascii="Times New Roman" w:hAnsi="Times New Roman"/>
          <w:sz w:val="24"/>
          <w:szCs w:val="24"/>
          <w:lang w:val="it-IT"/>
        </w:rPr>
        <w:t>è</w:t>
      </w:r>
      <w:r>
        <w:rPr>
          <w:rStyle w:val="Aucun"/>
          <w:rFonts w:ascii="Times New Roman" w:hAnsi="Times New Roman"/>
          <w:sz w:val="24"/>
          <w:szCs w:val="24"/>
        </w:rPr>
        <w:t xml:space="preserve">le économique plus </w:t>
      </w:r>
      <w:r w:rsidR="006D666B">
        <w:rPr>
          <w:rStyle w:val="Aucun"/>
          <w:rFonts w:ascii="Times New Roman" w:hAnsi="Times New Roman"/>
          <w:sz w:val="24"/>
          <w:szCs w:val="24"/>
        </w:rPr>
        <w:t>circulaire»</w:t>
      </w:r>
      <w:r>
        <w:rPr>
          <w:rStyle w:val="Aucun"/>
          <w:rFonts w:ascii="Times New Roman" w:eastAsia="Times New Roman" w:hAnsi="Times New Roman" w:cs="Times New Roman"/>
          <w:sz w:val="24"/>
          <w:szCs w:val="24"/>
          <w:vertAlign w:val="superscript"/>
        </w:rPr>
        <w:footnoteReference w:id="3"/>
      </w:r>
      <w:r>
        <w:rPr>
          <w:rStyle w:val="Aucun"/>
          <w:rFonts w:ascii="Times New Roman" w:hAnsi="Times New Roman"/>
          <w:sz w:val="24"/>
          <w:szCs w:val="24"/>
        </w:rPr>
        <w:t>. La circularité est donc limitée, il n’est pas question de créer un système clos qui n’utiliserait plus d’intrants mais seulement de réduire les excès. Il existe des conceptions beaucoup plus fortes de l’économie circulaire. Prenons pour exemple Dominic Bourg et Christian Arnsperger qui affirment : « L’objectif de l’économie circulaire — dans son entière acception — est la préservation de la biosphère afin d’en maintenir la viabilité, pour l’espèce humaine au premier chef »</w:t>
      </w:r>
      <w:r>
        <w:rPr>
          <w:rStyle w:val="Aucun"/>
          <w:rFonts w:ascii="Times New Roman" w:eastAsia="Times New Roman" w:hAnsi="Times New Roman" w:cs="Times New Roman"/>
          <w:sz w:val="24"/>
          <w:szCs w:val="24"/>
          <w:vertAlign w:val="superscript"/>
        </w:rPr>
        <w:footnoteReference w:id="4"/>
      </w:r>
      <w:r>
        <w:rPr>
          <w:rStyle w:val="Aucun"/>
          <w:rFonts w:ascii="Times New Roman" w:hAnsi="Times New Roman"/>
          <w:sz w:val="24"/>
          <w:szCs w:val="24"/>
        </w:rPr>
        <w:t>. Ce n’est pas le lieu d’approfondir la discussion ; il suffit ici de relever que la première définition, modeste</w:t>
      </w:r>
      <w:r>
        <w:rPr>
          <w:rStyle w:val="Aucun"/>
          <w:rFonts w:ascii="Times New Roman" w:eastAsia="Times New Roman" w:hAnsi="Times New Roman" w:cs="Times New Roman"/>
          <w:sz w:val="24"/>
          <w:szCs w:val="24"/>
          <w:vertAlign w:val="superscript"/>
        </w:rPr>
        <w:footnoteReference w:id="5"/>
      </w:r>
      <w:r>
        <w:rPr>
          <w:rStyle w:val="Aucun"/>
          <w:rFonts w:ascii="Times New Roman" w:hAnsi="Times New Roman"/>
          <w:sz w:val="24"/>
          <w:szCs w:val="24"/>
        </w:rPr>
        <w:t>, se contente d’initier un effort tandis que la seconde prend pour base le résultat à obtenir ; dès lors qu’il y va de la survie de notre espèce et de la vie, il n’est pas irrationnel de préférer la seconde approche. Sur le plan légal, la définition faible de l’économie circulaire conduit à une concentration sur le seul cycle de la production : la loi française de 2020 porte ainsi sur la production de déchets, le réemploi et la lutte contre le gaspillage, l</w:t>
      </w:r>
      <w:r>
        <w:rPr>
          <w:rStyle w:val="Aucun"/>
          <w:rFonts w:ascii="Arial Unicode MS" w:hAnsi="Arial Unicode MS"/>
          <w:sz w:val="24"/>
          <w:szCs w:val="24"/>
          <w:rtl/>
          <w:lang w:val="ar-SA"/>
        </w:rPr>
        <w:t>’</w:t>
      </w:r>
      <w:r>
        <w:rPr>
          <w:rStyle w:val="Aucun"/>
          <w:rFonts w:ascii="Times New Roman" w:hAnsi="Times New Roman"/>
          <w:sz w:val="24"/>
          <w:szCs w:val="24"/>
        </w:rPr>
        <w:t>information des consommateurs et la responsabilité des producteurs, ainsi que sur les dépôts sauvages</w:t>
      </w:r>
      <w:r>
        <w:rPr>
          <w:rStyle w:val="Aucun"/>
          <w:rFonts w:ascii="Times New Roman" w:eastAsia="Times New Roman" w:hAnsi="Times New Roman" w:cs="Times New Roman"/>
          <w:sz w:val="24"/>
          <w:szCs w:val="24"/>
          <w:vertAlign w:val="superscript"/>
        </w:rPr>
        <w:footnoteReference w:id="6"/>
      </w:r>
      <w:r>
        <w:rPr>
          <w:rStyle w:val="Aucun"/>
          <w:rFonts w:ascii="Times New Roman" w:hAnsi="Times New Roman"/>
          <w:sz w:val="24"/>
          <w:szCs w:val="24"/>
        </w:rPr>
        <w:t>.</w:t>
      </w:r>
    </w:p>
    <w:p w14:paraId="15ACC113" w14:textId="77777777" w:rsidR="00F93310" w:rsidRDefault="00000000">
      <w:pPr>
        <w:pStyle w:val="Corps"/>
      </w:pPr>
      <w:r>
        <w:rPr>
          <w:rStyle w:val="PageNumber"/>
          <w:rFonts w:ascii="Arial Unicode MS" w:eastAsia="Arial Unicode MS" w:hAnsi="Arial Unicode MS" w:cs="Arial Unicode MS"/>
        </w:rPr>
        <w:br w:type="page"/>
      </w:r>
    </w:p>
    <w:p w14:paraId="1F77B67E"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La monnaie locale complémentaire</w:t>
      </w:r>
      <w:r>
        <w:rPr>
          <w:rStyle w:val="Aucun"/>
          <w:rFonts w:ascii="Times New Roman" w:eastAsia="Times New Roman" w:hAnsi="Times New Roman" w:cs="Times New Roman"/>
          <w:sz w:val="24"/>
          <w:szCs w:val="24"/>
          <w:vertAlign w:val="superscript"/>
        </w:rPr>
        <w:footnoteReference w:id="7"/>
      </w:r>
      <w:r>
        <w:rPr>
          <w:rStyle w:val="Aucun"/>
          <w:rFonts w:ascii="Times New Roman" w:hAnsi="Times New Roman"/>
          <w:sz w:val="24"/>
          <w:szCs w:val="24"/>
        </w:rPr>
        <w:t xml:space="preserve"> </w:t>
      </w:r>
      <w:r>
        <w:rPr>
          <w:rStyle w:val="Aucun"/>
          <w:rFonts w:ascii="Times New Roman" w:hAnsi="Times New Roman"/>
        </w:rPr>
        <w:t xml:space="preserve">est plus connue et il suffit de rappeler qu’elle </w:t>
      </w:r>
      <w:proofErr w:type="spellStart"/>
      <w:r>
        <w:rPr>
          <w:rStyle w:val="Aucun"/>
          <w:rFonts w:ascii="Times New Roman" w:hAnsi="Times New Roman"/>
        </w:rPr>
        <w:t>constitute</w:t>
      </w:r>
      <w:proofErr w:type="spellEnd"/>
      <w:r>
        <w:rPr>
          <w:rStyle w:val="Aucun"/>
          <w:rFonts w:ascii="Times New Roman" w:hAnsi="Times New Roman"/>
        </w:rPr>
        <w:t xml:space="preserve"> une monnaie distincte de la monnaie ayant cours officiel, disponible dans une ère géographique limitée. </w:t>
      </w:r>
      <w:r>
        <w:rPr>
          <w:rStyle w:val="Aucun"/>
          <w:rFonts w:ascii="Times New Roman" w:hAnsi="Times New Roman"/>
          <w:sz w:val="24"/>
          <w:szCs w:val="24"/>
        </w:rPr>
        <w:t>Les systèmes d’échange locaux sont définis simplement comme un groupe de personnes qui mettent des services, des savoirs et des biens à la disposition les unes des autres, au moyen d</w:t>
      </w:r>
      <w:r>
        <w:rPr>
          <w:rStyle w:val="Aucun"/>
          <w:rFonts w:ascii="Arial Unicode MS" w:hAnsi="Arial Unicode MS"/>
          <w:sz w:val="24"/>
          <w:szCs w:val="24"/>
          <w:rtl/>
          <w:lang w:val="ar-SA"/>
        </w:rPr>
        <w:t>’</w:t>
      </w:r>
      <w:r>
        <w:rPr>
          <w:rStyle w:val="Aucun"/>
          <w:rFonts w:ascii="Times New Roman" w:hAnsi="Times New Roman"/>
          <w:sz w:val="24"/>
          <w:szCs w:val="24"/>
        </w:rPr>
        <w:t>une unité d’échange choisie par les membres</w:t>
      </w:r>
      <w:r>
        <w:rPr>
          <w:rStyle w:val="Aucun"/>
          <w:rFonts w:ascii="Times New Roman" w:eastAsia="Times New Roman" w:hAnsi="Times New Roman" w:cs="Times New Roman"/>
          <w:sz w:val="24"/>
          <w:szCs w:val="24"/>
          <w:vertAlign w:val="superscript"/>
        </w:rPr>
        <w:footnoteReference w:id="8"/>
      </w:r>
      <w:r>
        <w:rPr>
          <w:rStyle w:val="Aucun"/>
          <w:rFonts w:ascii="Times New Roman" w:hAnsi="Times New Roman"/>
          <w:sz w:val="24"/>
          <w:szCs w:val="24"/>
        </w:rPr>
        <w:t xml:space="preserve">. Jean-Michel Servet propose une définition plus complète : </w:t>
      </w:r>
      <w:r>
        <w:rPr>
          <w:rStyle w:val="Aucun"/>
          <w:rFonts w:ascii="Times New Roman" w:hAnsi="Times New Roman"/>
          <w:sz w:val="24"/>
          <w:szCs w:val="24"/>
          <w:lang w:val="es-ES_tradnl"/>
        </w:rPr>
        <w:t xml:space="preserve">un SEL </w:t>
      </w:r>
      <w:r>
        <w:rPr>
          <w:rStyle w:val="Aucun"/>
          <w:rFonts w:ascii="Times New Roman" w:hAnsi="Times New Roman"/>
          <w:sz w:val="24"/>
          <w:szCs w:val="24"/>
        </w:rPr>
        <w:t>« est un regroupement de personnes qui, sous une forme associative et sur une base locale, échangent des services et des biens par l</w:t>
      </w:r>
      <w:r>
        <w:rPr>
          <w:rStyle w:val="Aucun"/>
          <w:rFonts w:ascii="Arial Unicode MS" w:hAnsi="Arial Unicode MS"/>
          <w:sz w:val="24"/>
          <w:szCs w:val="24"/>
          <w:rtl/>
          <w:lang w:val="ar-SA"/>
        </w:rPr>
        <w:t>’</w:t>
      </w:r>
      <w:r>
        <w:rPr>
          <w:rStyle w:val="Aucun"/>
          <w:rFonts w:ascii="Times New Roman" w:hAnsi="Times New Roman"/>
          <w:sz w:val="24"/>
          <w:szCs w:val="24"/>
        </w:rPr>
        <w:t>intermédiaire d</w:t>
      </w:r>
      <w:r>
        <w:rPr>
          <w:rStyle w:val="Aucun"/>
          <w:rFonts w:ascii="Arial Unicode MS" w:hAnsi="Arial Unicode MS"/>
          <w:sz w:val="24"/>
          <w:szCs w:val="24"/>
          <w:rtl/>
          <w:lang w:val="ar-SA"/>
        </w:rPr>
        <w:t>’</w:t>
      </w:r>
      <w:r>
        <w:rPr>
          <w:rStyle w:val="Aucun"/>
          <w:rFonts w:ascii="Times New Roman" w:hAnsi="Times New Roman"/>
          <w:sz w:val="24"/>
          <w:szCs w:val="24"/>
        </w:rPr>
        <w:t>un bulletin d</w:t>
      </w:r>
      <w:r>
        <w:rPr>
          <w:rStyle w:val="Aucun"/>
          <w:rFonts w:ascii="Arial Unicode MS" w:hAnsi="Arial Unicode MS"/>
          <w:sz w:val="24"/>
          <w:szCs w:val="24"/>
          <w:rtl/>
          <w:lang w:val="ar-SA"/>
        </w:rPr>
        <w:t>’</w:t>
      </w:r>
      <w:r>
        <w:rPr>
          <w:rStyle w:val="Aucun"/>
          <w:rFonts w:ascii="Times New Roman" w:hAnsi="Times New Roman"/>
          <w:sz w:val="24"/>
          <w:szCs w:val="24"/>
        </w:rPr>
        <w:t>information, d</w:t>
      </w:r>
      <w:r>
        <w:rPr>
          <w:rStyle w:val="Aucun"/>
          <w:rFonts w:ascii="Arial Unicode MS" w:hAnsi="Arial Unicode MS"/>
          <w:sz w:val="24"/>
          <w:szCs w:val="24"/>
          <w:rtl/>
          <w:lang w:val="ar-SA"/>
        </w:rPr>
        <w:t>’</w:t>
      </w:r>
      <w:r>
        <w:rPr>
          <w:rStyle w:val="Aucun"/>
          <w:rFonts w:ascii="Times New Roman" w:hAnsi="Times New Roman"/>
          <w:sz w:val="24"/>
          <w:szCs w:val="24"/>
        </w:rPr>
        <w:t>une unité de compte interne des transactions et d</w:t>
      </w:r>
      <w:r>
        <w:rPr>
          <w:rStyle w:val="Aucun"/>
          <w:rFonts w:ascii="Arial Unicode MS" w:hAnsi="Arial Unicode MS"/>
          <w:sz w:val="24"/>
          <w:szCs w:val="24"/>
          <w:rtl/>
          <w:lang w:val="ar-SA"/>
        </w:rPr>
        <w:t>’</w:t>
      </w:r>
      <w:r>
        <w:rPr>
          <w:rStyle w:val="Aucun"/>
          <w:rFonts w:ascii="Times New Roman" w:hAnsi="Times New Roman"/>
          <w:sz w:val="24"/>
          <w:szCs w:val="24"/>
        </w:rPr>
        <w:t xml:space="preserve">un </w:t>
      </w:r>
      <w:proofErr w:type="spellStart"/>
      <w:r>
        <w:rPr>
          <w:rStyle w:val="Aucun"/>
          <w:rFonts w:ascii="Times New Roman" w:hAnsi="Times New Roman"/>
          <w:sz w:val="24"/>
          <w:szCs w:val="24"/>
        </w:rPr>
        <w:t>syst</w:t>
      </w:r>
      <w:proofErr w:type="spellEnd"/>
      <w:r>
        <w:rPr>
          <w:rStyle w:val="Aucun"/>
          <w:rFonts w:ascii="Times New Roman" w:hAnsi="Times New Roman"/>
          <w:sz w:val="24"/>
          <w:szCs w:val="24"/>
          <w:lang w:val="it-IT"/>
        </w:rPr>
        <w:t>è</w:t>
      </w:r>
      <w:r>
        <w:rPr>
          <w:rStyle w:val="Aucun"/>
          <w:rFonts w:ascii="Times New Roman" w:hAnsi="Times New Roman"/>
          <w:sz w:val="24"/>
          <w:szCs w:val="24"/>
        </w:rPr>
        <w:t>me de bons d’échange ou d</w:t>
      </w:r>
      <w:r>
        <w:rPr>
          <w:rStyle w:val="Aucun"/>
          <w:rFonts w:ascii="Arial Unicode MS" w:hAnsi="Arial Unicode MS"/>
          <w:sz w:val="24"/>
          <w:szCs w:val="24"/>
          <w:rtl/>
          <w:lang w:val="ar-SA"/>
        </w:rPr>
        <w:t>’</w:t>
      </w:r>
      <w:r>
        <w:rPr>
          <w:rStyle w:val="Aucun"/>
          <w:rFonts w:ascii="Times New Roman" w:hAnsi="Times New Roman"/>
          <w:sz w:val="24"/>
          <w:szCs w:val="24"/>
        </w:rPr>
        <w:t xml:space="preserve">une feuille personnelle de tenue des comptes, remis </w:t>
      </w:r>
      <w:proofErr w:type="spellStart"/>
      <w:r>
        <w:rPr>
          <w:rStyle w:val="Aucun"/>
          <w:rFonts w:ascii="Times New Roman" w:hAnsi="Times New Roman"/>
          <w:sz w:val="24"/>
          <w:szCs w:val="24"/>
        </w:rPr>
        <w:t>réguli</w:t>
      </w:r>
      <w:proofErr w:type="spellEnd"/>
      <w:r>
        <w:rPr>
          <w:rStyle w:val="Aucun"/>
          <w:rFonts w:ascii="Times New Roman" w:hAnsi="Times New Roman"/>
          <w:sz w:val="24"/>
          <w:szCs w:val="24"/>
          <w:lang w:val="it-IT"/>
        </w:rPr>
        <w:t>è</w:t>
      </w:r>
      <w:r>
        <w:rPr>
          <w:rStyle w:val="Aucun"/>
          <w:rFonts w:ascii="Times New Roman" w:hAnsi="Times New Roman"/>
          <w:sz w:val="24"/>
          <w:szCs w:val="24"/>
        </w:rPr>
        <w:t>rement à l’équipe d</w:t>
      </w:r>
      <w:r>
        <w:rPr>
          <w:rStyle w:val="Aucun"/>
          <w:rFonts w:ascii="Arial Unicode MS" w:hAnsi="Arial Unicode MS"/>
          <w:sz w:val="24"/>
          <w:szCs w:val="24"/>
          <w:rtl/>
          <w:lang w:val="ar-SA"/>
        </w:rPr>
        <w:t>’</w:t>
      </w:r>
      <w:r>
        <w:rPr>
          <w:rStyle w:val="Aucun"/>
          <w:rFonts w:ascii="Times New Roman" w:hAnsi="Times New Roman"/>
          <w:sz w:val="24"/>
          <w:szCs w:val="24"/>
        </w:rPr>
        <w:t>animation du groupe »</w:t>
      </w:r>
      <w:r>
        <w:rPr>
          <w:rStyle w:val="Aucun"/>
          <w:rFonts w:ascii="Times New Roman" w:eastAsia="Times New Roman" w:hAnsi="Times New Roman" w:cs="Times New Roman"/>
          <w:sz w:val="24"/>
          <w:szCs w:val="24"/>
          <w:vertAlign w:val="superscript"/>
        </w:rPr>
        <w:footnoteReference w:id="9"/>
      </w:r>
      <w:r>
        <w:rPr>
          <w:rStyle w:val="Aucun"/>
          <w:rFonts w:ascii="Times New Roman" w:hAnsi="Times New Roman"/>
          <w:sz w:val="24"/>
          <w:szCs w:val="24"/>
        </w:rPr>
        <w:t xml:space="preserve">. </w:t>
      </w:r>
    </w:p>
    <w:p w14:paraId="4EA0C947"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095689E7"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L’économie circulaire, les monnaies locales et les services d’échange locaux (SEL) sont de très bons exemples du mouvement de démondialisation. Concomitants à la mondialisation, ce n’est pas tant leur existence qui atteste d’un mouvement de démondialisation que leur développement, le regain d’intérêt qu’ils suscitent. Ils renvoient à la démondialisation à plusieurs titres. Au premier chef, ils partagent une dimension locale marquée, ce qui naturellement peut se rattacher à une relocalisation en rupture avec l’internationalisation désincarnée de la mondialisation. En outre, ils sont porteurs d’une conception de l’activité économique alternative à celle du capitalisme. Or la démondialisation est aussi une réaction aux excès du néo-libéralisme, la recherche d’autres équilibres entre le local et le global, et nul doute que l’économie circulaire, les monnaies locales et les SEL constituent des modèles qui contribuent à l’élaboration d’un nouvel ordre économique.</w:t>
      </w:r>
    </w:p>
    <w:p w14:paraId="57F525FA"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Plusieurs mécanismes ou phénomènes contemporains mériteraient d’être rapprochés de ces trois objets centraux : circuits courts, clubs d’investisseurs pour la gestion alternative et locale de l’épargne </w:t>
      </w:r>
      <w:r>
        <w:rPr>
          <w:rStyle w:val="Aucun"/>
          <w:rFonts w:ascii="Times New Roman" w:hAnsi="Times New Roman"/>
          <w:sz w:val="24"/>
          <w:szCs w:val="24"/>
        </w:rPr>
        <w:lastRenderedPageBreak/>
        <w:t>solidaire (CIGALE), communautés d’énergie alternatives, pôles territoriaux de coopération économique… Mais ils ne seront évoqués qu’accessoirement. Tous ces exemples font apparaître une dimension locale (I), c’est leur plus petit commun dénominateur et leur contribution à la relocalisation. Mais la plupart des entreprises de l’économie réelle ont une dimension locale, ce sont les entreprises immobiles</w:t>
      </w:r>
      <w:r>
        <w:rPr>
          <w:rStyle w:val="Aucun"/>
          <w:rFonts w:ascii="Times New Roman" w:eastAsia="Times New Roman" w:hAnsi="Times New Roman" w:cs="Times New Roman"/>
          <w:sz w:val="24"/>
          <w:szCs w:val="24"/>
          <w:vertAlign w:val="superscript"/>
        </w:rPr>
        <w:footnoteReference w:id="10"/>
      </w:r>
      <w:r>
        <w:rPr>
          <w:rStyle w:val="Aucun"/>
          <w:rFonts w:ascii="Times New Roman" w:hAnsi="Times New Roman"/>
          <w:sz w:val="24"/>
          <w:szCs w:val="24"/>
        </w:rPr>
        <w:t>, tout comme les politiques publiques, et il n’est donc pas possible de rendre compte de ces entreprises par ce seul trait. Ce qui fait leur intérêt, c’est leur dimension alternative (II), qui seule les autorise à revendiquer de pouvoir être un modèle d’inspiration pour la construction d’un monde durable au sein d’une authentique mondialisation.</w:t>
      </w:r>
    </w:p>
    <w:p w14:paraId="72BED776"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1E5CBC6F" w14:textId="77777777" w:rsidR="00F93310" w:rsidRDefault="00000000">
      <w:pPr>
        <w:pStyle w:val="Heading2"/>
        <w:spacing w:before="0"/>
        <w:jc w:val="both"/>
        <w:rPr>
          <w:rStyle w:val="Aucun"/>
          <w:rFonts w:ascii="Times New Roman" w:eastAsia="Times New Roman" w:hAnsi="Times New Roman" w:cs="Times New Roman"/>
          <w:b/>
          <w:bCs/>
          <w:color w:val="000000"/>
          <w:u w:color="000000"/>
          <w:lang w:val="fr-FR"/>
        </w:rPr>
      </w:pPr>
      <w:r>
        <w:rPr>
          <w:rStyle w:val="Aucun"/>
          <w:rFonts w:ascii="Times New Roman" w:hAnsi="Times New Roman"/>
          <w:b/>
          <w:bCs/>
          <w:color w:val="000000"/>
          <w:u w:color="000000"/>
          <w:lang w:val="fr-FR"/>
        </w:rPr>
        <w:t>2. LE MINIMUM COMMUN : LA DIMENSION LOCALE</w:t>
      </w:r>
    </w:p>
    <w:p w14:paraId="66B5BDD2"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654016C6"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Les phénomènes étudiés ont tous une dimension locale. Celle-ci porte d’abord sur la localité des opérations réalisées (2.1) mais finalement ce premier aspect est peu développé. La communauté sur laquelle s’appuient ces phénomènes (2.2) est davantage élaborée.</w:t>
      </w:r>
    </w:p>
    <w:p w14:paraId="66B6A2F0"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0795B871" w14:textId="77777777" w:rsidR="00F93310" w:rsidRDefault="00000000">
      <w:pPr>
        <w:pStyle w:val="Heading3"/>
        <w:numPr>
          <w:ilvl w:val="1"/>
          <w:numId w:val="9"/>
        </w:numPr>
        <w:jc w:val="both"/>
        <w:rPr>
          <w:rFonts w:ascii="Times New Roman" w:hAnsi="Times New Roman"/>
          <w:b/>
          <w:bCs/>
          <w:color w:val="000000"/>
          <w:lang w:val="fr-FR"/>
        </w:rPr>
      </w:pPr>
      <w:r>
        <w:rPr>
          <w:rStyle w:val="Aucun"/>
          <w:rFonts w:ascii="Times New Roman" w:hAnsi="Times New Roman"/>
          <w:b/>
          <w:bCs/>
          <w:color w:val="000000"/>
          <w:u w:color="000000"/>
          <w:lang w:val="fr-FR"/>
        </w:rPr>
        <w:t>La proximité territoriale des échanges</w:t>
      </w:r>
    </w:p>
    <w:p w14:paraId="15D18612"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22110ACD"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La question locale prend une place croissante dans les préoccupations, c’est d’ailleurs une des raisons du thème du dossier. Relativement à l’objet de cette étude, le droit reste pourtant très timide. Si la dimension locale a dès l’origine innervé le mouvement de la transition</w:t>
      </w:r>
      <w:r>
        <w:rPr>
          <w:rStyle w:val="Aucun"/>
          <w:rFonts w:ascii="Times New Roman" w:eastAsia="Times New Roman" w:hAnsi="Times New Roman" w:cs="Times New Roman"/>
          <w:sz w:val="24"/>
          <w:szCs w:val="24"/>
          <w:vertAlign w:val="superscript"/>
        </w:rPr>
        <w:footnoteReference w:id="11"/>
      </w:r>
      <w:r>
        <w:rPr>
          <w:rStyle w:val="Aucun"/>
          <w:rFonts w:ascii="Times New Roman" w:hAnsi="Times New Roman"/>
          <w:sz w:val="24"/>
          <w:szCs w:val="24"/>
        </w:rPr>
        <w:t>, si le développement local est promu par le droit</w:t>
      </w:r>
      <w:r>
        <w:rPr>
          <w:rStyle w:val="Aucun"/>
          <w:rFonts w:ascii="Times New Roman" w:eastAsia="Times New Roman" w:hAnsi="Times New Roman" w:cs="Times New Roman"/>
          <w:sz w:val="24"/>
          <w:szCs w:val="24"/>
          <w:vertAlign w:val="superscript"/>
        </w:rPr>
        <w:footnoteReference w:id="12"/>
      </w:r>
      <w:r>
        <w:rPr>
          <w:rStyle w:val="Aucun"/>
          <w:rFonts w:ascii="Times New Roman" w:hAnsi="Times New Roman"/>
          <w:sz w:val="24"/>
          <w:szCs w:val="24"/>
        </w:rPr>
        <w:t xml:space="preserve"> et si une attention croissante est portée à la responsabilité territoriale des entreprises</w:t>
      </w:r>
      <w:r>
        <w:rPr>
          <w:rStyle w:val="Aucun"/>
          <w:rFonts w:ascii="Times New Roman" w:eastAsia="Times New Roman" w:hAnsi="Times New Roman" w:cs="Times New Roman"/>
          <w:sz w:val="24"/>
          <w:szCs w:val="24"/>
          <w:vertAlign w:val="superscript"/>
        </w:rPr>
        <w:footnoteReference w:id="13"/>
      </w:r>
      <w:r>
        <w:rPr>
          <w:rStyle w:val="Aucun"/>
          <w:rFonts w:ascii="Times New Roman" w:hAnsi="Times New Roman"/>
          <w:sz w:val="24"/>
          <w:szCs w:val="24"/>
        </w:rPr>
        <w:t xml:space="preserve">, cette question n’est pas au cœur des dispositifs juridiques qui relèvent de notre sujet. </w:t>
      </w:r>
      <w:r>
        <w:rPr>
          <w:rStyle w:val="Aucun"/>
          <w:rFonts w:ascii="Times New Roman" w:hAnsi="Times New Roman"/>
          <w:sz w:val="24"/>
          <w:szCs w:val="24"/>
        </w:rPr>
        <w:lastRenderedPageBreak/>
        <w:t xml:space="preserve">C’est finalement à travers d’autres exemples que le caractère local apparaitra de façon plus substantielle. </w:t>
      </w:r>
    </w:p>
    <w:p w14:paraId="02D81F09"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L’économie circulaire peut se concevoir en théorie sans égard à la question géographique ; il suffit qu’un objet soit réutilisé pour qu’on parle de circularité. Pourtant, dès lors que le but de l’économie circulaire est d’éviter les pollutions liées à la multiplication des produits jetés, elle favorise naturellement la circularité locale, le transport étant lui aussi source de pollution. Le réseau des ressourceries fournit un exemple de l</w:t>
      </w:r>
      <w:r>
        <w:rPr>
          <w:rStyle w:val="Aucun"/>
          <w:rFonts w:ascii="Arial Unicode MS" w:hAnsi="Arial Unicode MS"/>
          <w:sz w:val="24"/>
          <w:szCs w:val="24"/>
          <w:rtl/>
          <w:lang w:val="ar-SA"/>
        </w:rPr>
        <w:t>’</w:t>
      </w:r>
      <w:r>
        <w:rPr>
          <w:rStyle w:val="Aucun"/>
          <w:rFonts w:ascii="Times New Roman" w:hAnsi="Times New Roman"/>
          <w:sz w:val="24"/>
          <w:szCs w:val="24"/>
        </w:rPr>
        <w:t xml:space="preserve">affirmation de cette dimension. </w:t>
      </w:r>
      <w:r>
        <w:rPr>
          <w:rStyle w:val="Aucun"/>
          <w:rFonts w:ascii="Times New Roman" w:hAnsi="Times New Roman"/>
        </w:rPr>
        <w:t xml:space="preserve">« Une ressourcerie met en </w:t>
      </w:r>
      <w:proofErr w:type="spellStart"/>
      <w:r>
        <w:rPr>
          <w:rStyle w:val="Aucun"/>
          <w:rFonts w:ascii="Times New Roman" w:hAnsi="Times New Roman"/>
        </w:rPr>
        <w:t>oeuvre</w:t>
      </w:r>
      <w:proofErr w:type="spellEnd"/>
      <w:r>
        <w:rPr>
          <w:rStyle w:val="Aucun"/>
          <w:rFonts w:ascii="Times New Roman" w:hAnsi="Times New Roman"/>
        </w:rPr>
        <w:t xml:space="preserve"> des modes de collecte des d</w:t>
      </w:r>
      <w:r>
        <w:rPr>
          <w:rStyle w:val="Aucun"/>
          <w:rFonts w:ascii="Times New Roman" w:hAnsi="Times New Roman"/>
          <w:lang w:val="it-IT"/>
        </w:rPr>
        <w:t>È</w:t>
      </w:r>
      <w:proofErr w:type="spellStart"/>
      <w:r>
        <w:rPr>
          <w:rStyle w:val="Aucun"/>
          <w:rFonts w:ascii="Times New Roman" w:hAnsi="Times New Roman"/>
        </w:rPr>
        <w:t>chets</w:t>
      </w:r>
      <w:proofErr w:type="spellEnd"/>
      <w:r>
        <w:rPr>
          <w:rStyle w:val="Aucun"/>
          <w:rFonts w:ascii="Times New Roman" w:hAnsi="Times New Roman"/>
        </w:rPr>
        <w:t xml:space="preserve"> (encombrants...) qui </w:t>
      </w:r>
      <w:proofErr w:type="spellStart"/>
      <w:r>
        <w:rPr>
          <w:rStyle w:val="Aucun"/>
          <w:rFonts w:ascii="Times New Roman" w:hAnsi="Times New Roman"/>
        </w:rPr>
        <w:t>pr</w:t>
      </w:r>
      <w:proofErr w:type="spellEnd"/>
      <w:r>
        <w:rPr>
          <w:rStyle w:val="Aucun"/>
          <w:rFonts w:ascii="Times New Roman" w:hAnsi="Times New Roman"/>
          <w:lang w:val="it-IT"/>
        </w:rPr>
        <w:t>È</w:t>
      </w:r>
      <w:r>
        <w:rPr>
          <w:rStyle w:val="Aucun"/>
          <w:rFonts w:ascii="Times New Roman" w:hAnsi="Times New Roman"/>
        </w:rPr>
        <w:t xml:space="preserve">servent leur </w:t>
      </w:r>
      <w:r>
        <w:rPr>
          <w:rStyle w:val="Aucun"/>
          <w:rFonts w:ascii="Times New Roman" w:hAnsi="Times New Roman"/>
          <w:lang w:val="it-IT"/>
        </w:rPr>
        <w:t>È</w:t>
      </w:r>
      <w:r>
        <w:rPr>
          <w:rStyle w:val="Aucun"/>
          <w:rFonts w:ascii="Times New Roman" w:hAnsi="Times New Roman"/>
        </w:rPr>
        <w:t>tat en vue de les valoriser prioritairement par r</w:t>
      </w:r>
      <w:proofErr w:type="spellStart"/>
      <w:r>
        <w:rPr>
          <w:rStyle w:val="Aucun"/>
          <w:rFonts w:ascii="Times New Roman" w:hAnsi="Times New Roman"/>
          <w:lang w:val="it-IT"/>
        </w:rPr>
        <w:t>é</w:t>
      </w:r>
      <w:proofErr w:type="spellEnd"/>
      <w:r>
        <w:rPr>
          <w:rStyle w:val="Aucun"/>
          <w:rFonts w:ascii="Times New Roman" w:hAnsi="Times New Roman"/>
        </w:rPr>
        <w:t>emploi/r</w:t>
      </w:r>
      <w:proofErr w:type="spellStart"/>
      <w:r>
        <w:rPr>
          <w:rStyle w:val="Aucun"/>
          <w:rFonts w:ascii="Times New Roman" w:hAnsi="Times New Roman"/>
          <w:lang w:val="it-IT"/>
        </w:rPr>
        <w:t>é</w:t>
      </w:r>
      <w:proofErr w:type="spellEnd"/>
      <w:r>
        <w:rPr>
          <w:rStyle w:val="Aucun"/>
          <w:rFonts w:ascii="Times New Roman" w:hAnsi="Times New Roman"/>
        </w:rPr>
        <w:t>utilisation sinon par recyclage. »</w:t>
      </w:r>
      <w:r>
        <w:rPr>
          <w:rStyle w:val="Aucun"/>
          <w:rFonts w:ascii="Times New Roman" w:eastAsia="Times New Roman" w:hAnsi="Times New Roman" w:cs="Times New Roman"/>
          <w:vertAlign w:val="superscript"/>
        </w:rPr>
        <w:footnoteReference w:id="14"/>
      </w:r>
      <w:r>
        <w:rPr>
          <w:rStyle w:val="Aucun"/>
          <w:rFonts w:ascii="Times New Roman" w:hAnsi="Times New Roman"/>
        </w:rPr>
        <w:t xml:space="preserve"> Elles sont </w:t>
      </w:r>
      <w:r>
        <w:rPr>
          <w:rStyle w:val="Aucun"/>
          <w:rFonts w:ascii="Times New Roman" w:hAnsi="Times New Roman"/>
          <w:sz w:val="24"/>
          <w:szCs w:val="24"/>
        </w:rPr>
        <w:t xml:space="preserve">présentées sur leur site comme des « acteurs de terrain proches des citoyens », ce qui se traduit par un </w:t>
      </w:r>
      <w:proofErr w:type="spellStart"/>
      <w:r>
        <w:rPr>
          <w:rStyle w:val="Aucun"/>
          <w:rFonts w:ascii="Times New Roman" w:hAnsi="Times New Roman"/>
          <w:sz w:val="24"/>
          <w:szCs w:val="24"/>
        </w:rPr>
        <w:t>caract</w:t>
      </w:r>
      <w:proofErr w:type="spellEnd"/>
      <w:r>
        <w:rPr>
          <w:rStyle w:val="Aucun"/>
          <w:rFonts w:ascii="Times New Roman" w:hAnsi="Times New Roman"/>
          <w:sz w:val="24"/>
          <w:szCs w:val="24"/>
          <w:lang w:val="it-IT"/>
        </w:rPr>
        <w:t>è</w:t>
      </w:r>
      <w:r>
        <w:rPr>
          <w:rStyle w:val="Aucun"/>
          <w:rFonts w:ascii="Times New Roman" w:hAnsi="Times New Roman"/>
          <w:sz w:val="24"/>
          <w:szCs w:val="24"/>
        </w:rPr>
        <w:t>re de « proximité »</w:t>
      </w:r>
      <w:r>
        <w:rPr>
          <w:rStyle w:val="Aucun"/>
          <w:rFonts w:ascii="Times New Roman" w:eastAsia="Times New Roman" w:hAnsi="Times New Roman" w:cs="Times New Roman"/>
          <w:sz w:val="24"/>
          <w:szCs w:val="24"/>
          <w:vertAlign w:val="superscript"/>
        </w:rPr>
        <w:footnoteReference w:id="15"/>
      </w:r>
      <w:r>
        <w:rPr>
          <w:rStyle w:val="Aucun"/>
          <w:rFonts w:ascii="Times New Roman" w:hAnsi="Times New Roman"/>
          <w:sz w:val="24"/>
          <w:szCs w:val="24"/>
          <w:lang w:val="pt-PT"/>
        </w:rPr>
        <w:t>.</w:t>
      </w:r>
    </w:p>
    <w:p w14:paraId="382B5777"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Cet aspect ne transparaît pas directement dans la réglementation des entreprises œuvrant dans l’économie circulaire. En revanche, la proximité des finalités se perçoit dans le fait que l’inscription de la question locale est intervenue dans la loi française dite économie circulaire</w:t>
      </w:r>
      <w:r>
        <w:rPr>
          <w:rStyle w:val="Aucun"/>
          <w:rFonts w:ascii="Times New Roman" w:eastAsia="Times New Roman" w:hAnsi="Times New Roman" w:cs="Times New Roman"/>
          <w:sz w:val="24"/>
          <w:szCs w:val="24"/>
          <w:vertAlign w:val="superscript"/>
        </w:rPr>
        <w:footnoteReference w:id="16"/>
      </w:r>
      <w:r>
        <w:rPr>
          <w:rStyle w:val="Aucun"/>
          <w:rFonts w:ascii="Times New Roman" w:hAnsi="Times New Roman"/>
          <w:sz w:val="24"/>
          <w:szCs w:val="24"/>
        </w:rPr>
        <w:t>. Désormais, les politiques publiques favorisent la recherche et développement, s'appuyant chaque fois que cela est possible sur le savoir-faire et les ressources ou mati</w:t>
      </w:r>
      <w:r>
        <w:rPr>
          <w:rStyle w:val="Aucun"/>
          <w:rFonts w:ascii="Times New Roman" w:hAnsi="Times New Roman"/>
          <w:sz w:val="24"/>
          <w:szCs w:val="24"/>
          <w:lang w:val="it-IT"/>
        </w:rPr>
        <w:t>è</w:t>
      </w:r>
      <w:proofErr w:type="spellStart"/>
      <w:r>
        <w:rPr>
          <w:rStyle w:val="Aucun"/>
          <w:rFonts w:ascii="Times New Roman" w:hAnsi="Times New Roman"/>
          <w:sz w:val="24"/>
          <w:szCs w:val="24"/>
        </w:rPr>
        <w:t>res</w:t>
      </w:r>
      <w:proofErr w:type="spellEnd"/>
      <w:r>
        <w:rPr>
          <w:rStyle w:val="Aucun"/>
          <w:rFonts w:ascii="Times New Roman" w:hAnsi="Times New Roman"/>
          <w:sz w:val="24"/>
          <w:szCs w:val="24"/>
        </w:rPr>
        <w:t xml:space="preserve"> </w:t>
      </w:r>
      <w:proofErr w:type="spellStart"/>
      <w:r>
        <w:rPr>
          <w:rStyle w:val="Aucun"/>
          <w:rFonts w:ascii="Times New Roman" w:hAnsi="Times New Roman"/>
          <w:sz w:val="24"/>
          <w:szCs w:val="24"/>
        </w:rPr>
        <w:t>premi</w:t>
      </w:r>
      <w:proofErr w:type="spellEnd"/>
      <w:r>
        <w:rPr>
          <w:rStyle w:val="Aucun"/>
          <w:rFonts w:ascii="Times New Roman" w:hAnsi="Times New Roman"/>
          <w:sz w:val="24"/>
          <w:szCs w:val="24"/>
          <w:lang w:val="it-IT"/>
        </w:rPr>
        <w:t>è</w:t>
      </w:r>
      <w:proofErr w:type="spellStart"/>
      <w:r>
        <w:rPr>
          <w:rStyle w:val="Aucun"/>
          <w:rFonts w:ascii="Times New Roman" w:hAnsi="Times New Roman"/>
          <w:sz w:val="24"/>
          <w:szCs w:val="24"/>
        </w:rPr>
        <w:t>res</w:t>
      </w:r>
      <w:proofErr w:type="spellEnd"/>
      <w:r>
        <w:rPr>
          <w:rStyle w:val="Aucun"/>
          <w:rFonts w:ascii="Times New Roman" w:hAnsi="Times New Roman"/>
          <w:sz w:val="24"/>
          <w:szCs w:val="24"/>
        </w:rPr>
        <w:t xml:space="preserve"> locales</w:t>
      </w:r>
      <w:r>
        <w:rPr>
          <w:rStyle w:val="Aucun"/>
          <w:rFonts w:ascii="Times New Roman" w:eastAsia="Times New Roman" w:hAnsi="Times New Roman" w:cs="Times New Roman"/>
          <w:sz w:val="24"/>
          <w:szCs w:val="24"/>
          <w:vertAlign w:val="superscript"/>
        </w:rPr>
        <w:footnoteReference w:id="17"/>
      </w:r>
      <w:r>
        <w:rPr>
          <w:rStyle w:val="Aucun"/>
          <w:rFonts w:ascii="Times New Roman" w:hAnsi="Times New Roman"/>
          <w:sz w:val="24"/>
          <w:szCs w:val="24"/>
        </w:rPr>
        <w:t xml:space="preserve">. </w:t>
      </w:r>
    </w:p>
    <w:p w14:paraId="71C736BD"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La question se pose très différemment dans les systèmes d’échange locaux et dans les monnaies locales complémentaires puisque leur dénomination porte par elle-même l’empreinte d’un ancrage territorial. Les systèmes d’échange locaux n’étant pas envisagés par la loi, il n’existe aucune trace légale de cet aspect. Seuls les statuts ou règlements des SEL sont susceptibles de le faire apparaître. Faute d’une étude empirique, nous nous référerons à la doctrine, qui a relevé ce caractère local et proposé d’en rendre compte en inscrivant le SEL dans un « bassin de vie »</w:t>
      </w:r>
      <w:r>
        <w:rPr>
          <w:rStyle w:val="Aucun"/>
          <w:rFonts w:ascii="Times New Roman" w:eastAsia="Times New Roman" w:hAnsi="Times New Roman" w:cs="Times New Roman"/>
          <w:sz w:val="24"/>
          <w:szCs w:val="24"/>
          <w:vertAlign w:val="superscript"/>
        </w:rPr>
        <w:footnoteReference w:id="18"/>
      </w:r>
      <w:r>
        <w:rPr>
          <w:rStyle w:val="Aucun"/>
          <w:rFonts w:ascii="Times New Roman" w:hAnsi="Times New Roman"/>
          <w:sz w:val="24"/>
          <w:szCs w:val="24"/>
        </w:rPr>
        <w:t xml:space="preserve">. L’expression est heureuse à plusieurs titres : d’une part, elle est assez souple pour laisser une grande latitude à chaque SEL ; d’autre part, elle lie intelligemment la délimitation géographique du SEL avec sa fonction </w:t>
      </w:r>
      <w:r>
        <w:rPr>
          <w:rStyle w:val="Aucun"/>
          <w:rFonts w:ascii="Times New Roman" w:hAnsi="Times New Roman"/>
          <w:sz w:val="24"/>
          <w:szCs w:val="24"/>
        </w:rPr>
        <w:lastRenderedPageBreak/>
        <w:t>sociale. Les monnaies locales complémentaires présentent la différence d’être désormais reconnues par le droit, au moins en France</w:t>
      </w:r>
      <w:r>
        <w:rPr>
          <w:rStyle w:val="Aucun"/>
          <w:rFonts w:ascii="Times New Roman" w:eastAsia="Times New Roman" w:hAnsi="Times New Roman" w:cs="Times New Roman"/>
          <w:sz w:val="24"/>
          <w:szCs w:val="24"/>
          <w:vertAlign w:val="superscript"/>
        </w:rPr>
        <w:footnoteReference w:id="19"/>
      </w:r>
      <w:r>
        <w:rPr>
          <w:rStyle w:val="Aucun"/>
          <w:rFonts w:ascii="Times New Roman" w:hAnsi="Times New Roman"/>
          <w:sz w:val="24"/>
          <w:szCs w:val="24"/>
        </w:rPr>
        <w:t>, mais ces textes n’apportent aucune précision quant à ce caractère local. Dès avant la consécration de 2014, il a été montré que ces monnaies étaient valides, à la condition, sur la base de la jurisprudence du Conseil d’</w:t>
      </w:r>
      <w:proofErr w:type="spellStart"/>
      <w:r>
        <w:rPr>
          <w:rStyle w:val="Aucun"/>
          <w:rFonts w:ascii="Times New Roman" w:hAnsi="Times New Roman"/>
          <w:sz w:val="24"/>
          <w:szCs w:val="24"/>
        </w:rPr>
        <w:t>Etat</w:t>
      </w:r>
      <w:proofErr w:type="spellEnd"/>
      <w:r>
        <w:rPr>
          <w:rStyle w:val="Aucun"/>
          <w:rFonts w:ascii="Times New Roman" w:hAnsi="Times New Roman"/>
          <w:sz w:val="24"/>
          <w:szCs w:val="24"/>
        </w:rPr>
        <w:t xml:space="preserve"> en matière de réseaux, de l’existence d’un « périmètre géographique » circonscrit</w:t>
      </w:r>
      <w:r>
        <w:rPr>
          <w:rStyle w:val="Aucun"/>
          <w:rFonts w:ascii="Times New Roman" w:eastAsia="Times New Roman" w:hAnsi="Times New Roman" w:cs="Times New Roman"/>
          <w:sz w:val="24"/>
          <w:szCs w:val="24"/>
          <w:vertAlign w:val="superscript"/>
        </w:rPr>
        <w:footnoteReference w:id="20"/>
      </w:r>
      <w:r>
        <w:rPr>
          <w:rStyle w:val="Aucun"/>
          <w:rFonts w:ascii="Times New Roman" w:hAnsi="Times New Roman"/>
          <w:sz w:val="24"/>
          <w:szCs w:val="24"/>
        </w:rPr>
        <w:t>. Cet aspect est toutefois moins une contrainte qu’un moyen de vitaliser un territoire</w:t>
      </w:r>
      <w:r>
        <w:rPr>
          <w:rStyle w:val="Aucun"/>
          <w:rFonts w:ascii="Times New Roman" w:eastAsia="Times New Roman" w:hAnsi="Times New Roman" w:cs="Times New Roman"/>
          <w:sz w:val="24"/>
          <w:szCs w:val="24"/>
          <w:vertAlign w:val="superscript"/>
        </w:rPr>
        <w:footnoteReference w:id="21"/>
      </w:r>
      <w:r>
        <w:rPr>
          <w:rStyle w:val="Aucun"/>
          <w:rFonts w:ascii="Times New Roman" w:hAnsi="Times New Roman"/>
          <w:sz w:val="24"/>
          <w:szCs w:val="24"/>
        </w:rPr>
        <w:t>.</w:t>
      </w:r>
    </w:p>
    <w:p w14:paraId="028BDE96"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Si l’ancrage territorial est difficile à saisir au regard des échanges réalisés, il transparaît plus nettement à travers la communauté qui lui sert de socle.</w:t>
      </w:r>
    </w:p>
    <w:p w14:paraId="4AE6BF96"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1150C5F3" w14:textId="77777777" w:rsidR="00F93310" w:rsidRDefault="00000000">
      <w:pPr>
        <w:pStyle w:val="CorpsAA"/>
        <w:spacing w:line="480" w:lineRule="auto"/>
        <w:jc w:val="both"/>
        <w:rPr>
          <w:rStyle w:val="Aucun"/>
          <w:rFonts w:ascii="Times New Roman" w:eastAsia="Times New Roman" w:hAnsi="Times New Roman" w:cs="Times New Roman"/>
          <w:b/>
          <w:bCs/>
        </w:rPr>
      </w:pPr>
      <w:r>
        <w:rPr>
          <w:rStyle w:val="Aucun"/>
          <w:b/>
          <w:bCs/>
        </w:rPr>
        <w:t xml:space="preserve">2 .2 </w:t>
      </w:r>
      <w:r>
        <w:rPr>
          <w:rStyle w:val="Aucun"/>
          <w:rFonts w:ascii="Times New Roman" w:hAnsi="Times New Roman"/>
          <w:b/>
          <w:bCs/>
        </w:rPr>
        <w:t>L’existence d’une communauté de base</w:t>
      </w:r>
    </w:p>
    <w:p w14:paraId="62C6A755"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L’existence de communautés est une évidence à propos des monnaies locales et des SEL. Elle est strictement implicite pour les monnaies locales, puisque la loi française précise seulement qu’elles sont émises et gérées par une des personnes mentionnées à l’article 1er de la loi n°2014-856 sur l’économie sociale et solidaire</w:t>
      </w:r>
      <w:r>
        <w:rPr>
          <w:rStyle w:val="Aucun"/>
          <w:rFonts w:ascii="Times New Roman" w:eastAsia="Times New Roman" w:hAnsi="Times New Roman" w:cs="Times New Roman"/>
          <w:sz w:val="24"/>
          <w:szCs w:val="24"/>
          <w:vertAlign w:val="superscript"/>
        </w:rPr>
        <w:footnoteReference w:id="22"/>
      </w:r>
      <w:r>
        <w:rPr>
          <w:rStyle w:val="Aucun"/>
          <w:rFonts w:ascii="Times New Roman" w:hAnsi="Times New Roman"/>
          <w:sz w:val="24"/>
          <w:szCs w:val="24"/>
        </w:rPr>
        <w:t xml:space="preserve"> autrement dit une entité de l’économie sociale et solidaire. L’existence d’un émetteur et d’un gestionnaire est insuffisant à constituer une communauté, d’autant plus que rien dans la loi n’impose que cet émetteur ou gestionnaire n’ait un ancrage local. La seule exigence locale provient donc de l’intitulé de cette monnaie particulière et la communauté qui en découle est celle de ses utilisateurs. La juridicité de cette communauté est faible, quoique sa réalité soit incontestable.</w:t>
      </w:r>
    </w:p>
    <w:p w14:paraId="7A0E6096" w14:textId="47A55944"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 situation est toute différente pour les SEL. Ceux-ci ne bénéficient d’aucune reconnaissance légale, en sorte que leur ancrage local ou l’existence d’une communauté est sans fondement légal ou réglementaire. En revanche, la nature même du SEL impose l’existence d’une communauté de personnes entre lesquelles les échanges locaux se mettent en place. Outre la description du </w:t>
      </w:r>
      <w:r>
        <w:rPr>
          <w:rStyle w:val="Aucun"/>
          <w:rFonts w:ascii="Times New Roman" w:hAnsi="Times New Roman"/>
          <w:sz w:val="24"/>
          <w:szCs w:val="24"/>
        </w:rPr>
        <w:lastRenderedPageBreak/>
        <w:t xml:space="preserve">phénomène, le SEL désigne cette communauté même. Chaque SEL est donc en soi une communauté. La question de la nature juridique de cette communauté a été analysée sur la base </w:t>
      </w:r>
      <w:r w:rsidR="006D666B">
        <w:rPr>
          <w:rStyle w:val="Aucun"/>
          <w:rFonts w:ascii="Times New Roman" w:hAnsi="Times New Roman"/>
          <w:sz w:val="24"/>
          <w:szCs w:val="24"/>
        </w:rPr>
        <w:t>de son</w:t>
      </w:r>
      <w:r>
        <w:rPr>
          <w:rStyle w:val="Aucun"/>
          <w:rFonts w:ascii="Times New Roman" w:hAnsi="Times New Roman"/>
          <w:sz w:val="24"/>
          <w:szCs w:val="24"/>
        </w:rPr>
        <w:t xml:space="preserve"> double objectif : organiser l’activité d’échange de ses membres en leur procurant des facilités, et les faire profiter d’économies plutôt que de réaliser des bénéfices pour elle-même</w:t>
      </w:r>
      <w:r>
        <w:rPr>
          <w:rStyle w:val="Aucun"/>
          <w:rFonts w:ascii="Times New Roman" w:eastAsia="Times New Roman" w:hAnsi="Times New Roman" w:cs="Times New Roman"/>
          <w:sz w:val="24"/>
          <w:szCs w:val="24"/>
          <w:vertAlign w:val="superscript"/>
        </w:rPr>
        <w:footnoteReference w:id="23"/>
      </w:r>
      <w:r>
        <w:rPr>
          <w:rStyle w:val="Aucun"/>
          <w:rFonts w:ascii="Times New Roman" w:hAnsi="Times New Roman"/>
          <w:sz w:val="24"/>
          <w:szCs w:val="24"/>
        </w:rPr>
        <w:t>. Ayant relevé que le SEL n’a qu’une activité économique accessoire à celle de ses membres</w:t>
      </w:r>
      <w:r>
        <w:rPr>
          <w:rStyle w:val="Aucun"/>
          <w:rFonts w:ascii="Times New Roman" w:eastAsia="Times New Roman" w:hAnsi="Times New Roman" w:cs="Times New Roman"/>
          <w:sz w:val="24"/>
          <w:szCs w:val="24"/>
          <w:vertAlign w:val="superscript"/>
        </w:rPr>
        <w:footnoteReference w:id="24"/>
      </w:r>
      <w:r>
        <w:rPr>
          <w:rStyle w:val="Aucun"/>
          <w:rFonts w:ascii="Times New Roman" w:hAnsi="Times New Roman"/>
          <w:sz w:val="24"/>
          <w:szCs w:val="24"/>
        </w:rPr>
        <w:t>, l’auteure doit rejeter les formes apparemment idoines de société civile de moyens et de société civile professionnelle tout comme le G.I.E. Et si la société à titre général est théoriquement aussi envisageable que l’association, la première est inadaptée, même sous la forme coopérative, en raison de l’obligation de souscription du capital social alors que celui-ci fait défaut dans le SEL (l’affirmation est exacte par principe mais il est permis de se demander si des expérimentations ne seraient pas envisageables par apports en industrie). La forme mutualiste est attrayante par la référence au principe de solidarité qui doit l’animer</w:t>
      </w:r>
      <w:r>
        <w:rPr>
          <w:rStyle w:val="Aucun"/>
          <w:rFonts w:ascii="Times New Roman" w:eastAsia="Times New Roman" w:hAnsi="Times New Roman" w:cs="Times New Roman"/>
          <w:sz w:val="24"/>
          <w:szCs w:val="24"/>
          <w:vertAlign w:val="superscript"/>
        </w:rPr>
        <w:footnoteReference w:id="25"/>
      </w:r>
      <w:r>
        <w:rPr>
          <w:rStyle w:val="Aucun"/>
          <w:rFonts w:ascii="Times New Roman" w:hAnsi="Times New Roman"/>
          <w:sz w:val="24"/>
          <w:szCs w:val="24"/>
        </w:rPr>
        <w:t xml:space="preserve"> mais est techniquement impraticable dès lors que l’objet des mutuelles, limitativement énuméré par la loi</w:t>
      </w:r>
      <w:r>
        <w:rPr>
          <w:rStyle w:val="Aucun"/>
          <w:rFonts w:ascii="Times New Roman" w:eastAsia="Times New Roman" w:hAnsi="Times New Roman" w:cs="Times New Roman"/>
          <w:sz w:val="24"/>
          <w:szCs w:val="24"/>
          <w:vertAlign w:val="superscript"/>
        </w:rPr>
        <w:footnoteReference w:id="26"/>
      </w:r>
      <w:r>
        <w:rPr>
          <w:rStyle w:val="Aucun"/>
          <w:rFonts w:ascii="Times New Roman" w:hAnsi="Times New Roman"/>
          <w:sz w:val="24"/>
          <w:szCs w:val="24"/>
        </w:rPr>
        <w:t>, est incompatible. Il en résulte que la forme juridique la plus adaptée en l’état du droit positif s’avère être l’association</w:t>
      </w:r>
      <w:r>
        <w:rPr>
          <w:rStyle w:val="Aucun"/>
          <w:rFonts w:ascii="Times New Roman" w:eastAsia="Times New Roman" w:hAnsi="Times New Roman" w:cs="Times New Roman"/>
          <w:sz w:val="24"/>
          <w:szCs w:val="24"/>
          <w:vertAlign w:val="superscript"/>
        </w:rPr>
        <w:footnoteReference w:id="27"/>
      </w:r>
      <w:r>
        <w:rPr>
          <w:rStyle w:val="Aucun"/>
          <w:rFonts w:ascii="Times New Roman" w:hAnsi="Times New Roman"/>
          <w:sz w:val="24"/>
          <w:szCs w:val="24"/>
        </w:rPr>
        <w:t>.</w:t>
      </w:r>
    </w:p>
    <w:p w14:paraId="149C4C3C"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Au-delà du sujet délimité par le titre de la communication, il faut tout de même mentionner à propos de communautés les récentes communautés d’énergie renouvelable</w:t>
      </w:r>
      <w:r>
        <w:rPr>
          <w:rStyle w:val="Aucun"/>
          <w:rFonts w:ascii="Times New Roman" w:eastAsia="Times New Roman" w:hAnsi="Times New Roman" w:cs="Times New Roman"/>
          <w:sz w:val="24"/>
          <w:szCs w:val="24"/>
          <w:vertAlign w:val="superscript"/>
        </w:rPr>
        <w:footnoteReference w:id="28"/>
      </w:r>
      <w:r>
        <w:rPr>
          <w:rStyle w:val="Aucun"/>
          <w:rFonts w:ascii="Times New Roman" w:hAnsi="Times New Roman"/>
          <w:sz w:val="24"/>
          <w:szCs w:val="24"/>
        </w:rPr>
        <w:t>, inspirées par la pratique</w:t>
      </w:r>
      <w:r>
        <w:rPr>
          <w:rStyle w:val="Aucun"/>
          <w:rFonts w:ascii="Times New Roman" w:eastAsia="Times New Roman" w:hAnsi="Times New Roman" w:cs="Times New Roman"/>
          <w:sz w:val="24"/>
          <w:szCs w:val="24"/>
          <w:vertAlign w:val="superscript"/>
        </w:rPr>
        <w:footnoteReference w:id="29"/>
      </w:r>
      <w:r>
        <w:rPr>
          <w:rStyle w:val="Aucun"/>
          <w:rFonts w:ascii="Times New Roman" w:hAnsi="Times New Roman"/>
          <w:sz w:val="24"/>
          <w:szCs w:val="24"/>
        </w:rPr>
        <w:t xml:space="preserve"> et </w:t>
      </w:r>
      <w:r>
        <w:rPr>
          <w:rStyle w:val="Aucun"/>
          <w:rFonts w:ascii="Times New Roman" w:hAnsi="Times New Roman"/>
          <w:sz w:val="24"/>
          <w:szCs w:val="24"/>
        </w:rPr>
        <w:lastRenderedPageBreak/>
        <w:t>transposées en droit français</w:t>
      </w:r>
      <w:r>
        <w:rPr>
          <w:rStyle w:val="Aucun"/>
          <w:rFonts w:ascii="Times New Roman" w:eastAsia="Times New Roman" w:hAnsi="Times New Roman" w:cs="Times New Roman"/>
          <w:sz w:val="24"/>
          <w:szCs w:val="24"/>
          <w:vertAlign w:val="superscript"/>
        </w:rPr>
        <w:footnoteReference w:id="30"/>
      </w:r>
      <w:r>
        <w:rPr>
          <w:rStyle w:val="Aucun"/>
          <w:rFonts w:ascii="Times New Roman" w:hAnsi="Times New Roman"/>
          <w:sz w:val="24"/>
          <w:szCs w:val="24"/>
        </w:rPr>
        <w:t xml:space="preserve">. Un début de définition de l’ancrage local est fourni pour la communauté d’énergie renouvelable : elle doit effectivement être </w:t>
      </w:r>
      <w:r>
        <w:rPr>
          <w:rStyle w:val="Aucun"/>
          <w:rFonts w:ascii="Times New Roman" w:hAnsi="Times New Roman"/>
          <w:sz w:val="24"/>
          <w:szCs w:val="24"/>
          <w:lang w:val="it-IT"/>
        </w:rPr>
        <w:t>contr</w:t>
      </w:r>
      <w:proofErr w:type="spellStart"/>
      <w:r>
        <w:rPr>
          <w:rStyle w:val="Aucun"/>
          <w:rFonts w:ascii="Times New Roman" w:hAnsi="Times New Roman"/>
          <w:sz w:val="24"/>
          <w:szCs w:val="24"/>
        </w:rPr>
        <w:t>ôlée</w:t>
      </w:r>
      <w:proofErr w:type="spellEnd"/>
      <w:r>
        <w:rPr>
          <w:rStyle w:val="Aucun"/>
          <w:rFonts w:ascii="Times New Roman" w:hAnsi="Times New Roman"/>
          <w:sz w:val="24"/>
          <w:szCs w:val="24"/>
        </w:rPr>
        <w:t xml:space="preserve"> par des actionnaires ou des membres se trouvant à proximité des projets d'énergie renouvelable auxquels elle a souscrit et qu'elle a élaborés</w:t>
      </w:r>
      <w:r>
        <w:rPr>
          <w:rStyle w:val="Aucun"/>
          <w:rFonts w:ascii="Times New Roman" w:eastAsia="Times New Roman" w:hAnsi="Times New Roman" w:cs="Times New Roman"/>
          <w:sz w:val="24"/>
          <w:szCs w:val="24"/>
          <w:vertAlign w:val="superscript"/>
        </w:rPr>
        <w:footnoteReference w:id="31"/>
      </w:r>
      <w:r>
        <w:rPr>
          <w:rStyle w:val="Aucun"/>
          <w:rFonts w:ascii="Times New Roman" w:hAnsi="Times New Roman"/>
          <w:sz w:val="24"/>
          <w:szCs w:val="24"/>
        </w:rPr>
        <w:t xml:space="preserve"> et ce contrôle peut être celui de la catégorie des personnes physiques pour autant qu’elles sont au moins vingt</w:t>
      </w:r>
      <w:r>
        <w:rPr>
          <w:rStyle w:val="Aucun"/>
          <w:rFonts w:ascii="Times New Roman" w:eastAsia="Times New Roman" w:hAnsi="Times New Roman" w:cs="Times New Roman"/>
          <w:sz w:val="24"/>
          <w:szCs w:val="24"/>
          <w:vertAlign w:val="superscript"/>
        </w:rPr>
        <w:footnoteReference w:id="32"/>
      </w:r>
      <w:r>
        <w:rPr>
          <w:rStyle w:val="Aucun"/>
          <w:rFonts w:ascii="Times New Roman" w:hAnsi="Times New Roman"/>
          <w:sz w:val="24"/>
          <w:szCs w:val="24"/>
        </w:rPr>
        <w:t>. Quant au contrôle, il est considéré comme acquis dès lors qu’une catégorie détient 40% des droits de vote sans qu’une autre catégorie détienne un pourcentage équivalent</w:t>
      </w:r>
      <w:r>
        <w:rPr>
          <w:rStyle w:val="Aucun"/>
          <w:rFonts w:ascii="Times New Roman" w:eastAsia="Times New Roman" w:hAnsi="Times New Roman" w:cs="Times New Roman"/>
          <w:sz w:val="24"/>
          <w:szCs w:val="24"/>
          <w:vertAlign w:val="superscript"/>
        </w:rPr>
        <w:footnoteReference w:id="33"/>
      </w:r>
      <w:r>
        <w:rPr>
          <w:rStyle w:val="Aucun"/>
          <w:rFonts w:ascii="Times New Roman" w:hAnsi="Times New Roman"/>
          <w:sz w:val="24"/>
          <w:szCs w:val="24"/>
        </w:rPr>
        <w:t>.</w:t>
      </w:r>
    </w:p>
    <w:p w14:paraId="4B25694C" w14:textId="77777777" w:rsidR="00F93310" w:rsidRDefault="00000000">
      <w:pPr>
        <w:pStyle w:val="PardfautA"/>
        <w:spacing w:before="0" w:after="120" w:line="480" w:lineRule="auto"/>
        <w:jc w:val="both"/>
        <w:rPr>
          <w:rStyle w:val="Aucun"/>
          <w:rFonts w:ascii="Times New Roman" w:eastAsia="Times New Roman" w:hAnsi="Times New Roman" w:cs="Times New Roman"/>
        </w:rPr>
      </w:pPr>
      <w:r>
        <w:rPr>
          <w:rStyle w:val="Aucun"/>
          <w:rFonts w:ascii="Times New Roman" w:hAnsi="Times New Roman"/>
        </w:rPr>
        <w:t>Il faut encore signaler une initiative italienne, plus particulièrement dans la région des Pouilles</w:t>
      </w:r>
      <w:r>
        <w:rPr>
          <w:rStyle w:val="Aucun"/>
          <w:rFonts w:ascii="Times New Roman" w:eastAsia="Times New Roman" w:hAnsi="Times New Roman" w:cs="Times New Roman"/>
          <w:vertAlign w:val="superscript"/>
        </w:rPr>
        <w:footnoteReference w:id="34"/>
      </w:r>
      <w:r>
        <w:rPr>
          <w:rStyle w:val="Aucun"/>
          <w:rFonts w:ascii="Times New Roman" w:hAnsi="Times New Roman"/>
        </w:rPr>
        <w:t>. Elle a créé une catégorie particulière de coopérative : la coopérative communautaire (</w:t>
      </w:r>
      <w:proofErr w:type="spellStart"/>
      <w:r>
        <w:rPr>
          <w:rStyle w:val="Aucun"/>
          <w:rFonts w:ascii="Times New Roman" w:hAnsi="Times New Roman"/>
          <w:i/>
          <w:iCs/>
        </w:rPr>
        <w:t>cooperative</w:t>
      </w:r>
      <w:proofErr w:type="spellEnd"/>
      <w:r>
        <w:rPr>
          <w:rStyle w:val="Aucun"/>
          <w:rFonts w:ascii="Times New Roman" w:hAnsi="Times New Roman"/>
          <w:i/>
          <w:iCs/>
        </w:rPr>
        <w:t xml:space="preserve"> di </w:t>
      </w:r>
      <w:proofErr w:type="spellStart"/>
      <w:r>
        <w:rPr>
          <w:rStyle w:val="Aucun"/>
          <w:rFonts w:ascii="Times New Roman" w:hAnsi="Times New Roman"/>
          <w:i/>
          <w:iCs/>
        </w:rPr>
        <w:t>comunita</w:t>
      </w:r>
      <w:proofErr w:type="spellEnd"/>
      <w:r>
        <w:rPr>
          <w:rStyle w:val="Aucun"/>
          <w:rFonts w:ascii="Times New Roman" w:hAnsi="Times New Roman"/>
        </w:rPr>
        <w:t xml:space="preserve">). Cette coopérative a un objet marqué par le développement local : les coopératives communautaires sont celles qui « en valorisant les compétences de la population résidente, les traditions culturelles et les ressources territoriales, poursuivent l'objectif de satisfaire les besoins de la communauté locale, en améliorant sa </w:t>
      </w:r>
      <w:proofErr w:type="spellStart"/>
      <w:r>
        <w:rPr>
          <w:rStyle w:val="Aucun"/>
          <w:rFonts w:ascii="Times New Roman" w:hAnsi="Times New Roman"/>
        </w:rPr>
        <w:t>qualite</w:t>
      </w:r>
      <w:proofErr w:type="spellEnd"/>
      <w:r>
        <w:rPr>
          <w:rStyle w:val="Aucun"/>
          <w:rFonts w:ascii="Times New Roman" w:hAnsi="Times New Roman"/>
        </w:rPr>
        <w:t xml:space="preserve">́ de vie sociale et économique, à travers le développement d'activités économiques </w:t>
      </w:r>
      <w:proofErr w:type="spellStart"/>
      <w:r>
        <w:rPr>
          <w:rStyle w:val="Aucun"/>
          <w:rFonts w:ascii="Times New Roman" w:hAnsi="Times New Roman"/>
        </w:rPr>
        <w:t>éco-durables</w:t>
      </w:r>
      <w:proofErr w:type="spellEnd"/>
      <w:r>
        <w:rPr>
          <w:rStyle w:val="Aucun"/>
          <w:rFonts w:ascii="Times New Roman" w:hAnsi="Times New Roman"/>
        </w:rPr>
        <w:t xml:space="preserve"> visant la production de biens et de services, la récupération des actifs environnementaux et monumentaux, la création d'une offre d'emploi et la génération, sur place, de capital ‘social’ »</w:t>
      </w:r>
      <w:r>
        <w:rPr>
          <w:rStyle w:val="Aucun"/>
          <w:rFonts w:ascii="Times New Roman" w:eastAsia="Times New Roman" w:hAnsi="Times New Roman" w:cs="Times New Roman"/>
          <w:vertAlign w:val="superscript"/>
        </w:rPr>
        <w:footnoteReference w:id="35"/>
      </w:r>
      <w:r>
        <w:rPr>
          <w:rStyle w:val="Aucun"/>
          <w:rFonts w:ascii="Times New Roman" w:hAnsi="Times New Roman"/>
        </w:rPr>
        <w:t>. Ces coopératives peuvent consister en différentes sortes de coopératives : coopératives de production, d’utilisation, sociale…</w:t>
      </w:r>
      <w:r>
        <w:rPr>
          <w:rStyle w:val="Aucun"/>
          <w:rFonts w:ascii="Times New Roman" w:eastAsia="Times New Roman" w:hAnsi="Times New Roman" w:cs="Times New Roman"/>
          <w:vertAlign w:val="superscript"/>
        </w:rPr>
        <w:footnoteReference w:id="36"/>
      </w:r>
      <w:r>
        <w:rPr>
          <w:rStyle w:val="Aucun"/>
          <w:rFonts w:ascii="Times New Roman" w:hAnsi="Times New Roman"/>
        </w:rPr>
        <w:t xml:space="preserve"> . Leur sociétariat se compose de personnes physiques et morales, d’associations et de fondations et de collectivités publiques </w:t>
      </w:r>
      <w:r>
        <w:rPr>
          <w:rStyle w:val="Aucun"/>
          <w:rFonts w:ascii="Times New Roman" w:hAnsi="Times New Roman"/>
        </w:rPr>
        <w:lastRenderedPageBreak/>
        <w:t>locales</w:t>
      </w:r>
      <w:r>
        <w:rPr>
          <w:rStyle w:val="Aucun"/>
          <w:rFonts w:ascii="Times New Roman" w:eastAsia="Times New Roman" w:hAnsi="Times New Roman" w:cs="Times New Roman"/>
          <w:vertAlign w:val="superscript"/>
        </w:rPr>
        <w:footnoteReference w:id="37"/>
      </w:r>
      <w:r>
        <w:rPr>
          <w:rStyle w:val="Aucun"/>
          <w:rFonts w:ascii="Times New Roman" w:hAnsi="Times New Roman"/>
        </w:rPr>
        <w:t>. Mais leur originalité principale est qu’elles doivent comprendre une proportion minimale des habitants de la communauté de référence, c’est-à-dire la commune ou le district au sein d’une commune</w:t>
      </w:r>
      <w:r>
        <w:rPr>
          <w:rStyle w:val="Aucun"/>
          <w:rFonts w:ascii="Times New Roman" w:eastAsia="Times New Roman" w:hAnsi="Times New Roman" w:cs="Times New Roman"/>
          <w:vertAlign w:val="superscript"/>
        </w:rPr>
        <w:footnoteReference w:id="38"/>
      </w:r>
      <w:r>
        <w:rPr>
          <w:rStyle w:val="Aucun"/>
          <w:rFonts w:ascii="Times New Roman" w:hAnsi="Times New Roman"/>
        </w:rPr>
        <w:t>. En contrepartie, la région peut les soutenir à travers des prêts bonifiés, des subventions d’équipement, et des aides à l’emploi</w:t>
      </w:r>
      <w:r>
        <w:rPr>
          <w:rStyle w:val="Aucun"/>
          <w:rFonts w:ascii="Times New Roman" w:eastAsia="Times New Roman" w:hAnsi="Times New Roman" w:cs="Times New Roman"/>
          <w:vertAlign w:val="superscript"/>
        </w:rPr>
        <w:footnoteReference w:id="39"/>
      </w:r>
      <w:r>
        <w:rPr>
          <w:rStyle w:val="Aucun"/>
          <w:rFonts w:ascii="Times New Roman" w:hAnsi="Times New Roman"/>
        </w:rPr>
        <w:t>, dans le respect de la réglementation des aides d’état. La consécration de ces coopératives communautaires s’accompagne d’un partenariat renforcé avec les autorités publiques locales par des conventions mais aussi par la participation des coopératives communautaires à l'exercice des fonctions publiques</w:t>
      </w:r>
      <w:r>
        <w:rPr>
          <w:rStyle w:val="Aucun"/>
          <w:rFonts w:ascii="Times New Roman" w:eastAsia="Times New Roman" w:hAnsi="Times New Roman" w:cs="Times New Roman"/>
          <w:vertAlign w:val="superscript"/>
        </w:rPr>
        <w:footnoteReference w:id="40"/>
      </w:r>
      <w:r>
        <w:rPr>
          <w:rStyle w:val="Aucun"/>
          <w:rFonts w:ascii="Times New Roman" w:hAnsi="Times New Roman"/>
        </w:rPr>
        <w:t>. Il s’agit de la traduction la plus aboutie des expériences de gestion des communs</w:t>
      </w:r>
      <w:r>
        <w:rPr>
          <w:rStyle w:val="Aucun"/>
          <w:rFonts w:ascii="Times New Roman" w:eastAsia="Times New Roman" w:hAnsi="Times New Roman" w:cs="Times New Roman"/>
          <w:vertAlign w:val="superscript"/>
        </w:rPr>
        <w:footnoteReference w:id="41"/>
      </w:r>
      <w:r>
        <w:rPr>
          <w:rStyle w:val="Aucun"/>
          <w:rFonts w:ascii="Times New Roman" w:hAnsi="Times New Roman"/>
        </w:rPr>
        <w:t xml:space="preserve"> par l’implication de la société civile.</w:t>
      </w:r>
    </w:p>
    <w:p w14:paraId="754557BB"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La situation est moins explicite pour l’économie circulaire. Son ancrage territorial est assez naturel puisque la proximité du retraitement des produits usagers est source de moindre pollution, mais elle ne se fonde pas sur une communauté établie. Cette communauté peut se retrouver dans la forme d’entreprise collective généralement choisie pour ces activités (entreprise de l’ESS) mais c’est toutefois une communauté ténue. Ce n’est qu’exceptionnellement qu’elle prend une forme plus systématique, avec Emmaüs et ses « communautés de vie »</w:t>
      </w:r>
      <w:r>
        <w:rPr>
          <w:rStyle w:val="Aucun"/>
          <w:rFonts w:ascii="Times New Roman" w:eastAsia="Times New Roman" w:hAnsi="Times New Roman" w:cs="Times New Roman"/>
          <w:sz w:val="24"/>
          <w:szCs w:val="24"/>
          <w:vertAlign w:val="superscript"/>
        </w:rPr>
        <w:footnoteReference w:id="42"/>
      </w:r>
      <w:r>
        <w:rPr>
          <w:rStyle w:val="Aucun"/>
          <w:rFonts w:ascii="Times New Roman" w:hAnsi="Times New Roman"/>
          <w:sz w:val="24"/>
          <w:szCs w:val="24"/>
        </w:rPr>
        <w:t xml:space="preserve"> mais celles-ci ne sont rattachées à l’économie circulaire que parce qu’elle constitue leur activité principale.</w:t>
      </w:r>
    </w:p>
    <w:p w14:paraId="004399F2"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La localité tranche certainement avec de nombreuses entreprises et fait particulièrement écho avec le thème de la démondialisation. Mais il ne rend pas justice de l’originalité de ces entreprises ; elles ne trouvent leur plein sens que par leur dimension subversive ou alternative.</w:t>
      </w:r>
    </w:p>
    <w:p w14:paraId="3C7599E1"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069D12BA" w14:textId="77777777" w:rsidR="00F93310" w:rsidRDefault="00000000">
      <w:pPr>
        <w:pStyle w:val="Heading2"/>
        <w:numPr>
          <w:ilvl w:val="0"/>
          <w:numId w:val="12"/>
        </w:numPr>
        <w:spacing w:before="0"/>
        <w:jc w:val="both"/>
        <w:rPr>
          <w:rFonts w:ascii="Times New Roman" w:hAnsi="Times New Roman"/>
          <w:b/>
          <w:bCs/>
          <w:color w:val="000000"/>
          <w:sz w:val="28"/>
          <w:szCs w:val="28"/>
          <w:lang w:val="fr-FR"/>
        </w:rPr>
      </w:pPr>
      <w:r>
        <w:rPr>
          <w:rStyle w:val="Aucun"/>
          <w:rFonts w:ascii="Times New Roman" w:hAnsi="Times New Roman"/>
          <w:b/>
          <w:bCs/>
          <w:color w:val="000000"/>
          <w:sz w:val="28"/>
          <w:szCs w:val="28"/>
          <w:u w:color="000000"/>
          <w:lang w:val="fr-FR"/>
        </w:rPr>
        <w:t>LA CONDITION D’UNE CONTRIBUTION A UNE SOCIETE PLUS HEUREUSE : LA DIMENSION ALTERNATIVE</w:t>
      </w:r>
    </w:p>
    <w:p w14:paraId="52E41E18" w14:textId="77777777" w:rsidR="00F93310" w:rsidRDefault="00F93310">
      <w:pPr>
        <w:pStyle w:val="CorpsA"/>
        <w:rPr>
          <w:rStyle w:val="PageNumber"/>
        </w:rPr>
      </w:pPr>
    </w:p>
    <w:p w14:paraId="14636539"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lastRenderedPageBreak/>
        <w:t>Le localisme n’est pas une vertu en soi, il confine même à l’abjecte lorsqu’il se pare des couleurs absolues de l’entre-soi et du rejet de l’étranger. La dimension locale de l’économie circulaire, des SEL ou des monnaies locales n’est donc pas sa finalité ultime, elle est le moyen par lequel elle réalise leur objectif profond : offrir un modèle économique soutenable au sens plein du terme, par opposition au modèle capitaliste dont le caractère non soutenable se manifeste par les désastres écologiques bien connus. Un autre modèle économique est simplement un modèle alternatif, et les trois types qui retiennent notre attention s’inscrivent à cet égard dans le modèle plus large de l’économie sociale et solidaire. Or ce modèle est alternatif à de multiples points de vue, mais pour rester concentré sur les trois types objet de l’étude, deux aspects émergent plus particulièrement : d’un côté l’échange, de l’autre la production.</w:t>
      </w:r>
    </w:p>
    <w:p w14:paraId="442F01C4" w14:textId="77777777" w:rsidR="00F93310" w:rsidRDefault="00F93310">
      <w:pPr>
        <w:pStyle w:val="Heading3"/>
        <w:ind w:left="720"/>
        <w:jc w:val="both"/>
        <w:rPr>
          <w:rStyle w:val="Aucun"/>
          <w:rFonts w:ascii="Times New Roman" w:eastAsia="Times New Roman" w:hAnsi="Times New Roman" w:cs="Times New Roman"/>
          <w:b/>
          <w:bCs/>
          <w:color w:val="000000"/>
          <w:u w:color="000000"/>
          <w:lang w:val="fr-FR"/>
        </w:rPr>
      </w:pPr>
    </w:p>
    <w:p w14:paraId="5A638FAC" w14:textId="77777777" w:rsidR="00F93310" w:rsidRDefault="00000000">
      <w:pPr>
        <w:pStyle w:val="Heading3"/>
        <w:numPr>
          <w:ilvl w:val="1"/>
          <w:numId w:val="14"/>
        </w:numPr>
        <w:jc w:val="both"/>
        <w:rPr>
          <w:rFonts w:ascii="Times New Roman" w:hAnsi="Times New Roman"/>
          <w:b/>
          <w:bCs/>
          <w:color w:val="000000"/>
        </w:rPr>
      </w:pPr>
      <w:r>
        <w:rPr>
          <w:rStyle w:val="Aucun"/>
          <w:rFonts w:ascii="Times New Roman" w:hAnsi="Times New Roman"/>
          <w:b/>
          <w:bCs/>
          <w:color w:val="000000"/>
          <w:u w:color="000000"/>
        </w:rPr>
        <w:t xml:space="preserve">Un mode </w:t>
      </w:r>
      <w:r>
        <w:rPr>
          <w:rStyle w:val="Aucun"/>
          <w:rFonts w:ascii="Times New Roman" w:hAnsi="Times New Roman"/>
          <w:b/>
          <w:bCs/>
          <w:color w:val="000000"/>
          <w:u w:color="000000"/>
          <w:lang w:val="fr-FR"/>
        </w:rPr>
        <w:t>alternatif d’échange</w:t>
      </w:r>
    </w:p>
    <w:p w14:paraId="388BA0A9" w14:textId="77777777" w:rsidR="00F93310" w:rsidRDefault="00F93310">
      <w:pPr>
        <w:pStyle w:val="CorpsA"/>
      </w:pPr>
    </w:p>
    <w:p w14:paraId="5F9F51CD"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Ce sont principalement les systèmes d’échange locaux qui rendent le mieux compte de la conception alternative de l’échange</w:t>
      </w:r>
      <w:r>
        <w:rPr>
          <w:rStyle w:val="Aucun"/>
          <w:rFonts w:ascii="Times New Roman" w:eastAsia="Times New Roman" w:hAnsi="Times New Roman" w:cs="Times New Roman"/>
          <w:sz w:val="24"/>
          <w:szCs w:val="24"/>
          <w:vertAlign w:val="superscript"/>
        </w:rPr>
        <w:footnoteReference w:id="43"/>
      </w:r>
      <w:r>
        <w:rPr>
          <w:rStyle w:val="Aucun"/>
          <w:rFonts w:ascii="Times New Roman" w:hAnsi="Times New Roman"/>
          <w:sz w:val="24"/>
          <w:szCs w:val="24"/>
        </w:rPr>
        <w:t>, qui toutefois affleure aussi dans les autres secteurs de l’économie sociale et solidaire, à commencer par les monnaies locales mais également dans l’économie circulaire.</w:t>
      </w:r>
    </w:p>
    <w:p w14:paraId="7E122094"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Comme leur nom l’indique, les SEL sont des systèmes d’échange, mais l’échange y revêt une forme totalement différente de l’échange marchand</w:t>
      </w:r>
      <w:r>
        <w:rPr>
          <w:rStyle w:val="Aucun"/>
          <w:rFonts w:ascii="Times New Roman" w:eastAsia="Times New Roman" w:hAnsi="Times New Roman" w:cs="Times New Roman"/>
          <w:sz w:val="24"/>
          <w:szCs w:val="24"/>
          <w:vertAlign w:val="superscript"/>
        </w:rPr>
        <w:footnoteReference w:id="44"/>
      </w:r>
      <w:r>
        <w:rPr>
          <w:rStyle w:val="Aucun"/>
          <w:rFonts w:ascii="Times New Roman" w:hAnsi="Times New Roman"/>
          <w:sz w:val="24"/>
          <w:szCs w:val="24"/>
        </w:rPr>
        <w:t xml:space="preserve">. Au sein de la communauté de ses membres, chacun propose des biens ou des services et les autres peuvent entrer en discussion avec l’auteur de l’offre pour en profiter. Il n’y a toutefois pas d’échange marchand puisque le bien ou le service ne donne pas lieu au versement d’un prix. Il y a une comptabilisation de l’échange au sein de la communauté et celui-ci confère à celui qui a rendu le service le droit de bénéficier d’un autre service et à celui qui a obtenu le service l’obligation de fournir un service à son tour. Les échanges ultérieurs, qui idéalement rééquilibreront les comptes des parties à l’échange initial, ne sont pas nécessairement entre les mêmes personnes, ce qui signifie que ces dernières s’insèrent dans un nœud d’échanges qui engage </w:t>
      </w:r>
      <w:proofErr w:type="gramStart"/>
      <w:r>
        <w:rPr>
          <w:rStyle w:val="Aucun"/>
          <w:rFonts w:ascii="Times New Roman" w:hAnsi="Times New Roman"/>
          <w:sz w:val="24"/>
          <w:szCs w:val="24"/>
        </w:rPr>
        <w:t>au final</w:t>
      </w:r>
      <w:proofErr w:type="gramEnd"/>
      <w:r>
        <w:rPr>
          <w:rStyle w:val="Aucun"/>
          <w:rFonts w:ascii="Times New Roman" w:hAnsi="Times New Roman"/>
          <w:sz w:val="24"/>
          <w:szCs w:val="24"/>
        </w:rPr>
        <w:t xml:space="preserve"> </w:t>
      </w:r>
      <w:r>
        <w:rPr>
          <w:rStyle w:val="Aucun"/>
          <w:rFonts w:ascii="Times New Roman" w:hAnsi="Times New Roman"/>
          <w:sz w:val="24"/>
          <w:szCs w:val="24"/>
        </w:rPr>
        <w:lastRenderedPageBreak/>
        <w:t>toute la communauté. Ces communautés sont de taille modeste et il n’est pas certain qu’elles deviennent le mode courant des échanges. Les SEL présentent en revanche l’avantage de questionner radicalement les conceptions juridiques sous-jacentes à l’échange marchand pratiqué dans les sociétés capitalistes. Ils le font d’abord, et avant tout, en montrant la fictivité de l’opposition du gratuit et de l’onéreux. Mais ils questionnent aussi, par ricochet, la question de l’exécution des contrats.</w:t>
      </w:r>
    </w:p>
    <w:p w14:paraId="1878B851"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Le couple gratuit onéreux est un vieux couple qui a connu bien des vicissitudes. La dernière date de 2016 avec la réforme du droit des obligations puisque, dans la classification des contrats, le contrat à titre onéreux est devenu premier tandis que le contrat à titre gratuit est envisagé en second</w:t>
      </w:r>
      <w:r>
        <w:rPr>
          <w:rStyle w:val="Aucun"/>
          <w:rFonts w:ascii="Times New Roman" w:eastAsia="Times New Roman" w:hAnsi="Times New Roman" w:cs="Times New Roman"/>
          <w:sz w:val="24"/>
          <w:szCs w:val="24"/>
          <w:vertAlign w:val="superscript"/>
        </w:rPr>
        <w:footnoteReference w:id="45"/>
      </w:r>
      <w:r>
        <w:rPr>
          <w:rStyle w:val="Aucun"/>
          <w:rFonts w:ascii="Times New Roman" w:hAnsi="Times New Roman"/>
          <w:sz w:val="24"/>
          <w:szCs w:val="24"/>
        </w:rPr>
        <w:t>. L’évolution est purement symbolique et, à dire vrai, semble simplement entériner une évidence : l’immense majorité des contrats sont onéreux, ils sont la norme dans une société capitaliste</w:t>
      </w:r>
      <w:r>
        <w:rPr>
          <w:rStyle w:val="Aucun"/>
          <w:rFonts w:ascii="Times New Roman" w:eastAsia="Times New Roman" w:hAnsi="Times New Roman" w:cs="Times New Roman"/>
          <w:sz w:val="24"/>
          <w:szCs w:val="24"/>
          <w:vertAlign w:val="superscript"/>
        </w:rPr>
        <w:footnoteReference w:id="46"/>
      </w:r>
      <w:r>
        <w:rPr>
          <w:rStyle w:val="Aucun"/>
          <w:rFonts w:ascii="Times New Roman" w:hAnsi="Times New Roman"/>
          <w:sz w:val="24"/>
          <w:szCs w:val="24"/>
        </w:rPr>
        <w:t>,  et il est même permis de se demander pourquoi le code civil de 1804 n’avait pas déjà retenu cet ordre de présentation. C’est que le code Napoléon était largement héritier du droit romain et qu’à Rome l’onéreux était considéré avec réprobation, dans la mesure où il consistait à chercher à s’enrichir aux dépens d’autrui. Ce sentiment égoïste est moralement répréhensible</w:t>
      </w:r>
      <w:r>
        <w:rPr>
          <w:rStyle w:val="Aucun"/>
          <w:rFonts w:ascii="Times New Roman" w:eastAsia="Times New Roman" w:hAnsi="Times New Roman" w:cs="Times New Roman"/>
          <w:sz w:val="24"/>
          <w:szCs w:val="24"/>
          <w:vertAlign w:val="superscript"/>
        </w:rPr>
        <w:footnoteReference w:id="47"/>
      </w:r>
      <w:r>
        <w:rPr>
          <w:rStyle w:val="Aucun"/>
          <w:rFonts w:ascii="Times New Roman" w:hAnsi="Times New Roman"/>
          <w:sz w:val="24"/>
          <w:szCs w:val="24"/>
        </w:rPr>
        <w:t>, contraire à la vie sociale, et ne peut donc être considéré par le droit qu’avec méfiance</w:t>
      </w:r>
      <w:r>
        <w:rPr>
          <w:rStyle w:val="Aucun"/>
          <w:rFonts w:ascii="Times New Roman" w:eastAsia="Times New Roman" w:hAnsi="Times New Roman" w:cs="Times New Roman"/>
          <w:sz w:val="24"/>
          <w:szCs w:val="24"/>
          <w:vertAlign w:val="superscript"/>
        </w:rPr>
        <w:footnoteReference w:id="48"/>
      </w:r>
      <w:r>
        <w:rPr>
          <w:rStyle w:val="Aucun"/>
          <w:rFonts w:ascii="Times New Roman" w:hAnsi="Times New Roman"/>
          <w:sz w:val="24"/>
          <w:szCs w:val="24"/>
        </w:rPr>
        <w:t>. L’exemple des professions civiles dont la rémunération consistait dans des honoraires destinés à couvrir les frais du professionnel sans pouvoir s’analyser comme un prix puisque le contrat conclu n’est pas à titre onéreux en fournit un exemple révélateur. L’exemple est d’autant plus intéressant qu’il montre aussi les ambiguïtés de cette figure. Quoiqu’il en soit, dans la tradition romaine le gratuit occupe la première place et l’onéreux constitue une exception. Le code civil ne modifie pas cet équilibre. Mais progressivement le couple gratuit onéreux a été totalement dévoyé. Le gratuit a été réduit aux libéralités et en conséquence envisagé sous l’angle du don unilatéral avec le régime de contrôle requis par cet acte anormal et dangereux</w:t>
      </w:r>
      <w:r>
        <w:rPr>
          <w:rStyle w:val="Aucun"/>
          <w:rFonts w:ascii="Times New Roman" w:eastAsia="Times New Roman" w:hAnsi="Times New Roman" w:cs="Times New Roman"/>
          <w:sz w:val="24"/>
          <w:szCs w:val="24"/>
          <w:vertAlign w:val="superscript"/>
        </w:rPr>
        <w:footnoteReference w:id="49"/>
      </w:r>
      <w:r>
        <w:rPr>
          <w:rStyle w:val="Aucun"/>
          <w:rFonts w:ascii="Times New Roman" w:hAnsi="Times New Roman"/>
          <w:sz w:val="24"/>
          <w:szCs w:val="24"/>
        </w:rPr>
        <w:t xml:space="preserve">. </w:t>
      </w:r>
      <w:r>
        <w:rPr>
          <w:rStyle w:val="Aucun"/>
          <w:rFonts w:ascii="Times New Roman" w:hAnsi="Times New Roman"/>
          <w:sz w:val="24"/>
          <w:szCs w:val="24"/>
        </w:rPr>
        <w:lastRenderedPageBreak/>
        <w:t>L’échange entre membres des SEL illustre parfaitement l’inanité de cette conception et l’aveuglement qu’il y a à faire de l’onéreux le pendant de cette catégorie étriquée du gratuit radical. En effet, les auteurs s’ingénient à montrer que l’échange, entre membres des SEL, constitue un acte onéreux</w:t>
      </w:r>
      <w:r>
        <w:rPr>
          <w:rStyle w:val="Aucun"/>
          <w:rFonts w:ascii="Times New Roman" w:eastAsia="Times New Roman" w:hAnsi="Times New Roman" w:cs="Times New Roman"/>
          <w:sz w:val="24"/>
          <w:szCs w:val="24"/>
          <w:vertAlign w:val="superscript"/>
        </w:rPr>
        <w:footnoteReference w:id="50"/>
      </w:r>
      <w:r>
        <w:rPr>
          <w:rStyle w:val="Aucun"/>
          <w:rFonts w:ascii="Times New Roman" w:hAnsi="Times New Roman"/>
          <w:sz w:val="24"/>
          <w:szCs w:val="24"/>
        </w:rPr>
        <w:t>, notamment pour échapper aux règles formalistes qui entourent l’acte gratuit. Il n’est pas difficile de voir que cette démonstration complique les choses pour parvenir à ce résultat contre intuitif.</w:t>
      </w:r>
    </w:p>
    <w:p w14:paraId="6A43BA23"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Tout vient de ce que la gratuité radicale et l’onéreux ne parviennent pas, ainsi entendus, à rendre compte de la réalité des échanges. Un détour par Marcel Mauss permet rapidement de le comprendre avec son triptyque donner recevoir rendre</w:t>
      </w:r>
      <w:r>
        <w:rPr>
          <w:rStyle w:val="Aucun"/>
          <w:rFonts w:ascii="Times New Roman" w:eastAsia="Times New Roman" w:hAnsi="Times New Roman" w:cs="Times New Roman"/>
          <w:sz w:val="24"/>
          <w:szCs w:val="24"/>
          <w:vertAlign w:val="superscript"/>
        </w:rPr>
        <w:footnoteReference w:id="51"/>
      </w:r>
      <w:r>
        <w:rPr>
          <w:rStyle w:val="Aucun"/>
          <w:rFonts w:ascii="Times New Roman" w:hAnsi="Times New Roman"/>
          <w:sz w:val="24"/>
          <w:szCs w:val="24"/>
        </w:rPr>
        <w:t>. Dans les sociétés traditionnelles qu’il étudie, il observe qu’il existe un cycle ininterrompu d’échanges : les uns donnent, sans contrepartie, mais par la suite ils reçoivent dans les mêmes conditions, en sorte que le don devient un « rendre ». Il n’est pas question d’équivalence stricte, il y a même des jeux de surpassement dans un processus de rivalité symbolique. Ce qui est essentiel à comprendre ici est que le don ne correspond en rien à la libéralité telle qu’elle est conçue dans notre droit, car la libéralité est radicalement unilatérale. Au contraire, le don dont parle Mauss n’est pas unilatéral : certes il est gratuit dans le sens où il ne donne lieu à aucune contrepartie immédiate ou convenue, mais il n’est pas unilatéral car son auteur pense qu’un jour il recevra à son tour. Ce don en retour n’est pas une contrepartie car il n’est pas convenu, il n’est pas équivalent, il a même une certaine incertitude, mais il s’insère dans un nœud d’échanges passés et futurs.</w:t>
      </w:r>
    </w:p>
    <w:p w14:paraId="4348D231"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Nos sociétés se distinguent des sociétés traditionnelles mais cette figure du don y est malgré tout omniprésente. Ses dernières traces en droit positif consistent dans les contrats de service gratuit, encore étudié au milieu du XXème siècle</w:t>
      </w:r>
      <w:r>
        <w:rPr>
          <w:rStyle w:val="Aucun"/>
          <w:rFonts w:ascii="Times New Roman" w:eastAsia="Times New Roman" w:hAnsi="Times New Roman" w:cs="Times New Roman"/>
          <w:sz w:val="24"/>
          <w:szCs w:val="24"/>
          <w:vertAlign w:val="superscript"/>
        </w:rPr>
        <w:footnoteReference w:id="52"/>
      </w:r>
      <w:r>
        <w:rPr>
          <w:rStyle w:val="Aucun"/>
          <w:rFonts w:ascii="Times New Roman" w:hAnsi="Times New Roman"/>
          <w:sz w:val="24"/>
          <w:szCs w:val="24"/>
        </w:rPr>
        <w:t xml:space="preserve"> et aujourd’hui totalement marginalisés. Pourtant, les services entre amis pullulent, y compris dans la vie professionnelle (il conviendrait à cet égard de réfléchir dans cette perspective à tous les actes ou « gestes commerciaux » qui accompagnent les </w:t>
      </w:r>
      <w:r>
        <w:rPr>
          <w:rStyle w:val="Aucun"/>
          <w:rFonts w:ascii="Times New Roman" w:hAnsi="Times New Roman"/>
          <w:sz w:val="24"/>
          <w:szCs w:val="24"/>
        </w:rPr>
        <w:lastRenderedPageBreak/>
        <w:t>contrats onéreux), et les SEL en fournissent un exemple archétypique. Lorsqu’un membre d’un SEL procure un bien ou un service, il ne sait pas qui lui fournira en retour un autre bien ou un service mais il compte que cela arrivera. Il n’a aucune intention libérale, si bien qu’il n’est pas possible de qualifier l’acte d’acte à titre gratuit. Mais il est tout aussi difficile de le qualifier d’acte à titre onéreux. Les contorsions techniques auxquelles recourent la doctrine pour parvenir à ce résultat ne sont pas convaincantes. La difficulté concerne spécialement le prix</w:t>
      </w:r>
      <w:r>
        <w:rPr>
          <w:rStyle w:val="Aucun"/>
          <w:rFonts w:ascii="Times New Roman" w:eastAsia="Times New Roman" w:hAnsi="Times New Roman" w:cs="Times New Roman"/>
          <w:sz w:val="24"/>
          <w:szCs w:val="24"/>
          <w:vertAlign w:val="superscript"/>
        </w:rPr>
        <w:footnoteReference w:id="53"/>
      </w:r>
      <w:r>
        <w:rPr>
          <w:rStyle w:val="Aucun"/>
          <w:rFonts w:ascii="Times New Roman" w:hAnsi="Times New Roman"/>
          <w:sz w:val="24"/>
          <w:szCs w:val="24"/>
        </w:rPr>
        <w:t>. Certes, le fournisseur du bien ou du produit a fixé un équivalent dans une unité de compte quelconque (en temps ou en monnaie locale le plus souvent). Il est même possible d’admettre que le bénéficiaire du bien ou du service accepte l’évaluation de cette contrepartie puisqu’il accepte l’offre. Toutefois, le bénéficiaire ne paie pas cette contrepartie. L’échange réalisé rend simplement le fournisseur créditeur de la communauté dans son ensemble, ce qui théoriquement lui permet d’obtenir un autre bien ou service sans fournir de contrepartie. Il faut relever que l’échange a une dimension qui dépasse largement le cadre économique</w:t>
      </w:r>
      <w:r>
        <w:rPr>
          <w:rStyle w:val="Aucun"/>
          <w:rFonts w:ascii="Times New Roman" w:eastAsia="Times New Roman" w:hAnsi="Times New Roman" w:cs="Times New Roman"/>
          <w:sz w:val="24"/>
          <w:szCs w:val="24"/>
          <w:vertAlign w:val="superscript"/>
        </w:rPr>
        <w:footnoteReference w:id="54"/>
      </w:r>
      <w:r>
        <w:rPr>
          <w:rStyle w:val="Aucun"/>
          <w:rFonts w:ascii="Times New Roman" w:hAnsi="Times New Roman"/>
          <w:sz w:val="24"/>
          <w:szCs w:val="24"/>
        </w:rPr>
        <w:t>, ce qui déjà fragilise le recours au concept de prix. Mais en outre, la réalisation de la potentialité d’échange futur en contrepartie de l’échange initial souffre de multiples aléas : il faut notamment que le fournisseur initial trouve un bien ou un service qui l’intéresse parmi ceux qui sont offerts. Et même s’il le trouve, il n’y a aucun lien juridique entre l’échange initial et l’échange subséquent. Il faut simplement admettre que cet échange n’est ni à titre gratuit ni à titre onéreux. Il ne s’agit pas à proprement parler d’un service d’amis mais c’est probablement la figure la plus proche.</w:t>
      </w:r>
    </w:p>
    <w:p w14:paraId="5BB476D8"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Ce contrat ne peut en conséquence être soumis aux mêmes règles d’exécution que les contrats onéreux. La formation du contrat est concomitante de son exécution, l’offre du bien ou du service dans le catalogue du SEL ne vaut pas offre au sens juridique du terme et l’éventuelle acceptation de celle-ci n’entraîne donc pas la formation du contrat. Aucune exécution forcée n’est envisageable contre l’offreur qui, pour des raisons personnelles, ne pourrait plus fournir le bien ou le produit proposé. La mauvaise exécution de l’offre n’engage pas davantage sa responsabilité dans les mêmes </w:t>
      </w:r>
      <w:r>
        <w:rPr>
          <w:rStyle w:val="Aucun"/>
          <w:rFonts w:ascii="Times New Roman" w:hAnsi="Times New Roman"/>
          <w:sz w:val="24"/>
          <w:szCs w:val="24"/>
        </w:rPr>
        <w:lastRenderedPageBreak/>
        <w:t>conditions qu’un contrat onéreux. Il ne s’agit évidemment pas d’un contrat de consommation, mais en outre l’évaluation des fautes et des préjudices serait probablement marquée par l’indulgence. A l’exception des dommages graves qui feraient certainement intervenir le système juridique, les difficultés modestes se résolvent à l’intérieur du groupement, au point qu’on a pu analyser le SEL sous l’angle du non-droit</w:t>
      </w:r>
      <w:r>
        <w:rPr>
          <w:rStyle w:val="Aucun"/>
          <w:rFonts w:ascii="Times New Roman" w:eastAsia="Times New Roman" w:hAnsi="Times New Roman" w:cs="Times New Roman"/>
          <w:sz w:val="24"/>
          <w:szCs w:val="24"/>
          <w:vertAlign w:val="superscript"/>
        </w:rPr>
        <w:footnoteReference w:id="55"/>
      </w:r>
      <w:r>
        <w:rPr>
          <w:rStyle w:val="Aucun"/>
          <w:rFonts w:ascii="Times New Roman" w:hAnsi="Times New Roman"/>
          <w:sz w:val="24"/>
          <w:szCs w:val="24"/>
        </w:rPr>
        <w:t>. Certains SEL mettent en place un système de médiation. Et la plupart des SEL prennent la forme juridique d’une association, qu’elle soit déclarée ou non, si bien que le groupement peut prononcer des sanctions en cas d’irrespect des règles qui l’encadrent. L’exécution du contrat est donc marginalement régie isolément des autres échanges, mais l’essentiel s’inscrit dans le processus des échanges successifs. Cet aspect ne peut être saisi dans une conception strictement individualiste qui ne voit dans chaque contrat qu’un atome indépendant</w:t>
      </w:r>
      <w:r>
        <w:rPr>
          <w:rStyle w:val="Aucun"/>
          <w:rFonts w:ascii="Times New Roman" w:eastAsia="Times New Roman" w:hAnsi="Times New Roman" w:cs="Times New Roman"/>
          <w:sz w:val="24"/>
          <w:szCs w:val="24"/>
          <w:vertAlign w:val="superscript"/>
        </w:rPr>
        <w:footnoteReference w:id="56"/>
      </w:r>
      <w:r>
        <w:rPr>
          <w:rStyle w:val="Aucun"/>
          <w:rFonts w:ascii="Times New Roman" w:hAnsi="Times New Roman"/>
          <w:sz w:val="24"/>
          <w:szCs w:val="24"/>
        </w:rPr>
        <w:t>.</w:t>
      </w:r>
    </w:p>
    <w:p w14:paraId="35401C87"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Si l’originalité de l’échange est perceptible au premier regard, les mécanismes étudiés comprennent aussi une dimension alternative dans leur rapport à la production.</w:t>
      </w:r>
    </w:p>
    <w:p w14:paraId="77933BA2" w14:textId="77777777" w:rsidR="00F93310" w:rsidRDefault="00F93310">
      <w:pPr>
        <w:pStyle w:val="CorpsAA"/>
        <w:spacing w:line="480" w:lineRule="auto"/>
        <w:jc w:val="both"/>
        <w:rPr>
          <w:rStyle w:val="Aucun"/>
          <w:rFonts w:ascii="Times New Roman" w:eastAsia="Times New Roman" w:hAnsi="Times New Roman" w:cs="Times New Roman"/>
          <w:sz w:val="24"/>
          <w:szCs w:val="24"/>
        </w:rPr>
      </w:pPr>
    </w:p>
    <w:p w14:paraId="6663B8D3"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b/>
          <w:bCs/>
          <w:sz w:val="24"/>
          <w:szCs w:val="24"/>
        </w:rPr>
        <w:t xml:space="preserve">3.2 </w:t>
      </w:r>
      <w:r>
        <w:rPr>
          <w:rStyle w:val="Aucun"/>
          <w:rFonts w:ascii="Times New Roman" w:hAnsi="Times New Roman"/>
          <w:b/>
          <w:bCs/>
        </w:rPr>
        <w:t>Un mode alternatif de production</w:t>
      </w:r>
    </w:p>
    <w:p w14:paraId="1AB663FA"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L’alternative à propos de la production est perceptible dans les trois mécanismes qui font l’objet de cette étude, mais c’est certainement dans l’économie circulaire qu’elle est la plus développée. La production est originale dans les SEL car elle n’émane pas de producteurs professionnels. La question s’est posée et il y a eu des expériences qui incluaient des professionnels mais, devant les risques de concurrence déloyale, elles ont été abandonnées. Il en résulte que, aujourd’hui, les SEL ne mettent plus seulement à titre principal mais exclusivement des </w:t>
      </w:r>
      <w:proofErr w:type="spellStart"/>
      <w:r>
        <w:rPr>
          <w:rStyle w:val="Aucun"/>
          <w:rFonts w:ascii="Times New Roman" w:hAnsi="Times New Roman"/>
          <w:sz w:val="24"/>
          <w:szCs w:val="24"/>
        </w:rPr>
        <w:t>prosommateurs</w:t>
      </w:r>
      <w:proofErr w:type="spellEnd"/>
      <w:r>
        <w:rPr>
          <w:rStyle w:val="Aucun"/>
          <w:rFonts w:ascii="Times New Roman" w:hAnsi="Times New Roman"/>
          <w:sz w:val="24"/>
          <w:szCs w:val="24"/>
        </w:rPr>
        <w:t>. Cette figure a déjà été étudiée dans ce contexte</w:t>
      </w:r>
      <w:r>
        <w:rPr>
          <w:rStyle w:val="Aucun"/>
          <w:rFonts w:ascii="Times New Roman" w:eastAsia="Times New Roman" w:hAnsi="Times New Roman" w:cs="Times New Roman"/>
          <w:sz w:val="24"/>
          <w:szCs w:val="24"/>
          <w:vertAlign w:val="superscript"/>
        </w:rPr>
        <w:footnoteReference w:id="57"/>
      </w:r>
      <w:r>
        <w:rPr>
          <w:rStyle w:val="Aucun"/>
          <w:rFonts w:ascii="Times New Roman" w:hAnsi="Times New Roman"/>
          <w:sz w:val="24"/>
          <w:szCs w:val="24"/>
        </w:rPr>
        <w:t xml:space="preserve"> et il n’est pas nécessaire de s’y arrêter. </w:t>
      </w:r>
    </w:p>
    <w:p w14:paraId="622621D2"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 leur côté, les monnaies locales complémentaires offrent un exemple très original de production de monnaie. Avec une relation à la monnaie officielle très variable tout comme le rapport aux </w:t>
      </w:r>
      <w:r>
        <w:rPr>
          <w:rStyle w:val="Aucun"/>
          <w:rFonts w:ascii="Times New Roman" w:hAnsi="Times New Roman"/>
          <w:sz w:val="24"/>
          <w:szCs w:val="24"/>
        </w:rPr>
        <w:lastRenderedPageBreak/>
        <w:t>collectivités publiques</w:t>
      </w:r>
      <w:r>
        <w:rPr>
          <w:rStyle w:val="Aucun"/>
          <w:rFonts w:ascii="Times New Roman" w:eastAsia="Times New Roman" w:hAnsi="Times New Roman" w:cs="Times New Roman"/>
          <w:sz w:val="24"/>
          <w:szCs w:val="24"/>
          <w:vertAlign w:val="superscript"/>
        </w:rPr>
        <w:footnoteReference w:id="58"/>
      </w:r>
      <w:r>
        <w:rPr>
          <w:rStyle w:val="Aucun"/>
          <w:rFonts w:ascii="Times New Roman" w:hAnsi="Times New Roman"/>
          <w:sz w:val="24"/>
          <w:szCs w:val="24"/>
        </w:rPr>
        <w:t>, la création d’unités monétaires locales obéit à des logiques différentes de ces dernières. Elles n’ont pas pour vocation de maximiser les échanges mais d’inciter au développement local. Elles intègrent souvent des mécanismes qui interdisent ou dissuadent de l’accumulation en prévoyant que la monnaie non utilisée durant un certain temps perd de sa valeur (monnaie fondante). Ce caractère alternatif, qu’on peut rattacher à la dimension de commun</w:t>
      </w:r>
      <w:r>
        <w:rPr>
          <w:rStyle w:val="Aucun"/>
          <w:rFonts w:ascii="Times New Roman" w:eastAsia="Times New Roman" w:hAnsi="Times New Roman" w:cs="Times New Roman"/>
          <w:sz w:val="24"/>
          <w:szCs w:val="24"/>
          <w:vertAlign w:val="superscript"/>
        </w:rPr>
        <w:footnoteReference w:id="59"/>
      </w:r>
      <w:r>
        <w:rPr>
          <w:rStyle w:val="Aucun"/>
          <w:rFonts w:ascii="Times New Roman" w:hAnsi="Times New Roman"/>
          <w:sz w:val="24"/>
          <w:szCs w:val="24"/>
        </w:rPr>
        <w:t>, est toutefois très spécifique au domaine monétaire et n’impacte qu’indirectement les actes traditionnels de production.</w:t>
      </w:r>
    </w:p>
    <w:p w14:paraId="6BEC5160"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L’économie circulaire, dès lors qu’on ne la conçoit pas seulement comme un secteur d’activité de l’économie verte, mais qu’elle constitue une nouvelle façon de concevoir l’ensemble de l’économie, propose quant à elle une image plus directement différente de l’acte de production. Tandis que l’attention est classiquement portée sur la création de richesses nouvelles (et donc sur la richesse elle-même, son sort, son attribution et sa répartition), en économie circulaire, la production s’analyse en une création humaine, effectuée grâce à des prélèvements sur la nature. Il en résulte que les préoccupations prises en compte sont beaucoup plus larges. C’est tout d’abord vrai à propos de la richesse créée, car la dimension humaine de la création implique des aspects non économiques marginalisés par la conception traditionnelle. Les biens et les services incorporent des éléments intellectuels, affectifs, en sorte que beaucoup de biens et de services perdent leur caractère purement abstrait et liquide</w:t>
      </w:r>
      <w:r>
        <w:rPr>
          <w:rStyle w:val="Aucun"/>
          <w:rFonts w:ascii="Times New Roman" w:eastAsia="Times New Roman" w:hAnsi="Times New Roman" w:cs="Times New Roman"/>
          <w:sz w:val="24"/>
          <w:szCs w:val="24"/>
          <w:vertAlign w:val="superscript"/>
        </w:rPr>
        <w:footnoteReference w:id="60"/>
      </w:r>
      <w:r>
        <w:rPr>
          <w:rStyle w:val="Aucun"/>
          <w:rFonts w:ascii="Times New Roman" w:hAnsi="Times New Roman"/>
          <w:sz w:val="24"/>
          <w:szCs w:val="24"/>
        </w:rPr>
        <w:t>. Cette dimension humaine se retrouve aussi chez le producteur, qui ne peut plus être un rouage de l’appareil productif, en sorte que les conditions de la production sont totalement à revoir.</w:t>
      </w:r>
    </w:p>
    <w:p w14:paraId="63FAB2C7"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Mais c’est le second élément de l’acte de production qui rompt le plus brutalement avec le mode de production de nos sociétés. En effet, la production se fonde sur un système de prélèvement de ressources, c’est-à-dire de choses disponibles qu’il est loisible, à l’humanité d’extraire. La catégorie </w:t>
      </w:r>
      <w:r>
        <w:rPr>
          <w:rStyle w:val="Aucun"/>
          <w:rFonts w:ascii="Times New Roman" w:hAnsi="Times New Roman"/>
          <w:sz w:val="24"/>
          <w:szCs w:val="24"/>
        </w:rPr>
        <w:lastRenderedPageBreak/>
        <w:t xml:space="preserve">juridique qui en rend le mieux compte est probablement celle </w:t>
      </w:r>
      <w:proofErr w:type="gramStart"/>
      <w:r>
        <w:rPr>
          <w:rStyle w:val="Aucun"/>
          <w:rFonts w:ascii="Times New Roman" w:hAnsi="Times New Roman"/>
          <w:sz w:val="24"/>
          <w:szCs w:val="24"/>
        </w:rPr>
        <w:t xml:space="preserve">de  </w:t>
      </w:r>
      <w:proofErr w:type="spellStart"/>
      <w:r>
        <w:rPr>
          <w:rStyle w:val="Aucun"/>
          <w:rFonts w:ascii="Times New Roman" w:hAnsi="Times New Roman"/>
          <w:i/>
          <w:iCs/>
          <w:sz w:val="24"/>
          <w:szCs w:val="24"/>
        </w:rPr>
        <w:t>res</w:t>
      </w:r>
      <w:proofErr w:type="spellEnd"/>
      <w:proofErr w:type="gramEnd"/>
      <w:r>
        <w:rPr>
          <w:rStyle w:val="Aucun"/>
          <w:rFonts w:ascii="Times New Roman" w:hAnsi="Times New Roman"/>
          <w:i/>
          <w:iCs/>
          <w:sz w:val="24"/>
          <w:szCs w:val="24"/>
        </w:rPr>
        <w:t xml:space="preserve"> nullius</w:t>
      </w:r>
      <w:r>
        <w:rPr>
          <w:rStyle w:val="Aucun"/>
          <w:rFonts w:ascii="Times New Roman" w:eastAsia="Times New Roman" w:hAnsi="Times New Roman" w:cs="Times New Roman"/>
          <w:sz w:val="24"/>
          <w:szCs w:val="24"/>
          <w:vertAlign w:val="superscript"/>
        </w:rPr>
        <w:footnoteReference w:id="61"/>
      </w:r>
      <w:r>
        <w:rPr>
          <w:rStyle w:val="Aucun"/>
          <w:rFonts w:ascii="Times New Roman" w:hAnsi="Times New Roman"/>
          <w:sz w:val="24"/>
          <w:szCs w:val="24"/>
        </w:rPr>
        <w:t>: ces choses qui n’appartiennent à personne mais qui, en conséquence, sont susceptibles d’appropriation par n’importe qui. Dès lors qu’on ne considère plus la nature comme une ressource naturelle, les prélèvements de l’homme deviennent, par leur gigantisme, un problème. C’est d’abord une question éthique, puisque l’homme n’est plus seulement le super prédateur parmi les animaux mais engendre des disparitions innombrables d’espèces et qu’il est difficile d’en fournir une justification éthique. Mais le problème existe aussi au regard de la raison instrumentale puisque, par sa démesure, l’homme met en danger l’écosystème qui constitue son propre habitat. L’économie circulaire a précisément pour finalité de sortir du cercle infernal en utilisant la masse de ressources disponibles par l’ensemble des produits et déchets existants, plutôt que d’en produire de nouveaux. Il faut toutefois prendre garde que le recyclage n’est pas une fin en soi et que le critère premier est la limitation des prélèvements sur la nature. Or le recyclage peut parfaitement requérir d’importants prélèvements, notamment pour la production d’énergie, et donc ne pas correspondre à la finalité de l’économie circulaire. L’économie circulaire n’invite pas à réduire les prélèvements et les émissions de déchets dans l’espoir que ce soit suffisant, elle exige de décider quels sont les prélèvements acceptables et de produire ce qui est possible dans le respect de ces contraintes.</w:t>
      </w:r>
    </w:p>
    <w:p w14:paraId="23A97382"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De nouvelles catégories juridiques doivent être élaborées, des classifications existantes revisitées. A titre d’exemple, la distinction classique des fruits et des produits offre une ressource particulièrement intéressante ; il suffirait de considérer que l’humanité n’est pas propriétaire de la nature mais usufruitière pour en déduire qu’elle ne peut prélever que les biens qui se régénèrent et pas ceux qui épuisent la substance de la nature. </w:t>
      </w:r>
    </w:p>
    <w:p w14:paraId="36C0F554" w14:textId="77777777" w:rsidR="00F93310" w:rsidRDefault="00000000">
      <w:pPr>
        <w:pStyle w:val="CorpsAA"/>
        <w:spacing w:line="480" w:lineRule="auto"/>
        <w:jc w:val="both"/>
        <w:rPr>
          <w:rStyle w:val="Aucun"/>
          <w:rFonts w:ascii="Times New Roman" w:eastAsia="Times New Roman" w:hAnsi="Times New Roman" w:cs="Times New Roman"/>
          <w:sz w:val="24"/>
          <w:szCs w:val="24"/>
        </w:rPr>
      </w:pPr>
      <w:r>
        <w:rPr>
          <w:rStyle w:val="Aucun"/>
          <w:rFonts w:ascii="Times New Roman" w:hAnsi="Times New Roman"/>
          <w:sz w:val="24"/>
          <w:szCs w:val="24"/>
        </w:rPr>
        <w:t>L’économie circulaire comprend donc une dimension politique assumée, dans la mesure où elle exige des délibérations sur les prélèvements à effectuer sur la nature, le choix des productions à privilégier en considération des contraintes… La démocratie doit donc gagner la vie économique, et c’est une autre raison pour laquelle l’économie circulaire s’intègre dans l’économie sociale et solidaire. Celle-</w:t>
      </w:r>
      <w:r>
        <w:rPr>
          <w:rStyle w:val="Aucun"/>
          <w:rFonts w:ascii="Times New Roman" w:hAnsi="Times New Roman"/>
          <w:sz w:val="24"/>
          <w:szCs w:val="24"/>
        </w:rPr>
        <w:lastRenderedPageBreak/>
        <w:t>ci fait l’objet d’une reconnaissance croissante tant sur le plan national qu’international</w:t>
      </w:r>
      <w:r>
        <w:rPr>
          <w:rStyle w:val="Aucun"/>
          <w:rFonts w:ascii="Times New Roman" w:eastAsia="Times New Roman" w:hAnsi="Times New Roman" w:cs="Times New Roman"/>
          <w:sz w:val="24"/>
          <w:szCs w:val="24"/>
          <w:vertAlign w:val="superscript"/>
        </w:rPr>
        <w:footnoteReference w:id="62"/>
      </w:r>
      <w:r>
        <w:rPr>
          <w:rStyle w:val="Aucun"/>
          <w:rFonts w:ascii="Times New Roman" w:hAnsi="Times New Roman"/>
          <w:sz w:val="24"/>
          <w:szCs w:val="24"/>
        </w:rPr>
        <w:t>, il faut s’en servir comme d’un tremplin. Mais dans la mesure où c’est un modèle économique global qui doit être refondé, la responsabilité du juriste est d’y contribuer en réexaminant concepts et mécanismes traditionnels afin de fournir des outils juridiques plus appropriés aux besoins du présent et du futur.</w:t>
      </w:r>
    </w:p>
    <w:p w14:paraId="23906CB6" w14:textId="77777777" w:rsidR="00F93310" w:rsidRDefault="00F93310">
      <w:pPr>
        <w:pStyle w:val="CorpsA"/>
      </w:pPr>
    </w:p>
    <w:p w14:paraId="76A749BF" w14:textId="77777777" w:rsidR="00F93310" w:rsidRDefault="00000000">
      <w:pPr>
        <w:pStyle w:val="CorpsAA"/>
        <w:spacing w:line="480" w:lineRule="auto"/>
        <w:jc w:val="both"/>
        <w:rPr>
          <w:rStyle w:val="Aucun"/>
          <w:rFonts w:ascii="Times New Roman" w:eastAsia="Times New Roman" w:hAnsi="Times New Roman" w:cs="Times New Roman"/>
          <w:b/>
          <w:bCs/>
          <w:sz w:val="24"/>
          <w:szCs w:val="24"/>
          <w:lang w:val="en-US"/>
        </w:rPr>
      </w:pPr>
      <w:r>
        <w:rPr>
          <w:rStyle w:val="Aucun"/>
          <w:b/>
          <w:bCs/>
          <w:color w:val="0079BF"/>
          <w:sz w:val="26"/>
          <w:szCs w:val="26"/>
          <w:u w:color="0079BF"/>
          <w:lang w:val="en-US"/>
        </w:rPr>
        <w:t xml:space="preserve">SUMMARY: CIRCULAR ECONOMY, LOCAL EXCHANGE </w:t>
      </w:r>
      <w:r>
        <w:rPr>
          <w:rStyle w:val="Aucun"/>
          <w:rFonts w:ascii="Times New Roman" w:hAnsi="Times New Roman"/>
          <w:b/>
          <w:bCs/>
          <w:lang w:val="en-US"/>
        </w:rPr>
        <w:t xml:space="preserve">TRADING </w:t>
      </w:r>
      <w:r>
        <w:rPr>
          <w:rStyle w:val="Aucun"/>
          <w:b/>
          <w:bCs/>
          <w:color w:val="0079BF"/>
          <w:sz w:val="26"/>
          <w:szCs w:val="26"/>
          <w:u w:color="0079BF"/>
          <w:lang w:val="en-US"/>
        </w:rPr>
        <w:t xml:space="preserve">SYSTEMS, LOCAL CURRENCIES </w:t>
      </w:r>
    </w:p>
    <w:p w14:paraId="0AC5171B" w14:textId="77777777" w:rsidR="00F93310" w:rsidRDefault="00F93310">
      <w:pPr>
        <w:pStyle w:val="Heading2"/>
        <w:jc w:val="both"/>
        <w:rPr>
          <w:rStyle w:val="Aucun"/>
          <w:rFonts w:ascii="Times New Roman" w:eastAsia="Times New Roman" w:hAnsi="Times New Roman" w:cs="Times New Roman"/>
          <w:color w:val="000000"/>
          <w:sz w:val="24"/>
          <w:szCs w:val="24"/>
          <w:u w:color="000000"/>
        </w:rPr>
      </w:pPr>
    </w:p>
    <w:p w14:paraId="46141DE1" w14:textId="77777777" w:rsidR="00F93310" w:rsidRDefault="00000000">
      <w:pPr>
        <w:pStyle w:val="CorpsAA"/>
        <w:jc w:val="both"/>
        <w:rPr>
          <w:rStyle w:val="Aucun"/>
          <w:rFonts w:ascii="Times New Roman" w:eastAsia="Times New Roman" w:hAnsi="Times New Roman" w:cs="Times New Roman"/>
          <w:i/>
          <w:iCs/>
          <w:sz w:val="24"/>
          <w:szCs w:val="24"/>
          <w:lang w:val="en-US"/>
        </w:rPr>
      </w:pPr>
      <w:r>
        <w:rPr>
          <w:rStyle w:val="Aucun"/>
          <w:rFonts w:ascii="Times New Roman" w:hAnsi="Times New Roman"/>
          <w:i/>
          <w:iCs/>
          <w:sz w:val="24"/>
          <w:szCs w:val="24"/>
          <w:lang w:val="en-US"/>
        </w:rPr>
        <w:t xml:space="preserve">The circular economy, the local currencies, and the local exchange trading systems (also named time banks) are very good evidence of the deglobalization. The circular economy is an ambiguous concept, since it can refer to a loose or exigent definition, as it appears when it is stated that it tackles climate change and other global challenges like biodiversity loss, waste, and pollution, by decoupling economic activity from the consumption of finite resources. Indeed, the decoupling itself can be a mere dream when it claims to maintain economic growth without pollution and other negative externalities. but the circular economy’s purpose can also be defined as the preservation of the biosphere to maintain its viability, for the human being at first. In such a conception, the circular economy is no more a try to find a solution, it is an alternative model in which the satisfaction of the immediate needs is not the first step. Local currencies exist for several decades and are present in all continents. Their common feature is to develop outside of the state and to be attached to a local area, but they cover many experiences, from an arrangement among businessmen to some alternative organization of activists. Local Exchange Trading Systems (LETS) are locally organized, economic organizations that allow the exchange of goods and services among group members. The groups use locally created units of value as currency which can be traded or bartered in exchange for goods or services. This currency is often counted in time, so they are often named time banks. </w:t>
      </w:r>
    </w:p>
    <w:p w14:paraId="0CCB2DFD" w14:textId="77777777" w:rsidR="00F93310" w:rsidRDefault="00000000">
      <w:pPr>
        <w:pStyle w:val="CorpsAA"/>
        <w:jc w:val="both"/>
        <w:rPr>
          <w:rStyle w:val="Aucun"/>
          <w:rFonts w:ascii="Times New Roman" w:eastAsia="Times New Roman" w:hAnsi="Times New Roman" w:cs="Times New Roman"/>
          <w:i/>
          <w:iCs/>
          <w:sz w:val="24"/>
          <w:szCs w:val="24"/>
          <w:lang w:val="en-US"/>
        </w:rPr>
      </w:pPr>
      <w:r>
        <w:rPr>
          <w:rStyle w:val="Aucun"/>
          <w:rFonts w:ascii="Times New Roman" w:hAnsi="Times New Roman"/>
          <w:i/>
          <w:iCs/>
          <w:sz w:val="24"/>
          <w:szCs w:val="24"/>
          <w:lang w:val="en-US"/>
        </w:rPr>
        <w:t>These three mechanisms, all attached to the social and solidarity economy, are perfect examples of deglobalization. Existing at the time of globalization, they were during that period the expression of the opposition to globalization, and their new development and the increasing interest in their success is the evidence of the deglobalization. Their implication in that new trend appears through their two main features, which will be analyzed in the French jurisdiction.</w:t>
      </w:r>
    </w:p>
    <w:p w14:paraId="69AFEFF1" w14:textId="77777777" w:rsidR="00F93310" w:rsidRDefault="00000000">
      <w:pPr>
        <w:pStyle w:val="CorpsAA"/>
        <w:jc w:val="both"/>
        <w:rPr>
          <w:rStyle w:val="Aucun"/>
          <w:rFonts w:ascii="Times New Roman" w:eastAsia="Times New Roman" w:hAnsi="Times New Roman" w:cs="Times New Roman"/>
          <w:i/>
          <w:iCs/>
          <w:sz w:val="24"/>
          <w:szCs w:val="24"/>
          <w:lang w:val="en-US"/>
        </w:rPr>
      </w:pPr>
      <w:r>
        <w:rPr>
          <w:rStyle w:val="Aucun"/>
          <w:rFonts w:ascii="Times New Roman" w:hAnsi="Times New Roman"/>
          <w:i/>
          <w:iCs/>
          <w:sz w:val="24"/>
          <w:szCs w:val="24"/>
          <w:lang w:val="en-US"/>
        </w:rPr>
        <w:t xml:space="preserve">On one hand, these mechanisms are all locally rooted. This is obvious for the local currencies since of its name, but its local limitation can also be a condition for its validity. It is true also by essence in the LETS since the exchanges are possible among the members of a local community. It is more indirect for the circular economy because its local dimension flows only from the pollution related to long distance trading. This local anchoring may go further and rely on a constituted community. These characteristics are not reserved to these three institutions and some other could be joined, notably the renewable energy communities, created to enhance the development of renewable energy with the engagement of the citizens. </w:t>
      </w:r>
    </w:p>
    <w:p w14:paraId="1D94D0C3" w14:textId="77777777" w:rsidR="00F93310" w:rsidRDefault="00000000">
      <w:pPr>
        <w:pStyle w:val="CorpsAA"/>
        <w:jc w:val="both"/>
        <w:rPr>
          <w:rStyle w:val="Aucun"/>
          <w:rFonts w:ascii="Times New Roman" w:eastAsia="Times New Roman" w:hAnsi="Times New Roman" w:cs="Times New Roman"/>
          <w:i/>
          <w:iCs/>
          <w:sz w:val="24"/>
          <w:szCs w:val="24"/>
          <w:lang w:val="en-US"/>
        </w:rPr>
      </w:pPr>
      <w:r>
        <w:rPr>
          <w:rStyle w:val="Aucun"/>
          <w:rFonts w:ascii="Times New Roman" w:hAnsi="Times New Roman"/>
          <w:i/>
          <w:iCs/>
          <w:sz w:val="24"/>
          <w:szCs w:val="24"/>
          <w:lang w:val="en-US"/>
        </w:rPr>
        <w:lastRenderedPageBreak/>
        <w:t>But, on the other hand, this local aspect is insufficient to describe these realities as well as to relate them to deglobalization. Many local experiences fit perfectly with globalization, for example, the local development is based on a monoculture designed for international trading. On the contrary, the circular economy (at least in its more exigent conception), the local currencies and the LEST develop all an alternative way to run business and to have an economic activity necessary for the society. Far from the high competition and the maximization of profits as the basis for satisfying human needs, they rely on cooperation and limitation to preserve the biosphere. As such, they constitute a model alternative to capitalism and are likely to contribute to a new conception of the economy, more suitable to the requirements of the future.</w:t>
      </w:r>
    </w:p>
    <w:p w14:paraId="71198501" w14:textId="77777777" w:rsidR="00F93310" w:rsidRDefault="00F93310">
      <w:pPr>
        <w:pStyle w:val="CorpsAA"/>
        <w:spacing w:line="480" w:lineRule="auto"/>
        <w:jc w:val="both"/>
        <w:rPr>
          <w:rStyle w:val="Aucun"/>
          <w:rFonts w:ascii="Times New Roman" w:eastAsia="Times New Roman" w:hAnsi="Times New Roman" w:cs="Times New Roman"/>
          <w:sz w:val="24"/>
          <w:szCs w:val="24"/>
          <w:lang w:val="en-US"/>
        </w:rPr>
      </w:pPr>
    </w:p>
    <w:p w14:paraId="7B107218" w14:textId="77777777" w:rsidR="00F93310" w:rsidRDefault="00000000">
      <w:pPr>
        <w:pStyle w:val="CorpsAA"/>
        <w:jc w:val="both"/>
        <w:rPr>
          <w:rStyle w:val="Aucun"/>
          <w:rFonts w:ascii="Times New Roman" w:eastAsia="Times New Roman" w:hAnsi="Times New Roman" w:cs="Times New Roman"/>
          <w:sz w:val="24"/>
          <w:szCs w:val="24"/>
        </w:rPr>
      </w:pPr>
      <w:r>
        <w:rPr>
          <w:rStyle w:val="Aucun"/>
          <w:rFonts w:ascii="Times New Roman" w:hAnsi="Times New Roman"/>
          <w:b/>
          <w:bCs/>
          <w:sz w:val="24"/>
          <w:szCs w:val="24"/>
        </w:rPr>
        <w:t>Mots clés</w:t>
      </w:r>
      <w:r>
        <w:rPr>
          <w:rStyle w:val="Aucun"/>
          <w:rFonts w:ascii="Times New Roman" w:hAnsi="Times New Roman"/>
          <w:sz w:val="24"/>
          <w:szCs w:val="24"/>
        </w:rPr>
        <w:t xml:space="preserve"> : économie circulaire, système d’échanges locaux, monnaies locales, économie sociale et solidaire, local, alternative </w:t>
      </w:r>
    </w:p>
    <w:p w14:paraId="40F5F0CA" w14:textId="77777777" w:rsidR="00F93310" w:rsidRDefault="00F93310">
      <w:pPr>
        <w:pStyle w:val="CorpsAA"/>
        <w:jc w:val="both"/>
        <w:rPr>
          <w:rStyle w:val="Aucun"/>
          <w:rFonts w:ascii="Times New Roman" w:eastAsia="Times New Roman" w:hAnsi="Times New Roman" w:cs="Times New Roman"/>
          <w:sz w:val="24"/>
          <w:szCs w:val="24"/>
        </w:rPr>
      </w:pPr>
    </w:p>
    <w:p w14:paraId="362348C7" w14:textId="77777777" w:rsidR="00F93310" w:rsidRPr="006D666B" w:rsidRDefault="00000000">
      <w:pPr>
        <w:pStyle w:val="CorpsAA"/>
        <w:jc w:val="both"/>
        <w:rPr>
          <w:lang w:val="en-US"/>
        </w:rPr>
      </w:pPr>
      <w:r>
        <w:rPr>
          <w:rStyle w:val="Aucun"/>
          <w:rFonts w:ascii="Times New Roman" w:hAnsi="Times New Roman"/>
          <w:b/>
          <w:bCs/>
          <w:sz w:val="24"/>
          <w:szCs w:val="24"/>
          <w:lang w:val="en-US"/>
        </w:rPr>
        <w:t>Keywords</w:t>
      </w:r>
      <w:r>
        <w:rPr>
          <w:rStyle w:val="Aucun"/>
          <w:rFonts w:ascii="Times New Roman" w:hAnsi="Times New Roman"/>
          <w:sz w:val="24"/>
          <w:szCs w:val="24"/>
          <w:lang w:val="en-US"/>
        </w:rPr>
        <w:t>: circular economy, local exchange system trading, local currencies, social and solidarity, economy, local, alternative</w:t>
      </w:r>
    </w:p>
    <w:sectPr w:rsidR="00F93310" w:rsidRPr="006D666B">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43DC" w14:textId="77777777" w:rsidR="00B65BE1" w:rsidRDefault="00B65BE1">
      <w:r>
        <w:separator/>
      </w:r>
    </w:p>
  </w:endnote>
  <w:endnote w:type="continuationSeparator" w:id="0">
    <w:p w14:paraId="4522AA7F" w14:textId="77777777" w:rsidR="00B65BE1" w:rsidRDefault="00B6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A003" w14:textId="77777777" w:rsidR="00F93310" w:rsidRDefault="00000000">
    <w:pPr>
      <w:pStyle w:val="Footer"/>
      <w:jc w:val="right"/>
    </w:pPr>
    <w:r>
      <w:rPr>
        <w:rStyle w:val="Aucun"/>
      </w:rPr>
      <w:fldChar w:fldCharType="begin"/>
    </w:r>
    <w:r>
      <w:rPr>
        <w:rStyle w:val="Aucun"/>
      </w:rPr>
      <w:instrText xml:space="preserve"> PAGE </w:instrText>
    </w:r>
    <w:r>
      <w:rPr>
        <w:rStyle w:val="Aucun"/>
      </w:rPr>
      <w:fldChar w:fldCharType="separate"/>
    </w:r>
    <w:r w:rsidR="006D666B">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BA72" w14:textId="77777777" w:rsidR="00B65BE1" w:rsidRDefault="00B65BE1">
      <w:r>
        <w:separator/>
      </w:r>
    </w:p>
  </w:footnote>
  <w:footnote w:type="continuationSeparator" w:id="0">
    <w:p w14:paraId="6AB09AD7" w14:textId="77777777" w:rsidR="00B65BE1" w:rsidRDefault="00B65BE1">
      <w:r>
        <w:continuationSeparator/>
      </w:r>
    </w:p>
  </w:footnote>
  <w:footnote w:type="continuationNotice" w:id="1">
    <w:p w14:paraId="3B3CC0E0" w14:textId="77777777" w:rsidR="00B65BE1" w:rsidRDefault="00B65BE1"/>
  </w:footnote>
  <w:footnote w:id="2">
    <w:p w14:paraId="77F6D815" w14:textId="77777777" w:rsidR="00F93310" w:rsidRPr="006D666B" w:rsidRDefault="00000000">
      <w:pPr>
        <w:pStyle w:val="FootnoteText"/>
        <w:jc w:val="both"/>
        <w:rPr>
          <w:lang w:val="fr-FR"/>
        </w:rPr>
      </w:pPr>
      <w:r>
        <w:rPr>
          <w:rStyle w:val="FootnoteReference"/>
          <w:lang w:val="fr-FR"/>
        </w:rPr>
        <w:footnoteRef/>
      </w:r>
      <w:r>
        <w:rPr>
          <w:rStyle w:val="AucunA"/>
        </w:rPr>
        <w:t xml:space="preserve"> D. </w:t>
      </w:r>
      <w:r>
        <w:rPr>
          <w:rStyle w:val="Aucun"/>
          <w:smallCaps/>
          <w:lang w:val="fr-FR"/>
        </w:rPr>
        <w:t>Hiez</w:t>
      </w:r>
      <w:r>
        <w:rPr>
          <w:rStyle w:val="AucunA"/>
        </w:rPr>
        <w:t xml:space="preserve">, « Les relations ambiguës du droit de l’économie sociale et solidaire et de l’économie circulaire », </w:t>
      </w:r>
      <w:r>
        <w:rPr>
          <w:rStyle w:val="Aucun"/>
          <w:i/>
          <w:iCs/>
          <w:lang w:val="fr-FR"/>
        </w:rPr>
        <w:t>Revue juridique de l’environnement (RJE)</w:t>
      </w:r>
      <w:r>
        <w:rPr>
          <w:rStyle w:val="AucunA"/>
        </w:rPr>
        <w:t>, Vol n° 47, 2022, pp. 27-32.</w:t>
      </w:r>
    </w:p>
  </w:footnote>
  <w:footnote w:id="3">
    <w:p w14:paraId="53CC8FAB"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Ministère de la transition écologique et de la cohésion des territoires, Ministère de la transition énergétique, article concernant l’économie circulaire : </w:t>
      </w:r>
      <w:hyperlink r:id="rId1" w:history="1">
        <w:r>
          <w:rPr>
            <w:rStyle w:val="Hyperlink0"/>
          </w:rPr>
          <w:t>https://www.ecologie.gouv.fr/leconomie-circulaire</w:t>
        </w:r>
      </w:hyperlink>
      <w:r>
        <w:rPr>
          <w:rStyle w:val="AucunA"/>
        </w:rPr>
        <w:t xml:space="preserve"> </w:t>
      </w:r>
    </w:p>
  </w:footnote>
  <w:footnote w:id="4">
    <w:p w14:paraId="69B07E7E"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Ch. </w:t>
      </w:r>
      <w:r>
        <w:rPr>
          <w:rStyle w:val="Aucun"/>
          <w:smallCaps/>
          <w:lang w:val="fr-FR"/>
        </w:rPr>
        <w:t>Arnsperger</w:t>
      </w:r>
      <w:r>
        <w:rPr>
          <w:rStyle w:val="AucunA"/>
        </w:rPr>
        <w:t xml:space="preserve"> et D. </w:t>
      </w:r>
      <w:r>
        <w:rPr>
          <w:rStyle w:val="Aucun"/>
          <w:smallCaps/>
          <w:lang w:val="fr-FR"/>
        </w:rPr>
        <w:t>Bourg</w:t>
      </w:r>
      <w:r>
        <w:rPr>
          <w:rStyle w:val="AucunA"/>
        </w:rPr>
        <w:t xml:space="preserve">, </w:t>
      </w:r>
      <w:proofErr w:type="spellStart"/>
      <w:r>
        <w:rPr>
          <w:rStyle w:val="Aucun"/>
          <w:i/>
          <w:iCs/>
          <w:lang w:val="fr-FR"/>
        </w:rPr>
        <w:t>Ecologie</w:t>
      </w:r>
      <w:proofErr w:type="spellEnd"/>
      <w:r>
        <w:rPr>
          <w:rStyle w:val="Aucun"/>
          <w:i/>
          <w:iCs/>
          <w:lang w:val="fr-FR"/>
        </w:rPr>
        <w:t xml:space="preserve"> intégrale</w:t>
      </w:r>
      <w:r>
        <w:rPr>
          <w:rStyle w:val="AucunA"/>
        </w:rPr>
        <w:t xml:space="preserve"> : </w:t>
      </w:r>
      <w:r>
        <w:rPr>
          <w:rStyle w:val="Aucun"/>
          <w:i/>
          <w:iCs/>
          <w:lang w:val="fr-FR"/>
        </w:rPr>
        <w:t>Pour une société permacirculaire</w:t>
      </w:r>
      <w:r>
        <w:rPr>
          <w:rStyle w:val="AucunA"/>
        </w:rPr>
        <w:t>, 2017, PUF, p. 48.</w:t>
      </w:r>
    </w:p>
  </w:footnote>
  <w:footnote w:id="5">
    <w:p w14:paraId="32F18CC7"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Ce n’est que dans cette conception qu’il est possible de faire une comparaison avec l’uberisation : N. </w:t>
      </w:r>
      <w:r>
        <w:rPr>
          <w:rStyle w:val="Aucun"/>
          <w:smallCaps/>
          <w:lang w:val="fr-FR"/>
        </w:rPr>
        <w:t>Balat</w:t>
      </w:r>
      <w:r>
        <w:rPr>
          <w:rStyle w:val="AucunA"/>
        </w:rPr>
        <w:t xml:space="preserve">, « Uberisation et économie circulaire », </w:t>
      </w:r>
      <w:r>
        <w:rPr>
          <w:rStyle w:val="Aucun"/>
          <w:i/>
          <w:iCs/>
          <w:lang w:val="fr-FR"/>
        </w:rPr>
        <w:t>Revue juridique de l’environnement (RJE)</w:t>
      </w:r>
      <w:r>
        <w:rPr>
          <w:rStyle w:val="AucunA"/>
        </w:rPr>
        <w:t>, Vol. n°47, 2022, p.101.</w:t>
      </w:r>
    </w:p>
  </w:footnote>
  <w:footnote w:id="6">
    <w:p w14:paraId="77B2826F" w14:textId="77777777" w:rsidR="00F93310" w:rsidRDefault="00000000">
      <w:pPr>
        <w:pStyle w:val="CorpsA"/>
        <w:jc w:val="both"/>
      </w:pPr>
      <w:r>
        <w:rPr>
          <w:rStyle w:val="Aucun"/>
          <w:vertAlign w:val="superscript"/>
        </w:rPr>
        <w:footnoteRef/>
      </w:r>
      <w:r>
        <w:rPr>
          <w:rStyle w:val="Aucun"/>
          <w:sz w:val="20"/>
          <w:szCs w:val="20"/>
        </w:rPr>
        <w:t xml:space="preserve"> Loi n</w:t>
      </w:r>
      <w:r>
        <w:rPr>
          <w:rStyle w:val="Aucun"/>
          <w:sz w:val="20"/>
          <w:szCs w:val="20"/>
          <w:lang w:val="it-IT"/>
        </w:rPr>
        <w:t>°</w:t>
      </w:r>
      <w:r>
        <w:rPr>
          <w:rStyle w:val="Aucun"/>
          <w:sz w:val="20"/>
          <w:szCs w:val="20"/>
        </w:rPr>
        <w:t xml:space="preserve">2020-105, 10 février 2020, </w:t>
      </w:r>
      <w:r>
        <w:rPr>
          <w:rStyle w:val="Aucun"/>
          <w:i/>
          <w:iCs/>
          <w:sz w:val="20"/>
          <w:szCs w:val="20"/>
        </w:rPr>
        <w:t>JO</w:t>
      </w:r>
      <w:r>
        <w:rPr>
          <w:rStyle w:val="Aucun"/>
          <w:sz w:val="20"/>
          <w:szCs w:val="20"/>
        </w:rPr>
        <w:t xml:space="preserve"> n</w:t>
      </w:r>
      <w:r>
        <w:rPr>
          <w:rStyle w:val="Aucun"/>
          <w:sz w:val="20"/>
          <w:szCs w:val="20"/>
          <w:lang w:val="it-IT"/>
        </w:rPr>
        <w:t xml:space="preserve">° </w:t>
      </w:r>
      <w:r>
        <w:rPr>
          <w:rStyle w:val="Aucun"/>
          <w:sz w:val="20"/>
          <w:szCs w:val="20"/>
        </w:rPr>
        <w:t>0035 du 11 février 2020, p. 5.</w:t>
      </w:r>
    </w:p>
  </w:footnote>
  <w:footnote w:id="7">
    <w:p w14:paraId="1642DBDB" w14:textId="77777777" w:rsidR="00F93310" w:rsidRDefault="00000000">
      <w:pPr>
        <w:pStyle w:val="CorpsAA"/>
        <w:jc w:val="both"/>
      </w:pPr>
      <w:r>
        <w:rPr>
          <w:rStyle w:val="Aucun"/>
          <w:rFonts w:ascii="Times New Roman" w:eastAsia="Times New Roman" w:hAnsi="Times New Roman" w:cs="Times New Roman"/>
          <w:sz w:val="24"/>
          <w:szCs w:val="24"/>
          <w:vertAlign w:val="superscript"/>
        </w:rPr>
        <w:footnoteRef/>
      </w:r>
      <w:r>
        <w:rPr>
          <w:rStyle w:val="Aucun"/>
          <w:rFonts w:ascii="Times New Roman" w:hAnsi="Times New Roman"/>
          <w:sz w:val="20"/>
          <w:szCs w:val="20"/>
        </w:rPr>
        <w:t xml:space="preserve"> Y. </w:t>
      </w:r>
      <w:r>
        <w:rPr>
          <w:rStyle w:val="Aucun"/>
          <w:rFonts w:ascii="Times New Roman" w:hAnsi="Times New Roman"/>
          <w:smallCaps/>
          <w:sz w:val="20"/>
          <w:szCs w:val="20"/>
        </w:rPr>
        <w:t xml:space="preserve">Lung </w:t>
      </w:r>
      <w:r>
        <w:rPr>
          <w:rStyle w:val="Aucun"/>
          <w:rFonts w:ascii="Times New Roman" w:hAnsi="Times New Roman"/>
          <w:sz w:val="20"/>
          <w:szCs w:val="20"/>
        </w:rPr>
        <w:t xml:space="preserve">et M. </w:t>
      </w:r>
      <w:r>
        <w:rPr>
          <w:rStyle w:val="Aucun"/>
          <w:rFonts w:ascii="Times New Roman" w:hAnsi="Times New Roman"/>
          <w:smallCaps/>
          <w:sz w:val="20"/>
          <w:szCs w:val="20"/>
        </w:rPr>
        <w:t xml:space="preserve">Montalban, </w:t>
      </w:r>
      <w:r>
        <w:rPr>
          <w:rStyle w:val="Aucun"/>
          <w:rFonts w:ascii="Times New Roman" w:hAnsi="Times New Roman"/>
          <w:sz w:val="20"/>
          <w:szCs w:val="20"/>
        </w:rPr>
        <w:t xml:space="preserve">« La </w:t>
      </w:r>
      <w:proofErr w:type="spellStart"/>
      <w:r>
        <w:rPr>
          <w:rStyle w:val="Aucun"/>
          <w:rFonts w:ascii="Times New Roman" w:hAnsi="Times New Roman"/>
          <w:sz w:val="20"/>
          <w:szCs w:val="20"/>
        </w:rPr>
        <w:t>résilience</w:t>
      </w:r>
      <w:proofErr w:type="spellEnd"/>
      <w:r>
        <w:rPr>
          <w:rStyle w:val="Aucun"/>
          <w:rFonts w:ascii="Times New Roman" w:hAnsi="Times New Roman"/>
          <w:sz w:val="20"/>
          <w:szCs w:val="20"/>
        </w:rPr>
        <w:t xml:space="preserve"> de l</w:t>
      </w:r>
      <w:r>
        <w:rPr>
          <w:rStyle w:val="Aucun"/>
          <w:rFonts w:ascii="Times New Roman" w:hAnsi="Times New Roman"/>
          <w:sz w:val="20"/>
          <w:szCs w:val="20"/>
          <w:rtl/>
          <w:lang w:val="ar-SA"/>
        </w:rPr>
        <w:t>’</w:t>
      </w:r>
      <w:proofErr w:type="spellStart"/>
      <w:r>
        <w:rPr>
          <w:rStyle w:val="Aucun"/>
          <w:rFonts w:ascii="Times New Roman" w:hAnsi="Times New Roman"/>
          <w:sz w:val="20"/>
          <w:szCs w:val="20"/>
        </w:rPr>
        <w:t>écosystème</w:t>
      </w:r>
      <w:proofErr w:type="spellEnd"/>
      <w:r>
        <w:rPr>
          <w:rStyle w:val="Aucun"/>
          <w:rFonts w:ascii="Times New Roman" w:hAnsi="Times New Roman"/>
          <w:sz w:val="20"/>
          <w:szCs w:val="20"/>
        </w:rPr>
        <w:t xml:space="preserve"> des monnaies locales en France face </w:t>
      </w:r>
      <w:proofErr w:type="spellStart"/>
      <w:r>
        <w:rPr>
          <w:rStyle w:val="Aucun"/>
          <w:rFonts w:ascii="Times New Roman" w:hAnsi="Times New Roman"/>
          <w:sz w:val="20"/>
          <w:szCs w:val="20"/>
        </w:rPr>
        <w:t>a</w:t>
      </w:r>
      <w:proofErr w:type="spellEnd"/>
      <w:r>
        <w:rPr>
          <w:rStyle w:val="Aucun"/>
          <w:rFonts w:ascii="Times New Roman" w:hAnsi="Times New Roman"/>
          <w:sz w:val="20"/>
          <w:szCs w:val="20"/>
        </w:rPr>
        <w:t xml:space="preserve">̀ la transition </w:t>
      </w:r>
      <w:proofErr w:type="spellStart"/>
      <w:r>
        <w:rPr>
          <w:rStyle w:val="Aucun"/>
          <w:rFonts w:ascii="Times New Roman" w:hAnsi="Times New Roman"/>
          <w:sz w:val="20"/>
          <w:szCs w:val="20"/>
        </w:rPr>
        <w:t>numérique</w:t>
      </w:r>
      <w:proofErr w:type="spellEnd"/>
      <w:r>
        <w:rPr>
          <w:rStyle w:val="Aucun"/>
          <w:rFonts w:ascii="Times New Roman" w:hAnsi="Times New Roman"/>
          <w:sz w:val="20"/>
          <w:szCs w:val="20"/>
        </w:rPr>
        <w:t xml:space="preserve"> », </w:t>
      </w:r>
      <w:r>
        <w:rPr>
          <w:rStyle w:val="Aucun"/>
          <w:rFonts w:ascii="Times New Roman" w:hAnsi="Times New Roman"/>
          <w:i/>
          <w:iCs/>
          <w:sz w:val="20"/>
          <w:szCs w:val="20"/>
        </w:rPr>
        <w:t>Revue internationale de l'économie sociale</w:t>
      </w:r>
      <w:r>
        <w:rPr>
          <w:rStyle w:val="Aucun"/>
          <w:rFonts w:ascii="Times New Roman" w:hAnsi="Times New Roman"/>
          <w:sz w:val="20"/>
          <w:szCs w:val="20"/>
        </w:rPr>
        <w:t xml:space="preserve"> (</w:t>
      </w:r>
      <w:r>
        <w:rPr>
          <w:rStyle w:val="Aucun"/>
          <w:rFonts w:ascii="Times New Roman" w:hAnsi="Times New Roman"/>
          <w:i/>
          <w:iCs/>
          <w:sz w:val="20"/>
          <w:szCs w:val="20"/>
        </w:rPr>
        <w:t>RECMA)</w:t>
      </w:r>
      <w:r>
        <w:rPr>
          <w:rStyle w:val="Aucun"/>
          <w:rFonts w:ascii="Times New Roman" w:hAnsi="Times New Roman"/>
          <w:sz w:val="20"/>
          <w:szCs w:val="20"/>
        </w:rPr>
        <w:t xml:space="preserve">, 2020, n°358, p. 39 ; M. </w:t>
      </w:r>
      <w:r>
        <w:rPr>
          <w:rStyle w:val="Aucun"/>
          <w:rFonts w:ascii="Times New Roman" w:hAnsi="Times New Roman"/>
          <w:smallCaps/>
          <w:sz w:val="20"/>
          <w:szCs w:val="20"/>
        </w:rPr>
        <w:t>Fois</w:t>
      </w:r>
      <w:r>
        <w:rPr>
          <w:rStyle w:val="Aucun"/>
          <w:rFonts w:ascii="Times New Roman" w:hAnsi="Times New Roman"/>
          <w:sz w:val="20"/>
          <w:szCs w:val="20"/>
        </w:rPr>
        <w:t xml:space="preserve"> </w:t>
      </w:r>
      <w:r>
        <w:rPr>
          <w:rStyle w:val="Aucun"/>
          <w:rFonts w:ascii="Times New Roman" w:hAnsi="Times New Roman"/>
          <w:smallCaps/>
          <w:sz w:val="20"/>
          <w:szCs w:val="20"/>
        </w:rPr>
        <w:t>Duclerc</w:t>
      </w:r>
      <w:r>
        <w:rPr>
          <w:rStyle w:val="Aucun"/>
          <w:rFonts w:ascii="Times New Roman" w:hAnsi="Times New Roman"/>
          <w:sz w:val="20"/>
          <w:szCs w:val="20"/>
        </w:rPr>
        <w:t xml:space="preserve">, « Numérisation, normalisation et institutionnalisation d’une monnaie locale. Le cas de l’eusko au Pays basque », </w:t>
      </w:r>
      <w:r>
        <w:rPr>
          <w:rStyle w:val="Aucun"/>
          <w:rFonts w:ascii="Times New Roman" w:hAnsi="Times New Roman"/>
          <w:i/>
          <w:iCs/>
          <w:sz w:val="20"/>
          <w:szCs w:val="20"/>
        </w:rPr>
        <w:t>Réseaux</w:t>
      </w:r>
      <w:r>
        <w:rPr>
          <w:rStyle w:val="Aucun"/>
          <w:rFonts w:ascii="Times New Roman" w:hAnsi="Times New Roman"/>
          <w:sz w:val="20"/>
          <w:szCs w:val="20"/>
        </w:rPr>
        <w:t>, vol. 238-239, n° 2-3, 2023, pp. 181-212.</w:t>
      </w:r>
    </w:p>
  </w:footnote>
  <w:footnote w:id="8">
    <w:p w14:paraId="1DF919E2"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SEL mode d’emploi, cité par C. </w:t>
      </w:r>
      <w:r>
        <w:rPr>
          <w:rStyle w:val="Aucun"/>
          <w:smallCaps/>
          <w:lang w:val="fr-FR"/>
        </w:rPr>
        <w:t>Leduque</w:t>
      </w:r>
      <w:r>
        <w:rPr>
          <w:rStyle w:val="AucunA"/>
        </w:rPr>
        <w:t xml:space="preserve">, </w:t>
      </w:r>
      <w:r>
        <w:rPr>
          <w:rStyle w:val="Aucun"/>
          <w:i/>
          <w:iCs/>
          <w:lang w:val="fr-FR"/>
        </w:rPr>
        <w:t>L’économie de partage saisie par le droit des contrats</w:t>
      </w:r>
      <w:r>
        <w:rPr>
          <w:rStyle w:val="AucunA"/>
        </w:rPr>
        <w:t>, thèse Lyon, 2021.</w:t>
      </w:r>
    </w:p>
  </w:footnote>
  <w:footnote w:id="9">
    <w:p w14:paraId="7862A4DA"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w:t>
      </w:r>
      <w:r>
        <w:rPr>
          <w:rStyle w:val="Aucun"/>
          <w:i/>
          <w:iCs/>
          <w:lang w:val="fr-FR"/>
        </w:rPr>
        <w:t>Ibidem</w:t>
      </w:r>
      <w:r>
        <w:rPr>
          <w:rStyle w:val="AucunA"/>
        </w:rPr>
        <w:t>.</w:t>
      </w:r>
    </w:p>
  </w:footnote>
  <w:footnote w:id="10">
    <w:p w14:paraId="7B5B3069"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G. </w:t>
      </w:r>
      <w:r>
        <w:rPr>
          <w:rStyle w:val="Aucun"/>
          <w:smallCaps/>
          <w:lang w:val="fr-FR"/>
        </w:rPr>
        <w:t>Vuillemey</w:t>
      </w:r>
      <w:r>
        <w:rPr>
          <w:rStyle w:val="AucunA"/>
        </w:rPr>
        <w:t xml:space="preserve">, </w:t>
      </w:r>
      <w:r>
        <w:rPr>
          <w:rStyle w:val="Aucun"/>
          <w:i/>
          <w:iCs/>
          <w:lang w:val="fr-FR"/>
        </w:rPr>
        <w:t>Le temps de la démondialisation : Protéger les biens communs contre le libre-échange</w:t>
      </w:r>
      <w:r>
        <w:rPr>
          <w:rStyle w:val="AucunA"/>
        </w:rPr>
        <w:t>, La république des idées, 2022, 112 p.</w:t>
      </w:r>
    </w:p>
  </w:footnote>
  <w:footnote w:id="11">
    <w:p w14:paraId="745D17AA" w14:textId="77777777" w:rsidR="00F93310" w:rsidRPr="006D666B" w:rsidRDefault="00000000">
      <w:pPr>
        <w:pStyle w:val="FootnoteText"/>
        <w:rPr>
          <w:lang w:val="fr-FR"/>
        </w:rPr>
      </w:pPr>
      <w:r>
        <w:rPr>
          <w:rStyle w:val="Aucun"/>
          <w:sz w:val="24"/>
          <w:szCs w:val="24"/>
          <w:vertAlign w:val="superscript"/>
        </w:rPr>
        <w:footnoteRef/>
      </w:r>
      <w:r>
        <w:rPr>
          <w:rStyle w:val="AucunA"/>
        </w:rPr>
        <w:t xml:space="preserve"> R. </w:t>
      </w:r>
      <w:r>
        <w:rPr>
          <w:rStyle w:val="Aucun"/>
          <w:smallCaps/>
          <w:lang w:val="fr-FR"/>
        </w:rPr>
        <w:t>Hopkins</w:t>
      </w:r>
      <w:r>
        <w:rPr>
          <w:rStyle w:val="AucunA"/>
        </w:rPr>
        <w:t xml:space="preserve">, </w:t>
      </w:r>
      <w:r>
        <w:rPr>
          <w:rStyle w:val="Aucun"/>
          <w:i/>
          <w:iCs/>
          <w:lang w:val="fr-FR"/>
        </w:rPr>
        <w:t xml:space="preserve">Manuel de transition : de la dépendance au </w:t>
      </w:r>
      <w:proofErr w:type="spellStart"/>
      <w:r>
        <w:rPr>
          <w:rStyle w:val="Aucun"/>
          <w:i/>
          <w:iCs/>
          <w:lang w:val="fr-FR"/>
        </w:rPr>
        <w:t>pé</w:t>
      </w:r>
      <w:r>
        <w:rPr>
          <w:rStyle w:val="Aucun"/>
          <w:i/>
          <w:iCs/>
          <w:lang w:val="nl-NL"/>
        </w:rPr>
        <w:t>trole</w:t>
      </w:r>
      <w:proofErr w:type="spellEnd"/>
      <w:r>
        <w:rPr>
          <w:rStyle w:val="Aucun"/>
          <w:i/>
          <w:iCs/>
          <w:lang w:val="nl-NL"/>
        </w:rPr>
        <w:t xml:space="preserve"> </w:t>
      </w:r>
      <w:r>
        <w:rPr>
          <w:rStyle w:val="Aucun"/>
          <w:i/>
          <w:iCs/>
          <w:lang w:val="fr-FR"/>
        </w:rPr>
        <w:t>à la résilience locale</w:t>
      </w:r>
      <w:r>
        <w:rPr>
          <w:rStyle w:val="AucunA"/>
        </w:rPr>
        <w:t xml:space="preserve">, </w:t>
      </w:r>
      <w:proofErr w:type="spellStart"/>
      <w:r>
        <w:rPr>
          <w:rStyle w:val="AucunA"/>
        </w:rPr>
        <w:t>Ecosociété</w:t>
      </w:r>
      <w:proofErr w:type="spellEnd"/>
      <w:r>
        <w:rPr>
          <w:rStyle w:val="AucunA"/>
        </w:rPr>
        <w:t xml:space="preserve">, 2010, 211 p. </w:t>
      </w:r>
    </w:p>
  </w:footnote>
  <w:footnote w:id="12">
    <w:p w14:paraId="3261C7C6"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F. </w:t>
      </w:r>
      <w:proofErr w:type="spellStart"/>
      <w:r>
        <w:rPr>
          <w:rStyle w:val="Aucun"/>
          <w:smallCaps/>
          <w:lang w:val="fr-FR"/>
        </w:rPr>
        <w:t>Bottini</w:t>
      </w:r>
      <w:proofErr w:type="spellEnd"/>
      <w:r>
        <w:rPr>
          <w:rStyle w:val="AucunA"/>
        </w:rPr>
        <w:t>, « La croissance économique, fondement du droit public (français) depuis les chocs pétroliers des années 1970 », in V. Coq, H. Devillers et M. Chambon (</w:t>
      </w:r>
      <w:proofErr w:type="spellStart"/>
      <w:r>
        <w:rPr>
          <w:rStyle w:val="AucunA"/>
        </w:rPr>
        <w:t>dir</w:t>
      </w:r>
      <w:proofErr w:type="spellEnd"/>
      <w:r>
        <w:rPr>
          <w:rStyle w:val="AucunA"/>
        </w:rPr>
        <w:t xml:space="preserve">.), </w:t>
      </w:r>
      <w:r>
        <w:rPr>
          <w:rStyle w:val="Aucun"/>
          <w:i/>
          <w:iCs/>
          <w:lang w:val="fr-FR"/>
        </w:rPr>
        <w:t>Le paradigme de la croissance en droit public</w:t>
      </w:r>
      <w:r>
        <w:rPr>
          <w:rStyle w:val="AucunA"/>
        </w:rPr>
        <w:t xml:space="preserve">, </w:t>
      </w:r>
      <w:proofErr w:type="spellStart"/>
      <w:r>
        <w:rPr>
          <w:rStyle w:val="AucunA"/>
        </w:rPr>
        <w:t>Lexisnexis</w:t>
      </w:r>
      <w:proofErr w:type="spellEnd"/>
      <w:r>
        <w:rPr>
          <w:rStyle w:val="AucunA"/>
        </w:rPr>
        <w:t>, 2022, pp. 63-75.</w:t>
      </w:r>
    </w:p>
  </w:footnote>
  <w:footnote w:id="13">
    <w:p w14:paraId="6C39C9DF"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M. </w:t>
      </w:r>
      <w:r>
        <w:rPr>
          <w:rStyle w:val="Aucun"/>
          <w:smallCaps/>
          <w:lang w:val="fr-FR"/>
        </w:rPr>
        <w:t>Filippi</w:t>
      </w:r>
      <w:r>
        <w:rPr>
          <w:rStyle w:val="AucunA"/>
        </w:rPr>
        <w:t xml:space="preserve"> (</w:t>
      </w:r>
      <w:proofErr w:type="spellStart"/>
      <w:r>
        <w:rPr>
          <w:rStyle w:val="AucunA"/>
        </w:rPr>
        <w:t>dir</w:t>
      </w:r>
      <w:proofErr w:type="spellEnd"/>
      <w:r>
        <w:rPr>
          <w:rStyle w:val="AucunA"/>
        </w:rPr>
        <w:t xml:space="preserve">.), </w:t>
      </w:r>
      <w:r>
        <w:rPr>
          <w:rStyle w:val="Aucun"/>
          <w:i/>
          <w:iCs/>
          <w:lang w:val="fr-FR"/>
        </w:rPr>
        <w:t>La responsabilité territoriale des entreprises</w:t>
      </w:r>
      <w:r>
        <w:rPr>
          <w:rStyle w:val="AucunA"/>
        </w:rPr>
        <w:t>, Lormont, Le bord de l’eau, 2022, 220 p.</w:t>
      </w:r>
    </w:p>
  </w:footnote>
  <w:footnote w:id="14">
    <w:p w14:paraId="00027324" w14:textId="77777777" w:rsidR="00F93310" w:rsidRPr="006D666B" w:rsidRDefault="00000000">
      <w:pPr>
        <w:pStyle w:val="FootnoteText"/>
        <w:rPr>
          <w:lang w:val="fr-FR"/>
        </w:rPr>
      </w:pPr>
      <w:r>
        <w:rPr>
          <w:rStyle w:val="Aucun"/>
          <w:vertAlign w:val="superscript"/>
          <w:lang w:val="fr-FR"/>
        </w:rPr>
        <w:footnoteRef/>
      </w:r>
      <w:r>
        <w:rPr>
          <w:rStyle w:val="AucunA"/>
        </w:rPr>
        <w:t xml:space="preserve"> G. Doré, </w:t>
      </w:r>
      <w:r>
        <w:rPr>
          <w:rStyle w:val="Aucun"/>
          <w:i/>
          <w:iCs/>
          <w:lang w:val="fr-FR"/>
        </w:rPr>
        <w:t>Dictionnaire des pratiques locales alternatives</w:t>
      </w:r>
      <w:r>
        <w:rPr>
          <w:rStyle w:val="AucunA"/>
        </w:rPr>
        <w:t xml:space="preserve">, éd. </w:t>
      </w:r>
      <w:proofErr w:type="spellStart"/>
      <w:r>
        <w:rPr>
          <w:rStyle w:val="AucunA"/>
        </w:rPr>
        <w:t>Crhonique</w:t>
      </w:r>
      <w:proofErr w:type="spellEnd"/>
      <w:r>
        <w:rPr>
          <w:rStyle w:val="AucunA"/>
        </w:rPr>
        <w:t xml:space="preserve"> sociale, 2021, p.170</w:t>
      </w:r>
    </w:p>
  </w:footnote>
  <w:footnote w:id="15">
    <w:p w14:paraId="7907DA9B" w14:textId="77777777" w:rsidR="00F93310" w:rsidRPr="006D666B" w:rsidRDefault="00000000">
      <w:pPr>
        <w:pStyle w:val="FootnoteText"/>
        <w:rPr>
          <w:lang w:val="fr-FR"/>
        </w:rPr>
      </w:pPr>
      <w:r>
        <w:rPr>
          <w:rStyle w:val="Aucun"/>
          <w:sz w:val="24"/>
          <w:szCs w:val="24"/>
          <w:vertAlign w:val="superscript"/>
        </w:rPr>
        <w:footnoteRef/>
      </w:r>
      <w:r>
        <w:rPr>
          <w:rStyle w:val="AucunA"/>
        </w:rPr>
        <w:t xml:space="preserve"> Réseau National des ressourceries et recycleries : </w:t>
      </w:r>
      <w:hyperlink r:id="rId2" w:history="1">
        <w:r>
          <w:rPr>
            <w:rStyle w:val="Hyperlink1"/>
          </w:rPr>
          <w:t>https://ressourceries.info/?IiI</w:t>
        </w:r>
      </w:hyperlink>
      <w:r>
        <w:rPr>
          <w:rStyle w:val="Aucun"/>
          <w:lang w:val="pt-PT"/>
        </w:rPr>
        <w:t xml:space="preserve"> </w:t>
      </w:r>
    </w:p>
  </w:footnote>
  <w:footnote w:id="16">
    <w:p w14:paraId="3D5A64CC"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Loi n° 2020-105 du 10 février 2020 relative à la lutte contre le gaspillage et à l'économie circulaire (1), art. 119.</w:t>
      </w:r>
    </w:p>
  </w:footnote>
  <w:footnote w:id="17">
    <w:p w14:paraId="4FD9AA5E"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Code de l’environnement français, art. L.541-1. </w:t>
      </w:r>
    </w:p>
  </w:footnote>
  <w:footnote w:id="18">
    <w:p w14:paraId="6C69C431"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S. </w:t>
      </w:r>
      <w:proofErr w:type="spellStart"/>
      <w:r>
        <w:rPr>
          <w:rStyle w:val="Aucun"/>
          <w:smallCaps/>
          <w:lang w:val="fr-FR"/>
        </w:rPr>
        <w:t>Bradburn</w:t>
      </w:r>
      <w:proofErr w:type="spellEnd"/>
      <w:r>
        <w:rPr>
          <w:rStyle w:val="AucunA"/>
        </w:rPr>
        <w:t xml:space="preserve">, </w:t>
      </w:r>
      <w:r>
        <w:rPr>
          <w:rStyle w:val="Aucun"/>
          <w:i/>
          <w:iCs/>
          <w:lang w:val="fr-FR"/>
        </w:rPr>
        <w:t>Les systèmes d’échange locaux</w:t>
      </w:r>
      <w:r>
        <w:rPr>
          <w:rStyle w:val="AucunA"/>
        </w:rPr>
        <w:t>, thèse, 2015, Bordeaux, n° 9.</w:t>
      </w:r>
    </w:p>
  </w:footnote>
  <w:footnote w:id="19">
    <w:p w14:paraId="30988928"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Code monétaire et financier français, arts. L.311-5 et 311-6.</w:t>
      </w:r>
    </w:p>
  </w:footnote>
  <w:footnote w:id="20">
    <w:p w14:paraId="66D29906"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S. </w:t>
      </w:r>
      <w:proofErr w:type="spellStart"/>
      <w:r>
        <w:rPr>
          <w:rStyle w:val="Aucun"/>
          <w:smallCaps/>
          <w:lang w:val="fr-FR"/>
        </w:rPr>
        <w:t>Bradburn</w:t>
      </w:r>
      <w:proofErr w:type="spellEnd"/>
      <w:r>
        <w:rPr>
          <w:rStyle w:val="AucunA"/>
        </w:rPr>
        <w:t xml:space="preserve">, </w:t>
      </w:r>
      <w:r>
        <w:rPr>
          <w:rStyle w:val="Aucun"/>
          <w:i/>
          <w:iCs/>
          <w:lang w:val="fr-FR"/>
        </w:rPr>
        <w:t xml:space="preserve">op. </w:t>
      </w:r>
      <w:proofErr w:type="spellStart"/>
      <w:r>
        <w:rPr>
          <w:rStyle w:val="Aucun"/>
          <w:i/>
          <w:iCs/>
          <w:lang w:val="fr-FR"/>
        </w:rPr>
        <w:t>cit</w:t>
      </w:r>
      <w:proofErr w:type="spellEnd"/>
      <w:r>
        <w:rPr>
          <w:rStyle w:val="Aucun"/>
          <w:i/>
          <w:iCs/>
          <w:lang w:val="fr-FR"/>
        </w:rPr>
        <w:t>.</w:t>
      </w:r>
      <w:r>
        <w:rPr>
          <w:rStyle w:val="AucunA"/>
        </w:rPr>
        <w:t xml:space="preserve">, ns° 250 s., </w:t>
      </w:r>
      <w:proofErr w:type="spellStart"/>
      <w:r>
        <w:rPr>
          <w:rStyle w:val="AucunA"/>
        </w:rPr>
        <w:t>spéc</w:t>
      </w:r>
      <w:proofErr w:type="spellEnd"/>
      <w:r>
        <w:rPr>
          <w:rStyle w:val="AucunA"/>
        </w:rPr>
        <w:t>. n° 259.</w:t>
      </w:r>
    </w:p>
  </w:footnote>
  <w:footnote w:id="21">
    <w:p w14:paraId="38455EAF"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M. </w:t>
      </w:r>
      <w:proofErr w:type="spellStart"/>
      <w:r>
        <w:rPr>
          <w:rStyle w:val="Aucun"/>
          <w:smallCaps/>
          <w:lang w:val="fr-FR"/>
        </w:rPr>
        <w:t>Houdart</w:t>
      </w:r>
      <w:proofErr w:type="spellEnd"/>
      <w:r>
        <w:rPr>
          <w:rStyle w:val="AucunA"/>
        </w:rPr>
        <w:t xml:space="preserve">, « La contribution des associations de soutien aux Monnaies locales complémentaires à la territorialisation de l’alimentation. Une illustration à l’échelle du Puy-de-Dôme, France », </w:t>
      </w:r>
      <w:proofErr w:type="spellStart"/>
      <w:r>
        <w:rPr>
          <w:rStyle w:val="Aucun"/>
          <w:i/>
          <w:iCs/>
          <w:lang w:val="fr-FR"/>
        </w:rPr>
        <w:t>Géocarrefour</w:t>
      </w:r>
      <w:proofErr w:type="spellEnd"/>
      <w:r>
        <w:rPr>
          <w:rStyle w:val="AucunA"/>
        </w:rPr>
        <w:t xml:space="preserve">, 95/4, 2021, en ligne : </w:t>
      </w:r>
      <w:hyperlink r:id="rId3" w:history="1">
        <w:r>
          <w:rPr>
            <w:rStyle w:val="Hyperlink0"/>
          </w:rPr>
          <w:t>https://journals.openedition.org/geocarrefour/17103</w:t>
        </w:r>
      </w:hyperlink>
      <w:r>
        <w:rPr>
          <w:rStyle w:val="AucunA"/>
        </w:rPr>
        <w:t xml:space="preserve"> </w:t>
      </w:r>
    </w:p>
  </w:footnote>
  <w:footnote w:id="22">
    <w:p w14:paraId="584E41CE" w14:textId="77777777" w:rsidR="00F93310" w:rsidRDefault="00000000">
      <w:pPr>
        <w:pStyle w:val="FootnoteText"/>
      </w:pPr>
      <w:r>
        <w:rPr>
          <w:rStyle w:val="Aucun"/>
          <w:sz w:val="24"/>
          <w:szCs w:val="24"/>
          <w:vertAlign w:val="superscript"/>
        </w:rPr>
        <w:footnoteRef/>
      </w:r>
      <w:r>
        <w:rPr>
          <w:rStyle w:val="AucunA"/>
        </w:rPr>
        <w:t xml:space="preserve"> Code monétaire et financier, art. </w:t>
      </w:r>
      <w:r>
        <w:rPr>
          <w:rStyle w:val="Aucun"/>
        </w:rPr>
        <w:t>L.311-5.</w:t>
      </w:r>
    </w:p>
  </w:footnote>
  <w:footnote w:id="23">
    <w:p w14:paraId="4D3F5AB2" w14:textId="77777777" w:rsidR="00F93310" w:rsidRDefault="00000000">
      <w:pPr>
        <w:pStyle w:val="FootnoteText"/>
      </w:pPr>
      <w:r>
        <w:rPr>
          <w:rStyle w:val="Aucun"/>
          <w:sz w:val="24"/>
          <w:szCs w:val="24"/>
          <w:vertAlign w:val="superscript"/>
        </w:rPr>
        <w:footnoteRef/>
      </w:r>
      <w:r w:rsidRPr="006D666B">
        <w:rPr>
          <w:rStyle w:val="PageNumber"/>
          <w:rFonts w:eastAsia="Arial Unicode MS" w:cs="Arial Unicode MS"/>
          <w:lang w:val="en-US"/>
        </w:rPr>
        <w:t xml:space="preserve"> </w:t>
      </w:r>
      <w:r w:rsidRPr="006D666B">
        <w:rPr>
          <w:rStyle w:val="PageNumber"/>
          <w:rFonts w:eastAsia="Arial Unicode MS" w:cs="Arial Unicode MS"/>
          <w:lang w:val="en-US"/>
        </w:rPr>
        <w:t xml:space="preserve">S. </w:t>
      </w:r>
      <w:r>
        <w:rPr>
          <w:rStyle w:val="Aucun"/>
          <w:rFonts w:eastAsia="Arial Unicode MS" w:cs="Arial Unicode MS"/>
          <w:smallCaps/>
        </w:rPr>
        <w:t xml:space="preserve">Bradburn, </w:t>
      </w:r>
      <w:r>
        <w:rPr>
          <w:rStyle w:val="Aucun"/>
          <w:rFonts w:eastAsia="Arial Unicode MS" w:cs="Arial Unicode MS"/>
          <w:i/>
          <w:iCs/>
        </w:rPr>
        <w:t>op. cit.</w:t>
      </w:r>
      <w:r w:rsidRPr="006D666B">
        <w:rPr>
          <w:rStyle w:val="PageNumber"/>
          <w:rFonts w:eastAsia="Arial Unicode MS" w:cs="Arial Unicode MS"/>
          <w:lang w:val="en-US"/>
        </w:rPr>
        <w:t>, n° 510.</w:t>
      </w:r>
    </w:p>
  </w:footnote>
  <w:footnote w:id="24">
    <w:p w14:paraId="128736DC" w14:textId="77777777" w:rsidR="00F93310" w:rsidRDefault="00000000">
      <w:pPr>
        <w:pStyle w:val="FootnoteText"/>
      </w:pPr>
      <w:r>
        <w:rPr>
          <w:rStyle w:val="Aucun"/>
          <w:sz w:val="24"/>
          <w:szCs w:val="24"/>
          <w:vertAlign w:val="superscript"/>
        </w:rPr>
        <w:footnoteRef/>
      </w:r>
      <w:r w:rsidRPr="006D666B">
        <w:rPr>
          <w:rStyle w:val="PageNumber"/>
          <w:rFonts w:eastAsia="Arial Unicode MS" w:cs="Arial Unicode MS"/>
          <w:lang w:val="en-US"/>
        </w:rPr>
        <w:t xml:space="preserve"> </w:t>
      </w:r>
      <w:r w:rsidRPr="006D666B">
        <w:rPr>
          <w:rStyle w:val="PageNumber"/>
          <w:rFonts w:eastAsia="Arial Unicode MS" w:cs="Arial Unicode MS"/>
          <w:lang w:val="en-US"/>
        </w:rPr>
        <w:t xml:space="preserve">S. </w:t>
      </w:r>
      <w:r>
        <w:rPr>
          <w:rStyle w:val="Aucun"/>
          <w:rFonts w:eastAsia="Arial Unicode MS" w:cs="Arial Unicode MS"/>
          <w:smallCaps/>
        </w:rPr>
        <w:t xml:space="preserve">Bradburn, </w:t>
      </w:r>
      <w:r>
        <w:rPr>
          <w:rStyle w:val="Aucun"/>
          <w:rFonts w:eastAsia="Arial Unicode MS" w:cs="Arial Unicode MS"/>
          <w:i/>
          <w:iCs/>
        </w:rPr>
        <w:t>op. cit.</w:t>
      </w:r>
      <w:r w:rsidRPr="006D666B">
        <w:rPr>
          <w:rStyle w:val="PageNumber"/>
          <w:rFonts w:eastAsia="Arial Unicode MS" w:cs="Arial Unicode MS"/>
          <w:lang w:val="en-US"/>
        </w:rPr>
        <w:t>, n° 511.</w:t>
      </w:r>
    </w:p>
  </w:footnote>
  <w:footnote w:id="25">
    <w:p w14:paraId="68504161" w14:textId="77777777" w:rsidR="00F93310" w:rsidRPr="006D666B" w:rsidRDefault="00000000">
      <w:pPr>
        <w:pStyle w:val="FootnoteText"/>
        <w:rPr>
          <w:lang w:val="fr-FR"/>
        </w:rPr>
      </w:pPr>
      <w:r>
        <w:rPr>
          <w:rStyle w:val="Aucun"/>
          <w:sz w:val="24"/>
          <w:szCs w:val="24"/>
          <w:vertAlign w:val="superscript"/>
          <w:lang w:val="fr-FR"/>
        </w:rPr>
        <w:footnoteRef/>
      </w:r>
      <w:r>
        <w:rPr>
          <w:rStyle w:val="AucunA"/>
        </w:rPr>
        <w:t xml:space="preserve"> Code de la mutualité français, art. L.110-1.</w:t>
      </w:r>
    </w:p>
  </w:footnote>
  <w:footnote w:id="26">
    <w:p w14:paraId="69E90D90" w14:textId="77777777" w:rsidR="00F93310" w:rsidRDefault="00000000">
      <w:pPr>
        <w:pStyle w:val="FootnoteText"/>
      </w:pPr>
      <w:r>
        <w:rPr>
          <w:rStyle w:val="Aucun"/>
          <w:sz w:val="24"/>
          <w:szCs w:val="24"/>
          <w:vertAlign w:val="superscript"/>
          <w:lang w:val="fr-FR"/>
        </w:rPr>
        <w:footnoteRef/>
      </w:r>
      <w:r>
        <w:rPr>
          <w:rStyle w:val="AucunA"/>
        </w:rPr>
        <w:t xml:space="preserve"> Code de la mutualité français, art. </w:t>
      </w:r>
      <w:r w:rsidRPr="006D666B">
        <w:rPr>
          <w:rStyle w:val="AucunA"/>
          <w:lang w:val="en-US"/>
        </w:rPr>
        <w:t>L.111-1.</w:t>
      </w:r>
    </w:p>
  </w:footnote>
  <w:footnote w:id="27">
    <w:p w14:paraId="2CBA39A9" w14:textId="77777777" w:rsidR="00F93310" w:rsidRDefault="00000000">
      <w:pPr>
        <w:pStyle w:val="FootnoteText"/>
      </w:pPr>
      <w:r>
        <w:rPr>
          <w:rStyle w:val="Aucun"/>
          <w:sz w:val="24"/>
          <w:szCs w:val="24"/>
          <w:vertAlign w:val="superscript"/>
        </w:rPr>
        <w:footnoteRef/>
      </w:r>
      <w:r w:rsidRPr="006D666B">
        <w:rPr>
          <w:rStyle w:val="PageNumber"/>
          <w:rFonts w:eastAsia="Arial Unicode MS" w:cs="Arial Unicode MS"/>
          <w:lang w:val="en-US"/>
        </w:rPr>
        <w:t xml:space="preserve"> </w:t>
      </w:r>
      <w:r w:rsidRPr="006D666B">
        <w:rPr>
          <w:rStyle w:val="PageNumber"/>
          <w:rFonts w:eastAsia="Arial Unicode MS" w:cs="Arial Unicode MS"/>
          <w:lang w:val="en-US"/>
        </w:rPr>
        <w:t xml:space="preserve">S. </w:t>
      </w:r>
      <w:r>
        <w:rPr>
          <w:rStyle w:val="Aucun"/>
          <w:rFonts w:eastAsia="Arial Unicode MS" w:cs="Arial Unicode MS"/>
          <w:smallCaps/>
        </w:rPr>
        <w:t xml:space="preserve">Bradburn, </w:t>
      </w:r>
      <w:r>
        <w:rPr>
          <w:rStyle w:val="Aucun"/>
          <w:rFonts w:eastAsia="Arial Unicode MS" w:cs="Arial Unicode MS"/>
          <w:i/>
          <w:iCs/>
        </w:rPr>
        <w:t xml:space="preserve">op. </w:t>
      </w:r>
      <w:proofErr w:type="spellStart"/>
      <w:r>
        <w:rPr>
          <w:rStyle w:val="Aucun"/>
          <w:rFonts w:eastAsia="Arial Unicode MS" w:cs="Arial Unicode MS"/>
          <w:i/>
          <w:iCs/>
        </w:rPr>
        <w:t>cit</w:t>
      </w:r>
      <w:proofErr w:type="spellEnd"/>
      <w:r w:rsidRPr="006D666B">
        <w:rPr>
          <w:rStyle w:val="PageNumber"/>
          <w:rFonts w:eastAsia="Arial Unicode MS" w:cs="Arial Unicode MS"/>
          <w:lang w:val="en-US"/>
        </w:rPr>
        <w:t xml:space="preserve"> n° 544 s.</w:t>
      </w:r>
    </w:p>
  </w:footnote>
  <w:footnote w:id="28">
    <w:p w14:paraId="7F42D4E5"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D. </w:t>
      </w:r>
      <w:r>
        <w:rPr>
          <w:rStyle w:val="Aucun"/>
          <w:smallCaps/>
          <w:lang w:val="fr-FR"/>
        </w:rPr>
        <w:t>Hiez</w:t>
      </w:r>
      <w:r>
        <w:rPr>
          <w:rStyle w:val="AucunA"/>
        </w:rPr>
        <w:t xml:space="preserve">, « La communauté d’énergie : un groupement d’économie sociale et solidaire ? », </w:t>
      </w:r>
      <w:r>
        <w:rPr>
          <w:rStyle w:val="Aucun"/>
          <w:i/>
          <w:iCs/>
          <w:lang w:val="fr-FR"/>
        </w:rPr>
        <w:t xml:space="preserve">Revue trimestrielle de droit commercial, </w:t>
      </w:r>
      <w:r>
        <w:rPr>
          <w:rStyle w:val="AucunA"/>
        </w:rPr>
        <w:t>2022, pp. 603-612.</w:t>
      </w:r>
    </w:p>
  </w:footnote>
  <w:footnote w:id="29">
    <w:p w14:paraId="41EE407D" w14:textId="77777777" w:rsidR="00F93310" w:rsidRPr="006D666B" w:rsidRDefault="00000000">
      <w:pPr>
        <w:pStyle w:val="FootnoteText"/>
        <w:jc w:val="both"/>
        <w:rPr>
          <w:lang w:val="fr-FR"/>
        </w:rPr>
      </w:pPr>
      <w:r>
        <w:rPr>
          <w:rStyle w:val="Aucun"/>
          <w:sz w:val="24"/>
          <w:szCs w:val="24"/>
          <w:vertAlign w:val="superscript"/>
        </w:rPr>
        <w:footnoteRef/>
      </w:r>
      <w:r>
        <w:rPr>
          <w:rStyle w:val="AucunA"/>
        </w:rPr>
        <w:t xml:space="preserve"> A. </w:t>
      </w:r>
      <w:r>
        <w:rPr>
          <w:rStyle w:val="Aucun"/>
          <w:smallCaps/>
          <w:lang w:val="fr-FR"/>
        </w:rPr>
        <w:t>Fontaine</w:t>
      </w:r>
      <w:r>
        <w:rPr>
          <w:rStyle w:val="AucunA"/>
        </w:rPr>
        <w:t>, « L</w:t>
      </w:r>
      <w:r>
        <w:rPr>
          <w:rStyle w:val="Aucun"/>
          <w:rtl/>
          <w:lang w:val="ar-SA"/>
        </w:rPr>
        <w:t>’</w:t>
      </w:r>
      <w:r>
        <w:rPr>
          <w:rStyle w:val="AucunA"/>
        </w:rPr>
        <w:t xml:space="preserve">essor des coopératives énergétiques citoyennes », </w:t>
      </w:r>
      <w:r>
        <w:rPr>
          <w:rStyle w:val="Aucun"/>
          <w:i/>
          <w:iCs/>
          <w:lang w:val="fr-FR"/>
        </w:rPr>
        <w:t>Multitudes</w:t>
      </w:r>
      <w:r>
        <w:rPr>
          <w:rStyle w:val="Aucun"/>
          <w:lang w:val="pt-PT"/>
        </w:rPr>
        <w:t>, vol. 4 n° 77, 2019/4, pp. 88-93 ;</w:t>
      </w:r>
      <w:r>
        <w:rPr>
          <w:rStyle w:val="AucunA"/>
        </w:rPr>
        <w:t xml:space="preserve"> </w:t>
      </w:r>
      <w:proofErr w:type="spellStart"/>
      <w:r>
        <w:rPr>
          <w:rStyle w:val="Aucun"/>
          <w:lang w:val="it-IT"/>
        </w:rPr>
        <w:t>Ph</w:t>
      </w:r>
      <w:proofErr w:type="spellEnd"/>
      <w:r>
        <w:rPr>
          <w:rStyle w:val="Aucun"/>
          <w:lang w:val="it-IT"/>
        </w:rPr>
        <w:t xml:space="preserve">. </w:t>
      </w:r>
      <w:r>
        <w:rPr>
          <w:rStyle w:val="Aucun"/>
          <w:smallCaps/>
          <w:lang w:val="it-IT"/>
        </w:rPr>
        <w:t>Hamman</w:t>
      </w:r>
      <w:r>
        <w:rPr>
          <w:rStyle w:val="Aucun"/>
          <w:lang w:val="it-IT"/>
        </w:rPr>
        <w:t xml:space="preserve">, </w:t>
      </w:r>
      <w:r>
        <w:rPr>
          <w:rStyle w:val="Aucun"/>
          <w:i/>
          <w:iCs/>
          <w:lang w:val="fr-FR"/>
        </w:rPr>
        <w:t>Les coopératives énergétiques citoyennes, paradoxes de la transition écologique?</w:t>
      </w:r>
      <w:r>
        <w:rPr>
          <w:rStyle w:val="AucunA"/>
        </w:rPr>
        <w:t xml:space="preserve"> Le bord de l</w:t>
      </w:r>
      <w:r>
        <w:rPr>
          <w:rStyle w:val="Aucun"/>
          <w:rtl/>
          <w:lang w:val="ar-SA"/>
        </w:rPr>
        <w:t>’</w:t>
      </w:r>
      <w:r>
        <w:rPr>
          <w:rStyle w:val="AucunA"/>
        </w:rPr>
        <w:t xml:space="preserve">eau, 2022, 204 p. ; P. </w:t>
      </w:r>
      <w:proofErr w:type="spellStart"/>
      <w:r>
        <w:rPr>
          <w:rStyle w:val="Aucun"/>
          <w:smallCaps/>
          <w:lang w:val="fr-FR"/>
        </w:rPr>
        <w:t>Wokuri</w:t>
      </w:r>
      <w:proofErr w:type="spellEnd"/>
      <w:r>
        <w:rPr>
          <w:rStyle w:val="AucunA"/>
        </w:rPr>
        <w:t xml:space="preserve">, « Participation citoyenne et régimes de politiques publiques : nouvelle donne ou donne inchangée ? Le cas des projets coopératifs d’énergie renouvelable au Danemark et en France », </w:t>
      </w:r>
      <w:r>
        <w:rPr>
          <w:rStyle w:val="Aucun"/>
          <w:i/>
          <w:iCs/>
          <w:lang w:val="fr-FR"/>
        </w:rPr>
        <w:t>Lien social et politique</w:t>
      </w:r>
      <w:r>
        <w:rPr>
          <w:rStyle w:val="AucunA"/>
        </w:rPr>
        <w:t>, n</w:t>
      </w:r>
      <w:r>
        <w:rPr>
          <w:rStyle w:val="Aucun"/>
          <w:lang w:val="it-IT"/>
        </w:rPr>
        <w:t>°</w:t>
      </w:r>
      <w:r>
        <w:rPr>
          <w:rStyle w:val="AucunA"/>
        </w:rPr>
        <w:t xml:space="preserve">82, 2019, pp.158-180 ; G. </w:t>
      </w:r>
      <w:proofErr w:type="spellStart"/>
      <w:r>
        <w:rPr>
          <w:rStyle w:val="Aucun"/>
          <w:smallCaps/>
          <w:lang w:val="fr-FR"/>
        </w:rPr>
        <w:t>Debizet</w:t>
      </w:r>
      <w:proofErr w:type="spellEnd"/>
      <w:r>
        <w:rPr>
          <w:rStyle w:val="AucunA"/>
        </w:rPr>
        <w:t xml:space="preserve"> et M. </w:t>
      </w:r>
      <w:proofErr w:type="spellStart"/>
      <w:r>
        <w:rPr>
          <w:rStyle w:val="Aucun"/>
          <w:smallCaps/>
          <w:lang w:val="fr-FR"/>
        </w:rPr>
        <w:t>Pappalardo</w:t>
      </w:r>
      <w:proofErr w:type="spellEnd"/>
      <w:r>
        <w:rPr>
          <w:rStyle w:val="AucunA"/>
        </w:rPr>
        <w:t xml:space="preserve">, « </w:t>
      </w:r>
      <w:proofErr w:type="spellStart"/>
      <w:r>
        <w:rPr>
          <w:rStyle w:val="AucunA"/>
        </w:rPr>
        <w:t>Communautés</w:t>
      </w:r>
      <w:proofErr w:type="spellEnd"/>
      <w:r>
        <w:rPr>
          <w:rStyle w:val="AucunA"/>
        </w:rPr>
        <w:t xml:space="preserve"> énergétiques locales, coopératives citoyennes et autoconsommation collective : formes Et trajectoires En France </w:t>
      </w:r>
      <w:r>
        <w:rPr>
          <w:rStyle w:val="Aucun"/>
          <w:lang w:val="it-IT"/>
        </w:rPr>
        <w:t>»</w:t>
      </w:r>
      <w:r>
        <w:rPr>
          <w:rStyle w:val="AucunA"/>
        </w:rPr>
        <w:t xml:space="preserve">, </w:t>
      </w:r>
      <w:r>
        <w:rPr>
          <w:rStyle w:val="Aucun"/>
          <w:i/>
          <w:iCs/>
          <w:lang w:val="fr-FR"/>
        </w:rPr>
        <w:t>Flux</w:t>
      </w:r>
      <w:r>
        <w:rPr>
          <w:rStyle w:val="Aucun"/>
          <w:lang w:val="pt-PT"/>
        </w:rPr>
        <w:t>, vol. 126, n</w:t>
      </w:r>
      <w:r>
        <w:rPr>
          <w:rStyle w:val="Aucun"/>
          <w:lang w:val="it-IT"/>
        </w:rPr>
        <w:t>°</w:t>
      </w:r>
      <w:r>
        <w:rPr>
          <w:rStyle w:val="AucunA"/>
        </w:rPr>
        <w:t>4, 2021, pp. 1-13., elles ont été consacrées par le droit européen Directive (UE) 2019/944 du Parlement européen et du conseil du 05 juin 2019 concernant des r</w:t>
      </w:r>
      <w:r>
        <w:rPr>
          <w:rStyle w:val="Aucun"/>
          <w:lang w:val="it-IT"/>
        </w:rPr>
        <w:t>è</w:t>
      </w:r>
      <w:proofErr w:type="spellStart"/>
      <w:r>
        <w:rPr>
          <w:rStyle w:val="AucunA"/>
        </w:rPr>
        <w:t>gles</w:t>
      </w:r>
      <w:proofErr w:type="spellEnd"/>
      <w:r>
        <w:rPr>
          <w:rStyle w:val="AucunA"/>
        </w:rPr>
        <w:t xml:space="preserve"> communes pour le marché́ intérieur de l’électricité et modifiant la directive 2012/27/UE, </w:t>
      </w:r>
      <w:r>
        <w:rPr>
          <w:rStyle w:val="Aucun"/>
          <w:i/>
          <w:iCs/>
          <w:lang w:val="fr-FR"/>
        </w:rPr>
        <w:t>J.O.C.E.</w:t>
      </w:r>
      <w:r>
        <w:rPr>
          <w:rStyle w:val="AucunA"/>
        </w:rPr>
        <w:t>, n</w:t>
      </w:r>
      <w:r>
        <w:rPr>
          <w:rStyle w:val="Aucun"/>
          <w:lang w:val="it-IT"/>
        </w:rPr>
        <w:t xml:space="preserve">° </w:t>
      </w:r>
      <w:r>
        <w:rPr>
          <w:rStyle w:val="AucunA"/>
        </w:rPr>
        <w:t>L 158, 23 juin 2022 ; Directive (UE) 2019/692 du Parlement européen et du conseil du 17 avril 2019 concernant des r</w:t>
      </w:r>
      <w:r>
        <w:rPr>
          <w:rStyle w:val="Aucun"/>
          <w:lang w:val="it-IT"/>
        </w:rPr>
        <w:t>è</w:t>
      </w:r>
      <w:proofErr w:type="spellStart"/>
      <w:r>
        <w:rPr>
          <w:rStyle w:val="AucunA"/>
        </w:rPr>
        <w:t>gles</w:t>
      </w:r>
      <w:proofErr w:type="spellEnd"/>
      <w:r>
        <w:rPr>
          <w:rStyle w:val="AucunA"/>
        </w:rPr>
        <w:t xml:space="preserve"> communes pour le marché intérieur du gaz naturel, </w:t>
      </w:r>
      <w:r>
        <w:rPr>
          <w:rStyle w:val="Aucun"/>
          <w:i/>
          <w:iCs/>
          <w:lang w:val="fr-FR"/>
        </w:rPr>
        <w:t>J.O.C.E.,</w:t>
      </w:r>
      <w:r>
        <w:rPr>
          <w:rStyle w:val="AucunA"/>
        </w:rPr>
        <w:t xml:space="preserve"> n</w:t>
      </w:r>
      <w:r>
        <w:rPr>
          <w:rStyle w:val="Aucun"/>
          <w:lang w:val="it-IT"/>
        </w:rPr>
        <w:t xml:space="preserve">° </w:t>
      </w:r>
      <w:r>
        <w:rPr>
          <w:rStyle w:val="AucunA"/>
        </w:rPr>
        <w:t xml:space="preserve">L 117/1, 03 mai 2019 ; </w:t>
      </w:r>
      <w:r>
        <w:rPr>
          <w:rStyle w:val="Aucun"/>
          <w:lang w:val="it-IT"/>
        </w:rPr>
        <w:t xml:space="preserve">A. </w:t>
      </w:r>
      <w:r>
        <w:rPr>
          <w:rStyle w:val="Aucun"/>
          <w:smallCaps/>
          <w:lang w:val="it-IT"/>
        </w:rPr>
        <w:t>Di</w:t>
      </w:r>
      <w:r>
        <w:rPr>
          <w:rStyle w:val="Aucun"/>
          <w:lang w:val="it-IT"/>
        </w:rPr>
        <w:t xml:space="preserve"> </w:t>
      </w:r>
      <w:r>
        <w:rPr>
          <w:rStyle w:val="Aucun"/>
          <w:smallCaps/>
          <w:lang w:val="it-IT"/>
        </w:rPr>
        <w:t>Marco</w:t>
      </w:r>
      <w:r>
        <w:rPr>
          <w:rStyle w:val="Aucun"/>
          <w:lang w:val="it-IT"/>
        </w:rPr>
        <w:t xml:space="preserve">, </w:t>
      </w:r>
      <w:r>
        <w:rPr>
          <w:rStyle w:val="AucunA"/>
        </w:rPr>
        <w:t>« Les communautés d’énergie renouvelable et la transition verte de l</w:t>
      </w:r>
      <w:r>
        <w:rPr>
          <w:rStyle w:val="Aucun"/>
          <w:rtl/>
          <w:lang w:val="ar-SA"/>
        </w:rPr>
        <w:t>’</w:t>
      </w:r>
      <w:r>
        <w:rPr>
          <w:rStyle w:val="AucunA"/>
        </w:rPr>
        <w:t xml:space="preserve">UE </w:t>
      </w:r>
      <w:r>
        <w:rPr>
          <w:rStyle w:val="Aucun"/>
          <w:lang w:val="it-IT"/>
        </w:rPr>
        <w:t>»</w:t>
      </w:r>
      <w:r>
        <w:rPr>
          <w:rStyle w:val="AucunA"/>
        </w:rPr>
        <w:t xml:space="preserve">, </w:t>
      </w:r>
      <w:r>
        <w:rPr>
          <w:rStyle w:val="Aucun"/>
          <w:i/>
          <w:iCs/>
          <w:lang w:val="fr-FR"/>
        </w:rPr>
        <w:t>Revue Juridique de l</w:t>
      </w:r>
      <w:r>
        <w:rPr>
          <w:rStyle w:val="Aucun"/>
          <w:i/>
          <w:iCs/>
          <w:rtl/>
          <w:lang w:val="ar-SA"/>
        </w:rPr>
        <w:t>’</w:t>
      </w:r>
      <w:r>
        <w:rPr>
          <w:rStyle w:val="Aucun"/>
          <w:i/>
          <w:iCs/>
          <w:lang w:val="fr-FR"/>
        </w:rPr>
        <w:t>Environnement (RJE), vol.43, n</w:t>
      </w:r>
      <w:r>
        <w:rPr>
          <w:rStyle w:val="Aucun"/>
          <w:lang w:val="it-IT"/>
        </w:rPr>
        <w:t>°1, 2018, pp. 47-70.</w:t>
      </w:r>
    </w:p>
  </w:footnote>
  <w:footnote w:id="30">
    <w:p w14:paraId="6C2CD971" w14:textId="77777777" w:rsidR="00F93310" w:rsidRPr="006D666B" w:rsidRDefault="00000000">
      <w:pPr>
        <w:pStyle w:val="FootnoteText"/>
        <w:jc w:val="both"/>
        <w:rPr>
          <w:lang w:val="fr-FR"/>
        </w:rPr>
      </w:pPr>
      <w:r>
        <w:rPr>
          <w:rStyle w:val="Aucun"/>
          <w:sz w:val="24"/>
          <w:szCs w:val="24"/>
          <w:vertAlign w:val="superscript"/>
        </w:rPr>
        <w:footnoteRef/>
      </w:r>
      <w:r>
        <w:rPr>
          <w:rStyle w:val="AucunA"/>
        </w:rPr>
        <w:t xml:space="preserve"> Ordonnance n</w:t>
      </w:r>
      <w:r>
        <w:rPr>
          <w:rStyle w:val="Aucun"/>
          <w:lang w:val="it-IT"/>
        </w:rPr>
        <w:t xml:space="preserve">° </w:t>
      </w:r>
      <w:r>
        <w:rPr>
          <w:rStyle w:val="AucunA"/>
        </w:rPr>
        <w:t>2021-236 du 3 mars 2021 portant transposition de diverses dispositions de la directive (UE) 2018/2001 du Parlement européen et du Conseil du 11 dé</w:t>
      </w:r>
      <w:r>
        <w:rPr>
          <w:rStyle w:val="Aucun"/>
          <w:lang w:val="it-IT"/>
        </w:rPr>
        <w:t xml:space="preserve">cembre 2018 relative </w:t>
      </w:r>
      <w:r>
        <w:rPr>
          <w:rStyle w:val="AucunA"/>
        </w:rPr>
        <w:t xml:space="preserve">à la promotion de l'utilisation de l'énergie produite à partir de sources renouvelables et de la directive (UE) 2019/944 du Parlement européen et du Conseil du 5 juin 2019 concernant des règles communes pour le marché intérieur de l'électricité, </w:t>
      </w:r>
      <w:r>
        <w:rPr>
          <w:rStyle w:val="Aucun"/>
          <w:i/>
          <w:iCs/>
          <w:lang w:val="fr-FR"/>
        </w:rPr>
        <w:t>JORF</w:t>
      </w:r>
      <w:r>
        <w:rPr>
          <w:rStyle w:val="AucunA"/>
        </w:rPr>
        <w:t xml:space="preserve"> n</w:t>
      </w:r>
      <w:r>
        <w:rPr>
          <w:rStyle w:val="Aucun"/>
          <w:lang w:val="it-IT"/>
        </w:rPr>
        <w:t>°</w:t>
      </w:r>
      <w:r>
        <w:rPr>
          <w:rStyle w:val="AucunA"/>
        </w:rPr>
        <w:t>0054 du 4 mars 202, NOR: TRER2100130R.</w:t>
      </w:r>
    </w:p>
  </w:footnote>
  <w:footnote w:id="31">
    <w:p w14:paraId="0F9EC2AF"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Code de l’énergie français, art. L.291-1 3°.</w:t>
      </w:r>
    </w:p>
  </w:footnote>
  <w:footnote w:id="32">
    <w:p w14:paraId="589F6600"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Code de l’énergie français, art. L.291-3.</w:t>
      </w:r>
    </w:p>
  </w:footnote>
  <w:footnote w:id="33">
    <w:p w14:paraId="7618F134"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w:t>
      </w:r>
      <w:r>
        <w:rPr>
          <w:rStyle w:val="Aucun"/>
          <w:i/>
          <w:iCs/>
          <w:lang w:val="fr-FR"/>
        </w:rPr>
        <w:t>ibid</w:t>
      </w:r>
      <w:r>
        <w:rPr>
          <w:rStyle w:val="AucunA"/>
        </w:rPr>
        <w:t>.</w:t>
      </w:r>
    </w:p>
  </w:footnote>
  <w:footnote w:id="34">
    <w:p w14:paraId="35EA449D" w14:textId="77777777" w:rsidR="00F93310" w:rsidRDefault="00000000">
      <w:pPr>
        <w:pStyle w:val="PardfautA"/>
        <w:spacing w:before="0" w:line="240" w:lineRule="auto"/>
        <w:jc w:val="both"/>
      </w:pPr>
      <w:r>
        <w:rPr>
          <w:rStyle w:val="Aucun"/>
          <w:rFonts w:ascii="Times New Roman" w:eastAsia="Times New Roman" w:hAnsi="Times New Roman" w:cs="Times New Roman"/>
          <w:vertAlign w:val="superscript"/>
        </w:rPr>
        <w:footnoteRef/>
      </w:r>
      <w:r>
        <w:rPr>
          <w:rStyle w:val="Aucun"/>
          <w:rFonts w:ascii="Times New Roman" w:hAnsi="Times New Roman"/>
          <w:sz w:val="20"/>
          <w:szCs w:val="20"/>
        </w:rPr>
        <w:t xml:space="preserve"> </w:t>
      </w:r>
      <w:proofErr w:type="spellStart"/>
      <w:r>
        <w:rPr>
          <w:rStyle w:val="Aucun"/>
          <w:rFonts w:ascii="Times New Roman" w:hAnsi="Times New Roman"/>
          <w:sz w:val="20"/>
          <w:szCs w:val="20"/>
        </w:rPr>
        <w:t>Legge</w:t>
      </w:r>
      <w:proofErr w:type="spellEnd"/>
      <w:r>
        <w:rPr>
          <w:rStyle w:val="Aucun"/>
          <w:rFonts w:ascii="Times New Roman" w:hAnsi="Times New Roman"/>
          <w:sz w:val="20"/>
          <w:szCs w:val="20"/>
        </w:rPr>
        <w:t xml:space="preserve"> </w:t>
      </w:r>
      <w:proofErr w:type="spellStart"/>
      <w:r>
        <w:rPr>
          <w:rStyle w:val="Aucun"/>
          <w:rFonts w:ascii="Times New Roman" w:hAnsi="Times New Roman"/>
          <w:sz w:val="20"/>
          <w:szCs w:val="20"/>
        </w:rPr>
        <w:t>regionale</w:t>
      </w:r>
      <w:proofErr w:type="spellEnd"/>
      <w:r>
        <w:rPr>
          <w:rStyle w:val="Aucun"/>
          <w:rFonts w:ascii="Times New Roman" w:hAnsi="Times New Roman"/>
          <w:sz w:val="20"/>
          <w:szCs w:val="20"/>
        </w:rPr>
        <w:t xml:space="preserve"> 20 </w:t>
      </w:r>
      <w:proofErr w:type="spellStart"/>
      <w:r>
        <w:rPr>
          <w:rStyle w:val="Aucun"/>
          <w:rFonts w:ascii="Times New Roman" w:hAnsi="Times New Roman"/>
          <w:sz w:val="20"/>
          <w:szCs w:val="20"/>
        </w:rPr>
        <w:t>maggio</w:t>
      </w:r>
      <w:proofErr w:type="spellEnd"/>
      <w:r>
        <w:rPr>
          <w:rStyle w:val="Aucun"/>
          <w:rFonts w:ascii="Times New Roman" w:hAnsi="Times New Roman"/>
          <w:sz w:val="20"/>
          <w:szCs w:val="20"/>
        </w:rPr>
        <w:t xml:space="preserve"> 2014, n. 23, « Disciplina delle </w:t>
      </w:r>
      <w:proofErr w:type="spellStart"/>
      <w:r>
        <w:rPr>
          <w:rStyle w:val="Aucun"/>
          <w:rFonts w:ascii="Times New Roman" w:hAnsi="Times New Roman"/>
          <w:sz w:val="20"/>
          <w:szCs w:val="20"/>
        </w:rPr>
        <w:t>Cooperative</w:t>
      </w:r>
      <w:proofErr w:type="spellEnd"/>
      <w:r>
        <w:rPr>
          <w:rStyle w:val="Aucun"/>
          <w:rFonts w:ascii="Times New Roman" w:hAnsi="Times New Roman"/>
          <w:sz w:val="20"/>
          <w:szCs w:val="20"/>
        </w:rPr>
        <w:t xml:space="preserve"> di </w:t>
      </w:r>
      <w:proofErr w:type="spellStart"/>
      <w:r>
        <w:rPr>
          <w:rStyle w:val="Aucun"/>
          <w:rFonts w:ascii="Times New Roman" w:hAnsi="Times New Roman"/>
          <w:sz w:val="20"/>
          <w:szCs w:val="20"/>
        </w:rPr>
        <w:t>comunita</w:t>
      </w:r>
      <w:proofErr w:type="spellEnd"/>
      <w:r>
        <w:rPr>
          <w:rStyle w:val="Aucun"/>
          <w:rFonts w:ascii="Times New Roman" w:hAnsi="Times New Roman"/>
          <w:sz w:val="20"/>
          <w:szCs w:val="20"/>
        </w:rPr>
        <w:t xml:space="preserve">̀ », </w:t>
      </w:r>
      <w:proofErr w:type="spellStart"/>
      <w:r>
        <w:rPr>
          <w:rStyle w:val="Aucun"/>
          <w:rFonts w:ascii="Times New Roman" w:hAnsi="Times New Roman"/>
          <w:i/>
          <w:iCs/>
          <w:sz w:val="20"/>
          <w:szCs w:val="20"/>
        </w:rPr>
        <w:t>Bollettino</w:t>
      </w:r>
      <w:proofErr w:type="spellEnd"/>
      <w:r>
        <w:rPr>
          <w:rStyle w:val="Aucun"/>
          <w:rFonts w:ascii="Times New Roman" w:hAnsi="Times New Roman"/>
          <w:i/>
          <w:iCs/>
          <w:sz w:val="20"/>
          <w:szCs w:val="20"/>
        </w:rPr>
        <w:t xml:space="preserve"> </w:t>
      </w:r>
      <w:proofErr w:type="spellStart"/>
      <w:r>
        <w:rPr>
          <w:rStyle w:val="Aucun"/>
          <w:rFonts w:ascii="Times New Roman" w:hAnsi="Times New Roman"/>
          <w:i/>
          <w:iCs/>
          <w:sz w:val="20"/>
          <w:szCs w:val="20"/>
        </w:rPr>
        <w:t>ufficiale</w:t>
      </w:r>
      <w:proofErr w:type="spellEnd"/>
      <w:r>
        <w:rPr>
          <w:rStyle w:val="Aucun"/>
          <w:rFonts w:ascii="Times New Roman" w:hAnsi="Times New Roman"/>
          <w:i/>
          <w:iCs/>
          <w:sz w:val="20"/>
          <w:szCs w:val="20"/>
        </w:rPr>
        <w:t xml:space="preserve"> </w:t>
      </w:r>
      <w:proofErr w:type="spellStart"/>
      <w:r>
        <w:rPr>
          <w:rStyle w:val="Aucun"/>
          <w:rFonts w:ascii="Times New Roman" w:hAnsi="Times New Roman"/>
          <w:i/>
          <w:iCs/>
          <w:sz w:val="20"/>
          <w:szCs w:val="20"/>
        </w:rPr>
        <w:t>della</w:t>
      </w:r>
      <w:proofErr w:type="spellEnd"/>
      <w:r>
        <w:rPr>
          <w:rStyle w:val="Aucun"/>
          <w:rFonts w:ascii="Times New Roman" w:hAnsi="Times New Roman"/>
          <w:i/>
          <w:iCs/>
          <w:sz w:val="20"/>
          <w:szCs w:val="20"/>
        </w:rPr>
        <w:t xml:space="preserve"> </w:t>
      </w:r>
      <w:proofErr w:type="spellStart"/>
      <w:r>
        <w:rPr>
          <w:rStyle w:val="Aucun"/>
          <w:rFonts w:ascii="Times New Roman" w:hAnsi="Times New Roman"/>
          <w:i/>
          <w:iCs/>
          <w:sz w:val="20"/>
          <w:szCs w:val="20"/>
        </w:rPr>
        <w:t>Regione</w:t>
      </w:r>
      <w:proofErr w:type="spellEnd"/>
      <w:r>
        <w:rPr>
          <w:rStyle w:val="Aucun"/>
          <w:rFonts w:ascii="Times New Roman" w:hAnsi="Times New Roman"/>
          <w:i/>
          <w:iCs/>
          <w:sz w:val="20"/>
          <w:szCs w:val="20"/>
        </w:rPr>
        <w:t xml:space="preserve"> </w:t>
      </w:r>
      <w:proofErr w:type="spellStart"/>
      <w:r>
        <w:rPr>
          <w:rStyle w:val="Aucun"/>
          <w:rFonts w:ascii="Times New Roman" w:hAnsi="Times New Roman"/>
          <w:i/>
          <w:iCs/>
          <w:sz w:val="20"/>
          <w:szCs w:val="20"/>
        </w:rPr>
        <w:t>Puglia</w:t>
      </w:r>
      <w:proofErr w:type="spellEnd"/>
      <w:r>
        <w:rPr>
          <w:rStyle w:val="Aucun"/>
          <w:rFonts w:ascii="Times New Roman" w:hAnsi="Times New Roman"/>
          <w:sz w:val="20"/>
          <w:szCs w:val="20"/>
        </w:rPr>
        <w:t xml:space="preserve"> n. 66 </w:t>
      </w:r>
      <w:proofErr w:type="spellStart"/>
      <w:r>
        <w:rPr>
          <w:rStyle w:val="Aucun"/>
          <w:rFonts w:ascii="Times New Roman" w:hAnsi="Times New Roman"/>
          <w:sz w:val="20"/>
          <w:szCs w:val="20"/>
        </w:rPr>
        <w:t>del</w:t>
      </w:r>
      <w:proofErr w:type="spellEnd"/>
      <w:r>
        <w:rPr>
          <w:rStyle w:val="Aucun"/>
          <w:rFonts w:ascii="Times New Roman" w:hAnsi="Times New Roman"/>
          <w:sz w:val="20"/>
          <w:szCs w:val="20"/>
        </w:rPr>
        <w:t xml:space="preserve"> 26/05/2014 , disponible en ligne ( </w:t>
      </w:r>
      <w:r>
        <w:rPr>
          <w:rStyle w:val="Lien"/>
          <w:rFonts w:ascii="Times New Roman" w:hAnsi="Times New Roman"/>
          <w:sz w:val="20"/>
          <w:szCs w:val="20"/>
        </w:rPr>
        <w:t>www.fpcgil.it/linkres.php?obj=/flex/cm/pages/ServeAttachment.php/L/IT/D/3%252F9%252F9%252FD.9bd8826d4855e143d0a3/P/BLOB%3AID%3D33591/E/pdf</w:t>
      </w:r>
      <w:r>
        <w:rPr>
          <w:rStyle w:val="Hyperlink3"/>
        </w:rPr>
        <w:t>).</w:t>
      </w:r>
      <w:r>
        <w:rPr>
          <w:rStyle w:val="Aucun"/>
          <w:rFonts w:ascii="Times New Roman" w:hAnsi="Times New Roman"/>
          <w:sz w:val="20"/>
          <w:szCs w:val="20"/>
        </w:rPr>
        <w:t xml:space="preserve"> </w:t>
      </w:r>
    </w:p>
  </w:footnote>
  <w:footnote w:id="35">
    <w:p w14:paraId="77570416"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art. 2</w:t>
      </w:r>
    </w:p>
  </w:footnote>
  <w:footnote w:id="36">
    <w:p w14:paraId="6044C404"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xml:space="preserve"> art. 3 1</w:t>
      </w:r>
    </w:p>
  </w:footnote>
  <w:footnote w:id="37">
    <w:p w14:paraId="4920A93D"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xml:space="preserve"> art. 3 2</w:t>
      </w:r>
    </w:p>
  </w:footnote>
  <w:footnote w:id="38">
    <w:p w14:paraId="0509768F"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xml:space="preserve"> art. 4</w:t>
      </w:r>
    </w:p>
  </w:footnote>
  <w:footnote w:id="39">
    <w:p w14:paraId="571606EB"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xml:space="preserve"> art. 6</w:t>
      </w:r>
    </w:p>
  </w:footnote>
  <w:footnote w:id="40">
    <w:p w14:paraId="03143D57" w14:textId="77777777" w:rsidR="00F93310" w:rsidRPr="006D666B" w:rsidRDefault="00000000">
      <w:pPr>
        <w:pStyle w:val="PardfautA"/>
        <w:spacing w:before="0" w:line="240" w:lineRule="auto"/>
        <w:jc w:val="both"/>
        <w:rPr>
          <w:lang w:val="en-US"/>
        </w:rPr>
      </w:pPr>
      <w:r>
        <w:rPr>
          <w:rStyle w:val="Aucun"/>
          <w:rFonts w:ascii="Times New Roman" w:eastAsia="Times New Roman" w:hAnsi="Times New Roman" w:cs="Times New Roman"/>
          <w:vertAlign w:val="superscript"/>
          <w:lang w:val="en-US"/>
        </w:rPr>
        <w:footnoteRef/>
      </w:r>
      <w:r>
        <w:rPr>
          <w:rStyle w:val="Aucun"/>
          <w:rFonts w:ascii="Times New Roman" w:hAnsi="Times New Roman"/>
          <w:sz w:val="20"/>
          <w:szCs w:val="20"/>
          <w:lang w:val="en-US"/>
        </w:rPr>
        <w:t xml:space="preserve"> </w:t>
      </w:r>
      <w:r>
        <w:rPr>
          <w:rStyle w:val="Aucun"/>
          <w:rFonts w:ascii="Times New Roman" w:hAnsi="Times New Roman"/>
          <w:i/>
          <w:iCs/>
          <w:sz w:val="20"/>
          <w:szCs w:val="20"/>
          <w:lang w:val="en-US"/>
        </w:rPr>
        <w:t>Ibid</w:t>
      </w:r>
      <w:r>
        <w:rPr>
          <w:rStyle w:val="Aucun"/>
          <w:rFonts w:ascii="Times New Roman" w:hAnsi="Times New Roman"/>
          <w:sz w:val="20"/>
          <w:szCs w:val="20"/>
          <w:lang w:val="en-US"/>
        </w:rPr>
        <w:t xml:space="preserve"> art. 8</w:t>
      </w:r>
    </w:p>
  </w:footnote>
  <w:footnote w:id="41">
    <w:p w14:paraId="3A81EF86" w14:textId="77777777" w:rsidR="00F93310" w:rsidRDefault="00000000">
      <w:pPr>
        <w:pStyle w:val="PardfautA"/>
        <w:spacing w:before="0" w:line="240" w:lineRule="auto"/>
        <w:jc w:val="both"/>
      </w:pPr>
      <w:r>
        <w:rPr>
          <w:rStyle w:val="Aucun"/>
          <w:rFonts w:ascii="Times New Roman" w:eastAsia="Times New Roman" w:hAnsi="Times New Roman" w:cs="Times New Roman"/>
          <w:vertAlign w:val="superscript"/>
        </w:rPr>
        <w:footnoteRef/>
      </w:r>
      <w:r>
        <w:rPr>
          <w:rStyle w:val="Aucun"/>
          <w:rFonts w:ascii="Times New Roman" w:hAnsi="Times New Roman"/>
          <w:sz w:val="20"/>
          <w:szCs w:val="20"/>
        </w:rPr>
        <w:t xml:space="preserve"> Pour un cadrage conceptuel en droit français, M. </w:t>
      </w:r>
      <w:r>
        <w:rPr>
          <w:rStyle w:val="Aucun"/>
          <w:rFonts w:ascii="Times New Roman" w:hAnsi="Times New Roman"/>
          <w:smallCaps/>
          <w:sz w:val="20"/>
          <w:szCs w:val="20"/>
        </w:rPr>
        <w:t>Cornu</w:t>
      </w:r>
      <w:r>
        <w:rPr>
          <w:rStyle w:val="Aucun"/>
          <w:rFonts w:ascii="Times New Roman" w:hAnsi="Times New Roman"/>
          <w:sz w:val="20"/>
          <w:szCs w:val="20"/>
        </w:rPr>
        <w:t xml:space="preserve">, F. </w:t>
      </w:r>
      <w:proofErr w:type="spellStart"/>
      <w:r>
        <w:rPr>
          <w:rStyle w:val="Aucun"/>
          <w:rFonts w:ascii="Times New Roman" w:hAnsi="Times New Roman"/>
          <w:smallCaps/>
          <w:sz w:val="20"/>
          <w:szCs w:val="20"/>
        </w:rPr>
        <w:t>Orsi</w:t>
      </w:r>
      <w:proofErr w:type="spellEnd"/>
      <w:r>
        <w:rPr>
          <w:rStyle w:val="Aucun"/>
          <w:rFonts w:ascii="Times New Roman" w:hAnsi="Times New Roman"/>
          <w:sz w:val="20"/>
          <w:szCs w:val="20"/>
        </w:rPr>
        <w:t xml:space="preserve"> et J. </w:t>
      </w:r>
      <w:proofErr w:type="spellStart"/>
      <w:r>
        <w:rPr>
          <w:rStyle w:val="Aucun"/>
          <w:rFonts w:ascii="Times New Roman" w:hAnsi="Times New Roman"/>
          <w:smallCaps/>
          <w:sz w:val="20"/>
          <w:szCs w:val="20"/>
        </w:rPr>
        <w:t>Rochfeld</w:t>
      </w:r>
      <w:proofErr w:type="spellEnd"/>
      <w:r>
        <w:rPr>
          <w:rStyle w:val="Aucun"/>
          <w:rFonts w:ascii="Times New Roman" w:hAnsi="Times New Roman"/>
          <w:sz w:val="20"/>
          <w:szCs w:val="20"/>
        </w:rPr>
        <w:t xml:space="preserve"> (</w:t>
      </w:r>
      <w:proofErr w:type="spellStart"/>
      <w:r>
        <w:rPr>
          <w:rStyle w:val="Aucun"/>
          <w:rFonts w:ascii="Times New Roman" w:hAnsi="Times New Roman"/>
          <w:sz w:val="20"/>
          <w:szCs w:val="20"/>
        </w:rPr>
        <w:t>dir</w:t>
      </w:r>
      <w:proofErr w:type="spellEnd"/>
      <w:r>
        <w:rPr>
          <w:rStyle w:val="Aucun"/>
          <w:rFonts w:ascii="Times New Roman" w:hAnsi="Times New Roman"/>
          <w:sz w:val="20"/>
          <w:szCs w:val="20"/>
        </w:rPr>
        <w:t>.),</w:t>
      </w:r>
      <w:r>
        <w:rPr>
          <w:rStyle w:val="Aucun"/>
          <w:rFonts w:ascii="Times New Roman" w:hAnsi="Times New Roman"/>
          <w:i/>
          <w:iCs/>
          <w:sz w:val="20"/>
          <w:szCs w:val="20"/>
        </w:rPr>
        <w:t xml:space="preserve"> Dictionnaire des biens communs</w:t>
      </w:r>
      <w:r>
        <w:rPr>
          <w:rStyle w:val="Aucun"/>
          <w:rFonts w:ascii="Times New Roman" w:hAnsi="Times New Roman"/>
          <w:sz w:val="20"/>
          <w:szCs w:val="20"/>
        </w:rPr>
        <w:t xml:space="preserve">, PUF, Paris, 2017, 1240 p. ; J. </w:t>
      </w:r>
      <w:proofErr w:type="spellStart"/>
      <w:r>
        <w:rPr>
          <w:rStyle w:val="Aucun"/>
          <w:rFonts w:ascii="Times New Roman" w:hAnsi="Times New Roman"/>
          <w:smallCaps/>
          <w:sz w:val="20"/>
          <w:szCs w:val="20"/>
        </w:rPr>
        <w:t>Rochfeld</w:t>
      </w:r>
      <w:proofErr w:type="spellEnd"/>
      <w:r>
        <w:rPr>
          <w:rStyle w:val="Aucun"/>
          <w:rFonts w:ascii="Times New Roman" w:hAnsi="Times New Roman"/>
          <w:sz w:val="20"/>
          <w:szCs w:val="20"/>
        </w:rPr>
        <w:t xml:space="preserve">, « Penser autrement la propriété : la propriété s'oppose-t-elle aux « communs » ? », </w:t>
      </w:r>
      <w:r>
        <w:rPr>
          <w:rStyle w:val="Aucun"/>
          <w:rFonts w:ascii="Times New Roman" w:hAnsi="Times New Roman"/>
          <w:i/>
          <w:iCs/>
          <w:sz w:val="20"/>
          <w:szCs w:val="20"/>
        </w:rPr>
        <w:t>RIDE</w:t>
      </w:r>
      <w:r>
        <w:rPr>
          <w:rStyle w:val="Aucun"/>
          <w:rFonts w:ascii="Times New Roman" w:hAnsi="Times New Roman"/>
          <w:sz w:val="20"/>
          <w:szCs w:val="20"/>
        </w:rPr>
        <w:t>, 2014, n°3, pp.351-369.</w:t>
      </w:r>
    </w:p>
  </w:footnote>
  <w:footnote w:id="42">
    <w:p w14:paraId="25CEB503"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w:t>
      </w:r>
      <w:hyperlink r:id="rId4" w:history="1">
        <w:r>
          <w:rPr>
            <w:rStyle w:val="Hyperlink0"/>
          </w:rPr>
          <w:t>https://emmaus-france.org/qui-sommes-nous</w:t>
        </w:r>
      </w:hyperlink>
    </w:p>
  </w:footnote>
  <w:footnote w:id="43">
    <w:p w14:paraId="0602E998" w14:textId="77777777" w:rsidR="00F93310" w:rsidRPr="006D666B" w:rsidRDefault="00000000">
      <w:pPr>
        <w:pStyle w:val="FootnoteText"/>
        <w:jc w:val="both"/>
        <w:rPr>
          <w:lang w:val="fr-FR"/>
        </w:rPr>
      </w:pPr>
      <w:r>
        <w:rPr>
          <w:rStyle w:val="Aucun"/>
          <w:sz w:val="24"/>
          <w:szCs w:val="24"/>
          <w:vertAlign w:val="superscript"/>
        </w:rPr>
        <w:footnoteRef/>
      </w:r>
      <w:r>
        <w:rPr>
          <w:rStyle w:val="AucunA"/>
        </w:rPr>
        <w:t xml:space="preserve"> D. </w:t>
      </w:r>
      <w:r>
        <w:rPr>
          <w:rStyle w:val="Aucun"/>
          <w:smallCaps/>
          <w:lang w:val="fr-FR"/>
        </w:rPr>
        <w:t>Hiez</w:t>
      </w:r>
      <w:r>
        <w:rPr>
          <w:rStyle w:val="AucunA"/>
        </w:rPr>
        <w:t>, « </w:t>
      </w:r>
      <w:proofErr w:type="spellStart"/>
      <w:r>
        <w:rPr>
          <w:rStyle w:val="AucunA"/>
        </w:rPr>
        <w:t>Premi</w:t>
      </w:r>
      <w:proofErr w:type="spellEnd"/>
      <w:r>
        <w:rPr>
          <w:rStyle w:val="Aucun"/>
          <w:lang w:val="it-IT"/>
        </w:rPr>
        <w:t>è</w:t>
      </w:r>
      <w:proofErr w:type="spellStart"/>
      <w:r>
        <w:rPr>
          <w:rStyle w:val="AucunA"/>
        </w:rPr>
        <w:t>res</w:t>
      </w:r>
      <w:proofErr w:type="spellEnd"/>
      <w:r>
        <w:rPr>
          <w:rStyle w:val="AucunA"/>
        </w:rPr>
        <w:t xml:space="preserve"> réflexions pour un droit décroissant : l</w:t>
      </w:r>
      <w:r>
        <w:rPr>
          <w:rStyle w:val="Aucun"/>
          <w:rtl/>
          <w:lang w:val="ar-SA"/>
        </w:rPr>
        <w:t>’</w:t>
      </w:r>
      <w:r>
        <w:rPr>
          <w:rStyle w:val="AucunA"/>
        </w:rPr>
        <w:t xml:space="preserve">exemple du droit des contrats », in </w:t>
      </w:r>
      <w:r>
        <w:rPr>
          <w:rStyle w:val="Aucun"/>
          <w:i/>
          <w:iCs/>
          <w:lang w:val="fr-FR"/>
        </w:rPr>
        <w:t>Mélanges en l’honneur de Pascal Ancel</w:t>
      </w:r>
      <w:r>
        <w:rPr>
          <w:rStyle w:val="AucunA"/>
        </w:rPr>
        <w:t>, Larcier, 2021, pp. 365-882</w:t>
      </w:r>
    </w:p>
  </w:footnote>
  <w:footnote w:id="44">
    <w:p w14:paraId="38C813DB" w14:textId="77777777" w:rsidR="00F93310" w:rsidRPr="006D666B" w:rsidRDefault="00000000">
      <w:pPr>
        <w:pStyle w:val="FootnoteText"/>
        <w:jc w:val="both"/>
        <w:rPr>
          <w:lang w:val="fr-FR"/>
        </w:rPr>
      </w:pPr>
      <w:r>
        <w:rPr>
          <w:rStyle w:val="Aucun"/>
          <w:sz w:val="24"/>
          <w:szCs w:val="24"/>
          <w:vertAlign w:val="superscript"/>
        </w:rPr>
        <w:footnoteRef/>
      </w:r>
      <w:r>
        <w:rPr>
          <w:rStyle w:val="AucunA"/>
        </w:rPr>
        <w:t xml:space="preserve"> D. </w:t>
      </w:r>
      <w:r>
        <w:rPr>
          <w:rStyle w:val="Aucun"/>
          <w:smallCaps/>
          <w:lang w:val="fr-FR"/>
        </w:rPr>
        <w:t>Bayon</w:t>
      </w:r>
      <w:r>
        <w:rPr>
          <w:rStyle w:val="AucunA"/>
        </w:rPr>
        <w:t xml:space="preserve"> et J.-M. </w:t>
      </w:r>
      <w:r>
        <w:rPr>
          <w:rStyle w:val="Aucun"/>
          <w:smallCaps/>
          <w:lang w:val="fr-FR"/>
        </w:rPr>
        <w:t>Servet</w:t>
      </w:r>
      <w:r>
        <w:rPr>
          <w:rStyle w:val="AucunA"/>
        </w:rPr>
        <w:t xml:space="preserve">, « Les </w:t>
      </w:r>
      <w:proofErr w:type="spellStart"/>
      <w:r>
        <w:rPr>
          <w:rStyle w:val="AucunA"/>
        </w:rPr>
        <w:t>Syst</w:t>
      </w:r>
      <w:proofErr w:type="spellEnd"/>
      <w:r>
        <w:rPr>
          <w:rStyle w:val="Aucun"/>
          <w:lang w:val="it-IT"/>
        </w:rPr>
        <w:t>è</w:t>
      </w:r>
      <w:r>
        <w:rPr>
          <w:rStyle w:val="AucunA"/>
        </w:rPr>
        <w:t xml:space="preserve">mes d’Échange Local : nouvelles solidarités et </w:t>
      </w:r>
      <w:proofErr w:type="spellStart"/>
      <w:r>
        <w:rPr>
          <w:rStyle w:val="AucunA"/>
        </w:rPr>
        <w:t>probl</w:t>
      </w:r>
      <w:proofErr w:type="spellEnd"/>
      <w:r>
        <w:rPr>
          <w:rStyle w:val="Aucun"/>
          <w:lang w:val="it-IT"/>
        </w:rPr>
        <w:t>è</w:t>
      </w:r>
      <w:r>
        <w:rPr>
          <w:rStyle w:val="AucunA"/>
        </w:rPr>
        <w:t xml:space="preserve">mes juridiques », in Y. </w:t>
      </w:r>
      <w:proofErr w:type="spellStart"/>
      <w:r>
        <w:rPr>
          <w:rStyle w:val="Aucun"/>
          <w:smallCaps/>
          <w:lang w:val="fr-FR"/>
        </w:rPr>
        <w:t>Preiswerk</w:t>
      </w:r>
      <w:proofErr w:type="spellEnd"/>
      <w:r>
        <w:rPr>
          <w:rStyle w:val="AucunA"/>
        </w:rPr>
        <w:t xml:space="preserve"> et F. </w:t>
      </w:r>
      <w:proofErr w:type="spellStart"/>
      <w:r>
        <w:rPr>
          <w:rStyle w:val="Aucun"/>
          <w:smallCaps/>
          <w:lang w:val="fr-FR"/>
        </w:rPr>
        <w:t>Sabelli</w:t>
      </w:r>
      <w:proofErr w:type="spellEnd"/>
      <w:r>
        <w:rPr>
          <w:rStyle w:val="AucunA"/>
        </w:rPr>
        <w:t xml:space="preserve">, </w:t>
      </w:r>
      <w:r>
        <w:rPr>
          <w:rStyle w:val="Aucun"/>
          <w:i/>
          <w:iCs/>
          <w:lang w:val="fr-FR"/>
        </w:rPr>
        <w:t>Pratiques de la dissidence économique : Réseaux rebelles et créativité sociale (enjeux)</w:t>
      </w:r>
      <w:r>
        <w:rPr>
          <w:rStyle w:val="AucunA"/>
        </w:rPr>
        <w:t xml:space="preserve">, </w:t>
      </w:r>
      <w:proofErr w:type="spellStart"/>
      <w:r>
        <w:rPr>
          <w:rStyle w:val="AucunA"/>
        </w:rPr>
        <w:t>Graduate</w:t>
      </w:r>
      <w:proofErr w:type="spellEnd"/>
      <w:r>
        <w:rPr>
          <w:rStyle w:val="AucunA"/>
        </w:rPr>
        <w:t xml:space="preserve"> Institute Publications, 2016, pp. 71-82.</w:t>
      </w:r>
    </w:p>
  </w:footnote>
  <w:footnote w:id="45">
    <w:p w14:paraId="6EAE95C4"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Art. 1107 du Code civil français.</w:t>
      </w:r>
    </w:p>
  </w:footnote>
  <w:footnote w:id="46">
    <w:p w14:paraId="3AB47EE8"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F. </w:t>
      </w:r>
      <w:r>
        <w:rPr>
          <w:rStyle w:val="Aucun"/>
          <w:smallCaps/>
          <w:lang w:val="fr-FR"/>
        </w:rPr>
        <w:t>Terré</w:t>
      </w:r>
      <w:r>
        <w:rPr>
          <w:rStyle w:val="AucunA"/>
        </w:rPr>
        <w:t xml:space="preserve">, Ph. </w:t>
      </w:r>
      <w:r>
        <w:rPr>
          <w:rStyle w:val="Aucun"/>
          <w:smallCaps/>
          <w:lang w:val="fr-FR"/>
        </w:rPr>
        <w:t>Simler</w:t>
      </w:r>
      <w:r>
        <w:rPr>
          <w:rStyle w:val="AucunA"/>
        </w:rPr>
        <w:t xml:space="preserve">, Y. </w:t>
      </w:r>
      <w:r>
        <w:rPr>
          <w:rStyle w:val="Aucun"/>
          <w:smallCaps/>
          <w:lang w:val="fr-FR"/>
        </w:rPr>
        <w:t>Lequette</w:t>
      </w:r>
      <w:r>
        <w:rPr>
          <w:rStyle w:val="AucunA"/>
        </w:rPr>
        <w:t xml:space="preserve"> et F. </w:t>
      </w:r>
      <w:proofErr w:type="spellStart"/>
      <w:r>
        <w:rPr>
          <w:rStyle w:val="Aucun"/>
          <w:smallCaps/>
          <w:lang w:val="fr-FR"/>
        </w:rPr>
        <w:t>Chénédé</w:t>
      </w:r>
      <w:proofErr w:type="spellEnd"/>
      <w:r>
        <w:rPr>
          <w:rStyle w:val="AucunA"/>
        </w:rPr>
        <w:t xml:space="preserve">, </w:t>
      </w:r>
      <w:r>
        <w:rPr>
          <w:rStyle w:val="Aucun"/>
          <w:i/>
          <w:iCs/>
          <w:lang w:val="fr-FR"/>
        </w:rPr>
        <w:t>Les obligations</w:t>
      </w:r>
      <w:r>
        <w:rPr>
          <w:rStyle w:val="AucunA"/>
        </w:rPr>
        <w:t>, Dalloz, 2019, 12ème éd., 2036 p.</w:t>
      </w:r>
    </w:p>
  </w:footnote>
  <w:footnote w:id="47">
    <w:p w14:paraId="39756A1E" w14:textId="77777777" w:rsidR="00F93310" w:rsidRDefault="00000000">
      <w:pPr>
        <w:pStyle w:val="CorpsA"/>
        <w:jc w:val="both"/>
      </w:pPr>
      <w:r>
        <w:rPr>
          <w:rStyle w:val="Aucun"/>
          <w:vertAlign w:val="superscript"/>
        </w:rPr>
        <w:footnoteRef/>
      </w:r>
      <w:r>
        <w:rPr>
          <w:rStyle w:val="Aucun"/>
          <w:sz w:val="20"/>
          <w:szCs w:val="20"/>
        </w:rPr>
        <w:t xml:space="preserve"> C. </w:t>
      </w:r>
      <w:proofErr w:type="spellStart"/>
      <w:r>
        <w:rPr>
          <w:rStyle w:val="Aucun"/>
          <w:smallCaps/>
          <w:sz w:val="20"/>
          <w:szCs w:val="20"/>
        </w:rPr>
        <w:t>Rossetto</w:t>
      </w:r>
      <w:proofErr w:type="spellEnd"/>
      <w:r>
        <w:rPr>
          <w:rStyle w:val="Aucun"/>
          <w:sz w:val="20"/>
          <w:szCs w:val="20"/>
        </w:rPr>
        <w:t xml:space="preserve">, </w:t>
      </w:r>
      <w:r>
        <w:rPr>
          <w:rStyle w:val="Aucun"/>
          <w:i/>
          <w:iCs/>
          <w:sz w:val="20"/>
          <w:szCs w:val="20"/>
        </w:rPr>
        <w:t>Le service gratuit de la tradition au numérique</w:t>
      </w:r>
      <w:r>
        <w:rPr>
          <w:rStyle w:val="Aucun"/>
          <w:sz w:val="20"/>
          <w:szCs w:val="20"/>
        </w:rPr>
        <w:t>, Thèse, 2020, n° 31.</w:t>
      </w:r>
    </w:p>
  </w:footnote>
  <w:footnote w:id="48">
    <w:p w14:paraId="6874C096" w14:textId="77777777" w:rsidR="00F93310" w:rsidRDefault="00000000">
      <w:pPr>
        <w:pStyle w:val="CorpsA"/>
        <w:jc w:val="both"/>
      </w:pPr>
      <w:r>
        <w:rPr>
          <w:rStyle w:val="Aucun"/>
          <w:vertAlign w:val="superscript"/>
        </w:rPr>
        <w:footnoteRef/>
      </w:r>
      <w:r>
        <w:rPr>
          <w:rStyle w:val="Aucun"/>
          <w:sz w:val="20"/>
          <w:szCs w:val="20"/>
        </w:rPr>
        <w:t xml:space="preserve"> Cité par C. </w:t>
      </w:r>
      <w:proofErr w:type="spellStart"/>
      <w:r>
        <w:rPr>
          <w:rStyle w:val="Aucun"/>
          <w:smallCaps/>
          <w:sz w:val="20"/>
          <w:szCs w:val="20"/>
        </w:rPr>
        <w:t>Rossetto</w:t>
      </w:r>
      <w:proofErr w:type="spellEnd"/>
      <w:r>
        <w:rPr>
          <w:rStyle w:val="Aucun"/>
          <w:sz w:val="20"/>
          <w:szCs w:val="20"/>
        </w:rPr>
        <w:t xml:space="preserve">, </w:t>
      </w:r>
      <w:r>
        <w:rPr>
          <w:rStyle w:val="Aucun"/>
          <w:i/>
          <w:iCs/>
          <w:sz w:val="20"/>
          <w:szCs w:val="20"/>
        </w:rPr>
        <w:t xml:space="preserve">op. </w:t>
      </w:r>
      <w:proofErr w:type="spellStart"/>
      <w:r>
        <w:rPr>
          <w:rStyle w:val="Aucun"/>
          <w:i/>
          <w:iCs/>
          <w:sz w:val="20"/>
          <w:szCs w:val="20"/>
        </w:rPr>
        <w:t>cit</w:t>
      </w:r>
      <w:proofErr w:type="spellEnd"/>
      <w:r>
        <w:rPr>
          <w:rStyle w:val="Aucun"/>
          <w:i/>
          <w:iCs/>
          <w:sz w:val="20"/>
          <w:szCs w:val="20"/>
        </w:rPr>
        <w:t>.</w:t>
      </w:r>
      <w:r>
        <w:rPr>
          <w:rStyle w:val="Aucun"/>
          <w:sz w:val="20"/>
          <w:szCs w:val="20"/>
        </w:rPr>
        <w:t>, note 174.</w:t>
      </w:r>
    </w:p>
  </w:footnote>
  <w:footnote w:id="49">
    <w:p w14:paraId="620D2377" w14:textId="77777777" w:rsidR="00F93310" w:rsidRDefault="00000000">
      <w:pPr>
        <w:pStyle w:val="CorpsA"/>
        <w:jc w:val="both"/>
      </w:pPr>
      <w:r>
        <w:rPr>
          <w:rStyle w:val="Aucun"/>
          <w:vertAlign w:val="superscript"/>
        </w:rPr>
        <w:footnoteRef/>
      </w:r>
      <w:r>
        <w:rPr>
          <w:rStyle w:val="Aucun"/>
          <w:sz w:val="20"/>
          <w:szCs w:val="20"/>
        </w:rPr>
        <w:t xml:space="preserve"> Voir la position encore opposée de Pothier : R. J. </w:t>
      </w:r>
      <w:r>
        <w:rPr>
          <w:rStyle w:val="Aucun"/>
          <w:smallCaps/>
          <w:sz w:val="20"/>
          <w:szCs w:val="20"/>
        </w:rPr>
        <w:t>Pothier</w:t>
      </w:r>
      <w:r>
        <w:rPr>
          <w:rStyle w:val="Aucun"/>
          <w:sz w:val="20"/>
          <w:szCs w:val="20"/>
        </w:rPr>
        <w:t xml:space="preserve">, </w:t>
      </w:r>
      <w:r>
        <w:rPr>
          <w:rStyle w:val="Aucun"/>
          <w:i/>
          <w:iCs/>
          <w:sz w:val="20"/>
          <w:szCs w:val="20"/>
        </w:rPr>
        <w:t>Traités des contrats de bienfaisance : selon les Règles, tant du for de la Conscience, que du for</w:t>
      </w:r>
      <w:r>
        <w:rPr>
          <w:rStyle w:val="Aucun"/>
          <w:sz w:val="20"/>
          <w:szCs w:val="20"/>
        </w:rPr>
        <w:t xml:space="preserve"> </w:t>
      </w:r>
      <w:r>
        <w:rPr>
          <w:rStyle w:val="Aucun"/>
          <w:i/>
          <w:iCs/>
          <w:sz w:val="20"/>
          <w:szCs w:val="20"/>
        </w:rPr>
        <w:t>Extérieur</w:t>
      </w:r>
      <w:r>
        <w:rPr>
          <w:rStyle w:val="Aucun"/>
          <w:sz w:val="20"/>
          <w:szCs w:val="20"/>
        </w:rPr>
        <w:t xml:space="preserve">, 1773, vol. 1, </w:t>
      </w:r>
      <w:proofErr w:type="spellStart"/>
      <w:r>
        <w:rPr>
          <w:rStyle w:val="Aucun"/>
          <w:sz w:val="20"/>
          <w:szCs w:val="20"/>
        </w:rPr>
        <w:t>Classic</w:t>
      </w:r>
      <w:proofErr w:type="spellEnd"/>
      <w:r>
        <w:rPr>
          <w:rStyle w:val="Aucun"/>
          <w:sz w:val="20"/>
          <w:szCs w:val="20"/>
        </w:rPr>
        <w:t xml:space="preserve"> Reprint </w:t>
      </w:r>
      <w:proofErr w:type="spellStart"/>
      <w:r>
        <w:rPr>
          <w:rStyle w:val="Aucun"/>
          <w:sz w:val="20"/>
          <w:szCs w:val="20"/>
        </w:rPr>
        <w:t>series</w:t>
      </w:r>
      <w:proofErr w:type="spellEnd"/>
      <w:r>
        <w:rPr>
          <w:rStyle w:val="Aucun"/>
          <w:sz w:val="20"/>
          <w:szCs w:val="20"/>
        </w:rPr>
        <w:t>, 2018</w:t>
      </w:r>
      <w:r>
        <w:rPr>
          <w:rStyle w:val="Aucun"/>
          <w:sz w:val="20"/>
          <w:szCs w:val="20"/>
          <w:u w:val="single"/>
        </w:rPr>
        <w:t>, 332 p.</w:t>
      </w:r>
    </w:p>
  </w:footnote>
  <w:footnote w:id="50">
    <w:p w14:paraId="2D16786E"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Les deux thèses sur la question se rejoignent sur ce point en dépit de leurs nombreuses divergences : S. </w:t>
      </w:r>
      <w:proofErr w:type="spellStart"/>
      <w:r>
        <w:rPr>
          <w:rStyle w:val="Aucun"/>
          <w:smallCaps/>
          <w:lang w:val="fr-FR"/>
        </w:rPr>
        <w:t>Bradburn</w:t>
      </w:r>
      <w:proofErr w:type="spellEnd"/>
      <w:r>
        <w:rPr>
          <w:rStyle w:val="AucunA"/>
        </w:rPr>
        <w:t xml:space="preserve">, </w:t>
      </w:r>
      <w:r>
        <w:rPr>
          <w:rStyle w:val="Aucun"/>
          <w:i/>
          <w:iCs/>
          <w:lang w:val="fr-FR"/>
        </w:rPr>
        <w:t xml:space="preserve">op. </w:t>
      </w:r>
      <w:proofErr w:type="spellStart"/>
      <w:r>
        <w:rPr>
          <w:rStyle w:val="Aucun"/>
          <w:i/>
          <w:iCs/>
          <w:lang w:val="fr-FR"/>
        </w:rPr>
        <w:t>cit</w:t>
      </w:r>
      <w:proofErr w:type="spellEnd"/>
      <w:r>
        <w:rPr>
          <w:rStyle w:val="AucunA"/>
        </w:rPr>
        <w:t xml:space="preserve">.; C. </w:t>
      </w:r>
      <w:r>
        <w:rPr>
          <w:rStyle w:val="Aucun"/>
          <w:smallCaps/>
          <w:lang w:val="fr-FR"/>
        </w:rPr>
        <w:t>Leduque</w:t>
      </w:r>
      <w:r>
        <w:rPr>
          <w:rStyle w:val="AucunA"/>
        </w:rPr>
        <w:t xml:space="preserve">, </w:t>
      </w:r>
      <w:r>
        <w:rPr>
          <w:rStyle w:val="Aucun"/>
          <w:i/>
          <w:iCs/>
          <w:lang w:val="fr-FR"/>
        </w:rPr>
        <w:t xml:space="preserve">op. </w:t>
      </w:r>
      <w:proofErr w:type="spellStart"/>
      <w:r>
        <w:rPr>
          <w:rStyle w:val="Aucun"/>
          <w:i/>
          <w:iCs/>
          <w:lang w:val="fr-FR"/>
        </w:rPr>
        <w:t>cit</w:t>
      </w:r>
      <w:proofErr w:type="spellEnd"/>
      <w:r>
        <w:rPr>
          <w:rStyle w:val="Aucun"/>
          <w:i/>
          <w:iCs/>
          <w:lang w:val="fr-FR"/>
        </w:rPr>
        <w:t>.</w:t>
      </w:r>
    </w:p>
  </w:footnote>
  <w:footnote w:id="51">
    <w:p w14:paraId="5216D286" w14:textId="77777777" w:rsidR="00F93310" w:rsidRDefault="00000000">
      <w:pPr>
        <w:pStyle w:val="PardfautA"/>
        <w:spacing w:before="0" w:line="276" w:lineRule="auto"/>
        <w:jc w:val="both"/>
      </w:pPr>
      <w:r>
        <w:rPr>
          <w:rStyle w:val="Aucun"/>
          <w:rFonts w:ascii="Times New Roman" w:eastAsia="Times New Roman" w:hAnsi="Times New Roman" w:cs="Times New Roman"/>
          <w:vertAlign w:val="superscript"/>
        </w:rPr>
        <w:footnoteRef/>
      </w:r>
      <w:r>
        <w:rPr>
          <w:rStyle w:val="Aucun"/>
          <w:rFonts w:ascii="Times New Roman" w:hAnsi="Times New Roman"/>
          <w:sz w:val="20"/>
          <w:szCs w:val="20"/>
        </w:rPr>
        <w:t xml:space="preserve"> M. </w:t>
      </w:r>
      <w:r>
        <w:rPr>
          <w:rStyle w:val="Aucun"/>
          <w:rFonts w:ascii="Times New Roman" w:hAnsi="Times New Roman"/>
          <w:smallCaps/>
          <w:sz w:val="20"/>
          <w:szCs w:val="20"/>
        </w:rPr>
        <w:t>Mauss</w:t>
      </w:r>
      <w:r>
        <w:rPr>
          <w:rStyle w:val="Aucun"/>
          <w:rFonts w:ascii="Times New Roman" w:hAnsi="Times New Roman"/>
          <w:sz w:val="20"/>
          <w:szCs w:val="20"/>
        </w:rPr>
        <w:t xml:space="preserve">, « Essai sur le don. Forme et raison de l’échange », originellement publié dans la </w:t>
      </w:r>
      <w:r>
        <w:rPr>
          <w:rStyle w:val="Aucun"/>
          <w:rFonts w:ascii="Times New Roman" w:hAnsi="Times New Roman"/>
          <w:i/>
          <w:iCs/>
          <w:sz w:val="20"/>
          <w:szCs w:val="20"/>
        </w:rPr>
        <w:t>Revue Année sociologique</w:t>
      </w:r>
      <w:r>
        <w:rPr>
          <w:rStyle w:val="Aucun"/>
          <w:rFonts w:ascii="Times New Roman" w:hAnsi="Times New Roman"/>
          <w:sz w:val="20"/>
          <w:szCs w:val="20"/>
        </w:rPr>
        <w:t xml:space="preserve">, 1923-1924, disponible en libre accès : </w:t>
      </w:r>
      <w:hyperlink r:id="rId5" w:history="1">
        <w:r>
          <w:rPr>
            <w:rStyle w:val="Hyperlink3"/>
          </w:rPr>
          <w:t>https://journals.openedition.org/lectures/520</w:t>
        </w:r>
      </w:hyperlink>
    </w:p>
  </w:footnote>
  <w:footnote w:id="52">
    <w:p w14:paraId="50975238" w14:textId="77777777" w:rsidR="00F93310" w:rsidRDefault="00000000">
      <w:pPr>
        <w:pStyle w:val="CorpsA"/>
        <w:jc w:val="both"/>
      </w:pPr>
      <w:r>
        <w:rPr>
          <w:rStyle w:val="Aucun"/>
          <w:vertAlign w:val="superscript"/>
        </w:rPr>
        <w:footnoteRef/>
      </w:r>
      <w:r>
        <w:rPr>
          <w:rStyle w:val="Aucun"/>
          <w:sz w:val="20"/>
          <w:szCs w:val="20"/>
        </w:rPr>
        <w:t xml:space="preserve"> M. </w:t>
      </w:r>
      <w:r>
        <w:rPr>
          <w:rStyle w:val="Aucun"/>
          <w:smallCaps/>
          <w:sz w:val="20"/>
          <w:szCs w:val="20"/>
        </w:rPr>
        <w:t>Boitard</w:t>
      </w:r>
      <w:r>
        <w:rPr>
          <w:rStyle w:val="Aucun"/>
          <w:sz w:val="20"/>
          <w:szCs w:val="20"/>
        </w:rPr>
        <w:t xml:space="preserve">, </w:t>
      </w:r>
      <w:r>
        <w:rPr>
          <w:rStyle w:val="Aucun"/>
          <w:i/>
          <w:iCs/>
          <w:sz w:val="20"/>
          <w:szCs w:val="20"/>
        </w:rPr>
        <w:t>Les contrats de service gratuit</w:t>
      </w:r>
      <w:r>
        <w:rPr>
          <w:rStyle w:val="Aucun"/>
          <w:sz w:val="20"/>
          <w:szCs w:val="20"/>
        </w:rPr>
        <w:t>, Librairie du recueil Sirey, 1941, pp. 40 s.</w:t>
      </w:r>
    </w:p>
  </w:footnote>
  <w:footnote w:id="53">
    <w:p w14:paraId="583A0BA1"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J.-B. </w:t>
      </w:r>
      <w:r>
        <w:rPr>
          <w:rStyle w:val="Aucun"/>
          <w:smallCaps/>
          <w:lang w:val="fr-FR"/>
        </w:rPr>
        <w:t>Racine</w:t>
      </w:r>
      <w:r>
        <w:rPr>
          <w:rStyle w:val="AucunA"/>
        </w:rPr>
        <w:t xml:space="preserve">, « La notion de prix en droit contemporain des contrats », </w:t>
      </w:r>
      <w:r>
        <w:rPr>
          <w:rStyle w:val="Aucun"/>
          <w:i/>
          <w:iCs/>
          <w:lang w:val="fr-FR"/>
        </w:rPr>
        <w:t>RIDE</w:t>
      </w:r>
      <w:r>
        <w:rPr>
          <w:rStyle w:val="AucunA"/>
        </w:rPr>
        <w:t>, 1999, n° 1, pp. 77 s.</w:t>
      </w:r>
    </w:p>
  </w:footnote>
  <w:footnote w:id="54">
    <w:p w14:paraId="45DCFECC"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Mme </w:t>
      </w:r>
      <w:proofErr w:type="spellStart"/>
      <w:r>
        <w:rPr>
          <w:rStyle w:val="Aucun"/>
          <w:smallCaps/>
          <w:lang w:val="fr-FR"/>
        </w:rPr>
        <w:t>Bradburn</w:t>
      </w:r>
      <w:proofErr w:type="spellEnd"/>
      <w:r>
        <w:rPr>
          <w:rStyle w:val="AucunA"/>
        </w:rPr>
        <w:t xml:space="preserve"> parle d’un « intérêt indirect », </w:t>
      </w:r>
      <w:r>
        <w:rPr>
          <w:rStyle w:val="Aucun"/>
          <w:i/>
          <w:iCs/>
          <w:lang w:val="fr-FR"/>
        </w:rPr>
        <w:t>op.cit.</w:t>
      </w:r>
      <w:r>
        <w:rPr>
          <w:rStyle w:val="AucunA"/>
        </w:rPr>
        <w:t>, n° 51.</w:t>
      </w:r>
    </w:p>
  </w:footnote>
  <w:footnote w:id="55">
    <w:p w14:paraId="4A27B3BF" w14:textId="77777777" w:rsidR="00F93310" w:rsidRDefault="00000000">
      <w:pPr>
        <w:pStyle w:val="PardfautA"/>
        <w:spacing w:before="0" w:line="276" w:lineRule="auto"/>
        <w:jc w:val="both"/>
      </w:pPr>
      <w:r>
        <w:rPr>
          <w:rStyle w:val="Aucun"/>
          <w:rFonts w:ascii="Times New Roman" w:eastAsia="Times New Roman" w:hAnsi="Times New Roman" w:cs="Times New Roman"/>
          <w:vertAlign w:val="superscript"/>
        </w:rPr>
        <w:footnoteRef/>
      </w:r>
      <w:r>
        <w:rPr>
          <w:rStyle w:val="Aucun"/>
          <w:rFonts w:ascii="Times New Roman" w:hAnsi="Times New Roman"/>
          <w:sz w:val="20"/>
          <w:szCs w:val="20"/>
        </w:rPr>
        <w:t xml:space="preserve"> R. </w:t>
      </w:r>
      <w:proofErr w:type="spellStart"/>
      <w:r>
        <w:rPr>
          <w:rStyle w:val="Aucun"/>
          <w:rFonts w:ascii="Times New Roman" w:hAnsi="Times New Roman"/>
          <w:smallCaps/>
          <w:sz w:val="20"/>
          <w:szCs w:val="20"/>
        </w:rPr>
        <w:t>Libchaber</w:t>
      </w:r>
      <w:proofErr w:type="spellEnd"/>
      <w:r>
        <w:rPr>
          <w:rStyle w:val="Aucun"/>
          <w:rFonts w:ascii="Times New Roman" w:hAnsi="Times New Roman"/>
          <w:sz w:val="20"/>
          <w:szCs w:val="20"/>
        </w:rPr>
        <w:t xml:space="preserve">, « Actualité du non-droit : les systèmes d'échanges locaux », </w:t>
      </w:r>
      <w:proofErr w:type="spellStart"/>
      <w:r>
        <w:rPr>
          <w:rStyle w:val="Aucun"/>
          <w:rFonts w:ascii="Times New Roman" w:hAnsi="Times New Roman"/>
          <w:i/>
          <w:iCs/>
          <w:sz w:val="20"/>
          <w:szCs w:val="20"/>
        </w:rPr>
        <w:t>RTDCiv</w:t>
      </w:r>
      <w:proofErr w:type="spellEnd"/>
      <w:r>
        <w:rPr>
          <w:rStyle w:val="Aucun"/>
          <w:rFonts w:ascii="Times New Roman" w:hAnsi="Times New Roman"/>
          <w:i/>
          <w:iCs/>
          <w:sz w:val="20"/>
          <w:szCs w:val="20"/>
        </w:rPr>
        <w:t>.,</w:t>
      </w:r>
      <w:r>
        <w:rPr>
          <w:rStyle w:val="Aucun"/>
          <w:rFonts w:ascii="Times New Roman" w:hAnsi="Times New Roman"/>
          <w:sz w:val="20"/>
          <w:szCs w:val="20"/>
        </w:rPr>
        <w:t xml:space="preserve"> 1998, pp. 800 et s.</w:t>
      </w:r>
    </w:p>
  </w:footnote>
  <w:footnote w:id="56">
    <w:p w14:paraId="702785D8"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Mme L</w:t>
      </w:r>
      <w:r>
        <w:rPr>
          <w:rStyle w:val="Aucun"/>
          <w:smallCaps/>
          <w:lang w:val="fr-FR"/>
        </w:rPr>
        <w:t>eduque</w:t>
      </w:r>
      <w:r>
        <w:rPr>
          <w:rStyle w:val="AucunA"/>
        </w:rPr>
        <w:t xml:space="preserve"> a essayé de saisir cette originalité, </w:t>
      </w:r>
      <w:r>
        <w:rPr>
          <w:rStyle w:val="Aucun"/>
          <w:i/>
          <w:iCs/>
          <w:lang w:val="fr-FR"/>
        </w:rPr>
        <w:t>op.cit.</w:t>
      </w:r>
      <w:r>
        <w:rPr>
          <w:rStyle w:val="AucunA"/>
        </w:rPr>
        <w:t>, ns °372 s.</w:t>
      </w:r>
    </w:p>
  </w:footnote>
  <w:footnote w:id="57">
    <w:p w14:paraId="3746990B"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w:t>
      </w:r>
      <w:r>
        <w:rPr>
          <w:rStyle w:val="Aucun"/>
          <w:i/>
          <w:iCs/>
          <w:lang w:val="fr-FR"/>
        </w:rPr>
        <w:t xml:space="preserve">Op. </w:t>
      </w:r>
      <w:proofErr w:type="spellStart"/>
      <w:r>
        <w:rPr>
          <w:rStyle w:val="Aucun"/>
          <w:i/>
          <w:iCs/>
          <w:lang w:val="fr-FR"/>
        </w:rPr>
        <w:t>cit</w:t>
      </w:r>
      <w:proofErr w:type="spellEnd"/>
      <w:r>
        <w:rPr>
          <w:rStyle w:val="Aucun"/>
          <w:i/>
          <w:iCs/>
          <w:lang w:val="fr-FR"/>
        </w:rPr>
        <w:t>.</w:t>
      </w:r>
      <w:r>
        <w:rPr>
          <w:rStyle w:val="AucunA"/>
        </w:rPr>
        <w:t>, ns° 487 s</w:t>
      </w:r>
    </w:p>
  </w:footnote>
  <w:footnote w:id="58">
    <w:p w14:paraId="2A6A124A"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E. </w:t>
      </w:r>
      <w:r>
        <w:rPr>
          <w:rStyle w:val="Aucun"/>
          <w:smallCaps/>
          <w:lang w:val="fr-FR"/>
        </w:rPr>
        <w:t>Barbin</w:t>
      </w:r>
      <w:r>
        <w:rPr>
          <w:rStyle w:val="AucunA"/>
        </w:rPr>
        <w:t xml:space="preserve">, « Les monnaies locales complémentaires saisies par les personnes publiques », </w:t>
      </w:r>
      <w:r>
        <w:rPr>
          <w:rStyle w:val="Aucun"/>
          <w:i/>
          <w:iCs/>
          <w:lang w:val="fr-FR"/>
        </w:rPr>
        <w:t>RDP,</w:t>
      </w:r>
      <w:r>
        <w:rPr>
          <w:rStyle w:val="AucunA"/>
        </w:rPr>
        <w:t xml:space="preserve"> n°6, 2020, pp. 1697- 1723.</w:t>
      </w:r>
    </w:p>
  </w:footnote>
  <w:footnote w:id="59">
    <w:p w14:paraId="424C6BD0" w14:textId="77777777" w:rsidR="00F93310" w:rsidRPr="006D666B" w:rsidRDefault="00000000">
      <w:pPr>
        <w:pStyle w:val="FootnoteText"/>
        <w:jc w:val="both"/>
        <w:rPr>
          <w:lang w:val="fr-FR"/>
        </w:rPr>
      </w:pPr>
      <w:r>
        <w:rPr>
          <w:rStyle w:val="Aucun"/>
          <w:sz w:val="24"/>
          <w:szCs w:val="24"/>
          <w:vertAlign w:val="superscript"/>
        </w:rPr>
        <w:footnoteRef/>
      </w:r>
      <w:r>
        <w:rPr>
          <w:rStyle w:val="AucunA"/>
        </w:rPr>
        <w:t xml:space="preserve"> J.-M. </w:t>
      </w:r>
      <w:r>
        <w:rPr>
          <w:rStyle w:val="Aucun"/>
          <w:smallCaps/>
          <w:lang w:val="fr-FR"/>
        </w:rPr>
        <w:t>Servet</w:t>
      </w:r>
      <w:r>
        <w:rPr>
          <w:rStyle w:val="AucunA"/>
        </w:rPr>
        <w:t xml:space="preserve"> et S. </w:t>
      </w:r>
      <w:proofErr w:type="spellStart"/>
      <w:r>
        <w:rPr>
          <w:rStyle w:val="Aucun"/>
          <w:smallCaps/>
          <w:lang w:val="fr-FR"/>
        </w:rPr>
        <w:t>Swaton</w:t>
      </w:r>
      <w:proofErr w:type="spellEnd"/>
      <w:r>
        <w:rPr>
          <w:rStyle w:val="AucunA"/>
        </w:rPr>
        <w:t>, « Penser la dimension de commun de la monnaie à partir de l</w:t>
      </w:r>
      <w:r>
        <w:rPr>
          <w:rStyle w:val="Aucun"/>
          <w:rtl/>
          <w:lang w:val="ar-SA"/>
        </w:rPr>
        <w:t>’</w:t>
      </w:r>
      <w:r>
        <w:rPr>
          <w:rStyle w:val="AucunA"/>
        </w:rPr>
        <w:t xml:space="preserve">exemple des monnaies </w:t>
      </w:r>
      <w:proofErr w:type="spellStart"/>
      <w:r>
        <w:rPr>
          <w:rStyle w:val="AucunA"/>
        </w:rPr>
        <w:t>complémentaires</w:t>
      </w:r>
      <w:proofErr w:type="spellEnd"/>
      <w:r>
        <w:rPr>
          <w:rStyle w:val="AucunA"/>
        </w:rPr>
        <w:t xml:space="preserve"> locales », </w:t>
      </w:r>
      <w:r>
        <w:rPr>
          <w:rStyle w:val="Aucun"/>
          <w:i/>
          <w:iCs/>
          <w:lang w:val="fr-FR"/>
        </w:rPr>
        <w:t>Revue Interventions économiques</w:t>
      </w:r>
      <w:r>
        <w:rPr>
          <w:rStyle w:val="AucunA"/>
        </w:rPr>
        <w:t xml:space="preserve">, n° 59, 2018, en ligne : </w:t>
      </w:r>
      <w:hyperlink r:id="rId6" w:history="1">
        <w:r>
          <w:rPr>
            <w:rStyle w:val="Hyperlink0"/>
          </w:rPr>
          <w:t>http://journals.openedition.org/interventionseconomiques/3943</w:t>
        </w:r>
      </w:hyperlink>
      <w:r>
        <w:rPr>
          <w:rStyle w:val="AucunA"/>
        </w:rPr>
        <w:t xml:space="preserve"> </w:t>
      </w:r>
    </w:p>
  </w:footnote>
  <w:footnote w:id="60">
    <w:p w14:paraId="08D0D69E"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Z. </w:t>
      </w:r>
      <w:r>
        <w:rPr>
          <w:rStyle w:val="Aucun"/>
          <w:smallCaps/>
          <w:lang w:val="fr-FR"/>
        </w:rPr>
        <w:t>Baumann</w:t>
      </w:r>
      <w:r>
        <w:rPr>
          <w:rStyle w:val="AucunA"/>
        </w:rPr>
        <w:t xml:space="preserve">, </w:t>
      </w:r>
      <w:r>
        <w:rPr>
          <w:rStyle w:val="Aucun"/>
          <w:i/>
          <w:iCs/>
          <w:lang w:val="fr-FR"/>
        </w:rPr>
        <w:t>La vie liquide,</w:t>
      </w:r>
      <w:r>
        <w:rPr>
          <w:rStyle w:val="AucunA"/>
        </w:rPr>
        <w:t xml:space="preserve"> Pluriel, 2013, 266 p. </w:t>
      </w:r>
    </w:p>
  </w:footnote>
  <w:footnote w:id="61">
    <w:p w14:paraId="4EC62CE3" w14:textId="77777777" w:rsidR="00F93310" w:rsidRPr="006D666B" w:rsidRDefault="00000000">
      <w:pPr>
        <w:pStyle w:val="FootnoteText"/>
        <w:jc w:val="both"/>
        <w:rPr>
          <w:lang w:val="fr-FR"/>
        </w:rPr>
      </w:pPr>
      <w:r>
        <w:rPr>
          <w:rStyle w:val="Aucun"/>
          <w:sz w:val="24"/>
          <w:szCs w:val="24"/>
          <w:vertAlign w:val="superscript"/>
          <w:lang w:val="fr-FR"/>
        </w:rPr>
        <w:footnoteRef/>
      </w:r>
      <w:r>
        <w:rPr>
          <w:rStyle w:val="AucunA"/>
        </w:rPr>
        <w:t xml:space="preserve"> M. </w:t>
      </w:r>
      <w:proofErr w:type="spellStart"/>
      <w:r>
        <w:rPr>
          <w:rStyle w:val="Aucun"/>
          <w:smallCaps/>
          <w:lang w:val="fr-FR"/>
        </w:rPr>
        <w:t>Rèmond</w:t>
      </w:r>
      <w:r>
        <w:rPr>
          <w:rStyle w:val="AucunA"/>
        </w:rPr>
        <w:t>-</w:t>
      </w:r>
      <w:r>
        <w:rPr>
          <w:rStyle w:val="Aucun"/>
          <w:smallCaps/>
          <w:lang w:val="fr-FR"/>
        </w:rPr>
        <w:t>Gouilloud</w:t>
      </w:r>
      <w:proofErr w:type="spellEnd"/>
      <w:r>
        <w:rPr>
          <w:rStyle w:val="AucunA"/>
        </w:rPr>
        <w:t>,  </w:t>
      </w:r>
      <w:r>
        <w:rPr>
          <w:rStyle w:val="Aucun"/>
          <w:i/>
          <w:iCs/>
          <w:lang w:val="fr-FR"/>
        </w:rPr>
        <w:t>Du droit de détruire, Essai sur le droit de l’environnement</w:t>
      </w:r>
      <w:r>
        <w:rPr>
          <w:rStyle w:val="AucunA"/>
        </w:rPr>
        <w:t xml:space="preserve">, PUF, Paris, 1989, 304 p. </w:t>
      </w:r>
    </w:p>
  </w:footnote>
  <w:footnote w:id="62">
    <w:p w14:paraId="23B4D0DD" w14:textId="77777777" w:rsidR="00F93310" w:rsidRDefault="00000000">
      <w:pPr>
        <w:pStyle w:val="FootnoteText"/>
        <w:jc w:val="both"/>
        <w:rPr>
          <w:rStyle w:val="Aucun"/>
          <w:i/>
          <w:iCs/>
        </w:rPr>
      </w:pPr>
      <w:r>
        <w:rPr>
          <w:rStyle w:val="Aucun"/>
          <w:sz w:val="24"/>
          <w:szCs w:val="24"/>
          <w:vertAlign w:val="superscript"/>
        </w:rPr>
        <w:footnoteRef/>
      </w:r>
      <w:r>
        <w:rPr>
          <w:rStyle w:val="PageNumber"/>
          <w:lang w:val="en-US"/>
        </w:rPr>
        <w:t xml:space="preserve"> Communication from the Commission to the European Parliament, the Council, the European Economic and Social Committee and the Committee of the Regions, </w:t>
      </w:r>
      <w:r>
        <w:rPr>
          <w:rStyle w:val="Aucun"/>
          <w:i/>
          <w:iCs/>
        </w:rPr>
        <w:t>Building an economy that works for people: an action plan for the social economy</w:t>
      </w:r>
      <w:r>
        <w:rPr>
          <w:rStyle w:val="PageNumber"/>
          <w:lang w:val="en-US"/>
        </w:rPr>
        <w:t xml:space="preserve">: </w:t>
      </w:r>
      <w:hyperlink r:id="rId7" w:history="1">
        <w:r>
          <w:rPr>
            <w:rStyle w:val="Hyperlink2"/>
          </w:rPr>
          <w:t>https://ec.europa.eu/social/BlobServlet?docId=24986&amp;langId=en</w:t>
        </w:r>
      </w:hyperlink>
      <w:r>
        <w:rPr>
          <w:rStyle w:val="PageNumber"/>
          <w:lang w:val="en-US"/>
        </w:rPr>
        <w:t xml:space="preserve">; </w:t>
      </w:r>
      <w:proofErr w:type="spellStart"/>
      <w:r>
        <w:rPr>
          <w:rStyle w:val="PageNumber"/>
          <w:lang w:val="en-US"/>
        </w:rPr>
        <w:t>Résolution</w:t>
      </w:r>
      <w:proofErr w:type="spellEnd"/>
      <w:r>
        <w:rPr>
          <w:rStyle w:val="PageNumber"/>
          <w:lang w:val="en-US"/>
        </w:rPr>
        <w:t xml:space="preserve"> </w:t>
      </w:r>
      <w:proofErr w:type="spellStart"/>
      <w:r>
        <w:rPr>
          <w:rStyle w:val="PageNumber"/>
          <w:lang w:val="en-US"/>
        </w:rPr>
        <w:t>concernant</w:t>
      </w:r>
      <w:proofErr w:type="spellEnd"/>
      <w:r>
        <w:rPr>
          <w:rStyle w:val="PageNumber"/>
          <w:lang w:val="en-US"/>
        </w:rPr>
        <w:t xml:space="preserve"> le travail </w:t>
      </w:r>
      <w:proofErr w:type="spellStart"/>
      <w:r>
        <w:rPr>
          <w:rStyle w:val="PageNumber"/>
          <w:lang w:val="en-US"/>
        </w:rPr>
        <w:t>décent</w:t>
      </w:r>
      <w:proofErr w:type="spellEnd"/>
      <w:r>
        <w:rPr>
          <w:rStyle w:val="PageNumber"/>
          <w:lang w:val="en-US"/>
        </w:rPr>
        <w:t xml:space="preserve"> et </w:t>
      </w:r>
      <w:proofErr w:type="spellStart"/>
      <w:r>
        <w:rPr>
          <w:rStyle w:val="PageNumber"/>
          <w:lang w:val="en-US"/>
        </w:rPr>
        <w:t>l’économie</w:t>
      </w:r>
      <w:proofErr w:type="spellEnd"/>
      <w:r>
        <w:rPr>
          <w:rStyle w:val="PageNumber"/>
          <w:lang w:val="en-US"/>
        </w:rPr>
        <w:t xml:space="preserve"> sociale et solidaire, 10 </w:t>
      </w:r>
      <w:proofErr w:type="spellStart"/>
      <w:r>
        <w:rPr>
          <w:rStyle w:val="PageNumber"/>
          <w:lang w:val="en-US"/>
        </w:rPr>
        <w:t>juin</w:t>
      </w:r>
      <w:proofErr w:type="spellEnd"/>
      <w:r>
        <w:rPr>
          <w:rStyle w:val="PageNumber"/>
          <w:lang w:val="en-US"/>
        </w:rPr>
        <w:t xml:space="preserve"> 2022: </w:t>
      </w:r>
      <w:hyperlink r:id="rId8" w:history="1">
        <w:r>
          <w:rPr>
            <w:rStyle w:val="Lien"/>
            <w:lang w:val="en-US"/>
          </w:rPr>
          <w:t>https://www.ilo.org/wcmsp5/groups/public/---ed_norm/---relconf/documents/meetingdocument/wcms_848645.pdf</w:t>
        </w:r>
      </w:hyperlink>
      <w:r>
        <w:rPr>
          <w:rStyle w:val="PageNumber"/>
          <w:lang w:val="en-US"/>
        </w:rPr>
        <w:t xml:space="preserve"> ; </w:t>
      </w:r>
      <w:proofErr w:type="spellStart"/>
      <w:r>
        <w:rPr>
          <w:rStyle w:val="PageNumber"/>
          <w:lang w:val="en-US"/>
        </w:rPr>
        <w:t>Recommandation</w:t>
      </w:r>
      <w:proofErr w:type="spellEnd"/>
      <w:r>
        <w:rPr>
          <w:rStyle w:val="PageNumber"/>
          <w:lang w:val="en-US"/>
        </w:rPr>
        <w:t xml:space="preserve"> du Conseil sur </w:t>
      </w:r>
      <w:proofErr w:type="spellStart"/>
      <w:r>
        <w:rPr>
          <w:rStyle w:val="PageNumber"/>
          <w:lang w:val="en-US"/>
        </w:rPr>
        <w:t>l’économie</w:t>
      </w:r>
      <w:proofErr w:type="spellEnd"/>
      <w:r>
        <w:rPr>
          <w:rStyle w:val="PageNumber"/>
          <w:lang w:val="en-US"/>
        </w:rPr>
        <w:t xml:space="preserve"> sociale et solidaire et </w:t>
      </w:r>
      <w:proofErr w:type="spellStart"/>
      <w:r>
        <w:rPr>
          <w:rStyle w:val="PageNumber"/>
          <w:lang w:val="en-US"/>
        </w:rPr>
        <w:t>l’innovation</w:t>
      </w:r>
      <w:proofErr w:type="spellEnd"/>
      <w:r>
        <w:rPr>
          <w:rStyle w:val="PageNumber"/>
          <w:lang w:val="en-US"/>
        </w:rPr>
        <w:t xml:space="preserve"> sociale : </w:t>
      </w:r>
      <w:hyperlink r:id="rId9" w:history="1">
        <w:r>
          <w:rPr>
            <w:rStyle w:val="Hyperlink4"/>
          </w:rPr>
          <w:t>https://legalinstruments.oecd.org/fr/instruments/OECD-LEGAL-0472%20#:~:text=La%20Recommandation%20sur%20l%27économie,économique%20au%20niveau%20local%20(CD</w:t>
        </w:r>
      </w:hyperlink>
      <w:r>
        <w:rPr>
          <w:rStyle w:val="PageNumber"/>
          <w:lang w:val="en-US"/>
        </w:rPr>
        <w:t xml:space="preserve">; Resolution adopted by the General Assembly on 18 April 2023, </w:t>
      </w:r>
      <w:r>
        <w:rPr>
          <w:rStyle w:val="Aucun"/>
          <w:i/>
          <w:iCs/>
        </w:rPr>
        <w:t>Promoting the social and solidarity economy for</w:t>
      </w:r>
    </w:p>
    <w:p w14:paraId="6ABD844D" w14:textId="77777777" w:rsidR="00F93310" w:rsidRDefault="00000000">
      <w:pPr>
        <w:pStyle w:val="FootnoteText"/>
        <w:jc w:val="both"/>
      </w:pPr>
      <w:r>
        <w:rPr>
          <w:rStyle w:val="Aucun"/>
          <w:i/>
          <w:iCs/>
        </w:rPr>
        <w:t xml:space="preserve">sustainable </w:t>
      </w:r>
      <w:proofErr w:type="gramStart"/>
      <w:r>
        <w:rPr>
          <w:rStyle w:val="Aucun"/>
          <w:i/>
          <w:iCs/>
        </w:rPr>
        <w:t xml:space="preserve">development </w:t>
      </w:r>
      <w:r>
        <w:rPr>
          <w:rStyle w:val="PageNumber"/>
          <w:lang w:val="en-US"/>
        </w:rPr>
        <w:t>:</w:t>
      </w:r>
      <w:proofErr w:type="gramEnd"/>
      <w:r>
        <w:rPr>
          <w:rStyle w:val="PageNumber"/>
          <w:lang w:val="en-US"/>
        </w:rPr>
        <w:t xml:space="preserve"> </w:t>
      </w:r>
      <w:hyperlink r:id="rId10" w:history="1">
        <w:r>
          <w:rPr>
            <w:rStyle w:val="Hyperlink4"/>
          </w:rPr>
          <w:t>https://unsse.org/wp-content/uploads/2023/05/A_RES_77_281-EN.pdf</w:t>
        </w:r>
      </w:hyperlink>
      <w:r>
        <w:rPr>
          <w:rStyle w:val="PageNumbe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833F" w14:textId="77777777" w:rsidR="00F93310" w:rsidRDefault="00F93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BF4"/>
    <w:multiLevelType w:val="hybridMultilevel"/>
    <w:tmpl w:val="2C8A027E"/>
    <w:numStyleLink w:val="Style1import"/>
  </w:abstractNum>
  <w:abstractNum w:abstractNumId="1" w15:restartNumberingAfterBreak="0">
    <w:nsid w:val="1A49230A"/>
    <w:multiLevelType w:val="hybridMultilevel"/>
    <w:tmpl w:val="E09422E6"/>
    <w:styleLink w:val="Style5import"/>
    <w:lvl w:ilvl="0" w:tplc="3B92CE1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E6487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70A6A6">
      <w:start w:val="1"/>
      <w:numFmt w:val="lowerRoman"/>
      <w:lvlText w:val="%3."/>
      <w:lvlJc w:val="left"/>
      <w:pPr>
        <w:ind w:left="216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3" w:tplc="A2E832D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A03DA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DCA17F4">
      <w:start w:val="1"/>
      <w:numFmt w:val="lowerRoman"/>
      <w:lvlText w:val="%6."/>
      <w:lvlJc w:val="left"/>
      <w:pPr>
        <w:ind w:left="4320" w:hanging="320"/>
      </w:pPr>
      <w:rPr>
        <w:rFonts w:hAnsi="Arial Unicode MS"/>
        <w:b/>
        <w:bCs/>
        <w:caps w:val="0"/>
        <w:smallCaps w:val="0"/>
        <w:strike w:val="0"/>
        <w:dstrike w:val="0"/>
        <w:outline w:val="0"/>
        <w:emboss w:val="0"/>
        <w:imprint w:val="0"/>
        <w:spacing w:val="0"/>
        <w:w w:val="100"/>
        <w:kern w:val="0"/>
        <w:position w:val="0"/>
        <w:highlight w:val="none"/>
        <w:vertAlign w:val="baseline"/>
      </w:rPr>
    </w:lvl>
    <w:lvl w:ilvl="6" w:tplc="51FA42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6004FE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965BFE">
      <w:start w:val="1"/>
      <w:numFmt w:val="lowerRoman"/>
      <w:lvlText w:val="%9."/>
      <w:lvlJc w:val="left"/>
      <w:pPr>
        <w:ind w:left="6480" w:hanging="3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68356E"/>
    <w:multiLevelType w:val="hybridMultilevel"/>
    <w:tmpl w:val="E09422E6"/>
    <w:numStyleLink w:val="Style5import"/>
  </w:abstractNum>
  <w:abstractNum w:abstractNumId="3" w15:restartNumberingAfterBreak="0">
    <w:nsid w:val="1AE57A6E"/>
    <w:multiLevelType w:val="multilevel"/>
    <w:tmpl w:val="4E881906"/>
    <w:numStyleLink w:val="Style4import"/>
  </w:abstractNum>
  <w:abstractNum w:abstractNumId="4" w15:restartNumberingAfterBreak="0">
    <w:nsid w:val="259D2B59"/>
    <w:multiLevelType w:val="multilevel"/>
    <w:tmpl w:val="0C580632"/>
    <w:numStyleLink w:val="Style2import"/>
  </w:abstractNum>
  <w:abstractNum w:abstractNumId="5" w15:restartNumberingAfterBreak="0">
    <w:nsid w:val="2BD301D9"/>
    <w:multiLevelType w:val="multilevel"/>
    <w:tmpl w:val="229E5360"/>
    <w:styleLink w:val="Style3import"/>
    <w:lvl w:ilvl="0">
      <w:start w:val="1"/>
      <w:numFmt w:val="decimal"/>
      <w:lvlText w:val="%1."/>
      <w:lvlJc w:val="left"/>
      <w:pPr>
        <w:tabs>
          <w:tab w:val="num" w:pos="644"/>
        </w:tabs>
        <w:ind w:left="360" w:hanging="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20"/>
        </w:tabs>
        <w:ind w:left="436" w:hanging="1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ind w:left="1364" w:hanging="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084" w:hanging="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3164" w:hanging="4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884" w:hanging="4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964" w:hanging="7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5684" w:hanging="7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6764" w:hanging="1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0863C3"/>
    <w:multiLevelType w:val="multilevel"/>
    <w:tmpl w:val="7D767D46"/>
    <w:numStyleLink w:val="Style6import"/>
  </w:abstractNum>
  <w:abstractNum w:abstractNumId="7" w15:restartNumberingAfterBreak="0">
    <w:nsid w:val="4D94617B"/>
    <w:multiLevelType w:val="multilevel"/>
    <w:tmpl w:val="229E5360"/>
    <w:numStyleLink w:val="Style3import"/>
  </w:abstractNum>
  <w:abstractNum w:abstractNumId="8" w15:restartNumberingAfterBreak="0">
    <w:nsid w:val="537B6424"/>
    <w:multiLevelType w:val="multilevel"/>
    <w:tmpl w:val="0C580632"/>
    <w:styleLink w:val="Style2import"/>
    <w:lvl w:ilvl="0">
      <w:start w:val="1"/>
      <w:numFmt w:val="decimal"/>
      <w:lvlText w:val="%1."/>
      <w:lvlJc w:val="left"/>
      <w:pPr>
        <w:tabs>
          <w:tab w:val="num" w:pos="674"/>
        </w:tabs>
        <w:ind w:left="390" w:hanging="10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20"/>
        </w:tabs>
        <w:ind w:left="436" w:hanging="15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decimal"/>
      <w:suff w:val="nothing"/>
      <w:lvlText w:val="%2.%3."/>
      <w:lvlJc w:val="left"/>
      <w:pPr>
        <w:ind w:left="644" w:hanging="7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suff w:val="nothing"/>
      <w:lvlText w:val="%2.%3.%4."/>
      <w:lvlJc w:val="left"/>
      <w:pPr>
        <w:ind w:left="644" w:hanging="7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decimal"/>
      <w:suff w:val="nothing"/>
      <w:lvlText w:val="%2.%3.%4.%5."/>
      <w:lvlJc w:val="left"/>
      <w:pPr>
        <w:ind w:left="1004" w:hanging="43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decimal"/>
      <w:suff w:val="nothing"/>
      <w:lvlText w:val="%2.%3.%4.%5.%6."/>
      <w:lvlJc w:val="left"/>
      <w:pPr>
        <w:ind w:left="1004" w:hanging="43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suff w:val="nothing"/>
      <w:lvlText w:val="%2.%3.%4.%5.%6.%7."/>
      <w:lvlJc w:val="left"/>
      <w:pPr>
        <w:ind w:left="1364" w:hanging="7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decimal"/>
      <w:suff w:val="nothing"/>
      <w:lvlText w:val="%2.%3.%4.%5.%6.%7.%8."/>
      <w:lvlJc w:val="left"/>
      <w:pPr>
        <w:ind w:left="1364" w:hanging="7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decimal"/>
      <w:suff w:val="nothing"/>
      <w:lvlText w:val="%2.%3.%4.%5.%6.%7.%8.%9."/>
      <w:lvlJc w:val="left"/>
      <w:pPr>
        <w:ind w:left="1724" w:hanging="1156"/>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6A800F39"/>
    <w:multiLevelType w:val="multilevel"/>
    <w:tmpl w:val="4E881906"/>
    <w:styleLink w:val="Style4import"/>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65F7588"/>
    <w:multiLevelType w:val="multilevel"/>
    <w:tmpl w:val="7D767D46"/>
    <w:styleLink w:val="Style6import"/>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493323"/>
    <w:multiLevelType w:val="hybridMultilevel"/>
    <w:tmpl w:val="2C8A027E"/>
    <w:styleLink w:val="Style1import"/>
    <w:lvl w:ilvl="0" w:tplc="028ABD32">
      <w:start w:val="1"/>
      <w:numFmt w:val="upperRoman"/>
      <w:lvlText w:val="%1."/>
      <w:lvlJc w:val="left"/>
      <w:pPr>
        <w:ind w:left="885" w:hanging="415"/>
      </w:pPr>
      <w:rPr>
        <w:rFonts w:hAnsi="Arial Unicode MS"/>
        <w:caps w:val="0"/>
        <w:smallCaps w:val="0"/>
        <w:strike w:val="0"/>
        <w:dstrike w:val="0"/>
        <w:outline w:val="0"/>
        <w:emboss w:val="0"/>
        <w:imprint w:val="0"/>
        <w:spacing w:val="0"/>
        <w:w w:val="100"/>
        <w:kern w:val="0"/>
        <w:position w:val="0"/>
        <w:highlight w:val="none"/>
        <w:vertAlign w:val="baseline"/>
      </w:rPr>
    </w:lvl>
    <w:lvl w:ilvl="1" w:tplc="B8AA0328">
      <w:start w:val="1"/>
      <w:numFmt w:val="lowerLetter"/>
      <w:lvlText w:val="%2."/>
      <w:lvlJc w:val="left"/>
      <w:pPr>
        <w:ind w:left="1625" w:hanging="305"/>
      </w:pPr>
      <w:rPr>
        <w:rFonts w:hAnsi="Arial Unicode MS"/>
        <w:caps w:val="0"/>
        <w:smallCaps w:val="0"/>
        <w:strike w:val="0"/>
        <w:dstrike w:val="0"/>
        <w:outline w:val="0"/>
        <w:emboss w:val="0"/>
        <w:imprint w:val="0"/>
        <w:spacing w:val="0"/>
        <w:w w:val="100"/>
        <w:kern w:val="0"/>
        <w:position w:val="0"/>
        <w:highlight w:val="none"/>
        <w:vertAlign w:val="baseline"/>
      </w:rPr>
    </w:lvl>
    <w:lvl w:ilvl="2" w:tplc="901E5E4E">
      <w:start w:val="1"/>
      <w:numFmt w:val="lowerRoman"/>
      <w:lvlText w:val="%3."/>
      <w:lvlJc w:val="left"/>
      <w:pPr>
        <w:ind w:left="235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51C8D4EC">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02A854EA">
      <w:start w:val="1"/>
      <w:numFmt w:val="lowerLetter"/>
      <w:lvlText w:val="%5."/>
      <w:lvlJc w:val="left"/>
      <w:pPr>
        <w:ind w:left="106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F724C0DE">
      <w:start w:val="1"/>
      <w:numFmt w:val="lowerRoman"/>
      <w:lvlText w:val="%6."/>
      <w:lvlJc w:val="left"/>
      <w:pPr>
        <w:ind w:left="17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8B280428">
      <w:start w:val="1"/>
      <w:numFmt w:val="decimal"/>
      <w:lvlText w:val="%7."/>
      <w:lvlJc w:val="left"/>
      <w:pPr>
        <w:ind w:left="34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7" w:tplc="D73EF06E">
      <w:start w:val="1"/>
      <w:numFmt w:val="lowerLetter"/>
      <w:lvlText w:val="%8."/>
      <w:lvlJc w:val="left"/>
      <w:pPr>
        <w:ind w:left="1060" w:hanging="340"/>
      </w:pPr>
      <w:rPr>
        <w:rFonts w:hAnsi="Arial Unicode MS"/>
        <w:b/>
        <w:bCs/>
        <w:caps w:val="0"/>
        <w:smallCaps w:val="0"/>
        <w:strike w:val="0"/>
        <w:dstrike w:val="0"/>
        <w:outline w:val="0"/>
        <w:emboss w:val="0"/>
        <w:imprint w:val="0"/>
        <w:spacing w:val="0"/>
        <w:w w:val="100"/>
        <w:kern w:val="0"/>
        <w:position w:val="0"/>
        <w:highlight w:val="none"/>
        <w:vertAlign w:val="baseline"/>
      </w:rPr>
    </w:lvl>
    <w:lvl w:ilvl="8" w:tplc="7520C32A">
      <w:start w:val="1"/>
      <w:numFmt w:val="lowerRoman"/>
      <w:lvlText w:val="%9."/>
      <w:lvlJc w:val="left"/>
      <w:pPr>
        <w:ind w:left="178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121296083">
    <w:abstractNumId w:val="11"/>
  </w:num>
  <w:num w:numId="2" w16cid:durableId="1947928621">
    <w:abstractNumId w:val="0"/>
  </w:num>
  <w:num w:numId="3" w16cid:durableId="1013730969">
    <w:abstractNumId w:val="8"/>
  </w:num>
  <w:num w:numId="4" w16cid:durableId="229192720">
    <w:abstractNumId w:val="4"/>
  </w:num>
  <w:num w:numId="5" w16cid:durableId="1578050563">
    <w:abstractNumId w:val="0"/>
    <w:lvlOverride w:ilvl="3">
      <w:startOverride w:val="3"/>
    </w:lvlOverride>
  </w:num>
  <w:num w:numId="6" w16cid:durableId="1725987277">
    <w:abstractNumId w:val="5"/>
  </w:num>
  <w:num w:numId="7" w16cid:durableId="69083549">
    <w:abstractNumId w:val="7"/>
  </w:num>
  <w:num w:numId="8" w16cid:durableId="1617102732">
    <w:abstractNumId w:val="9"/>
  </w:num>
  <w:num w:numId="9" w16cid:durableId="1259094509">
    <w:abstractNumId w:val="3"/>
  </w:num>
  <w:num w:numId="10" w16cid:durableId="1562902814">
    <w:abstractNumId w:val="1"/>
  </w:num>
  <w:num w:numId="11" w16cid:durableId="284193299">
    <w:abstractNumId w:val="2"/>
  </w:num>
  <w:num w:numId="12" w16cid:durableId="1970695865">
    <w:abstractNumId w:val="2"/>
    <w:lvlOverride w:ilvl="0">
      <w:startOverride w:val="3"/>
    </w:lvlOverride>
  </w:num>
  <w:num w:numId="13" w16cid:durableId="1546987315">
    <w:abstractNumId w:val="10"/>
  </w:num>
  <w:num w:numId="14" w16cid:durableId="273178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10"/>
    <w:rsid w:val="006D666B"/>
    <w:rsid w:val="00B328BF"/>
    <w:rsid w:val="00B65BE1"/>
    <w:rsid w:val="00F93310"/>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0865E9E3"/>
  <w15:docId w15:val="{D935930A-7B31-F047-AA8D-52608955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L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next w:val="CorpsA"/>
    <w:uiPriority w:val="9"/>
    <w:qFormat/>
    <w:pPr>
      <w:keepNext/>
      <w:keepLines/>
      <w:spacing w:before="40"/>
      <w:outlineLvl w:val="0"/>
    </w:pPr>
    <w:rPr>
      <w:rFonts w:ascii="Helvetica Neue" w:hAnsi="Helvetica Neue" w:cs="Arial Unicode MS"/>
      <w:color w:val="0079BF"/>
      <w:sz w:val="26"/>
      <w:szCs w:val="26"/>
      <w:u w:color="0079BF"/>
      <w:lang w:val="fr-FR"/>
    </w:rPr>
  </w:style>
  <w:style w:type="paragraph" w:styleId="Heading2">
    <w:name w:val="heading 2"/>
    <w:next w:val="CorpsA"/>
    <w:uiPriority w:val="9"/>
    <w:unhideWhenUsed/>
    <w:qFormat/>
    <w:pPr>
      <w:keepNext/>
      <w:keepLines/>
      <w:spacing w:before="40"/>
      <w:outlineLvl w:val="1"/>
    </w:pPr>
    <w:rPr>
      <w:rFonts w:ascii="Helvetica Neue" w:hAnsi="Helvetica Neue" w:cs="Arial Unicode MS"/>
      <w:color w:val="0079BF"/>
      <w:sz w:val="26"/>
      <w:szCs w:val="26"/>
      <w:u w:color="0079BF"/>
      <w:lang w:val="en-US"/>
    </w:rPr>
  </w:style>
  <w:style w:type="paragraph" w:styleId="Heading3">
    <w:name w:val="heading 3"/>
    <w:next w:val="CorpsA"/>
    <w:uiPriority w:val="9"/>
    <w:unhideWhenUsed/>
    <w:qFormat/>
    <w:pPr>
      <w:keepNext/>
      <w:keepLines/>
      <w:spacing w:before="40"/>
      <w:outlineLvl w:val="2"/>
    </w:pPr>
    <w:rPr>
      <w:rFonts w:ascii="Helvetica Neue" w:hAnsi="Helvetica Neue" w:cs="Arial Unicode MS"/>
      <w:color w:val="00507F"/>
      <w:sz w:val="24"/>
      <w:szCs w:val="24"/>
      <w:u w:color="0050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36"/>
        <w:tab w:val="right" w:pos="9072"/>
      </w:tabs>
    </w:pPr>
    <w:rPr>
      <w:rFonts w:cs="Arial Unicode MS"/>
      <w:color w:val="000000"/>
      <w:sz w:val="24"/>
      <w:szCs w:val="24"/>
      <w:u w:color="000000"/>
      <w:lang w:val="en-US"/>
    </w:rPr>
  </w:style>
  <w:style w:type="character" w:customStyle="1" w:styleId="Aucun">
    <w:name w:val="Aucun"/>
  </w:style>
  <w:style w:type="paragraph" w:customStyle="1" w:styleId="CorpsA">
    <w:name w:val="Corps A"/>
    <w:rPr>
      <w:rFonts w:cs="Arial Unicode MS"/>
      <w:color w:val="000000"/>
      <w:sz w:val="24"/>
      <w:szCs w:val="24"/>
      <w:u w:color="000000"/>
      <w:lang w:val="fr-FR"/>
      <w14:textOutline w14:w="12700" w14:cap="flat" w14:cmpd="sng" w14:algn="ctr">
        <w14:noFill/>
        <w14:prstDash w14:val="solid"/>
        <w14:miter w14:lim="400000"/>
      </w14:textOutline>
    </w:rPr>
  </w:style>
  <w:style w:type="character" w:styleId="PageNumber">
    <w:name w:val="page number"/>
    <w:basedOn w:val="Aucun"/>
    <w:rPr>
      <w:lang w:val="fr-FR"/>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customStyle="1" w:styleId="CorpsAA">
    <w:name w:val="Corps A A"/>
    <w:rPr>
      <w:rFonts w:ascii="Helvetica Neue" w:hAnsi="Helvetica Neue" w:cs="Arial Unicode MS"/>
      <w:color w:val="000000"/>
      <w:sz w:val="22"/>
      <w:szCs w:val="22"/>
      <w:u w:color="000000"/>
      <w:lang w:val="fr-FR"/>
      <w14:textOutline w14:w="12700" w14:cap="flat" w14:cmpd="sng" w14:algn="ctr">
        <w14:noFill/>
        <w14:prstDash w14:val="solid"/>
        <w14:miter w14:lim="400000"/>
      </w14:textOutline>
    </w:rPr>
  </w:style>
  <w:style w:type="numbering" w:customStyle="1" w:styleId="Style3import">
    <w:name w:val="Style 3 importé"/>
    <w:pPr>
      <w:numPr>
        <w:numId w:val="6"/>
      </w:numPr>
    </w:pPr>
  </w:style>
  <w:style w:type="character" w:styleId="FootnoteReference">
    <w:name w:val="footnote reference"/>
    <w:basedOn w:val="Aucun"/>
    <w:rPr>
      <w:vertAlign w:val="superscript"/>
    </w:rPr>
  </w:style>
  <w:style w:type="paragraph" w:styleId="FootnoteText">
    <w:name w:val="footnote text"/>
    <w:rPr>
      <w:rFonts w:eastAsia="Times New Roman"/>
      <w:color w:val="000000"/>
      <w:u w:color="000000"/>
      <w:lang w:val="en-US"/>
    </w:rPr>
  </w:style>
  <w:style w:type="character" w:customStyle="1" w:styleId="AucunA">
    <w:name w:val="Aucun A"/>
    <w:basedOn w:val="Aucun"/>
    <w:rPr>
      <w:lang w:val="fr-FR"/>
    </w:rPr>
  </w:style>
  <w:style w:type="character" w:customStyle="1" w:styleId="Hyperlink0">
    <w:name w:val="Hyperlink.0"/>
    <w:basedOn w:val="Aucun"/>
    <w:rPr>
      <w:outline w:val="0"/>
      <w:color w:val="000000"/>
      <w:u w:val="single" w:color="000000"/>
      <w:lang w:val="fr-FR"/>
    </w:rPr>
  </w:style>
  <w:style w:type="paragraph" w:customStyle="1" w:styleId="Corps">
    <w:name w:val="Corps"/>
    <w:rPr>
      <w:rFonts w:eastAsia="Times New Roman"/>
      <w:color w:val="000000"/>
      <w:sz w:val="24"/>
      <w:szCs w:val="24"/>
      <w:u w:color="000000"/>
      <w14:textOutline w14:w="0" w14:cap="flat" w14:cmpd="sng" w14:algn="ctr">
        <w14:noFill/>
        <w14:prstDash w14:val="solid"/>
        <w14:bevel/>
      </w14:textOutline>
    </w:rPr>
  </w:style>
  <w:style w:type="numbering" w:customStyle="1" w:styleId="Style4import">
    <w:name w:val="Style 4 importé"/>
    <w:pPr>
      <w:numPr>
        <w:numId w:val="8"/>
      </w:numPr>
    </w:pPr>
  </w:style>
  <w:style w:type="character" w:customStyle="1" w:styleId="Hyperlink1">
    <w:name w:val="Hyperlink.1"/>
    <w:basedOn w:val="Aucun"/>
    <w:rPr>
      <w:outline w:val="0"/>
      <w:color w:val="000000"/>
      <w:u w:val="single" w:color="000000"/>
      <w:lang w:val="pt-PT"/>
    </w:rPr>
  </w:style>
  <w:style w:type="paragraph" w:customStyle="1" w:styleId="PardfautA">
    <w:name w:val="Par défaut A"/>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character" w:customStyle="1" w:styleId="Lien">
    <w:name w:val="Lien"/>
    <w:rPr>
      <w:outline w:val="0"/>
      <w:color w:val="0000FF"/>
      <w:u w:val="single" w:color="0000FF"/>
      <w:lang w:val="fr-FR"/>
    </w:rPr>
  </w:style>
  <w:style w:type="character" w:customStyle="1" w:styleId="Hyperlink3">
    <w:name w:val="Hyperlink.3"/>
    <w:basedOn w:val="Aucun"/>
    <w:rPr>
      <w:rFonts w:ascii="Times New Roman" w:hAnsi="Times New Roman"/>
      <w:outline w:val="0"/>
      <w:color w:val="0000FF"/>
      <w:sz w:val="20"/>
      <w:szCs w:val="20"/>
      <w:u w:val="single" w:color="0000FF"/>
      <w:lang w:val="fr-FR"/>
    </w:rPr>
  </w:style>
  <w:style w:type="numbering" w:customStyle="1" w:styleId="Style5import">
    <w:name w:val="Style 5 importé"/>
    <w:pPr>
      <w:numPr>
        <w:numId w:val="10"/>
      </w:numPr>
    </w:pPr>
  </w:style>
  <w:style w:type="numbering" w:customStyle="1" w:styleId="Style6import">
    <w:name w:val="Style 6 importé"/>
    <w:pPr>
      <w:numPr>
        <w:numId w:val="13"/>
      </w:numPr>
    </w:pPr>
  </w:style>
  <w:style w:type="character" w:customStyle="1" w:styleId="Hyperlink2">
    <w:name w:val="Hyperlink.2"/>
    <w:basedOn w:val="Aucun"/>
    <w:rPr>
      <w:rFonts w:ascii="Times New Roman" w:eastAsia="Times New Roman" w:hAnsi="Times New Roman" w:cs="Times New Roman"/>
      <w:outline w:val="0"/>
      <w:color w:val="1A0DAB"/>
      <w:u w:color="1A0DAB"/>
    </w:rPr>
  </w:style>
  <w:style w:type="character" w:customStyle="1" w:styleId="Hyperlink4">
    <w:name w:val="Hyperlink.4"/>
    <w:basedOn w:val="Aucun"/>
    <w:rPr>
      <w:outline w:val="0"/>
      <w:color w:val="000000"/>
      <w:u w:val="singl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wcmsp5/groups/public/---ed_norm/---relconf/documents/meetingdocument/wcms_848645.pdf" TargetMode="External"/><Relationship Id="rId3" Type="http://schemas.openxmlformats.org/officeDocument/2006/relationships/hyperlink" Target="https://journals.openedition.org/geocarrefour/17103" TargetMode="External"/><Relationship Id="rId7" Type="http://schemas.openxmlformats.org/officeDocument/2006/relationships/hyperlink" Target="https://www.google.com/url?sa=i&amp;rct=j&amp;q=&amp;esrc=s&amp;source=web&amp;cd=&amp;ved=0CAIQw7AJahcKEwjYn4XYvKeAAxUAAAAAHQAAAAAQAg&amp;url=https://ec.europa.eu/social/BlobServlet?docId=24986&amp;langId=en&amp;psig=AOvVaw08JzAHtNxucNuNDrGFZiDr&amp;ust=1690292553789000&amp;opi=89978449" TargetMode="External"/><Relationship Id="rId2" Type="http://schemas.openxmlformats.org/officeDocument/2006/relationships/hyperlink" Target="https://ressourceries.info/?IiI" TargetMode="External"/><Relationship Id="rId1" Type="http://schemas.openxmlformats.org/officeDocument/2006/relationships/hyperlink" Target="https://www.ecologie.gouv.fr/leconomie-circulaire" TargetMode="External"/><Relationship Id="rId6" Type="http://schemas.openxmlformats.org/officeDocument/2006/relationships/hyperlink" Target="http://journals.openedition.org/interventionseconomiques/3943" TargetMode="External"/><Relationship Id="rId5" Type="http://schemas.openxmlformats.org/officeDocument/2006/relationships/hyperlink" Target="https://journals.openedition.org/lectures/520" TargetMode="External"/><Relationship Id="rId10" Type="http://schemas.openxmlformats.org/officeDocument/2006/relationships/hyperlink" Target="https://unsse.org/wp-content/uploads/2023/05/A_RES_77_281-EN.pdf" TargetMode="External"/><Relationship Id="rId4" Type="http://schemas.openxmlformats.org/officeDocument/2006/relationships/hyperlink" Target="https://emmaus-france.org/qui-sommes-nous/" TargetMode="External"/><Relationship Id="rId9" Type="http://schemas.openxmlformats.org/officeDocument/2006/relationships/hyperlink" Target="https://legalinstruments.oecd.org/fr/instruments/OECD-LEGAL-0472%252520#:~:text=La%252520Recommandation%252520sur%252520l%252527%25C3%25A9conomie,%25C3%25A9conomique%252520au%252520niveau%252520local%252520(CD"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5555</Words>
  <Characters>31665</Characters>
  <Application>Microsoft Office Word</Application>
  <DocSecurity>0</DocSecurity>
  <Lines>263</Lines>
  <Paragraphs>74</Paragraphs>
  <ScaleCrop>false</ScaleCrop>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Lubena Todorova</cp:lastModifiedBy>
  <cp:revision>2</cp:revision>
  <dcterms:created xsi:type="dcterms:W3CDTF">2024-07-25T08:51:00Z</dcterms:created>
  <dcterms:modified xsi:type="dcterms:W3CDTF">2024-07-25T08:53:00Z</dcterms:modified>
</cp:coreProperties>
</file>