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0961" w14:textId="53DE615C" w:rsidR="001C4725" w:rsidRPr="00883D06" w:rsidRDefault="001C4725" w:rsidP="004016AD">
      <w:pPr>
        <w:pStyle w:val="Citation"/>
        <w:spacing w:before="0" w:after="0" w:line="240" w:lineRule="auto"/>
        <w:rPr>
          <w:sz w:val="28"/>
          <w:szCs w:val="24"/>
          <w:lang w:val="fr-LU"/>
        </w:rPr>
      </w:pPr>
      <w:r w:rsidRPr="00883D06">
        <w:rPr>
          <w:sz w:val="28"/>
          <w:szCs w:val="24"/>
          <w:lang w:val="fr-LU"/>
        </w:rPr>
        <w:t>De « la tribune de l</w:t>
      </w:r>
      <w:r w:rsidR="00025BAD" w:rsidRPr="00883D06">
        <w:rPr>
          <w:sz w:val="28"/>
          <w:szCs w:val="24"/>
          <w:lang w:val="fr-LU"/>
        </w:rPr>
        <w:t>’</w:t>
      </w:r>
      <w:r w:rsidRPr="00883D06">
        <w:rPr>
          <w:sz w:val="28"/>
          <w:szCs w:val="24"/>
          <w:lang w:val="fr-LU"/>
        </w:rPr>
        <w:t>Assemblée nationale à la tribune en plein vent</w:t>
      </w:r>
      <w:r w:rsidRPr="00883D06">
        <w:rPr>
          <w:rStyle w:val="Appelnotedebasdep"/>
          <w:sz w:val="28"/>
          <w:szCs w:val="24"/>
          <w:lang w:val="fr-LU"/>
        </w:rPr>
        <w:footnoteReference w:id="1"/>
      </w:r>
      <w:r w:rsidRPr="00883D06">
        <w:rPr>
          <w:sz w:val="28"/>
          <w:szCs w:val="24"/>
          <w:lang w:val="fr-LU"/>
        </w:rPr>
        <w:t> » </w:t>
      </w:r>
    </w:p>
    <w:p w14:paraId="7D8971FA" w14:textId="16B32F3C" w:rsidR="001C4725" w:rsidRPr="00883D06" w:rsidRDefault="001C4725" w:rsidP="004016AD">
      <w:pPr>
        <w:pStyle w:val="Citation"/>
        <w:spacing w:before="0" w:line="240" w:lineRule="auto"/>
        <w:rPr>
          <w:sz w:val="28"/>
          <w:szCs w:val="24"/>
          <w:lang w:val="fr-LU"/>
        </w:rPr>
      </w:pPr>
      <w:r w:rsidRPr="00883D06">
        <w:rPr>
          <w:sz w:val="28"/>
          <w:szCs w:val="24"/>
          <w:lang w:val="fr-LU"/>
        </w:rPr>
        <w:t>Le théâtre à l</w:t>
      </w:r>
      <w:r w:rsidR="00025BAD" w:rsidRPr="00883D06">
        <w:rPr>
          <w:sz w:val="28"/>
          <w:szCs w:val="24"/>
          <w:lang w:val="fr-LU"/>
        </w:rPr>
        <w:t>’</w:t>
      </w:r>
      <w:r w:rsidRPr="00883D06">
        <w:rPr>
          <w:sz w:val="28"/>
          <w:szCs w:val="24"/>
          <w:lang w:val="fr-LU"/>
        </w:rPr>
        <w:t>époque révolutionnaire, observatoire privilégié de la folie du temps dans l</w:t>
      </w:r>
      <w:r w:rsidR="00025BAD" w:rsidRPr="00883D06">
        <w:rPr>
          <w:sz w:val="28"/>
          <w:szCs w:val="24"/>
          <w:lang w:val="fr-LU"/>
        </w:rPr>
        <w:t>’</w:t>
      </w:r>
      <w:r w:rsidRPr="00883D06">
        <w:rPr>
          <w:sz w:val="28"/>
          <w:szCs w:val="24"/>
          <w:lang w:val="fr-LU"/>
        </w:rPr>
        <w:t>œuvre de Chateaubriand</w:t>
      </w:r>
    </w:p>
    <w:p w14:paraId="1CE67650" w14:textId="77777777" w:rsidR="001C4725" w:rsidRPr="00883D06" w:rsidRDefault="001C4725" w:rsidP="004016AD">
      <w:pPr>
        <w:spacing w:line="240" w:lineRule="auto"/>
        <w:ind w:firstLine="708"/>
        <w:jc w:val="left"/>
        <w:rPr>
          <w:sz w:val="20"/>
          <w:lang w:val="fr-LU"/>
        </w:rPr>
      </w:pPr>
      <w:r w:rsidRPr="00883D06">
        <w:rPr>
          <w:sz w:val="20"/>
          <w:lang w:val="fr-LU"/>
        </w:rPr>
        <w:t xml:space="preserve">Laetitia </w:t>
      </w:r>
      <w:r w:rsidRPr="00883D06">
        <w:rPr>
          <w:smallCaps/>
          <w:sz w:val="20"/>
          <w:lang w:val="fr-LU"/>
        </w:rPr>
        <w:t>Saintes</w:t>
      </w:r>
      <w:r w:rsidRPr="00883D06">
        <w:rPr>
          <w:sz w:val="20"/>
          <w:lang w:val="fr-LU"/>
        </w:rPr>
        <w:t xml:space="preserve"> </w:t>
      </w:r>
    </w:p>
    <w:p w14:paraId="006EF199" w14:textId="6836EF2C" w:rsidR="001C4725" w:rsidRPr="00883D06" w:rsidRDefault="001C4725" w:rsidP="004016AD">
      <w:pPr>
        <w:spacing w:line="240" w:lineRule="auto"/>
        <w:ind w:firstLine="709"/>
        <w:rPr>
          <w:szCs w:val="24"/>
          <w:lang w:val="fr-LU"/>
        </w:rPr>
      </w:pPr>
      <w:r w:rsidRPr="00883D06">
        <w:rPr>
          <w:szCs w:val="24"/>
          <w:lang w:val="fr-LU"/>
        </w:rPr>
        <w:t xml:space="preserve">Les </w:t>
      </w:r>
      <w:r w:rsidRPr="00883D06">
        <w:rPr>
          <w:i/>
          <w:szCs w:val="24"/>
          <w:lang w:val="fr-LU"/>
        </w:rPr>
        <w:t>Mémoires d</w:t>
      </w:r>
      <w:r w:rsidR="00025BAD" w:rsidRPr="00883D06">
        <w:rPr>
          <w:i/>
          <w:szCs w:val="24"/>
          <w:lang w:val="fr-LU"/>
        </w:rPr>
        <w:t>’</w:t>
      </w:r>
      <w:r w:rsidRPr="00883D06">
        <w:rPr>
          <w:i/>
          <w:szCs w:val="24"/>
          <w:lang w:val="fr-LU"/>
        </w:rPr>
        <w:t>outre-tombe</w:t>
      </w:r>
      <w:r w:rsidRPr="00883D06">
        <w:rPr>
          <w:szCs w:val="24"/>
          <w:lang w:val="fr-LU"/>
        </w:rPr>
        <w:t xml:space="preserve"> dépeignent de saisissante façon l</w:t>
      </w:r>
      <w:r w:rsidR="00025BAD" w:rsidRPr="00883D06">
        <w:rPr>
          <w:szCs w:val="24"/>
          <w:lang w:val="fr-LU"/>
        </w:rPr>
        <w:t>’</w:t>
      </w:r>
      <w:r w:rsidRPr="00883D06">
        <w:rPr>
          <w:szCs w:val="24"/>
          <w:lang w:val="fr-LU"/>
        </w:rPr>
        <w:t>effervescence qui s</w:t>
      </w:r>
      <w:r w:rsidR="00025BAD" w:rsidRPr="00883D06">
        <w:rPr>
          <w:szCs w:val="24"/>
          <w:lang w:val="fr-LU"/>
        </w:rPr>
        <w:t>’</w:t>
      </w:r>
      <w:r w:rsidRPr="00883D06">
        <w:rPr>
          <w:szCs w:val="24"/>
          <w:lang w:val="fr-LU"/>
        </w:rPr>
        <w:t>empare de</w:t>
      </w:r>
      <w:r w:rsidR="006352A3" w:rsidRPr="00883D06">
        <w:rPr>
          <w:szCs w:val="24"/>
          <w:lang w:val="fr-LU"/>
        </w:rPr>
        <w:t>s</w:t>
      </w:r>
      <w:r w:rsidRPr="00883D06">
        <w:rPr>
          <w:szCs w:val="24"/>
          <w:lang w:val="fr-LU"/>
        </w:rPr>
        <w:t xml:space="preserve"> </w:t>
      </w:r>
      <w:r w:rsidR="00D41B65" w:rsidRPr="00883D06">
        <w:rPr>
          <w:szCs w:val="24"/>
          <w:lang w:val="fr-LU"/>
        </w:rPr>
        <w:t>Paris</w:t>
      </w:r>
      <w:r w:rsidR="006352A3" w:rsidRPr="00883D06">
        <w:rPr>
          <w:szCs w:val="24"/>
          <w:lang w:val="fr-LU"/>
        </w:rPr>
        <w:t>iens</w:t>
      </w:r>
      <w:r w:rsidRPr="00883D06">
        <w:rPr>
          <w:szCs w:val="24"/>
          <w:lang w:val="fr-LU"/>
        </w:rPr>
        <w:t xml:space="preserve"> au début de la période révolutionnaire</w:t>
      </w:r>
      <w:r w:rsidR="00AB495E" w:rsidRPr="00883D06">
        <w:rPr>
          <w:szCs w:val="24"/>
          <w:lang w:val="fr-LU"/>
        </w:rPr>
        <w:t xml:space="preserve"> et </w:t>
      </w:r>
      <w:r w:rsidR="006352A3" w:rsidRPr="00883D06">
        <w:rPr>
          <w:szCs w:val="24"/>
          <w:lang w:val="fr-LU"/>
        </w:rPr>
        <w:t>les voit</w:t>
      </w:r>
      <w:r w:rsidR="00AB495E" w:rsidRPr="00883D06">
        <w:rPr>
          <w:szCs w:val="24"/>
          <w:lang w:val="fr-LU"/>
        </w:rPr>
        <w:t xml:space="preserve"> se transporter « </w:t>
      </w:r>
      <w:r w:rsidR="00BB6E43" w:rsidRPr="00883D06">
        <w:rPr>
          <w:szCs w:val="24"/>
          <w:lang w:val="fr-LU"/>
        </w:rPr>
        <w:t>du club des Feuillants au club des Jacobins, des bals et des maisons de jeu aux groupes du Palais-Royal, de la tribune de l</w:t>
      </w:r>
      <w:r w:rsidR="00025BAD" w:rsidRPr="00883D06">
        <w:rPr>
          <w:szCs w:val="24"/>
          <w:lang w:val="fr-LU"/>
        </w:rPr>
        <w:t>’</w:t>
      </w:r>
      <w:r w:rsidR="00BB6E43" w:rsidRPr="00883D06">
        <w:rPr>
          <w:szCs w:val="24"/>
          <w:lang w:val="fr-LU"/>
        </w:rPr>
        <w:t>Assemblée nationale à la tribune en plein vent</w:t>
      </w:r>
      <w:r w:rsidRPr="00883D06">
        <w:rPr>
          <w:rStyle w:val="Appelnotedebasdep"/>
          <w:szCs w:val="24"/>
          <w:lang w:val="fr-LU"/>
        </w:rPr>
        <w:footnoteReference w:id="2"/>
      </w:r>
      <w:r w:rsidR="00AB495E" w:rsidRPr="00883D06">
        <w:rPr>
          <w:szCs w:val="24"/>
          <w:lang w:val="fr-LU"/>
        </w:rPr>
        <w:t> »</w:t>
      </w:r>
      <w:r w:rsidR="00327790" w:rsidRPr="00883D06">
        <w:rPr>
          <w:szCs w:val="24"/>
          <w:lang w:val="fr-LU"/>
        </w:rPr>
        <w:t>.</w:t>
      </w:r>
      <w:r w:rsidR="00AB495E" w:rsidRPr="00883D06">
        <w:rPr>
          <w:szCs w:val="24"/>
          <w:lang w:val="fr-LU"/>
        </w:rPr>
        <w:t xml:space="preserve"> </w:t>
      </w:r>
      <w:r w:rsidRPr="00883D06">
        <w:rPr>
          <w:szCs w:val="24"/>
          <w:lang w:val="fr-LU"/>
        </w:rPr>
        <w:t xml:space="preserve">Cette frénésie poussant le public à courir </w:t>
      </w:r>
      <w:r w:rsidR="00C27AB1" w:rsidRPr="00883D06">
        <w:rPr>
          <w:szCs w:val="24"/>
          <w:lang w:val="fr-LU"/>
        </w:rPr>
        <w:t>tour à tour</w:t>
      </w:r>
      <w:r w:rsidRPr="00883D06">
        <w:rPr>
          <w:szCs w:val="24"/>
          <w:lang w:val="fr-LU"/>
        </w:rPr>
        <w:t xml:space="preserve"> les clubs politiques et les théâtres alors que se brouillent les limites séparant l</w:t>
      </w:r>
      <w:r w:rsidR="00025BAD" w:rsidRPr="00883D06">
        <w:rPr>
          <w:szCs w:val="24"/>
          <w:lang w:val="fr-LU"/>
        </w:rPr>
        <w:t>’</w:t>
      </w:r>
      <w:r w:rsidRPr="00883D06">
        <w:rPr>
          <w:szCs w:val="24"/>
          <w:lang w:val="fr-LU"/>
        </w:rPr>
        <w:t>espace public de la scène</w:t>
      </w:r>
      <w:r w:rsidR="006352A3" w:rsidRPr="00883D06">
        <w:rPr>
          <w:szCs w:val="24"/>
          <w:lang w:val="fr-LU"/>
        </w:rPr>
        <w:t xml:space="preserve"> théâtrale</w:t>
      </w:r>
      <w:r w:rsidRPr="00883D06">
        <w:rPr>
          <w:szCs w:val="24"/>
          <w:lang w:val="fr-LU"/>
        </w:rPr>
        <w:t xml:space="preserve"> donne la mesure de temps de désordre caractérisés par « la lutte des deux génies, le choix du passé et de l</w:t>
      </w:r>
      <w:r w:rsidR="00025BAD" w:rsidRPr="00883D06">
        <w:rPr>
          <w:szCs w:val="24"/>
          <w:lang w:val="fr-LU"/>
        </w:rPr>
        <w:t>’</w:t>
      </w:r>
      <w:r w:rsidRPr="00883D06">
        <w:rPr>
          <w:szCs w:val="24"/>
          <w:lang w:val="fr-LU"/>
        </w:rPr>
        <w:t>avenir, le mélange des mœurs anciennes et des mœurs nouvelles</w:t>
      </w:r>
      <w:r w:rsidRPr="00883D06">
        <w:rPr>
          <w:rStyle w:val="Appelnotedebasdep"/>
          <w:szCs w:val="24"/>
          <w:lang w:val="fr-LU"/>
        </w:rPr>
        <w:footnoteReference w:id="3"/>
      </w:r>
      <w:r w:rsidRPr="00883D06">
        <w:rPr>
          <w:szCs w:val="24"/>
          <w:lang w:val="fr-LU"/>
        </w:rPr>
        <w:t xml:space="preserve"> ». </w:t>
      </w:r>
    </w:p>
    <w:p w14:paraId="3B372A9D" w14:textId="751F6AF2" w:rsidR="001C4725" w:rsidRPr="00883D06" w:rsidRDefault="001C4725" w:rsidP="004016AD">
      <w:pPr>
        <w:spacing w:line="240" w:lineRule="auto"/>
        <w:ind w:firstLine="708"/>
        <w:rPr>
          <w:lang w:val="fr-LU"/>
        </w:rPr>
      </w:pPr>
      <w:r w:rsidRPr="00883D06">
        <w:rPr>
          <w:szCs w:val="24"/>
          <w:lang w:val="fr-LU"/>
        </w:rPr>
        <w:t>Ce mélange des genres s</w:t>
      </w:r>
      <w:r w:rsidR="00025BAD" w:rsidRPr="00883D06">
        <w:rPr>
          <w:szCs w:val="24"/>
          <w:lang w:val="fr-LU"/>
        </w:rPr>
        <w:t>’</w:t>
      </w:r>
      <w:r w:rsidRPr="00883D06">
        <w:rPr>
          <w:szCs w:val="24"/>
          <w:lang w:val="fr-LU"/>
        </w:rPr>
        <w:t xml:space="preserve">observe dans la nature </w:t>
      </w:r>
      <w:r w:rsidR="00DD07F9" w:rsidRPr="00883D06">
        <w:rPr>
          <w:szCs w:val="24"/>
          <w:lang w:val="fr-LU"/>
        </w:rPr>
        <w:t>hétérogène</w:t>
      </w:r>
      <w:r w:rsidRPr="00883D06">
        <w:rPr>
          <w:szCs w:val="24"/>
          <w:lang w:val="fr-LU"/>
        </w:rPr>
        <w:t xml:space="preserve"> de la production dramatique du temps, qui entremêle</w:t>
      </w:r>
      <w:r w:rsidR="00782DAE" w:rsidRPr="00883D06">
        <w:rPr>
          <w:szCs w:val="24"/>
          <w:lang w:val="fr-LU"/>
        </w:rPr>
        <w:t xml:space="preserve"> pastorales et pièces de circonstance,</w:t>
      </w:r>
      <w:r w:rsidRPr="00883D06">
        <w:rPr>
          <w:szCs w:val="24"/>
          <w:lang w:val="fr-LU"/>
        </w:rPr>
        <w:t xml:space="preserve"> </w:t>
      </w:r>
      <w:r w:rsidR="00782DAE" w:rsidRPr="00883D06">
        <w:rPr>
          <w:szCs w:val="24"/>
          <w:lang w:val="fr-LU"/>
        </w:rPr>
        <w:t>reprises et créations</w:t>
      </w:r>
      <w:r w:rsidR="00A85AC5" w:rsidRPr="00883D06">
        <w:rPr>
          <w:szCs w:val="24"/>
          <w:lang w:val="fr-LU"/>
        </w:rPr>
        <w:t xml:space="preserve">, </w:t>
      </w:r>
      <w:r w:rsidR="00DD07F9" w:rsidRPr="00883D06">
        <w:rPr>
          <w:szCs w:val="24"/>
          <w:lang w:val="fr-LU"/>
        </w:rPr>
        <w:t>elles-mêmes composites à l</w:t>
      </w:r>
      <w:r w:rsidR="00025BAD" w:rsidRPr="00883D06">
        <w:rPr>
          <w:szCs w:val="24"/>
          <w:lang w:val="fr-LU"/>
        </w:rPr>
        <w:t>’</w:t>
      </w:r>
      <w:r w:rsidR="00DD07F9" w:rsidRPr="00883D06">
        <w:rPr>
          <w:szCs w:val="24"/>
          <w:lang w:val="fr-LU"/>
        </w:rPr>
        <w:t>image de</w:t>
      </w:r>
      <w:r w:rsidRPr="00883D06">
        <w:rPr>
          <w:szCs w:val="24"/>
          <w:lang w:val="fr-LU"/>
        </w:rPr>
        <w:t xml:space="preserve"> </w:t>
      </w:r>
      <w:r w:rsidRPr="00883D06">
        <w:rPr>
          <w:i/>
          <w:iCs/>
          <w:szCs w:val="24"/>
          <w:lang w:val="fr-LU"/>
        </w:rPr>
        <w:t>La Mère coupable</w:t>
      </w:r>
      <w:r w:rsidRPr="00883D06">
        <w:rPr>
          <w:szCs w:val="24"/>
          <w:lang w:val="fr-LU"/>
        </w:rPr>
        <w:t xml:space="preserve"> (1792) de Beaumarchais, </w:t>
      </w:r>
      <w:r w:rsidRPr="00883D06">
        <w:t>« mélange monstrueux », selon la critique, « de beautés dramatiques, &amp; de trivialités absurdes &amp; ridicules</w:t>
      </w:r>
      <w:r w:rsidRPr="00883D06">
        <w:rPr>
          <w:rStyle w:val="Appelnotedebasdep"/>
        </w:rPr>
        <w:footnoteReference w:id="4"/>
      </w:r>
      <w:r w:rsidRPr="00883D06">
        <w:t> ». Le jeu des acteurs les plus fameux de l</w:t>
      </w:r>
      <w:r w:rsidR="00025BAD" w:rsidRPr="00883D06">
        <w:t>’</w:t>
      </w:r>
      <w:r w:rsidRPr="00883D06">
        <w:t>époque porte la marque, lui aussi, de cet égarement généralisé : « </w:t>
      </w:r>
      <w:r w:rsidRPr="00883D06">
        <w:rPr>
          <w:lang w:val="fr-LU"/>
        </w:rPr>
        <w:t>Qu</w:t>
      </w:r>
      <w:r w:rsidR="00025BAD" w:rsidRPr="00883D06">
        <w:rPr>
          <w:lang w:val="fr-LU"/>
        </w:rPr>
        <w:t>’</w:t>
      </w:r>
      <w:r w:rsidRPr="00883D06">
        <w:rPr>
          <w:lang w:val="fr-LU"/>
        </w:rPr>
        <w:t>était-il donc, Talma ? Lui, son siècle et le temps antique. Il avait les passions profondes et concentrées de l</w:t>
      </w:r>
      <w:r w:rsidR="00025BAD" w:rsidRPr="00883D06">
        <w:rPr>
          <w:lang w:val="fr-LU"/>
        </w:rPr>
        <w:t>’</w:t>
      </w:r>
      <w:r w:rsidRPr="00883D06">
        <w:rPr>
          <w:lang w:val="fr-LU"/>
        </w:rPr>
        <w:t>amour et de la patrie ; elles sortaient de son sein par explosion. Il avait l</w:t>
      </w:r>
      <w:r w:rsidR="00025BAD" w:rsidRPr="00883D06">
        <w:rPr>
          <w:lang w:val="fr-LU"/>
        </w:rPr>
        <w:t>’</w:t>
      </w:r>
      <w:r w:rsidRPr="00883D06">
        <w:rPr>
          <w:lang w:val="fr-LU"/>
        </w:rPr>
        <w:t>inspiration funeste, le dérangement de génie de la Révolution</w:t>
      </w:r>
      <w:r w:rsidRPr="00883D06">
        <w:rPr>
          <w:rStyle w:val="Appelnotedebasdep"/>
          <w:lang w:val="fr-LU"/>
        </w:rPr>
        <w:footnoteReference w:id="5"/>
      </w:r>
      <w:r w:rsidRPr="00883D06">
        <w:rPr>
          <w:lang w:val="fr-LU"/>
        </w:rPr>
        <w:t>. »</w:t>
      </w:r>
    </w:p>
    <w:p w14:paraId="4E6A8D12" w14:textId="70171560" w:rsidR="00AB43FF" w:rsidRPr="00883D06" w:rsidRDefault="001C4725" w:rsidP="004016AD">
      <w:pPr>
        <w:spacing w:line="240" w:lineRule="auto"/>
        <w:ind w:firstLine="708"/>
        <w:rPr>
          <w:lang w:val="fr-LU"/>
        </w:rPr>
      </w:pPr>
      <w:r w:rsidRPr="00883D06">
        <w:rPr>
          <w:lang w:val="fr-LU"/>
        </w:rPr>
        <w:t>Aussi notre contribution entend-elle examiner la façon dont Chateaubriand, de l</w:t>
      </w:r>
      <w:r w:rsidR="00025BAD" w:rsidRPr="00883D06">
        <w:rPr>
          <w:lang w:val="fr-LU"/>
        </w:rPr>
        <w:t>’</w:t>
      </w:r>
      <w:r w:rsidRPr="00883D06">
        <w:rPr>
          <w:i/>
          <w:lang w:val="fr-LU"/>
        </w:rPr>
        <w:t>Essai sur les révolutions</w:t>
      </w:r>
      <w:r w:rsidRPr="00883D06">
        <w:rPr>
          <w:lang w:val="fr-LU"/>
        </w:rPr>
        <w:t xml:space="preserve"> </w:t>
      </w:r>
      <w:r w:rsidR="00E23E86" w:rsidRPr="00883D06">
        <w:rPr>
          <w:lang w:val="fr-LU"/>
        </w:rPr>
        <w:t xml:space="preserve">(1797) </w:t>
      </w:r>
      <w:r w:rsidRPr="00883D06">
        <w:rPr>
          <w:lang w:val="fr-LU"/>
        </w:rPr>
        <w:t xml:space="preserve">aux </w:t>
      </w:r>
      <w:r w:rsidRPr="00883D06">
        <w:rPr>
          <w:i/>
          <w:lang w:val="fr-LU"/>
        </w:rPr>
        <w:t>Mémoires d</w:t>
      </w:r>
      <w:r w:rsidR="00025BAD" w:rsidRPr="00883D06">
        <w:rPr>
          <w:i/>
          <w:lang w:val="fr-LU"/>
        </w:rPr>
        <w:t>’</w:t>
      </w:r>
      <w:r w:rsidRPr="00883D06">
        <w:rPr>
          <w:i/>
          <w:lang w:val="fr-LU"/>
        </w:rPr>
        <w:t>outre-tombe</w:t>
      </w:r>
      <w:r w:rsidR="00E23E86" w:rsidRPr="00883D06">
        <w:rPr>
          <w:i/>
          <w:lang w:val="fr-LU"/>
        </w:rPr>
        <w:t xml:space="preserve"> </w:t>
      </w:r>
      <w:r w:rsidR="00E23E86" w:rsidRPr="00883D06">
        <w:rPr>
          <w:lang w:val="fr-LU"/>
        </w:rPr>
        <w:t>(1849-1850)</w:t>
      </w:r>
      <w:r w:rsidRPr="00883D06">
        <w:rPr>
          <w:lang w:val="fr-LU"/>
        </w:rPr>
        <w:t>, pense au prisme du théâtre – entendu à la fois comme un lieu d</w:t>
      </w:r>
      <w:r w:rsidR="00025BAD" w:rsidRPr="00883D06">
        <w:rPr>
          <w:lang w:val="fr-LU"/>
        </w:rPr>
        <w:t>’</w:t>
      </w:r>
      <w:r w:rsidRPr="00883D06">
        <w:rPr>
          <w:lang w:val="fr-LU"/>
        </w:rPr>
        <w:t>expression politique et comme la production dramatique du temps – ce dérangement de génie de la Révolution, phénomène à la fois intime et collectif qui devait adopter de nouvelles formes sous l</w:t>
      </w:r>
      <w:r w:rsidR="00025BAD" w:rsidRPr="00883D06">
        <w:rPr>
          <w:lang w:val="fr-LU"/>
        </w:rPr>
        <w:t>’</w:t>
      </w:r>
      <w:r w:rsidRPr="00883D06">
        <w:rPr>
          <w:lang w:val="fr-LU"/>
        </w:rPr>
        <w:t>Empire.</w:t>
      </w:r>
      <w:r w:rsidR="004A0398" w:rsidRPr="00883D06">
        <w:rPr>
          <w:lang w:val="fr-LU"/>
        </w:rPr>
        <w:t xml:space="preserve"> </w:t>
      </w:r>
      <w:r w:rsidR="00AB43FF" w:rsidRPr="00883D06">
        <w:rPr>
          <w:lang w:val="fr-LU"/>
        </w:rPr>
        <w:t xml:space="preserve">Pour ce faire, </w:t>
      </w:r>
      <w:r w:rsidR="006E6BAE" w:rsidRPr="00883D06">
        <w:rPr>
          <w:lang w:val="fr-LU"/>
        </w:rPr>
        <w:t xml:space="preserve">on se penchera sur la représentation de la folie dans </w:t>
      </w:r>
      <w:r w:rsidR="000076E5" w:rsidRPr="00883D06">
        <w:rPr>
          <w:lang w:val="fr-LU"/>
        </w:rPr>
        <w:t>les écrits</w:t>
      </w:r>
      <w:r w:rsidR="006E6BAE" w:rsidRPr="00883D06">
        <w:rPr>
          <w:lang w:val="fr-LU"/>
        </w:rPr>
        <w:t xml:space="preserve"> de Chateaubriand relati</w:t>
      </w:r>
      <w:r w:rsidR="000076E5" w:rsidRPr="00883D06">
        <w:rPr>
          <w:lang w:val="fr-LU"/>
        </w:rPr>
        <w:t>fs</w:t>
      </w:r>
      <w:r w:rsidR="006E6BAE" w:rsidRPr="00883D06">
        <w:rPr>
          <w:lang w:val="fr-LU"/>
        </w:rPr>
        <w:t xml:space="preserve"> à </w:t>
      </w:r>
      <w:r w:rsidR="003A5110" w:rsidRPr="00883D06">
        <w:rPr>
          <w:lang w:val="fr-LU"/>
        </w:rPr>
        <w:t>l</w:t>
      </w:r>
      <w:r w:rsidR="00025BAD" w:rsidRPr="00883D06">
        <w:rPr>
          <w:lang w:val="fr-LU"/>
        </w:rPr>
        <w:t>’</w:t>
      </w:r>
      <w:r w:rsidR="003A5110" w:rsidRPr="00883D06">
        <w:rPr>
          <w:lang w:val="fr-LU"/>
        </w:rPr>
        <w:t>époque</w:t>
      </w:r>
      <w:r w:rsidR="006E6BAE" w:rsidRPr="00883D06">
        <w:rPr>
          <w:lang w:val="fr-LU"/>
        </w:rPr>
        <w:t xml:space="preserve"> révolutionnaire</w:t>
      </w:r>
      <w:r w:rsidR="000076E5" w:rsidRPr="00883D06">
        <w:rPr>
          <w:lang w:val="fr-LU"/>
        </w:rPr>
        <w:t xml:space="preserve"> ; on tentera </w:t>
      </w:r>
      <w:r w:rsidR="006E6BAE" w:rsidRPr="00883D06">
        <w:rPr>
          <w:lang w:val="fr-LU"/>
        </w:rPr>
        <w:t>de dégager les modalités et les enjeux de cette représentation</w:t>
      </w:r>
      <w:r w:rsidR="00A5168D" w:rsidRPr="00883D06">
        <w:rPr>
          <w:lang w:val="fr-LU"/>
        </w:rPr>
        <w:t xml:space="preserve"> en la confrontant à la réalité de la production théâtrale de la période</w:t>
      </w:r>
      <w:r w:rsidR="006E6BAE" w:rsidRPr="00883D06">
        <w:rPr>
          <w:lang w:val="fr-LU"/>
        </w:rPr>
        <w:t xml:space="preserve">. On verra ensuite comment, selon le mémorialiste, le théâtre se fait </w:t>
      </w:r>
      <w:r w:rsidR="000076E5" w:rsidRPr="00883D06">
        <w:rPr>
          <w:lang w:val="fr-LU"/>
        </w:rPr>
        <w:t>sous la Révolution</w:t>
      </w:r>
      <w:r w:rsidR="004C0802" w:rsidRPr="00883D06">
        <w:rPr>
          <w:lang w:val="fr-LU"/>
        </w:rPr>
        <w:t xml:space="preserve"> à la fois</w:t>
      </w:r>
      <w:r w:rsidR="000076E5" w:rsidRPr="00883D06">
        <w:rPr>
          <w:lang w:val="fr-LU"/>
        </w:rPr>
        <w:t xml:space="preserve"> </w:t>
      </w:r>
      <w:r w:rsidR="006E6BAE" w:rsidRPr="00883D06">
        <w:rPr>
          <w:lang w:val="fr-LU"/>
        </w:rPr>
        <w:t>le reflet et le catalyseur de cet</w:t>
      </w:r>
      <w:r w:rsidR="00557B1B" w:rsidRPr="00883D06">
        <w:rPr>
          <w:lang w:val="fr-LU"/>
        </w:rPr>
        <w:t xml:space="preserve"> égar</w:t>
      </w:r>
      <w:r w:rsidR="006E6BAE" w:rsidRPr="00883D06">
        <w:rPr>
          <w:lang w:val="fr-LU"/>
        </w:rPr>
        <w:t>e</w:t>
      </w:r>
      <w:r w:rsidR="00557B1B" w:rsidRPr="00883D06">
        <w:rPr>
          <w:lang w:val="fr-LU"/>
        </w:rPr>
        <w:t>ment</w:t>
      </w:r>
      <w:r w:rsidR="006E6BAE" w:rsidRPr="00883D06">
        <w:rPr>
          <w:lang w:val="fr-LU"/>
        </w:rPr>
        <w:t xml:space="preserve"> qui frappe le corps social, avant </w:t>
      </w:r>
      <w:r w:rsidR="00240CA3" w:rsidRPr="00883D06">
        <w:rPr>
          <w:lang w:val="fr-LU"/>
        </w:rPr>
        <w:t>d</w:t>
      </w:r>
      <w:r w:rsidR="00025BAD" w:rsidRPr="00883D06">
        <w:rPr>
          <w:lang w:val="fr-LU"/>
        </w:rPr>
        <w:t>’</w:t>
      </w:r>
      <w:r w:rsidR="00240CA3" w:rsidRPr="00883D06">
        <w:rPr>
          <w:lang w:val="fr-LU"/>
        </w:rPr>
        <w:t>envisager</w:t>
      </w:r>
      <w:r w:rsidR="006E6BAE" w:rsidRPr="00883D06">
        <w:rPr>
          <w:lang w:val="fr-LU"/>
        </w:rPr>
        <w:t xml:space="preserve">, dans un troisième temps, les survivances de cette folie dans </w:t>
      </w:r>
      <w:r w:rsidR="00AD77B4" w:rsidRPr="00883D06">
        <w:rPr>
          <w:lang w:val="fr-LU"/>
        </w:rPr>
        <w:t>le Consulat et l</w:t>
      </w:r>
      <w:r w:rsidR="00025BAD" w:rsidRPr="00883D06">
        <w:rPr>
          <w:lang w:val="fr-LU"/>
        </w:rPr>
        <w:t>’</w:t>
      </w:r>
      <w:r w:rsidR="00AD77B4" w:rsidRPr="00883D06">
        <w:rPr>
          <w:lang w:val="fr-LU"/>
        </w:rPr>
        <w:t>Empire</w:t>
      </w:r>
      <w:r w:rsidR="006E6BAE" w:rsidRPr="00883D06">
        <w:rPr>
          <w:lang w:val="fr-LU"/>
        </w:rPr>
        <w:t>.</w:t>
      </w:r>
      <w:r w:rsidR="003A5110" w:rsidRPr="00883D06">
        <w:rPr>
          <w:lang w:val="fr-LU"/>
        </w:rPr>
        <w:t xml:space="preserve"> Il s</w:t>
      </w:r>
      <w:r w:rsidR="00025BAD" w:rsidRPr="00883D06">
        <w:rPr>
          <w:lang w:val="fr-LU"/>
        </w:rPr>
        <w:t>’</w:t>
      </w:r>
      <w:r w:rsidR="003A5110" w:rsidRPr="00883D06">
        <w:rPr>
          <w:lang w:val="fr-LU"/>
        </w:rPr>
        <w:t xml:space="preserve">agira de montrer, ce faisant, la manière dont le théâtre devient chez Chateaubriand le </w:t>
      </w:r>
      <w:r w:rsidR="00557B1B" w:rsidRPr="00883D06">
        <w:rPr>
          <w:lang w:val="fr-LU"/>
        </w:rPr>
        <w:t>lieu</w:t>
      </w:r>
      <w:r w:rsidR="003A5110" w:rsidRPr="00883D06">
        <w:rPr>
          <w:lang w:val="fr-LU"/>
        </w:rPr>
        <w:t xml:space="preserve"> privilégié à travers lequel penser</w:t>
      </w:r>
      <w:r w:rsidR="00557B1B" w:rsidRPr="00883D06">
        <w:rPr>
          <w:lang w:val="fr-LU"/>
        </w:rPr>
        <w:t xml:space="preserve"> et représenter</w:t>
      </w:r>
      <w:r w:rsidR="003A5110" w:rsidRPr="00883D06">
        <w:rPr>
          <w:lang w:val="fr-LU"/>
        </w:rPr>
        <w:t xml:space="preserve"> les bouleversements historiques, politiques et sociaux survenus entre 1789 et </w:t>
      </w:r>
      <w:r w:rsidR="00557B1B" w:rsidRPr="00883D06">
        <w:rPr>
          <w:lang w:val="fr-LU"/>
        </w:rPr>
        <w:t>1814</w:t>
      </w:r>
      <w:r w:rsidR="003A5110" w:rsidRPr="00883D06">
        <w:rPr>
          <w:lang w:val="fr-LU"/>
        </w:rPr>
        <w:t>.</w:t>
      </w:r>
    </w:p>
    <w:p w14:paraId="68B2CE24" w14:textId="4F6D5389" w:rsidR="00BB6E43" w:rsidRPr="00883D06" w:rsidRDefault="004016AD" w:rsidP="004016AD">
      <w:pPr>
        <w:spacing w:line="240" w:lineRule="auto"/>
        <w:ind w:firstLine="708"/>
        <w:jc w:val="center"/>
        <w:rPr>
          <w:lang w:val="fr-LU"/>
        </w:rPr>
      </w:pPr>
      <w:r w:rsidRPr="00883D06">
        <w:rPr>
          <w:lang w:val="fr-LU"/>
        </w:rPr>
        <w:t>L’ÉPISODE RÉVOLUTIONNAIRE, MOMENT DE FOLIE COLLECTIVE ET INTIME</w:t>
      </w:r>
    </w:p>
    <w:p w14:paraId="2E9B3CC8" w14:textId="35BE1E0A" w:rsidR="00314338" w:rsidRPr="00883D06" w:rsidRDefault="00557B1B" w:rsidP="004016AD">
      <w:pPr>
        <w:spacing w:line="240" w:lineRule="auto"/>
        <w:ind w:firstLine="708"/>
        <w:rPr>
          <w:lang w:val="fr-LU"/>
        </w:rPr>
      </w:pPr>
      <w:r w:rsidRPr="00883D06">
        <w:rPr>
          <w:lang w:val="fr-LU"/>
        </w:rPr>
        <w:t>Pour Chateaubriand, qui</w:t>
      </w:r>
      <w:r w:rsidR="00887E45" w:rsidRPr="00883D06">
        <w:rPr>
          <w:lang w:val="fr-LU"/>
        </w:rPr>
        <w:t xml:space="preserve"> peinait jusqu</w:t>
      </w:r>
      <w:r w:rsidR="00025BAD" w:rsidRPr="00883D06">
        <w:rPr>
          <w:lang w:val="fr-LU"/>
        </w:rPr>
        <w:t>’</w:t>
      </w:r>
      <w:r w:rsidR="00887E45" w:rsidRPr="00883D06">
        <w:rPr>
          <w:lang w:val="fr-LU"/>
        </w:rPr>
        <w:t>alors, en lisant « l</w:t>
      </w:r>
      <w:r w:rsidR="00025BAD" w:rsidRPr="00883D06">
        <w:rPr>
          <w:lang w:val="fr-LU"/>
        </w:rPr>
        <w:t>’</w:t>
      </w:r>
      <w:r w:rsidR="00887E45" w:rsidRPr="00883D06">
        <w:rPr>
          <w:lang w:val="fr-LU"/>
        </w:rPr>
        <w:t>histoire des troubles publics », à saisir « comment on avait pu vivre en ces temps-là</w:t>
      </w:r>
      <w:r w:rsidR="00887E45" w:rsidRPr="00883D06">
        <w:rPr>
          <w:rStyle w:val="Appelnotedebasdep"/>
          <w:lang w:val="fr-LU"/>
        </w:rPr>
        <w:footnoteReference w:id="6"/>
      </w:r>
      <w:r w:rsidR="00887E45" w:rsidRPr="00883D06">
        <w:rPr>
          <w:lang w:val="fr-LU"/>
        </w:rPr>
        <w:t> », l</w:t>
      </w:r>
      <w:r w:rsidR="00025BAD" w:rsidRPr="00883D06">
        <w:rPr>
          <w:lang w:val="fr-LU"/>
        </w:rPr>
        <w:t>’</w:t>
      </w:r>
      <w:r w:rsidR="00887E45" w:rsidRPr="00883D06">
        <w:rPr>
          <w:lang w:val="fr-LU"/>
        </w:rPr>
        <w:t>événement révolutionnaire</w:t>
      </w:r>
      <w:r w:rsidR="00660228" w:rsidRPr="00883D06">
        <w:rPr>
          <w:lang w:val="fr-LU"/>
        </w:rPr>
        <w:t xml:space="preserve"> constitue</w:t>
      </w:r>
      <w:r w:rsidR="00E874A1" w:rsidRPr="00883D06">
        <w:rPr>
          <w:lang w:val="fr-LU"/>
        </w:rPr>
        <w:t xml:space="preserve"> </w:t>
      </w:r>
      <w:r w:rsidR="0037659F" w:rsidRPr="00883D06">
        <w:rPr>
          <w:lang w:val="fr-LU"/>
        </w:rPr>
        <w:t xml:space="preserve">résolument </w:t>
      </w:r>
      <w:r w:rsidR="00887E45" w:rsidRPr="00883D06">
        <w:rPr>
          <w:lang w:val="fr-LU"/>
        </w:rPr>
        <w:t>une</w:t>
      </w:r>
      <w:r w:rsidR="00E874A1" w:rsidRPr="00883D06">
        <w:rPr>
          <w:lang w:val="fr-LU"/>
        </w:rPr>
        <w:t xml:space="preserve"> </w:t>
      </w:r>
      <w:r w:rsidR="00887E45" w:rsidRPr="00883D06">
        <w:rPr>
          <w:lang w:val="fr-LU"/>
        </w:rPr>
        <w:t>révélation</w:t>
      </w:r>
      <w:r w:rsidR="00B43E29" w:rsidRPr="00883D06">
        <w:rPr>
          <w:lang w:val="fr-LU"/>
        </w:rPr>
        <w:t xml:space="preserve"> heuristique</w:t>
      </w:r>
      <w:r w:rsidR="00887E45" w:rsidRPr="00883D06">
        <w:rPr>
          <w:lang w:val="fr-LU"/>
        </w:rPr>
        <w:t> :</w:t>
      </w:r>
    </w:p>
    <w:p w14:paraId="1477883F" w14:textId="0A77372B" w:rsidR="00314338" w:rsidRPr="00883D06" w:rsidRDefault="00E874A1" w:rsidP="00493B16">
      <w:pPr>
        <w:spacing w:line="240" w:lineRule="auto"/>
        <w:ind w:left="567"/>
        <w:rPr>
          <w:sz w:val="20"/>
          <w:szCs w:val="18"/>
          <w:lang w:val="fr-LU"/>
        </w:rPr>
      </w:pPr>
      <w:r w:rsidRPr="00883D06">
        <w:rPr>
          <w:sz w:val="20"/>
          <w:szCs w:val="18"/>
          <w:lang w:val="fr-LU"/>
        </w:rPr>
        <w:t>La Révolution m</w:t>
      </w:r>
      <w:r w:rsidR="00025BAD" w:rsidRPr="00883D06">
        <w:rPr>
          <w:sz w:val="20"/>
          <w:szCs w:val="18"/>
          <w:lang w:val="fr-LU"/>
        </w:rPr>
        <w:t>’</w:t>
      </w:r>
      <w:r w:rsidRPr="00883D06">
        <w:rPr>
          <w:sz w:val="20"/>
          <w:szCs w:val="18"/>
          <w:lang w:val="fr-LU"/>
        </w:rPr>
        <w:t>a fait comprendre cette possibilité d</w:t>
      </w:r>
      <w:r w:rsidR="00025BAD" w:rsidRPr="00883D06">
        <w:rPr>
          <w:sz w:val="20"/>
          <w:szCs w:val="18"/>
          <w:lang w:val="fr-LU"/>
        </w:rPr>
        <w:t>’</w:t>
      </w:r>
      <w:r w:rsidRPr="00883D06">
        <w:rPr>
          <w:sz w:val="20"/>
          <w:szCs w:val="18"/>
          <w:lang w:val="fr-LU"/>
        </w:rPr>
        <w:t xml:space="preserve">existence. </w:t>
      </w:r>
      <w:r w:rsidR="00314338" w:rsidRPr="00883D06">
        <w:rPr>
          <w:sz w:val="20"/>
          <w:szCs w:val="18"/>
          <w:lang w:val="fr-LU"/>
        </w:rPr>
        <w:t xml:space="preserve">Les moments de crise produisent un redoublement de vie chez les hommes. Dans une société qui se dissout et se recompose, </w:t>
      </w:r>
      <w:r w:rsidR="00314338" w:rsidRPr="00883D06">
        <w:rPr>
          <w:bCs/>
          <w:sz w:val="20"/>
          <w:szCs w:val="18"/>
          <w:lang w:val="fr-LU"/>
        </w:rPr>
        <w:t>la lutte des deux génies</w:t>
      </w:r>
      <w:r w:rsidR="00314338" w:rsidRPr="00883D06">
        <w:rPr>
          <w:sz w:val="20"/>
          <w:szCs w:val="18"/>
          <w:lang w:val="fr-LU"/>
        </w:rPr>
        <w:t>, le choix du passé et de l</w:t>
      </w:r>
      <w:r w:rsidR="00025BAD" w:rsidRPr="00883D06">
        <w:rPr>
          <w:sz w:val="20"/>
          <w:szCs w:val="18"/>
          <w:lang w:val="fr-LU"/>
        </w:rPr>
        <w:t>’</w:t>
      </w:r>
      <w:r w:rsidR="00314338" w:rsidRPr="00883D06">
        <w:rPr>
          <w:sz w:val="20"/>
          <w:szCs w:val="18"/>
          <w:lang w:val="fr-LU"/>
        </w:rPr>
        <w:t>avenir, le mélange des mœurs anciennes et des mœurs nouvelles, forment une combinaison transitoire qui ne laisse pas un moment d</w:t>
      </w:r>
      <w:r w:rsidR="00025BAD" w:rsidRPr="00883D06">
        <w:rPr>
          <w:sz w:val="20"/>
          <w:szCs w:val="18"/>
          <w:lang w:val="fr-LU"/>
        </w:rPr>
        <w:t>’</w:t>
      </w:r>
      <w:r w:rsidR="00314338" w:rsidRPr="00883D06">
        <w:rPr>
          <w:sz w:val="20"/>
          <w:szCs w:val="18"/>
          <w:lang w:val="fr-LU"/>
        </w:rPr>
        <w:t xml:space="preserve">ennui. Les passions et les caractères en liberté se </w:t>
      </w:r>
      <w:r w:rsidR="00314338" w:rsidRPr="00883D06">
        <w:rPr>
          <w:sz w:val="20"/>
          <w:szCs w:val="18"/>
          <w:lang w:val="fr-LU"/>
        </w:rPr>
        <w:lastRenderedPageBreak/>
        <w:t>montrent avec une énergie qu</w:t>
      </w:r>
      <w:r w:rsidR="00025BAD" w:rsidRPr="00883D06">
        <w:rPr>
          <w:sz w:val="20"/>
          <w:szCs w:val="18"/>
          <w:lang w:val="fr-LU"/>
        </w:rPr>
        <w:t>’</w:t>
      </w:r>
      <w:r w:rsidR="00314338" w:rsidRPr="00883D06">
        <w:rPr>
          <w:sz w:val="20"/>
          <w:szCs w:val="18"/>
          <w:lang w:val="fr-LU"/>
        </w:rPr>
        <w:t>ils n</w:t>
      </w:r>
      <w:r w:rsidR="00025BAD" w:rsidRPr="00883D06">
        <w:rPr>
          <w:sz w:val="20"/>
          <w:szCs w:val="18"/>
          <w:lang w:val="fr-LU"/>
        </w:rPr>
        <w:t>’</w:t>
      </w:r>
      <w:r w:rsidR="00314338" w:rsidRPr="00883D06">
        <w:rPr>
          <w:sz w:val="20"/>
          <w:szCs w:val="18"/>
          <w:lang w:val="fr-LU"/>
        </w:rPr>
        <w:t>ont point dans la cité bien réglée. L</w:t>
      </w:r>
      <w:r w:rsidR="00025BAD" w:rsidRPr="00883D06">
        <w:rPr>
          <w:sz w:val="20"/>
          <w:szCs w:val="18"/>
          <w:lang w:val="fr-LU"/>
        </w:rPr>
        <w:t>’</w:t>
      </w:r>
      <w:r w:rsidR="00314338" w:rsidRPr="00883D06">
        <w:rPr>
          <w:sz w:val="20"/>
          <w:szCs w:val="18"/>
          <w:lang w:val="fr-LU"/>
        </w:rPr>
        <w:t>infraction des lois, l</w:t>
      </w:r>
      <w:r w:rsidR="00025BAD" w:rsidRPr="00883D06">
        <w:rPr>
          <w:sz w:val="20"/>
          <w:szCs w:val="18"/>
          <w:lang w:val="fr-LU"/>
        </w:rPr>
        <w:t>’</w:t>
      </w:r>
      <w:r w:rsidR="00314338" w:rsidRPr="00883D06">
        <w:rPr>
          <w:sz w:val="20"/>
          <w:szCs w:val="18"/>
          <w:lang w:val="fr-LU"/>
        </w:rPr>
        <w:t>affranchissement des devoirs, des usages et des bienséances, les périls même ajoutent à l</w:t>
      </w:r>
      <w:r w:rsidR="00025BAD" w:rsidRPr="00883D06">
        <w:rPr>
          <w:sz w:val="20"/>
          <w:szCs w:val="18"/>
          <w:lang w:val="fr-LU"/>
        </w:rPr>
        <w:t>’</w:t>
      </w:r>
      <w:r w:rsidR="00314338" w:rsidRPr="00883D06">
        <w:rPr>
          <w:sz w:val="20"/>
          <w:szCs w:val="18"/>
          <w:lang w:val="fr-LU"/>
        </w:rPr>
        <w:t xml:space="preserve">intérêt de ce </w:t>
      </w:r>
      <w:r w:rsidR="00314338" w:rsidRPr="00883D06">
        <w:rPr>
          <w:bCs/>
          <w:sz w:val="20"/>
          <w:szCs w:val="18"/>
          <w:lang w:val="fr-LU"/>
        </w:rPr>
        <w:t>désordre</w:t>
      </w:r>
      <w:r w:rsidR="00314338" w:rsidRPr="00883D06">
        <w:rPr>
          <w:sz w:val="20"/>
          <w:szCs w:val="18"/>
          <w:lang w:val="fr-LU"/>
        </w:rPr>
        <w:t xml:space="preserve">. Le genre humain en vacances se promène dans la rue, débarrassé de ses pédagogues, rentré pour un moment </w:t>
      </w:r>
      <w:r w:rsidR="00314338" w:rsidRPr="00883D06">
        <w:rPr>
          <w:bCs/>
          <w:sz w:val="20"/>
          <w:szCs w:val="18"/>
          <w:lang w:val="fr-LU"/>
        </w:rPr>
        <w:t>dans l</w:t>
      </w:r>
      <w:r w:rsidR="00025BAD" w:rsidRPr="00883D06">
        <w:rPr>
          <w:bCs/>
          <w:sz w:val="20"/>
          <w:szCs w:val="18"/>
          <w:lang w:val="fr-LU"/>
        </w:rPr>
        <w:t>’</w:t>
      </w:r>
      <w:r w:rsidR="00314338" w:rsidRPr="00883D06">
        <w:rPr>
          <w:bCs/>
          <w:sz w:val="20"/>
          <w:szCs w:val="18"/>
          <w:lang w:val="fr-LU"/>
        </w:rPr>
        <w:t>état de nature</w:t>
      </w:r>
      <w:r w:rsidR="00314338" w:rsidRPr="00883D06">
        <w:rPr>
          <w:sz w:val="20"/>
          <w:szCs w:val="18"/>
          <w:lang w:val="fr-LU"/>
        </w:rPr>
        <w:t>, et ne recommençant à sentir la nécessité du frein social que lorsqu</w:t>
      </w:r>
      <w:r w:rsidR="00025BAD" w:rsidRPr="00883D06">
        <w:rPr>
          <w:sz w:val="20"/>
          <w:szCs w:val="18"/>
          <w:lang w:val="fr-LU"/>
        </w:rPr>
        <w:t>’</w:t>
      </w:r>
      <w:r w:rsidR="00314338" w:rsidRPr="00883D06">
        <w:rPr>
          <w:sz w:val="20"/>
          <w:szCs w:val="18"/>
          <w:lang w:val="fr-LU"/>
        </w:rPr>
        <w:t>il porte le joug des nouveaux tyrans enfantés par la licence</w:t>
      </w:r>
      <w:r w:rsidR="00314338" w:rsidRPr="00883D06">
        <w:rPr>
          <w:rStyle w:val="Appelnotedebasdep"/>
          <w:sz w:val="20"/>
          <w:szCs w:val="18"/>
          <w:lang w:val="fr-LU"/>
        </w:rPr>
        <w:footnoteReference w:id="7"/>
      </w:r>
      <w:r w:rsidR="00314338" w:rsidRPr="00883D06">
        <w:rPr>
          <w:sz w:val="20"/>
          <w:szCs w:val="18"/>
          <w:lang w:val="fr-LU"/>
        </w:rPr>
        <w:t>.</w:t>
      </w:r>
    </w:p>
    <w:p w14:paraId="27A55899" w14:textId="4ECDCB59" w:rsidR="00EC264A" w:rsidRPr="00883D06" w:rsidRDefault="00CC48F3" w:rsidP="004016AD">
      <w:pPr>
        <w:spacing w:line="240" w:lineRule="auto"/>
        <w:rPr>
          <w:lang w:val="fr-LU"/>
        </w:rPr>
      </w:pPr>
      <w:r w:rsidRPr="00883D06">
        <w:rPr>
          <w:lang w:val="fr-LU"/>
        </w:rPr>
        <w:t>Cette</w:t>
      </w:r>
      <w:r w:rsidR="00E736AF" w:rsidRPr="00883D06">
        <w:rPr>
          <w:lang w:val="fr-LU"/>
        </w:rPr>
        <w:t xml:space="preserve"> licence</w:t>
      </w:r>
      <w:r w:rsidRPr="00883D06">
        <w:rPr>
          <w:lang w:val="fr-LU"/>
        </w:rPr>
        <w:t xml:space="preserve"> coupable semble ainsi le symptôme privilégié</w:t>
      </w:r>
      <w:r w:rsidR="0075649E" w:rsidRPr="00883D06">
        <w:rPr>
          <w:lang w:val="fr-LU"/>
        </w:rPr>
        <w:t xml:space="preserve"> de</w:t>
      </w:r>
      <w:r w:rsidR="00F4578C" w:rsidRPr="00883D06">
        <w:rPr>
          <w:lang w:val="fr-LU"/>
        </w:rPr>
        <w:t xml:space="preserve"> la rupture irrémédiable </w:t>
      </w:r>
      <w:r w:rsidR="008A0D9F" w:rsidRPr="00883D06">
        <w:rPr>
          <w:lang w:val="fr-LU"/>
        </w:rPr>
        <w:t>qu</w:t>
      </w:r>
      <w:r w:rsidR="00025BAD" w:rsidRPr="00883D06">
        <w:rPr>
          <w:lang w:val="fr-LU"/>
        </w:rPr>
        <w:t>’</w:t>
      </w:r>
      <w:r w:rsidR="008A0D9F" w:rsidRPr="00883D06">
        <w:rPr>
          <w:lang w:val="fr-LU"/>
        </w:rPr>
        <w:t xml:space="preserve">opère la Révolution </w:t>
      </w:r>
      <w:r w:rsidR="00F4578C" w:rsidRPr="00883D06">
        <w:rPr>
          <w:lang w:val="fr-LU"/>
        </w:rPr>
        <w:t>entre un passé</w:t>
      </w:r>
      <w:r w:rsidR="008A0D9F" w:rsidRPr="00883D06">
        <w:rPr>
          <w:lang w:val="fr-LU"/>
        </w:rPr>
        <w:t xml:space="preserve"> désormais</w:t>
      </w:r>
      <w:r w:rsidR="00F4578C" w:rsidRPr="00883D06">
        <w:rPr>
          <w:lang w:val="fr-LU"/>
        </w:rPr>
        <w:t xml:space="preserve"> hors </w:t>
      </w:r>
      <w:r w:rsidR="008A0D9F" w:rsidRPr="00883D06">
        <w:rPr>
          <w:lang w:val="fr-LU"/>
        </w:rPr>
        <w:t>d</w:t>
      </w:r>
      <w:r w:rsidR="00025BAD" w:rsidRPr="00883D06">
        <w:rPr>
          <w:lang w:val="fr-LU"/>
        </w:rPr>
        <w:t>’</w:t>
      </w:r>
      <w:r w:rsidR="008A0D9F" w:rsidRPr="00883D06">
        <w:rPr>
          <w:lang w:val="fr-LU"/>
        </w:rPr>
        <w:t>atteinte</w:t>
      </w:r>
      <w:r w:rsidR="00F4578C" w:rsidRPr="00883D06">
        <w:rPr>
          <w:lang w:val="fr-LU"/>
        </w:rPr>
        <w:t xml:space="preserve"> et un présent incertain</w:t>
      </w:r>
      <w:r w:rsidR="002B0F08" w:rsidRPr="00883D06">
        <w:rPr>
          <w:lang w:val="fr-LU"/>
        </w:rPr>
        <w:t> ;</w:t>
      </w:r>
      <w:r w:rsidR="00F4578C" w:rsidRPr="00883D06">
        <w:rPr>
          <w:lang w:val="fr-LU"/>
        </w:rPr>
        <w:t xml:space="preserve"> plus avant</w:t>
      </w:r>
      <w:r w:rsidR="00386868" w:rsidRPr="00883D06">
        <w:rPr>
          <w:lang w:val="fr-LU"/>
        </w:rPr>
        <w:t>,</w:t>
      </w:r>
      <w:r w:rsidR="002B0F08" w:rsidRPr="00883D06">
        <w:rPr>
          <w:lang w:val="fr-LU"/>
        </w:rPr>
        <w:t xml:space="preserve"> ce déchaînement des passions est révélateur</w:t>
      </w:r>
      <w:r w:rsidR="00F4578C" w:rsidRPr="00883D06">
        <w:rPr>
          <w:lang w:val="fr-LU"/>
        </w:rPr>
        <w:t xml:space="preserve"> de</w:t>
      </w:r>
      <w:r w:rsidR="0075649E" w:rsidRPr="00883D06">
        <w:rPr>
          <w:lang w:val="fr-LU"/>
        </w:rPr>
        <w:t xml:space="preserve"> la folie qui s</w:t>
      </w:r>
      <w:r w:rsidR="00025BAD" w:rsidRPr="00883D06">
        <w:rPr>
          <w:lang w:val="fr-LU"/>
        </w:rPr>
        <w:t>’</w:t>
      </w:r>
      <w:r w:rsidR="0075649E" w:rsidRPr="00883D06">
        <w:rPr>
          <w:lang w:val="fr-LU"/>
        </w:rPr>
        <w:t>empare</w:t>
      </w:r>
      <w:r w:rsidR="00F4578C" w:rsidRPr="00883D06">
        <w:rPr>
          <w:lang w:val="fr-LU"/>
        </w:rPr>
        <w:t xml:space="preserve"> alors</w:t>
      </w:r>
      <w:r w:rsidR="0075649E" w:rsidRPr="00883D06">
        <w:rPr>
          <w:lang w:val="fr-LU"/>
        </w:rPr>
        <w:t xml:space="preserve"> </w:t>
      </w:r>
      <w:r w:rsidR="00EC264A" w:rsidRPr="00883D06">
        <w:rPr>
          <w:lang w:val="fr-LU"/>
        </w:rPr>
        <w:t>de l</w:t>
      </w:r>
      <w:r w:rsidR="00025BAD" w:rsidRPr="00883D06">
        <w:rPr>
          <w:lang w:val="fr-LU"/>
        </w:rPr>
        <w:t>’</w:t>
      </w:r>
      <w:r w:rsidR="00EC264A" w:rsidRPr="00883D06">
        <w:rPr>
          <w:lang w:val="fr-LU"/>
        </w:rPr>
        <w:t>espace social</w:t>
      </w:r>
      <w:r w:rsidR="002B0F08" w:rsidRPr="00883D06">
        <w:rPr>
          <w:lang w:val="fr-LU"/>
        </w:rPr>
        <w:t xml:space="preserve"> et se traduit</w:t>
      </w:r>
      <w:r w:rsidR="00EC264A" w:rsidRPr="00883D06">
        <w:rPr>
          <w:lang w:val="fr-LU"/>
        </w:rPr>
        <w:t xml:space="preserve"> par </w:t>
      </w:r>
      <w:r w:rsidR="0075649E" w:rsidRPr="00883D06">
        <w:rPr>
          <w:lang w:val="fr-LU"/>
        </w:rPr>
        <w:t>un</w:t>
      </w:r>
      <w:r w:rsidR="00EC264A" w:rsidRPr="00883D06">
        <w:rPr>
          <w:lang w:val="fr-LU"/>
        </w:rPr>
        <w:t xml:space="preserve"> renversement </w:t>
      </w:r>
      <w:r w:rsidR="00F4578C" w:rsidRPr="00883D06">
        <w:rPr>
          <w:lang w:val="fr-LU"/>
        </w:rPr>
        <w:t>des positions sociales, des mœurs</w:t>
      </w:r>
      <w:r w:rsidR="00E43938" w:rsidRPr="00883D06">
        <w:rPr>
          <w:lang w:val="fr-LU"/>
        </w:rPr>
        <w:t xml:space="preserve"> et</w:t>
      </w:r>
      <w:r w:rsidR="00F4578C" w:rsidRPr="00883D06">
        <w:rPr>
          <w:lang w:val="fr-LU"/>
        </w:rPr>
        <w:t xml:space="preserve"> des valeurs </w:t>
      </w:r>
      <w:r w:rsidR="00EC264A" w:rsidRPr="00883D06">
        <w:rPr>
          <w:lang w:val="fr-LU"/>
        </w:rPr>
        <w:t>qui évoque</w:t>
      </w:r>
      <w:r w:rsidR="00F4578C" w:rsidRPr="00883D06">
        <w:rPr>
          <w:lang w:val="fr-LU"/>
        </w:rPr>
        <w:t xml:space="preserve"> résolument</w:t>
      </w:r>
      <w:r w:rsidR="00EC264A" w:rsidRPr="00883D06">
        <w:rPr>
          <w:lang w:val="fr-LU"/>
        </w:rPr>
        <w:t xml:space="preserve"> le carnavalesque </w:t>
      </w:r>
      <w:r w:rsidR="00B55DDD" w:rsidRPr="00883D06">
        <w:rPr>
          <w:lang w:val="fr-LU"/>
        </w:rPr>
        <w:t>théorisé</w:t>
      </w:r>
      <w:r w:rsidR="00EC264A" w:rsidRPr="00883D06">
        <w:rPr>
          <w:lang w:val="fr-LU"/>
        </w:rPr>
        <w:t xml:space="preserve"> par Bakhtine. </w:t>
      </w:r>
    </w:p>
    <w:p w14:paraId="5F5C2656" w14:textId="167A0FDB" w:rsidR="00E736AF" w:rsidRPr="00883D06" w:rsidRDefault="00EC264A" w:rsidP="004016AD">
      <w:pPr>
        <w:spacing w:line="240" w:lineRule="auto"/>
        <w:ind w:firstLine="708"/>
        <w:rPr>
          <w:lang w:val="fr-LU"/>
        </w:rPr>
      </w:pPr>
      <w:r w:rsidRPr="00883D06">
        <w:rPr>
          <w:lang w:val="fr-LU"/>
        </w:rPr>
        <w:t xml:space="preserve">Ces </w:t>
      </w:r>
      <w:r w:rsidR="00E736AF" w:rsidRPr="00883D06">
        <w:rPr>
          <w:lang w:val="fr-LU"/>
        </w:rPr>
        <w:t>« libertés des nouvelles mœurs</w:t>
      </w:r>
      <w:r w:rsidR="00E736AF" w:rsidRPr="00883D06">
        <w:rPr>
          <w:rStyle w:val="Appelnotedebasdep"/>
          <w:lang w:val="fr-LU"/>
        </w:rPr>
        <w:footnoteReference w:id="8"/>
      </w:r>
      <w:r w:rsidR="00E736AF" w:rsidRPr="00883D06">
        <w:rPr>
          <w:lang w:val="fr-LU"/>
        </w:rPr>
        <w:t> »</w:t>
      </w:r>
      <w:r w:rsidR="00AA04BC" w:rsidRPr="00883D06">
        <w:rPr>
          <w:lang w:val="fr-LU"/>
        </w:rPr>
        <w:t xml:space="preserve"> </w:t>
      </w:r>
      <w:r w:rsidRPr="00883D06">
        <w:rPr>
          <w:lang w:val="fr-LU"/>
        </w:rPr>
        <w:t>font</w:t>
      </w:r>
      <w:r w:rsidR="0037659F" w:rsidRPr="00883D06">
        <w:rPr>
          <w:lang w:val="fr-LU"/>
        </w:rPr>
        <w:t xml:space="preserve"> ainsi</w:t>
      </w:r>
      <w:r w:rsidR="008A0D9F" w:rsidRPr="00883D06">
        <w:rPr>
          <w:lang w:val="fr-LU"/>
        </w:rPr>
        <w:t xml:space="preserve"> </w:t>
      </w:r>
      <w:r w:rsidRPr="00883D06">
        <w:rPr>
          <w:lang w:val="fr-LU"/>
        </w:rPr>
        <w:t>la part belle aux travestissements et aux transgressions de tout ordre :</w:t>
      </w:r>
    </w:p>
    <w:p w14:paraId="55DDF0E2" w14:textId="484E1C09" w:rsidR="00EC264A" w:rsidRPr="00883D06" w:rsidRDefault="00844784" w:rsidP="00493B16">
      <w:pPr>
        <w:spacing w:line="240" w:lineRule="auto"/>
        <w:ind w:left="567"/>
        <w:rPr>
          <w:sz w:val="20"/>
          <w:szCs w:val="18"/>
          <w:lang w:val="fr-LU"/>
        </w:rPr>
      </w:pPr>
      <w:r w:rsidRPr="00883D06">
        <w:rPr>
          <w:sz w:val="20"/>
          <w:szCs w:val="18"/>
          <w:lang w:val="fr-LU"/>
        </w:rPr>
        <w:t>Chez M. Necker, chez M. le comte de Montmorin, chez les divers ministres, se rencontraient (avec madame de Staël, la duchesse d</w:t>
      </w:r>
      <w:r w:rsidR="00025BAD" w:rsidRPr="00883D06">
        <w:rPr>
          <w:sz w:val="20"/>
          <w:szCs w:val="18"/>
          <w:lang w:val="fr-LU"/>
        </w:rPr>
        <w:t>’</w:t>
      </w:r>
      <w:r w:rsidRPr="00883D06">
        <w:rPr>
          <w:sz w:val="20"/>
          <w:szCs w:val="18"/>
          <w:lang w:val="fr-LU"/>
        </w:rPr>
        <w:t>Aiguillon, mesdames de Beaumont et de Sérilly), toutes les nouvelles illustrations de la France, et toutes les libertés des nouvelles mœurs. […] le moine, qui le vendredi traînait sa robe noire ou blanche, portait le dimanche le chapeau rond et l</w:t>
      </w:r>
      <w:r w:rsidR="00025BAD" w:rsidRPr="00883D06">
        <w:rPr>
          <w:sz w:val="20"/>
          <w:szCs w:val="18"/>
          <w:lang w:val="fr-LU"/>
        </w:rPr>
        <w:t>’</w:t>
      </w:r>
      <w:r w:rsidRPr="00883D06">
        <w:rPr>
          <w:sz w:val="20"/>
          <w:szCs w:val="18"/>
          <w:lang w:val="fr-LU"/>
        </w:rPr>
        <w:t>habit bourgeois ; le capucin, rasé, lisait le journal à la guinguette, et dans un cercle de femmes folles paraissait une religieuse gravement assise : c</w:t>
      </w:r>
      <w:r w:rsidR="00025BAD" w:rsidRPr="00883D06">
        <w:rPr>
          <w:sz w:val="20"/>
          <w:szCs w:val="18"/>
          <w:lang w:val="fr-LU"/>
        </w:rPr>
        <w:t>’</w:t>
      </w:r>
      <w:r w:rsidRPr="00883D06">
        <w:rPr>
          <w:sz w:val="20"/>
          <w:szCs w:val="18"/>
          <w:lang w:val="fr-LU"/>
        </w:rPr>
        <w:t>était une tante ou une sœur mise à la porte de son monastère</w:t>
      </w:r>
      <w:r w:rsidR="007F50AB" w:rsidRPr="00883D06">
        <w:rPr>
          <w:rStyle w:val="Appelnotedebasdep"/>
          <w:sz w:val="20"/>
          <w:szCs w:val="18"/>
          <w:lang w:val="fr-LU"/>
        </w:rPr>
        <w:footnoteReference w:id="9"/>
      </w:r>
      <w:r w:rsidRPr="00883D06">
        <w:rPr>
          <w:sz w:val="20"/>
          <w:szCs w:val="18"/>
          <w:lang w:val="fr-LU"/>
        </w:rPr>
        <w:t>.</w:t>
      </w:r>
    </w:p>
    <w:p w14:paraId="77EDA881" w14:textId="5DD5AE12" w:rsidR="00844784" w:rsidRPr="00883D06" w:rsidRDefault="00844784" w:rsidP="004016AD">
      <w:pPr>
        <w:spacing w:line="240" w:lineRule="auto"/>
        <w:rPr>
          <w:lang w:val="fr-LU"/>
        </w:rPr>
      </w:pPr>
      <w:r w:rsidRPr="00883D06">
        <w:rPr>
          <w:lang w:val="fr-LU"/>
        </w:rPr>
        <w:t>L</w:t>
      </w:r>
      <w:r w:rsidR="007F50AB" w:rsidRPr="00883D06">
        <w:rPr>
          <w:lang w:val="fr-LU"/>
        </w:rPr>
        <w:t>e motif de la folie</w:t>
      </w:r>
      <w:r w:rsidR="00055D97" w:rsidRPr="00883D06">
        <w:rPr>
          <w:lang w:val="fr-LU"/>
        </w:rPr>
        <w:t xml:space="preserve">, </w:t>
      </w:r>
      <w:r w:rsidR="00AA04BC" w:rsidRPr="00883D06">
        <w:rPr>
          <w:lang w:val="fr-LU"/>
        </w:rPr>
        <w:t>convoqué à travers</w:t>
      </w:r>
      <w:r w:rsidR="00055D97" w:rsidRPr="00883D06">
        <w:rPr>
          <w:lang w:val="fr-LU"/>
        </w:rPr>
        <w:t xml:space="preserve"> ce cercle de femmes folles parmi lesquelles se trouve une religieuse chassée de son couvent, parcourt en filigrane cette description de l</w:t>
      </w:r>
      <w:r w:rsidR="00025BAD" w:rsidRPr="00883D06">
        <w:rPr>
          <w:lang w:val="fr-LU"/>
        </w:rPr>
        <w:t>’</w:t>
      </w:r>
      <w:r w:rsidR="00055D97" w:rsidRPr="00883D06">
        <w:rPr>
          <w:lang w:val="fr-LU"/>
        </w:rPr>
        <w:t xml:space="preserve">entremêlement </w:t>
      </w:r>
      <w:r w:rsidR="00B42F0E" w:rsidRPr="00883D06">
        <w:rPr>
          <w:lang w:val="fr-LU"/>
        </w:rPr>
        <w:t xml:space="preserve">carnavalesque </w:t>
      </w:r>
      <w:r w:rsidR="00055D97" w:rsidRPr="00883D06">
        <w:rPr>
          <w:lang w:val="fr-LU"/>
        </w:rPr>
        <w:t xml:space="preserve">de classes sociales qui supposément ne se seraient pas </w:t>
      </w:r>
      <w:r w:rsidR="008A0D9F" w:rsidRPr="00883D06">
        <w:rPr>
          <w:lang w:val="fr-LU"/>
        </w:rPr>
        <w:t>côtoyées</w:t>
      </w:r>
      <w:r w:rsidR="00055D97" w:rsidRPr="00883D06">
        <w:rPr>
          <w:lang w:val="fr-LU"/>
        </w:rPr>
        <w:t xml:space="preserve"> sous l</w:t>
      </w:r>
      <w:r w:rsidR="00025BAD" w:rsidRPr="00883D06">
        <w:rPr>
          <w:lang w:val="fr-LU"/>
        </w:rPr>
        <w:t>’</w:t>
      </w:r>
      <w:r w:rsidR="00055D97" w:rsidRPr="00883D06">
        <w:rPr>
          <w:lang w:val="fr-LU"/>
        </w:rPr>
        <w:t xml:space="preserve">Ancien </w:t>
      </w:r>
      <w:r w:rsidR="008A0D9F" w:rsidRPr="00883D06">
        <w:rPr>
          <w:lang w:val="fr-LU"/>
        </w:rPr>
        <w:t>R</w:t>
      </w:r>
      <w:r w:rsidR="00055D97" w:rsidRPr="00883D06">
        <w:rPr>
          <w:lang w:val="fr-LU"/>
        </w:rPr>
        <w:t>égime</w:t>
      </w:r>
      <w:r w:rsidR="00AA04BC" w:rsidRPr="00883D06">
        <w:rPr>
          <w:lang w:val="fr-LU"/>
        </w:rPr>
        <w:t>, et qu</w:t>
      </w:r>
      <w:r w:rsidR="00025BAD" w:rsidRPr="00883D06">
        <w:rPr>
          <w:lang w:val="fr-LU"/>
        </w:rPr>
        <w:t>’</w:t>
      </w:r>
      <w:r w:rsidR="00AA04BC" w:rsidRPr="00883D06">
        <w:rPr>
          <w:lang w:val="fr-LU"/>
        </w:rPr>
        <w:t>illustre cette porosité nouvelle entre le séculier et le religieux</w:t>
      </w:r>
      <w:r w:rsidR="008A0D9F" w:rsidRPr="00883D06">
        <w:rPr>
          <w:lang w:val="fr-LU"/>
        </w:rPr>
        <w:t>. Ces</w:t>
      </w:r>
      <w:r w:rsidR="00055D97" w:rsidRPr="00883D06">
        <w:rPr>
          <w:lang w:val="fr-LU"/>
        </w:rPr>
        <w:t xml:space="preserve"> mœurs nouvelles</w:t>
      </w:r>
      <w:r w:rsidR="008A0D9F" w:rsidRPr="00883D06">
        <w:rPr>
          <w:lang w:val="fr-LU"/>
        </w:rPr>
        <w:t xml:space="preserve"> dont 1789 consacre l</w:t>
      </w:r>
      <w:r w:rsidR="00025BAD" w:rsidRPr="00883D06">
        <w:rPr>
          <w:lang w:val="fr-LU"/>
        </w:rPr>
        <w:t>’</w:t>
      </w:r>
      <w:r w:rsidR="008A0D9F" w:rsidRPr="00883D06">
        <w:rPr>
          <w:lang w:val="fr-LU"/>
        </w:rPr>
        <w:t>irruption</w:t>
      </w:r>
      <w:r w:rsidR="00055D97" w:rsidRPr="00883D06">
        <w:rPr>
          <w:lang w:val="fr-LU"/>
        </w:rPr>
        <w:t xml:space="preserve"> </w:t>
      </w:r>
      <w:r w:rsidR="008A0D9F" w:rsidRPr="00883D06">
        <w:rPr>
          <w:lang w:val="fr-LU"/>
        </w:rPr>
        <w:t xml:space="preserve">font </w:t>
      </w:r>
      <w:r w:rsidR="00613026" w:rsidRPr="00883D06">
        <w:rPr>
          <w:lang w:val="fr-LU"/>
        </w:rPr>
        <w:t xml:space="preserve">ainsi </w:t>
      </w:r>
      <w:r w:rsidR="008A0D9F" w:rsidRPr="00883D06">
        <w:rPr>
          <w:lang w:val="fr-LU"/>
        </w:rPr>
        <w:t>des</w:t>
      </w:r>
      <w:r w:rsidR="00055D97" w:rsidRPr="00883D06">
        <w:rPr>
          <w:lang w:val="fr-LU"/>
        </w:rPr>
        <w:t xml:space="preserve"> couvents les vestiges d</w:t>
      </w:r>
      <w:r w:rsidR="00025BAD" w:rsidRPr="00883D06">
        <w:rPr>
          <w:lang w:val="fr-LU"/>
        </w:rPr>
        <w:t>’</w:t>
      </w:r>
      <w:r w:rsidR="00055D97" w:rsidRPr="00883D06">
        <w:rPr>
          <w:lang w:val="fr-LU"/>
        </w:rPr>
        <w:t>une « société croulante »,</w:t>
      </w:r>
      <w:r w:rsidR="00DB7452" w:rsidRPr="00883D06">
        <w:rPr>
          <w:lang w:val="fr-LU"/>
        </w:rPr>
        <w:t xml:space="preserve"> ruines</w:t>
      </w:r>
      <w:r w:rsidR="00055D97" w:rsidRPr="00883D06">
        <w:rPr>
          <w:lang w:val="fr-LU"/>
        </w:rPr>
        <w:t xml:space="preserve"> que l</w:t>
      </w:r>
      <w:r w:rsidR="00025BAD" w:rsidRPr="00883D06">
        <w:rPr>
          <w:lang w:val="fr-LU"/>
        </w:rPr>
        <w:t>’</w:t>
      </w:r>
      <w:r w:rsidR="00055D97" w:rsidRPr="00883D06">
        <w:rPr>
          <w:lang w:val="fr-LU"/>
        </w:rPr>
        <w:t>on visite</w:t>
      </w:r>
      <w:r w:rsidR="0035037D" w:rsidRPr="00883D06">
        <w:rPr>
          <w:lang w:val="fr-LU"/>
        </w:rPr>
        <w:t xml:space="preserve"> comme </w:t>
      </w:r>
      <w:r w:rsidR="00DB7452" w:rsidRPr="00883D06">
        <w:rPr>
          <w:lang w:val="fr-LU"/>
        </w:rPr>
        <w:t>celles</w:t>
      </w:r>
      <w:r w:rsidR="0035037D" w:rsidRPr="00883D06">
        <w:rPr>
          <w:lang w:val="fr-LU"/>
        </w:rPr>
        <w:t xml:space="preserve"> des civilisations qui ne sont plus : « La foule visitait ces couvents ouverts au monde, comme les voyageurs parcourent, à Grenade, les salles abandonnées de l</w:t>
      </w:r>
      <w:r w:rsidR="00025BAD" w:rsidRPr="00883D06">
        <w:rPr>
          <w:lang w:val="fr-LU"/>
        </w:rPr>
        <w:t>’</w:t>
      </w:r>
      <w:r w:rsidR="0035037D" w:rsidRPr="00883D06">
        <w:rPr>
          <w:lang w:val="fr-LU"/>
        </w:rPr>
        <w:t>Alhambra, ou comme ils s</w:t>
      </w:r>
      <w:r w:rsidR="00025BAD" w:rsidRPr="00883D06">
        <w:rPr>
          <w:lang w:val="fr-LU"/>
        </w:rPr>
        <w:t>’</w:t>
      </w:r>
      <w:r w:rsidR="0035037D" w:rsidRPr="00883D06">
        <w:rPr>
          <w:lang w:val="fr-LU"/>
        </w:rPr>
        <w:t xml:space="preserve">arrêtent, à </w:t>
      </w:r>
      <w:proofErr w:type="spellStart"/>
      <w:r w:rsidR="0035037D" w:rsidRPr="00883D06">
        <w:rPr>
          <w:lang w:val="fr-LU"/>
        </w:rPr>
        <w:t>Tilbur</w:t>
      </w:r>
      <w:proofErr w:type="spellEnd"/>
      <w:r w:rsidR="0035037D" w:rsidRPr="00883D06">
        <w:rPr>
          <w:lang w:val="fr-LU"/>
        </w:rPr>
        <w:t>, sous les colonnes du temple de la Sibylle</w:t>
      </w:r>
      <w:r w:rsidR="0035037D" w:rsidRPr="00883D06">
        <w:rPr>
          <w:rStyle w:val="Appelnotedebasdep"/>
          <w:lang w:val="fr-LU"/>
        </w:rPr>
        <w:footnoteReference w:id="10"/>
      </w:r>
      <w:r w:rsidR="0035037D" w:rsidRPr="00883D06">
        <w:rPr>
          <w:lang w:val="fr-LU"/>
        </w:rPr>
        <w:t>. »</w:t>
      </w:r>
    </w:p>
    <w:p w14:paraId="41312747" w14:textId="5668AAE7" w:rsidR="00A4373E" w:rsidRPr="00883D06" w:rsidRDefault="00D3184C" w:rsidP="004016AD">
      <w:pPr>
        <w:spacing w:line="240" w:lineRule="auto"/>
        <w:ind w:firstLine="708"/>
        <w:rPr>
          <w:lang w:val="fr-LU"/>
        </w:rPr>
      </w:pPr>
      <w:r w:rsidRPr="00883D06">
        <w:rPr>
          <w:lang w:val="fr-LU"/>
        </w:rPr>
        <w:t>C</w:t>
      </w:r>
      <w:r w:rsidR="00025BAD" w:rsidRPr="00883D06">
        <w:rPr>
          <w:lang w:val="fr-LU"/>
        </w:rPr>
        <w:t>’</w:t>
      </w:r>
      <w:r w:rsidRPr="00883D06">
        <w:rPr>
          <w:lang w:val="fr-LU"/>
        </w:rPr>
        <w:t xml:space="preserve">est bien pour </w:t>
      </w:r>
      <w:r w:rsidR="00B55E11" w:rsidRPr="00883D06">
        <w:rPr>
          <w:lang w:val="fr-LU"/>
        </w:rPr>
        <w:t>se prémunir de</w:t>
      </w:r>
      <w:r w:rsidR="00E736AF" w:rsidRPr="00883D06">
        <w:rPr>
          <w:lang w:val="fr-LU"/>
        </w:rPr>
        <w:t xml:space="preserve"> </w:t>
      </w:r>
      <w:r w:rsidR="003A49A5" w:rsidRPr="00883D06">
        <w:rPr>
          <w:lang w:val="fr-LU"/>
        </w:rPr>
        <w:t>c</w:t>
      </w:r>
      <w:r w:rsidR="00E736AF" w:rsidRPr="00883D06">
        <w:rPr>
          <w:lang w:val="fr-LU"/>
        </w:rPr>
        <w:t>e</w:t>
      </w:r>
      <w:r w:rsidR="003A49A5" w:rsidRPr="00883D06">
        <w:rPr>
          <w:lang w:val="fr-LU"/>
        </w:rPr>
        <w:t>tte folie,</w:t>
      </w:r>
      <w:r w:rsidR="003C040E" w:rsidRPr="00883D06">
        <w:rPr>
          <w:lang w:val="fr-LU"/>
        </w:rPr>
        <w:t xml:space="preserve"> de</w:t>
      </w:r>
      <w:r w:rsidR="003A49A5" w:rsidRPr="00883D06">
        <w:rPr>
          <w:lang w:val="fr-LU"/>
        </w:rPr>
        <w:t xml:space="preserve"> ce désordre tout carnavalesques</w:t>
      </w:r>
      <w:r w:rsidR="00E736AF" w:rsidRPr="00883D06">
        <w:rPr>
          <w:lang w:val="fr-LU"/>
        </w:rPr>
        <w:t xml:space="preserve"> </w:t>
      </w:r>
      <w:r w:rsidRPr="00883D06">
        <w:rPr>
          <w:lang w:val="fr-LU"/>
        </w:rPr>
        <w:t xml:space="preserve">qui </w:t>
      </w:r>
      <w:r w:rsidR="00477F2D" w:rsidRPr="00883D06">
        <w:rPr>
          <w:lang w:val="fr-LU"/>
        </w:rPr>
        <w:t>« ont écrasé tant de générations avec tant de bruit</w:t>
      </w:r>
      <w:r w:rsidR="00477F2D" w:rsidRPr="00883D06">
        <w:rPr>
          <w:rStyle w:val="Appelnotedebasdep"/>
          <w:lang w:val="fr-LU"/>
        </w:rPr>
        <w:footnoteReference w:id="11"/>
      </w:r>
      <w:r w:rsidR="00477F2D" w:rsidRPr="00883D06">
        <w:rPr>
          <w:lang w:val="fr-LU"/>
        </w:rPr>
        <w:t> »,</w:t>
      </w:r>
      <w:r w:rsidRPr="00883D06">
        <w:rPr>
          <w:lang w:val="fr-LU"/>
        </w:rPr>
        <w:t xml:space="preserve"> que Chateaubriand </w:t>
      </w:r>
      <w:r w:rsidR="003C040E" w:rsidRPr="00883D06">
        <w:rPr>
          <w:lang w:val="fr-LU"/>
        </w:rPr>
        <w:t>investit le</w:t>
      </w:r>
      <w:r w:rsidRPr="00883D06">
        <w:rPr>
          <w:lang w:val="fr-LU"/>
        </w:rPr>
        <w:t xml:space="preserve"> théâtre</w:t>
      </w:r>
      <w:r w:rsidR="003C040E" w:rsidRPr="00883D06">
        <w:rPr>
          <w:lang w:val="fr-LU"/>
        </w:rPr>
        <w:t> </w:t>
      </w:r>
      <w:r w:rsidR="00A4373E" w:rsidRPr="00883D06">
        <w:rPr>
          <w:lang w:val="fr-LU"/>
        </w:rPr>
        <w:t>: « </w:t>
      </w:r>
      <w:r w:rsidR="00947EA6" w:rsidRPr="00883D06">
        <w:rPr>
          <w:lang w:val="fr-LU"/>
        </w:rPr>
        <w:t>Pour retrouver le désert, je me réfugiais au théâtre : je m</w:t>
      </w:r>
      <w:r w:rsidR="00025BAD" w:rsidRPr="00883D06">
        <w:rPr>
          <w:lang w:val="fr-LU"/>
        </w:rPr>
        <w:t>’</w:t>
      </w:r>
      <w:r w:rsidR="00947EA6" w:rsidRPr="00883D06">
        <w:rPr>
          <w:lang w:val="fr-LU"/>
        </w:rPr>
        <w:t>établissais au fond d</w:t>
      </w:r>
      <w:r w:rsidR="00025BAD" w:rsidRPr="00883D06">
        <w:rPr>
          <w:lang w:val="fr-LU"/>
        </w:rPr>
        <w:t>’</w:t>
      </w:r>
      <w:r w:rsidR="00947EA6" w:rsidRPr="00883D06">
        <w:rPr>
          <w:lang w:val="fr-LU"/>
        </w:rPr>
        <w:t>une loge et laissais errer ma pensée aux vers de Racine, à la musique de Sacchini ou aux danses de l</w:t>
      </w:r>
      <w:r w:rsidR="00025BAD" w:rsidRPr="00883D06">
        <w:rPr>
          <w:lang w:val="fr-LU"/>
        </w:rPr>
        <w:t>’</w:t>
      </w:r>
      <w:r w:rsidR="00947EA6" w:rsidRPr="00883D06">
        <w:rPr>
          <w:lang w:val="fr-LU"/>
        </w:rPr>
        <w:t>Opéra</w:t>
      </w:r>
      <w:r w:rsidR="00947EA6" w:rsidRPr="00883D06">
        <w:rPr>
          <w:rStyle w:val="Appelnotedebasdep"/>
          <w:lang w:val="fr-LU"/>
        </w:rPr>
        <w:footnoteReference w:id="12"/>
      </w:r>
      <w:r w:rsidR="00947EA6" w:rsidRPr="00883D06">
        <w:rPr>
          <w:lang w:val="fr-LU"/>
        </w:rPr>
        <w:t>. » Refuge contre la foule, le théâtre offre également un abri face à l</w:t>
      </w:r>
      <w:r w:rsidR="00025BAD" w:rsidRPr="00883D06">
        <w:rPr>
          <w:lang w:val="fr-LU"/>
        </w:rPr>
        <w:t>’</w:t>
      </w:r>
      <w:r w:rsidR="00947EA6" w:rsidRPr="00883D06">
        <w:rPr>
          <w:lang w:val="fr-LU"/>
        </w:rPr>
        <w:t>écroulement de la monarchie</w:t>
      </w:r>
      <w:r w:rsidR="0039265D" w:rsidRPr="00883D06">
        <w:rPr>
          <w:lang w:val="fr-LU"/>
        </w:rPr>
        <w:t>, qui est aussi celui de tout un monde</w:t>
      </w:r>
      <w:r w:rsidR="00947EA6" w:rsidRPr="00883D06">
        <w:rPr>
          <w:lang w:val="fr-LU"/>
        </w:rPr>
        <w:t> :</w:t>
      </w:r>
    </w:p>
    <w:p w14:paraId="18ACE8A8" w14:textId="10A160B4" w:rsidR="00947EA6" w:rsidRPr="00883D06" w:rsidRDefault="00B607F1" w:rsidP="00493B16">
      <w:pPr>
        <w:spacing w:line="240" w:lineRule="auto"/>
        <w:ind w:left="567"/>
        <w:rPr>
          <w:i/>
          <w:iCs/>
          <w:sz w:val="20"/>
          <w:szCs w:val="18"/>
          <w:lang w:val="fr-LU"/>
        </w:rPr>
      </w:pPr>
      <w:r w:rsidRPr="00883D06">
        <w:rPr>
          <w:sz w:val="20"/>
          <w:szCs w:val="18"/>
          <w:lang w:val="fr-LU"/>
        </w:rPr>
        <w:t xml:space="preserve">[…] </w:t>
      </w:r>
      <w:r w:rsidR="00947EA6" w:rsidRPr="00883D06">
        <w:rPr>
          <w:sz w:val="20"/>
          <w:szCs w:val="18"/>
          <w:lang w:val="fr-LU"/>
        </w:rPr>
        <w:t>tandis que la monarchie tombait, je n</w:t>
      </w:r>
      <w:r w:rsidR="00025BAD" w:rsidRPr="00883D06">
        <w:rPr>
          <w:sz w:val="20"/>
          <w:szCs w:val="18"/>
          <w:lang w:val="fr-LU"/>
        </w:rPr>
        <w:t>’</w:t>
      </w:r>
      <w:r w:rsidR="00947EA6" w:rsidRPr="00883D06">
        <w:rPr>
          <w:sz w:val="20"/>
          <w:szCs w:val="18"/>
          <w:lang w:val="fr-LU"/>
        </w:rPr>
        <w:t xml:space="preserve">entendais ni le craquement des voûtes séculaires, ni les miaulements du vaudeville, ni la voix tonnante de Mirabeau à la tribune, ni celle de Colin qui chantait à Babet sur le théâtre : </w:t>
      </w:r>
      <w:r w:rsidR="00947EA6" w:rsidRPr="00883D06">
        <w:rPr>
          <w:i/>
          <w:iCs/>
          <w:sz w:val="20"/>
          <w:szCs w:val="18"/>
          <w:lang w:val="fr-LU"/>
        </w:rPr>
        <w:t>Qu</w:t>
      </w:r>
      <w:r w:rsidR="00025BAD" w:rsidRPr="00883D06">
        <w:rPr>
          <w:i/>
          <w:iCs/>
          <w:sz w:val="20"/>
          <w:szCs w:val="18"/>
          <w:lang w:val="fr-LU"/>
        </w:rPr>
        <w:t>’</w:t>
      </w:r>
      <w:r w:rsidR="00947EA6" w:rsidRPr="00883D06">
        <w:rPr>
          <w:i/>
          <w:iCs/>
          <w:sz w:val="20"/>
          <w:szCs w:val="18"/>
          <w:lang w:val="fr-LU"/>
        </w:rPr>
        <w:t>il pleuve, qu</w:t>
      </w:r>
      <w:r w:rsidR="00025BAD" w:rsidRPr="00883D06">
        <w:rPr>
          <w:i/>
          <w:iCs/>
          <w:sz w:val="20"/>
          <w:szCs w:val="18"/>
          <w:lang w:val="fr-LU"/>
        </w:rPr>
        <w:t>’</w:t>
      </w:r>
      <w:r w:rsidR="00947EA6" w:rsidRPr="00883D06">
        <w:rPr>
          <w:i/>
          <w:iCs/>
          <w:sz w:val="20"/>
          <w:szCs w:val="18"/>
          <w:lang w:val="fr-LU"/>
        </w:rPr>
        <w:t>il vente ou qu</w:t>
      </w:r>
      <w:r w:rsidR="00025BAD" w:rsidRPr="00883D06">
        <w:rPr>
          <w:i/>
          <w:iCs/>
          <w:sz w:val="20"/>
          <w:szCs w:val="18"/>
          <w:lang w:val="fr-LU"/>
        </w:rPr>
        <w:t>’</w:t>
      </w:r>
      <w:r w:rsidR="00947EA6" w:rsidRPr="00883D06">
        <w:rPr>
          <w:i/>
          <w:iCs/>
          <w:sz w:val="20"/>
          <w:szCs w:val="18"/>
          <w:lang w:val="fr-LU"/>
        </w:rPr>
        <w:t>il neige,/ Quand la nuit est longue, on l</w:t>
      </w:r>
      <w:r w:rsidR="00025BAD" w:rsidRPr="00883D06">
        <w:rPr>
          <w:i/>
          <w:iCs/>
          <w:sz w:val="20"/>
          <w:szCs w:val="18"/>
          <w:lang w:val="fr-LU"/>
        </w:rPr>
        <w:t>’</w:t>
      </w:r>
      <w:r w:rsidR="00947EA6" w:rsidRPr="00883D06">
        <w:rPr>
          <w:i/>
          <w:iCs/>
          <w:sz w:val="20"/>
          <w:szCs w:val="18"/>
          <w:lang w:val="fr-LU"/>
        </w:rPr>
        <w:t>abrège</w:t>
      </w:r>
      <w:r w:rsidR="00245906" w:rsidRPr="00883D06">
        <w:rPr>
          <w:rStyle w:val="Appelnotedebasdep"/>
          <w:sz w:val="20"/>
          <w:szCs w:val="18"/>
          <w:lang w:val="fr-LU"/>
        </w:rPr>
        <w:footnoteReference w:id="13"/>
      </w:r>
      <w:r w:rsidR="00947EA6" w:rsidRPr="00883D06">
        <w:rPr>
          <w:i/>
          <w:iCs/>
          <w:sz w:val="20"/>
          <w:szCs w:val="18"/>
          <w:lang w:val="fr-LU"/>
        </w:rPr>
        <w:t>.</w:t>
      </w:r>
    </w:p>
    <w:p w14:paraId="03FFDF9F" w14:textId="644A584C" w:rsidR="00E736AF" w:rsidRDefault="00A4373E" w:rsidP="004016AD">
      <w:pPr>
        <w:spacing w:line="240" w:lineRule="auto"/>
        <w:ind w:firstLine="708"/>
        <w:rPr>
          <w:lang w:val="fr-LU"/>
        </w:rPr>
      </w:pPr>
      <w:r w:rsidRPr="00883D06">
        <w:rPr>
          <w:lang w:val="fr-LU"/>
        </w:rPr>
        <w:t>Or</w:t>
      </w:r>
      <w:r w:rsidR="00EA2553" w:rsidRPr="00883D06">
        <w:rPr>
          <w:lang w:val="fr-LU"/>
        </w:rPr>
        <w:t xml:space="preserve"> c</w:t>
      </w:r>
      <w:r w:rsidR="00025BAD" w:rsidRPr="00883D06">
        <w:rPr>
          <w:lang w:val="fr-LU"/>
        </w:rPr>
        <w:t>’</w:t>
      </w:r>
      <w:r w:rsidR="00EA2553" w:rsidRPr="00883D06">
        <w:rPr>
          <w:lang w:val="fr-LU"/>
        </w:rPr>
        <w:t xml:space="preserve">est précisément dans la production dramatique du temps que la </w:t>
      </w:r>
      <w:r w:rsidRPr="00883D06">
        <w:rPr>
          <w:lang w:val="fr-LU"/>
        </w:rPr>
        <w:t xml:space="preserve">folie et </w:t>
      </w:r>
      <w:r w:rsidR="00EA2553" w:rsidRPr="00883D06">
        <w:rPr>
          <w:lang w:val="fr-LU"/>
        </w:rPr>
        <w:t xml:space="preserve">le </w:t>
      </w:r>
      <w:r w:rsidRPr="00883D06">
        <w:rPr>
          <w:lang w:val="fr-LU"/>
        </w:rPr>
        <w:t xml:space="preserve">désordre </w:t>
      </w:r>
      <w:r w:rsidR="00EA2553" w:rsidRPr="00883D06">
        <w:rPr>
          <w:lang w:val="fr-LU"/>
        </w:rPr>
        <w:t>que Chateaubriand tente de fuir devaient trouver</w:t>
      </w:r>
      <w:r w:rsidR="00B607F1" w:rsidRPr="00883D06">
        <w:rPr>
          <w:lang w:val="fr-LU"/>
        </w:rPr>
        <w:t>, par une ironie propre à ces temps troublés,</w:t>
      </w:r>
      <w:r w:rsidR="003A49A5" w:rsidRPr="00883D06">
        <w:rPr>
          <w:lang w:val="fr-LU"/>
        </w:rPr>
        <w:t xml:space="preserve"> leur expression</w:t>
      </w:r>
      <w:r w:rsidR="00250BA4" w:rsidRPr="00883D06">
        <w:rPr>
          <w:lang w:val="fr-LU"/>
        </w:rPr>
        <w:t xml:space="preserve"> privilégiée.</w:t>
      </w:r>
    </w:p>
    <w:p w14:paraId="132A5AC4" w14:textId="5AE8CE0B" w:rsidR="00442E34" w:rsidRDefault="00442E34" w:rsidP="004016AD">
      <w:pPr>
        <w:spacing w:line="240" w:lineRule="auto"/>
        <w:ind w:firstLine="708"/>
        <w:rPr>
          <w:lang w:val="fr-LU"/>
        </w:rPr>
      </w:pPr>
    </w:p>
    <w:p w14:paraId="303568B8" w14:textId="77777777" w:rsidR="00442E34" w:rsidRPr="00883D06" w:rsidRDefault="00442E34" w:rsidP="004016AD">
      <w:pPr>
        <w:spacing w:line="240" w:lineRule="auto"/>
        <w:ind w:firstLine="708"/>
        <w:rPr>
          <w:lang w:val="fr-LU"/>
        </w:rPr>
      </w:pPr>
    </w:p>
    <w:p w14:paraId="48B28638" w14:textId="1F2E395C" w:rsidR="00BB6E43" w:rsidRPr="00883D06" w:rsidRDefault="004016AD" w:rsidP="004016AD">
      <w:pPr>
        <w:spacing w:line="240" w:lineRule="auto"/>
        <w:jc w:val="center"/>
        <w:rPr>
          <w:lang w:val="fr-LU"/>
        </w:rPr>
      </w:pPr>
      <w:r w:rsidRPr="00883D06">
        <w:rPr>
          <w:lang w:val="fr-LU"/>
        </w:rPr>
        <w:lastRenderedPageBreak/>
        <w:t>LE THÉÂTRE, REFLET ET CATALYSEUR DE LA FOLIE DE L’ÈRE RÉVOLUTIONNAIRE</w:t>
      </w:r>
    </w:p>
    <w:p w14:paraId="03D3E811" w14:textId="1F6C491E" w:rsidR="00AB495E" w:rsidRPr="00883D06" w:rsidRDefault="0066061A" w:rsidP="004016AD">
      <w:pPr>
        <w:spacing w:line="240" w:lineRule="auto"/>
        <w:ind w:firstLine="708"/>
        <w:rPr>
          <w:lang w:val="fr-LU"/>
        </w:rPr>
      </w:pPr>
      <w:r w:rsidRPr="00883D06">
        <w:rPr>
          <w:lang w:val="fr-LU"/>
        </w:rPr>
        <w:t xml:space="preserve">Les débuts de la période révolutionnaire </w:t>
      </w:r>
      <w:r w:rsidR="00001806" w:rsidRPr="00883D06">
        <w:rPr>
          <w:lang w:val="fr-LU"/>
        </w:rPr>
        <w:t>voient</w:t>
      </w:r>
      <w:r w:rsidRPr="00883D06">
        <w:rPr>
          <w:lang w:val="fr-LU"/>
        </w:rPr>
        <w:t xml:space="preserve"> </w:t>
      </w:r>
      <w:r w:rsidR="00725867" w:rsidRPr="00883D06">
        <w:rPr>
          <w:lang w:val="fr-LU"/>
        </w:rPr>
        <w:t xml:space="preserve">ainsi </w:t>
      </w:r>
      <w:r w:rsidRPr="00883D06">
        <w:rPr>
          <w:lang w:val="fr-LU"/>
        </w:rPr>
        <w:t>politique et théâtre</w:t>
      </w:r>
      <w:r w:rsidR="007A53C3" w:rsidRPr="00883D06">
        <w:rPr>
          <w:lang w:val="fr-LU"/>
        </w:rPr>
        <w:t xml:space="preserve">, divertissement et </w:t>
      </w:r>
      <w:r w:rsidR="006B1844" w:rsidRPr="00883D06">
        <w:rPr>
          <w:lang w:val="fr-LU"/>
        </w:rPr>
        <w:t>chose publique</w:t>
      </w:r>
      <w:r w:rsidRPr="00883D06">
        <w:rPr>
          <w:lang w:val="fr-LU"/>
        </w:rPr>
        <w:t xml:space="preserve"> s</w:t>
      </w:r>
      <w:r w:rsidR="00025BAD" w:rsidRPr="00883D06">
        <w:rPr>
          <w:lang w:val="fr-LU"/>
        </w:rPr>
        <w:t>’</w:t>
      </w:r>
      <w:r w:rsidRPr="00883D06">
        <w:rPr>
          <w:lang w:val="fr-LU"/>
        </w:rPr>
        <w:t>entremêle</w:t>
      </w:r>
      <w:r w:rsidR="00001806" w:rsidRPr="00883D06">
        <w:rPr>
          <w:lang w:val="fr-LU"/>
        </w:rPr>
        <w:t>r</w:t>
      </w:r>
      <w:r w:rsidRPr="00883D06">
        <w:rPr>
          <w:lang w:val="fr-LU"/>
        </w:rPr>
        <w:t xml:space="preserve"> dans une déroutante cacophonie : </w:t>
      </w:r>
    </w:p>
    <w:p w14:paraId="737A7FDB" w14:textId="183B5F14" w:rsidR="00AB495E" w:rsidRPr="00883D06" w:rsidRDefault="00AB495E" w:rsidP="00493B16">
      <w:pPr>
        <w:spacing w:line="240" w:lineRule="auto"/>
        <w:ind w:left="567"/>
        <w:rPr>
          <w:sz w:val="20"/>
          <w:lang w:val="fr-LU"/>
        </w:rPr>
      </w:pPr>
      <w:r w:rsidRPr="00883D06">
        <w:rPr>
          <w:sz w:val="20"/>
          <w:lang w:val="fr-LU"/>
        </w:rPr>
        <w:t>Dans tous les coins de Paris, il y avait des réunions littéraires, des sociétés politiques et des spectacles </w:t>
      </w:r>
      <w:r w:rsidR="00436EE8" w:rsidRPr="00883D06">
        <w:rPr>
          <w:sz w:val="20"/>
          <w:lang w:val="fr-LU"/>
        </w:rPr>
        <w:t xml:space="preserve">[…]. </w:t>
      </w:r>
      <w:r w:rsidRPr="00883D06">
        <w:rPr>
          <w:sz w:val="20"/>
          <w:lang w:val="fr-LU"/>
        </w:rPr>
        <w:t>On se transportait du club des Feuillants au club des Jacobins, des bals et des maisons de jeu aux groupes du Palais-Royal, de la tribune de l</w:t>
      </w:r>
      <w:r w:rsidR="00025BAD" w:rsidRPr="00883D06">
        <w:rPr>
          <w:sz w:val="20"/>
          <w:lang w:val="fr-LU"/>
        </w:rPr>
        <w:t>’</w:t>
      </w:r>
      <w:r w:rsidRPr="00883D06">
        <w:rPr>
          <w:sz w:val="20"/>
          <w:lang w:val="fr-LU"/>
        </w:rPr>
        <w:t>Assemblée nationale à la tribune en plein vent. […] Aux théâtres, les acteurs publiaient les nouvelles ; le parterre entonnait des couplets patriotiques. Des pièces de circonstance attiraient la foule : un abbé paraissait sur la scène ; le peuple lui criait : « Calotin ! calotin ! » et l</w:t>
      </w:r>
      <w:r w:rsidR="00025BAD" w:rsidRPr="00883D06">
        <w:rPr>
          <w:sz w:val="20"/>
          <w:lang w:val="fr-LU"/>
        </w:rPr>
        <w:t>’</w:t>
      </w:r>
      <w:r w:rsidRPr="00883D06">
        <w:rPr>
          <w:sz w:val="20"/>
          <w:lang w:val="fr-LU"/>
        </w:rPr>
        <w:t xml:space="preserve">abbé répondait : « Messieurs, vive la Nation ! » On courait entendre chanter Mandini et sa femme […], après avoir entendu hurler </w:t>
      </w:r>
      <w:r w:rsidRPr="00883D06">
        <w:rPr>
          <w:i/>
          <w:sz w:val="20"/>
          <w:lang w:val="fr-LU"/>
        </w:rPr>
        <w:t>Ça ira </w:t>
      </w:r>
      <w:r w:rsidRPr="00883D06">
        <w:rPr>
          <w:sz w:val="20"/>
          <w:lang w:val="fr-LU"/>
        </w:rPr>
        <w:t>; on allait admirer madame Dugazon, madame Saint-Aubin, […] Talma débutant, après avoir vu pendre Favras</w:t>
      </w:r>
      <w:r w:rsidRPr="00883D06">
        <w:rPr>
          <w:rStyle w:val="Appelnotedebasdep"/>
          <w:sz w:val="20"/>
          <w:lang w:val="fr-LU"/>
        </w:rPr>
        <w:footnoteReference w:id="14"/>
      </w:r>
      <w:r w:rsidRPr="00883D06">
        <w:rPr>
          <w:sz w:val="20"/>
          <w:lang w:val="fr-LU"/>
        </w:rPr>
        <w:t>.</w:t>
      </w:r>
    </w:p>
    <w:p w14:paraId="3D87F0CA" w14:textId="10DF4961" w:rsidR="00027644" w:rsidRPr="00883D06" w:rsidRDefault="00F8278B" w:rsidP="004016AD">
      <w:pPr>
        <w:spacing w:line="240" w:lineRule="auto"/>
        <w:rPr>
          <w:lang w:val="fr-LU"/>
        </w:rPr>
      </w:pPr>
      <w:r w:rsidRPr="00883D06">
        <w:rPr>
          <w:lang w:val="fr-LU"/>
        </w:rPr>
        <w:t>D</w:t>
      </w:r>
      <w:r w:rsidR="00025BAD" w:rsidRPr="00883D06">
        <w:rPr>
          <w:lang w:val="fr-LU"/>
        </w:rPr>
        <w:t>’</w:t>
      </w:r>
      <w:r w:rsidRPr="00883D06">
        <w:rPr>
          <w:lang w:val="fr-LU"/>
        </w:rPr>
        <w:t>un club à l</w:t>
      </w:r>
      <w:r w:rsidR="00025BAD" w:rsidRPr="00883D06">
        <w:rPr>
          <w:lang w:val="fr-LU"/>
        </w:rPr>
        <w:t>’</w:t>
      </w:r>
      <w:r w:rsidRPr="00883D06">
        <w:rPr>
          <w:lang w:val="fr-LU"/>
        </w:rPr>
        <w:t>autre, de la tribune de l</w:t>
      </w:r>
      <w:r w:rsidR="00025BAD" w:rsidRPr="00883D06">
        <w:rPr>
          <w:lang w:val="fr-LU"/>
        </w:rPr>
        <w:t>’</w:t>
      </w:r>
      <w:r w:rsidRPr="00883D06">
        <w:rPr>
          <w:lang w:val="fr-LU"/>
        </w:rPr>
        <w:t>Assemblée à la tribune en plein vent, s</w:t>
      </w:r>
      <w:r w:rsidR="00AB495E" w:rsidRPr="00883D06">
        <w:rPr>
          <w:lang w:val="fr-LU"/>
        </w:rPr>
        <w:t>pectacles politique et théâtral se mêlent donc au point de se confondre</w:t>
      </w:r>
      <w:r w:rsidR="00710DFE" w:rsidRPr="00883D06">
        <w:rPr>
          <w:lang w:val="fr-LU"/>
        </w:rPr>
        <w:t xml:space="preserve"> et de confondre leurs acteurs</w:t>
      </w:r>
      <w:r w:rsidR="00D50CBE" w:rsidRPr="00883D06">
        <w:rPr>
          <w:lang w:val="fr-LU"/>
        </w:rPr>
        <w:t xml:space="preserve"> et tribuns</w:t>
      </w:r>
      <w:r w:rsidR="00710DFE" w:rsidRPr="00883D06">
        <w:rPr>
          <w:lang w:val="fr-LU"/>
        </w:rPr>
        <w:t xml:space="preserve"> respectifs</w:t>
      </w:r>
      <w:r w:rsidR="003111E8" w:rsidRPr="00883D06">
        <w:rPr>
          <w:lang w:val="fr-LU"/>
        </w:rPr>
        <w:t>. A</w:t>
      </w:r>
      <w:r w:rsidR="00001806" w:rsidRPr="00883D06">
        <w:rPr>
          <w:lang w:val="fr-LU"/>
        </w:rPr>
        <w:t xml:space="preserve">u théâtre, les propos sur la chose publique sont le fait tant des comédiens que du </w:t>
      </w:r>
      <w:r w:rsidR="003111E8" w:rsidRPr="00883D06">
        <w:rPr>
          <w:lang w:val="fr-LU"/>
        </w:rPr>
        <w:t>parterre</w:t>
      </w:r>
      <w:r w:rsidR="003111E8" w:rsidRPr="00883D06">
        <w:rPr>
          <w:rFonts w:cs="Times New Roman"/>
          <w:szCs w:val="24"/>
        </w:rPr>
        <w:t xml:space="preserve"> </w:t>
      </w:r>
      <w:r w:rsidR="003111E8" w:rsidRPr="00883D06">
        <w:rPr>
          <w:lang w:val="fr-LU"/>
        </w:rPr>
        <w:t>–</w:t>
      </w:r>
      <w:r w:rsidR="003111E8" w:rsidRPr="00883D06">
        <w:rPr>
          <w:rFonts w:cs="Times New Roman"/>
          <w:szCs w:val="24"/>
        </w:rPr>
        <w:t xml:space="preserve"> qui acquiert sous la Révolution une légitimité nouvelle à la faveur de la floraison des théâtres amateurs</w:t>
      </w:r>
      <w:r w:rsidR="003111E8" w:rsidRPr="00883D06">
        <w:rPr>
          <w:rStyle w:val="Appelnotedebasdep"/>
          <w:rFonts w:cs="Times New Roman"/>
          <w:szCs w:val="24"/>
        </w:rPr>
        <w:footnoteReference w:id="15"/>
      </w:r>
      <w:r w:rsidR="003111E8" w:rsidRPr="00883D06">
        <w:rPr>
          <w:lang w:val="fr-LU"/>
        </w:rPr>
        <w:t xml:space="preserve"> –,</w:t>
      </w:r>
      <w:r w:rsidR="00001806" w:rsidRPr="00883D06">
        <w:rPr>
          <w:lang w:val="fr-LU"/>
        </w:rPr>
        <w:t xml:space="preserve"> et cela durant la représentation même</w:t>
      </w:r>
      <w:r w:rsidR="00AB495E" w:rsidRPr="00883D06">
        <w:rPr>
          <w:lang w:val="fr-LU"/>
        </w:rPr>
        <w:t>.</w:t>
      </w:r>
      <w:r w:rsidR="00C37C6D" w:rsidRPr="00883D06">
        <w:rPr>
          <w:lang w:val="fr-LU"/>
        </w:rPr>
        <w:t xml:space="preserve"> </w:t>
      </w:r>
      <w:r w:rsidR="00001806" w:rsidRPr="00883D06">
        <w:rPr>
          <w:lang w:val="fr-LU"/>
        </w:rPr>
        <w:t>Siège des premières assemblées révolutionnaires, la salle du Manège figure</w:t>
      </w:r>
      <w:r w:rsidR="00561DF7" w:rsidRPr="00883D06">
        <w:rPr>
          <w:lang w:val="fr-LU"/>
        </w:rPr>
        <w:t xml:space="preserve"> de la même façon</w:t>
      </w:r>
      <w:r w:rsidR="00D50CBE" w:rsidRPr="00883D06">
        <w:rPr>
          <w:lang w:val="fr-LU"/>
        </w:rPr>
        <w:t xml:space="preserve"> </w:t>
      </w:r>
      <w:r w:rsidR="00001806" w:rsidRPr="00883D06">
        <w:rPr>
          <w:lang w:val="fr-LU"/>
        </w:rPr>
        <w:t>une « véritable salle de spectacle, où se jouait un des plus grands drames du monde</w:t>
      </w:r>
      <w:r w:rsidR="008F6B57" w:rsidRPr="00883D06">
        <w:rPr>
          <w:lang w:val="fr-LU"/>
        </w:rPr>
        <w:t> », drame dont les « premiers personnages appartenaient encore à l</w:t>
      </w:r>
      <w:r w:rsidR="00025BAD" w:rsidRPr="00883D06">
        <w:rPr>
          <w:lang w:val="fr-LU"/>
        </w:rPr>
        <w:t>’</w:t>
      </w:r>
      <w:r w:rsidR="008F6B57" w:rsidRPr="00883D06">
        <w:rPr>
          <w:lang w:val="fr-LU"/>
        </w:rPr>
        <w:t>ancien ordre de choses »,</w:t>
      </w:r>
      <w:r w:rsidR="008073C2" w:rsidRPr="00883D06">
        <w:rPr>
          <w:lang w:val="fr-LU"/>
        </w:rPr>
        <w:t xml:space="preserve"> contraire</w:t>
      </w:r>
      <w:r w:rsidR="003111E8" w:rsidRPr="00883D06">
        <w:rPr>
          <w:lang w:val="fr-LU"/>
        </w:rPr>
        <w:t>ment à</w:t>
      </w:r>
      <w:r w:rsidR="008F6B57" w:rsidRPr="00883D06">
        <w:rPr>
          <w:lang w:val="fr-LU"/>
        </w:rPr>
        <w:t xml:space="preserve"> leurs « terribles remplaçants</w:t>
      </w:r>
      <w:r w:rsidR="00001806" w:rsidRPr="00883D06">
        <w:rPr>
          <w:rStyle w:val="Appelnotedebasdep"/>
          <w:lang w:val="fr-LU"/>
        </w:rPr>
        <w:footnoteReference w:id="16"/>
      </w:r>
      <w:r w:rsidR="00001806" w:rsidRPr="00883D06">
        <w:rPr>
          <w:lang w:val="fr-LU"/>
        </w:rPr>
        <w:t> »</w:t>
      </w:r>
      <w:r w:rsidR="008073C2" w:rsidRPr="00883D06">
        <w:rPr>
          <w:lang w:val="fr-LU"/>
        </w:rPr>
        <w:t xml:space="preserve">. </w:t>
      </w:r>
    </w:p>
    <w:p w14:paraId="4F869471" w14:textId="33A2DE95" w:rsidR="00027644" w:rsidRPr="00883D06" w:rsidRDefault="009C7BA5" w:rsidP="004016AD">
      <w:pPr>
        <w:spacing w:line="240" w:lineRule="auto"/>
        <w:ind w:firstLine="708"/>
        <w:rPr>
          <w:rFonts w:cs="Times New Roman"/>
          <w:szCs w:val="24"/>
        </w:rPr>
      </w:pPr>
      <w:r w:rsidRPr="00883D06">
        <w:rPr>
          <w:lang w:val="fr-LU"/>
        </w:rPr>
        <w:t>Le théâtre d</w:t>
      </w:r>
      <w:r w:rsidR="00025BAD" w:rsidRPr="00883D06">
        <w:rPr>
          <w:lang w:val="fr-LU"/>
        </w:rPr>
        <w:t>’</w:t>
      </w:r>
      <w:r w:rsidRPr="00883D06">
        <w:rPr>
          <w:lang w:val="fr-LU"/>
        </w:rPr>
        <w:t xml:space="preserve">Olympe de Gouges </w:t>
      </w:r>
      <w:r w:rsidR="00477F2D" w:rsidRPr="00883D06">
        <w:rPr>
          <w:lang w:val="fr-LU"/>
        </w:rPr>
        <w:t xml:space="preserve">illustre </w:t>
      </w:r>
      <w:r w:rsidR="00E0119A" w:rsidRPr="00883D06">
        <w:rPr>
          <w:lang w:val="fr-LU"/>
        </w:rPr>
        <w:t>à merveille</w:t>
      </w:r>
      <w:r w:rsidRPr="00883D06">
        <w:rPr>
          <w:lang w:val="fr-LU"/>
        </w:rPr>
        <w:t xml:space="preserve"> ces pièces de circonstance qui attirent la foule et deviennent le </w:t>
      </w:r>
      <w:r w:rsidRPr="00883D06">
        <w:rPr>
          <w:rFonts w:cs="Times New Roman"/>
          <w:szCs w:val="24"/>
        </w:rPr>
        <w:t xml:space="preserve">lieu de revendications sur la chose publique exprimées </w:t>
      </w:r>
      <w:r w:rsidR="00413D9C" w:rsidRPr="00883D06">
        <w:rPr>
          <w:rFonts w:cs="Times New Roman"/>
          <w:szCs w:val="24"/>
        </w:rPr>
        <w:t xml:space="preserve">tant </w:t>
      </w:r>
      <w:r w:rsidRPr="00883D06">
        <w:rPr>
          <w:rFonts w:cs="Times New Roman"/>
          <w:szCs w:val="24"/>
        </w:rPr>
        <w:t>sur scène</w:t>
      </w:r>
      <w:r w:rsidR="00413D9C" w:rsidRPr="00883D06">
        <w:rPr>
          <w:rFonts w:cs="Times New Roman"/>
          <w:szCs w:val="24"/>
        </w:rPr>
        <w:t xml:space="preserve"> que</w:t>
      </w:r>
      <w:r w:rsidRPr="00883D06">
        <w:rPr>
          <w:rFonts w:cs="Times New Roman"/>
          <w:szCs w:val="24"/>
        </w:rPr>
        <w:t xml:space="preserve"> depuis le parterre. </w:t>
      </w:r>
      <w:r w:rsidR="00027644" w:rsidRPr="00883D06">
        <w:rPr>
          <w:rFonts w:cs="Times New Roman"/>
          <w:szCs w:val="24"/>
        </w:rPr>
        <w:t xml:space="preserve">Composée </w:t>
      </w:r>
      <w:r w:rsidR="00182A81" w:rsidRPr="00883D06">
        <w:rPr>
          <w:rFonts w:cs="Times New Roman"/>
          <w:szCs w:val="24"/>
        </w:rPr>
        <w:t>dans les heures qui suivent l</w:t>
      </w:r>
      <w:r w:rsidR="00025BAD" w:rsidRPr="00883D06">
        <w:rPr>
          <w:rFonts w:cs="Times New Roman"/>
          <w:szCs w:val="24"/>
        </w:rPr>
        <w:t>’</w:t>
      </w:r>
      <w:r w:rsidR="00182A81" w:rsidRPr="00883D06">
        <w:rPr>
          <w:rFonts w:cs="Times New Roman"/>
          <w:szCs w:val="24"/>
        </w:rPr>
        <w:t>annonce de</w:t>
      </w:r>
      <w:r w:rsidR="00027644" w:rsidRPr="00883D06">
        <w:rPr>
          <w:rFonts w:cs="Times New Roman"/>
          <w:szCs w:val="24"/>
        </w:rPr>
        <w:t xml:space="preserve"> la mort de Mirabeau, le 2 avril 1791, </w:t>
      </w:r>
      <w:r w:rsidR="00027644" w:rsidRPr="00883D06">
        <w:rPr>
          <w:rFonts w:cs="Times New Roman"/>
          <w:i/>
          <w:iCs/>
          <w:szCs w:val="24"/>
        </w:rPr>
        <w:t>Mirabeau aux Champs-Élysées</w:t>
      </w:r>
      <w:r w:rsidR="00027644" w:rsidRPr="00883D06">
        <w:rPr>
          <w:rFonts w:cs="Times New Roman"/>
          <w:szCs w:val="24"/>
        </w:rPr>
        <w:t xml:space="preserve"> est </w:t>
      </w:r>
      <w:r w:rsidRPr="00883D06">
        <w:rPr>
          <w:rFonts w:cs="Times New Roman"/>
          <w:szCs w:val="24"/>
        </w:rPr>
        <w:t>créée</w:t>
      </w:r>
      <w:r w:rsidR="00027644" w:rsidRPr="00883D06">
        <w:rPr>
          <w:rFonts w:cs="Times New Roman"/>
          <w:szCs w:val="24"/>
        </w:rPr>
        <w:t xml:space="preserve"> </w:t>
      </w:r>
      <w:r w:rsidRPr="00883D06">
        <w:rPr>
          <w:rFonts w:cs="Times New Roman"/>
          <w:szCs w:val="24"/>
        </w:rPr>
        <w:t xml:space="preserve">au Théâtre-Italien </w:t>
      </w:r>
      <w:r w:rsidR="00027644" w:rsidRPr="00883D06">
        <w:rPr>
          <w:rFonts w:cs="Times New Roman"/>
          <w:szCs w:val="24"/>
        </w:rPr>
        <w:t>le 15</w:t>
      </w:r>
      <w:r w:rsidR="002673AC" w:rsidRPr="00883D06">
        <w:rPr>
          <w:rFonts w:cs="Times New Roman"/>
          <w:szCs w:val="24"/>
        </w:rPr>
        <w:t> </w:t>
      </w:r>
      <w:r w:rsidR="00027644" w:rsidRPr="00883D06">
        <w:rPr>
          <w:rFonts w:cs="Times New Roman"/>
          <w:szCs w:val="24"/>
        </w:rPr>
        <w:t xml:space="preserve">avril ; </w:t>
      </w:r>
      <w:r w:rsidR="003C040E" w:rsidRPr="00883D06">
        <w:rPr>
          <w:rFonts w:cs="Times New Roman"/>
          <w:szCs w:val="24"/>
        </w:rPr>
        <w:t>la pièce</w:t>
      </w:r>
      <w:r w:rsidR="00027644" w:rsidRPr="00883D06">
        <w:rPr>
          <w:rFonts w:cs="Times New Roman"/>
          <w:szCs w:val="24"/>
        </w:rPr>
        <w:t xml:space="preserve"> paraît aussi en volume le même mois</w:t>
      </w:r>
      <w:r w:rsidR="00E0119A" w:rsidRPr="00883D06">
        <w:rPr>
          <w:rFonts w:cs="Times New Roman"/>
          <w:szCs w:val="24"/>
        </w:rPr>
        <w:t xml:space="preserve">. </w:t>
      </w:r>
      <w:r w:rsidR="00027644" w:rsidRPr="00883D06">
        <w:rPr>
          <w:rFonts w:cs="Times New Roman"/>
          <w:szCs w:val="24"/>
        </w:rPr>
        <w:t xml:space="preserve">Les spectateurs venus assister à </w:t>
      </w:r>
      <w:r w:rsidR="003C040E" w:rsidRPr="00883D06">
        <w:rPr>
          <w:rFonts w:cs="Times New Roman"/>
          <w:szCs w:val="24"/>
        </w:rPr>
        <w:t>s</w:t>
      </w:r>
      <w:r w:rsidR="00027644" w:rsidRPr="00883D06">
        <w:rPr>
          <w:rFonts w:cs="Times New Roman"/>
          <w:szCs w:val="24"/>
        </w:rPr>
        <w:t>a première représentation sont partie prenante de cette politisation de l</w:t>
      </w:r>
      <w:r w:rsidR="00025BAD" w:rsidRPr="00883D06">
        <w:rPr>
          <w:rFonts w:cs="Times New Roman"/>
          <w:szCs w:val="24"/>
        </w:rPr>
        <w:t>’</w:t>
      </w:r>
      <w:r w:rsidR="00027644" w:rsidRPr="00883D06">
        <w:rPr>
          <w:rFonts w:cs="Times New Roman"/>
          <w:szCs w:val="24"/>
        </w:rPr>
        <w:t>espace théâtral</w:t>
      </w:r>
      <w:r w:rsidRPr="00883D06">
        <w:rPr>
          <w:rFonts w:cs="Times New Roman"/>
          <w:szCs w:val="24"/>
        </w:rPr>
        <w:t xml:space="preserve"> – et de cette théâtralisation</w:t>
      </w:r>
      <w:r w:rsidR="00E01141" w:rsidRPr="00883D06">
        <w:rPr>
          <w:rFonts w:cs="Times New Roman"/>
          <w:szCs w:val="24"/>
        </w:rPr>
        <w:t>, en retour,</w:t>
      </w:r>
      <w:r w:rsidRPr="00883D06">
        <w:rPr>
          <w:rFonts w:cs="Times New Roman"/>
          <w:szCs w:val="24"/>
        </w:rPr>
        <w:t xml:space="preserve"> du politique</w:t>
      </w:r>
      <w:r w:rsidR="00027644" w:rsidRPr="00883D06">
        <w:rPr>
          <w:rFonts w:cs="Times New Roman"/>
          <w:szCs w:val="24"/>
        </w:rPr>
        <w:t xml:space="preserve"> : « Pendant la </w:t>
      </w:r>
      <w:proofErr w:type="spellStart"/>
      <w:r w:rsidR="00027644" w:rsidRPr="00883D06">
        <w:rPr>
          <w:rFonts w:cs="Times New Roman"/>
          <w:szCs w:val="24"/>
        </w:rPr>
        <w:t>piece</w:t>
      </w:r>
      <w:proofErr w:type="spellEnd"/>
      <w:r w:rsidR="00027644" w:rsidRPr="00883D06">
        <w:rPr>
          <w:rFonts w:cs="Times New Roman"/>
          <w:szCs w:val="24"/>
        </w:rPr>
        <w:t xml:space="preserve">, on a </w:t>
      </w:r>
      <w:proofErr w:type="spellStart"/>
      <w:r w:rsidR="00027644" w:rsidRPr="00883D06">
        <w:rPr>
          <w:rFonts w:cs="Times New Roman"/>
          <w:szCs w:val="24"/>
        </w:rPr>
        <w:t>jetté</w:t>
      </w:r>
      <w:proofErr w:type="spellEnd"/>
      <w:r w:rsidR="00027644" w:rsidRPr="00883D06">
        <w:rPr>
          <w:rFonts w:cs="Times New Roman"/>
          <w:szCs w:val="24"/>
        </w:rPr>
        <w:t xml:space="preserve"> sur le théâtre un papier qui </w:t>
      </w:r>
      <w:proofErr w:type="spellStart"/>
      <w:r w:rsidR="00027644" w:rsidRPr="00883D06">
        <w:rPr>
          <w:rFonts w:cs="Times New Roman"/>
          <w:szCs w:val="24"/>
        </w:rPr>
        <w:t>contenoit</w:t>
      </w:r>
      <w:proofErr w:type="spellEnd"/>
      <w:r w:rsidR="00027644" w:rsidRPr="00883D06">
        <w:rPr>
          <w:rFonts w:cs="Times New Roman"/>
          <w:szCs w:val="24"/>
        </w:rPr>
        <w:t xml:space="preserve"> des vers assez </w:t>
      </w:r>
      <w:proofErr w:type="spellStart"/>
      <w:r w:rsidR="00027644" w:rsidRPr="00883D06">
        <w:rPr>
          <w:rFonts w:cs="Times New Roman"/>
          <w:szCs w:val="24"/>
        </w:rPr>
        <w:t>foibles</w:t>
      </w:r>
      <w:proofErr w:type="spellEnd"/>
      <w:r w:rsidR="00027644" w:rsidRPr="00883D06">
        <w:rPr>
          <w:rFonts w:cs="Times New Roman"/>
          <w:szCs w:val="24"/>
        </w:rPr>
        <w:t xml:space="preserve"> en l</w:t>
      </w:r>
      <w:r w:rsidR="00025BAD" w:rsidRPr="00883D06">
        <w:rPr>
          <w:rFonts w:cs="Times New Roman"/>
          <w:szCs w:val="24"/>
        </w:rPr>
        <w:t>’</w:t>
      </w:r>
      <w:r w:rsidR="00027644" w:rsidRPr="00883D06">
        <w:rPr>
          <w:rFonts w:cs="Times New Roman"/>
          <w:szCs w:val="24"/>
        </w:rPr>
        <w:t>honneur de Mirabeau, &amp; d</w:t>
      </w:r>
      <w:r w:rsidR="00025BAD" w:rsidRPr="00883D06">
        <w:rPr>
          <w:rFonts w:cs="Times New Roman"/>
          <w:szCs w:val="24"/>
        </w:rPr>
        <w:t>’</w:t>
      </w:r>
      <w:r w:rsidR="00027644" w:rsidRPr="00883D06">
        <w:rPr>
          <w:rFonts w:cs="Times New Roman"/>
          <w:szCs w:val="24"/>
        </w:rPr>
        <w:t>autres où l</w:t>
      </w:r>
      <w:r w:rsidR="00025BAD" w:rsidRPr="00883D06">
        <w:rPr>
          <w:rFonts w:cs="Times New Roman"/>
          <w:szCs w:val="24"/>
        </w:rPr>
        <w:t>’</w:t>
      </w:r>
      <w:r w:rsidR="00027644" w:rsidRPr="00883D06">
        <w:rPr>
          <w:rFonts w:cs="Times New Roman"/>
          <w:szCs w:val="24"/>
        </w:rPr>
        <w:t xml:space="preserve">on </w:t>
      </w:r>
      <w:proofErr w:type="spellStart"/>
      <w:r w:rsidR="00027644" w:rsidRPr="00883D06">
        <w:rPr>
          <w:rFonts w:cs="Times New Roman"/>
          <w:szCs w:val="24"/>
        </w:rPr>
        <w:t>invitoit</w:t>
      </w:r>
      <w:proofErr w:type="spellEnd"/>
      <w:r w:rsidR="00027644" w:rsidRPr="00883D06">
        <w:rPr>
          <w:rFonts w:cs="Times New Roman"/>
          <w:szCs w:val="24"/>
        </w:rPr>
        <w:t xml:space="preserve"> l</w:t>
      </w:r>
      <w:r w:rsidR="00025BAD" w:rsidRPr="00883D06">
        <w:rPr>
          <w:rFonts w:cs="Times New Roman"/>
          <w:szCs w:val="24"/>
        </w:rPr>
        <w:t>’</w:t>
      </w:r>
      <w:r w:rsidR="00027644" w:rsidRPr="00883D06">
        <w:rPr>
          <w:rFonts w:cs="Times New Roman"/>
          <w:szCs w:val="24"/>
        </w:rPr>
        <w:t>assemblée nationale à terminer la constitution ; ceux-ci ont été fort applaudis</w:t>
      </w:r>
      <w:r w:rsidR="00E0119A" w:rsidRPr="00883D06">
        <w:rPr>
          <w:rStyle w:val="Appelnotedebasdep"/>
          <w:rFonts w:cs="Times New Roman"/>
          <w:sz w:val="20"/>
          <w:szCs w:val="20"/>
        </w:rPr>
        <w:footnoteReference w:id="17"/>
      </w:r>
      <w:r w:rsidR="00027644" w:rsidRPr="00883D06">
        <w:rPr>
          <w:rFonts w:cs="Times New Roman"/>
          <w:szCs w:val="24"/>
        </w:rPr>
        <w:t xml:space="preserve"> ». </w:t>
      </w:r>
    </w:p>
    <w:p w14:paraId="78F9A0BE" w14:textId="40601E73" w:rsidR="00AB495E" w:rsidRPr="00883D06" w:rsidRDefault="002446E8" w:rsidP="004016AD">
      <w:pPr>
        <w:spacing w:line="240" w:lineRule="auto"/>
        <w:ind w:firstLine="708"/>
        <w:rPr>
          <w:sz w:val="32"/>
          <w:lang w:val="fr-LU"/>
        </w:rPr>
      </w:pPr>
      <w:r w:rsidRPr="00883D06">
        <w:rPr>
          <w:lang w:val="fr-LU"/>
        </w:rPr>
        <w:t>L</w:t>
      </w:r>
      <w:r w:rsidR="00D21B4A" w:rsidRPr="00883D06">
        <w:rPr>
          <w:lang w:val="fr-LU"/>
        </w:rPr>
        <w:t>e succès de</w:t>
      </w:r>
      <w:r w:rsidR="00413D9C" w:rsidRPr="00883D06">
        <w:rPr>
          <w:lang w:val="fr-LU"/>
        </w:rPr>
        <w:t xml:space="preserve"> </w:t>
      </w:r>
      <w:r w:rsidR="00C37C6D" w:rsidRPr="00883D06">
        <w:rPr>
          <w:i/>
          <w:lang w:val="fr-LU"/>
        </w:rPr>
        <w:t>Charles IX</w:t>
      </w:r>
      <w:r w:rsidR="00E01141" w:rsidRPr="00883D06">
        <w:rPr>
          <w:i/>
          <w:lang w:val="fr-LU"/>
        </w:rPr>
        <w:t xml:space="preserve"> ou L</w:t>
      </w:r>
      <w:r w:rsidR="00025BAD" w:rsidRPr="00883D06">
        <w:rPr>
          <w:i/>
          <w:lang w:val="fr-LU"/>
        </w:rPr>
        <w:t>’</w:t>
      </w:r>
      <w:r w:rsidR="00E01141" w:rsidRPr="00883D06">
        <w:rPr>
          <w:i/>
          <w:lang w:val="fr-LU"/>
        </w:rPr>
        <w:t>École des rois</w:t>
      </w:r>
      <w:r w:rsidR="002673AC" w:rsidRPr="00883D06">
        <w:rPr>
          <w:iCs/>
          <w:lang w:val="fr-LU"/>
        </w:rPr>
        <w:t>,</w:t>
      </w:r>
      <w:r w:rsidR="00E749DD" w:rsidRPr="00883D06">
        <w:rPr>
          <w:lang w:val="fr-LU"/>
        </w:rPr>
        <w:t xml:space="preserve"> </w:t>
      </w:r>
      <w:r w:rsidR="00CF2A19" w:rsidRPr="00883D06">
        <w:rPr>
          <w:lang w:val="fr-LU"/>
        </w:rPr>
        <w:t>tragédie</w:t>
      </w:r>
      <w:r w:rsidR="00C37C6D" w:rsidRPr="00883D06">
        <w:rPr>
          <w:lang w:val="fr-LU"/>
        </w:rPr>
        <w:t xml:space="preserve"> de Marie-Joseph Chénier créée </w:t>
      </w:r>
      <w:r w:rsidR="00D21B4A" w:rsidRPr="00883D06">
        <w:rPr>
          <w:lang w:val="fr-LU"/>
        </w:rPr>
        <w:t xml:space="preserve">le 4 novembre 1789 </w:t>
      </w:r>
      <w:r w:rsidR="00C37C6D" w:rsidRPr="00883D06">
        <w:rPr>
          <w:lang w:val="fr-LU"/>
        </w:rPr>
        <w:t>avec Talma dans le rôle-titre</w:t>
      </w:r>
      <w:r w:rsidRPr="00883D06">
        <w:rPr>
          <w:lang w:val="fr-LU"/>
        </w:rPr>
        <w:t>,</w:t>
      </w:r>
      <w:r w:rsidR="00D21B4A" w:rsidRPr="00883D06">
        <w:rPr>
          <w:lang w:val="fr-LU"/>
        </w:rPr>
        <w:t xml:space="preserve"> doit de même </w:t>
      </w:r>
      <w:r w:rsidRPr="00883D06">
        <w:rPr>
          <w:lang w:val="fr-LU"/>
        </w:rPr>
        <w:t>plus</w:t>
      </w:r>
      <w:r w:rsidR="00D21B4A" w:rsidRPr="00883D06">
        <w:rPr>
          <w:lang w:val="fr-LU"/>
        </w:rPr>
        <w:t xml:space="preserve"> au contexte de sa création</w:t>
      </w:r>
      <w:r w:rsidRPr="00883D06">
        <w:rPr>
          <w:lang w:val="fr-LU"/>
        </w:rPr>
        <w:t xml:space="preserve"> qu’à ses qualités littéraires</w:t>
      </w:r>
      <w:r w:rsidR="00AB495E" w:rsidRPr="00883D06">
        <w:rPr>
          <w:lang w:val="fr-LU"/>
        </w:rPr>
        <w:t> : « La vogue de cette pièce tenait principalement aux circonstances ; le tocsin, un peuple armé de poignards, la haine des rois et des prêtres offraient une répétition à huis-clos de la tragédie qui se jouait publiquement</w:t>
      </w:r>
      <w:r w:rsidR="00AB495E" w:rsidRPr="00883D06">
        <w:rPr>
          <w:rStyle w:val="Appelnotedebasdep"/>
          <w:lang w:val="fr-LU"/>
        </w:rPr>
        <w:footnoteReference w:id="18"/>
      </w:r>
      <w:r w:rsidR="00AB495E" w:rsidRPr="00883D06">
        <w:rPr>
          <w:lang w:val="fr-LU"/>
        </w:rPr>
        <w:t> »</w:t>
      </w:r>
      <w:r w:rsidRPr="00883D06">
        <w:rPr>
          <w:lang w:val="fr-LU"/>
        </w:rPr>
        <w:t>, juge Chateaubriand.</w:t>
      </w:r>
      <w:r w:rsidR="00596A92" w:rsidRPr="00883D06">
        <w:rPr>
          <w:lang w:val="fr-LU"/>
        </w:rPr>
        <w:t xml:space="preserve"> Le spectacle qui se donne à voir sur les planches </w:t>
      </w:r>
      <w:r w:rsidR="006568A0" w:rsidRPr="00883D06">
        <w:rPr>
          <w:lang w:val="fr-LU"/>
        </w:rPr>
        <w:t>refl</w:t>
      </w:r>
      <w:r w:rsidR="002673AC" w:rsidRPr="00883D06">
        <w:rPr>
          <w:lang w:val="fr-LU"/>
        </w:rPr>
        <w:t>é</w:t>
      </w:r>
      <w:r w:rsidR="006568A0" w:rsidRPr="00883D06">
        <w:rPr>
          <w:lang w:val="fr-LU"/>
        </w:rPr>
        <w:t>te</w:t>
      </w:r>
      <w:r w:rsidR="002673AC" w:rsidRPr="00883D06">
        <w:rPr>
          <w:lang w:val="fr-LU"/>
        </w:rPr>
        <w:t xml:space="preserve">rait </w:t>
      </w:r>
      <w:r w:rsidR="006568A0" w:rsidRPr="00883D06">
        <w:rPr>
          <w:lang w:val="fr-LU"/>
        </w:rPr>
        <w:t xml:space="preserve">et </w:t>
      </w:r>
      <w:r w:rsidR="00E01141" w:rsidRPr="00883D06">
        <w:rPr>
          <w:lang w:val="fr-LU"/>
        </w:rPr>
        <w:t>nourri</w:t>
      </w:r>
      <w:r w:rsidR="002673AC" w:rsidRPr="00883D06">
        <w:rPr>
          <w:lang w:val="fr-LU"/>
        </w:rPr>
        <w:t>rai</w:t>
      </w:r>
      <w:r w:rsidR="00E01141" w:rsidRPr="00883D06">
        <w:rPr>
          <w:lang w:val="fr-LU"/>
        </w:rPr>
        <w:t>t</w:t>
      </w:r>
      <w:r w:rsidR="008F674E" w:rsidRPr="00883D06">
        <w:rPr>
          <w:lang w:val="fr-LU"/>
        </w:rPr>
        <w:t xml:space="preserve"> ainsi </w:t>
      </w:r>
      <w:r w:rsidR="00596A92" w:rsidRPr="00883D06">
        <w:rPr>
          <w:lang w:val="fr-LU"/>
        </w:rPr>
        <w:t>celui qui se joue dans les rues de Paris</w:t>
      </w:r>
      <w:r w:rsidR="006568A0" w:rsidRPr="00883D06">
        <w:rPr>
          <w:lang w:val="fr-LU"/>
        </w:rPr>
        <w:t xml:space="preserve"> (« on y entendait, on y voyait, on y sentait ce qui se passait hors la scène</w:t>
      </w:r>
      <w:r w:rsidR="006568A0" w:rsidRPr="00883D06">
        <w:rPr>
          <w:rStyle w:val="Appelnotedebasdep"/>
          <w:lang w:val="fr-LU"/>
        </w:rPr>
        <w:footnoteReference w:id="19"/>
      </w:r>
      <w:r w:rsidR="006568A0" w:rsidRPr="00883D06">
        <w:rPr>
          <w:lang w:val="fr-LU"/>
        </w:rPr>
        <w:t> »)</w:t>
      </w:r>
      <w:r w:rsidR="00596A92" w:rsidRPr="00883D06">
        <w:rPr>
          <w:lang w:val="fr-LU"/>
        </w:rPr>
        <w:t xml:space="preserve">. À sa création, la pièce de Chénier compte </w:t>
      </w:r>
      <w:r w:rsidR="008F674E" w:rsidRPr="00883D06">
        <w:rPr>
          <w:lang w:val="fr-LU"/>
        </w:rPr>
        <w:t>d</w:t>
      </w:r>
      <w:r w:rsidR="00025BAD" w:rsidRPr="00883D06">
        <w:rPr>
          <w:lang w:val="fr-LU"/>
        </w:rPr>
        <w:t>’</w:t>
      </w:r>
      <w:r w:rsidR="008F674E" w:rsidRPr="00883D06">
        <w:rPr>
          <w:lang w:val="fr-LU"/>
        </w:rPr>
        <w:t>ailleurs</w:t>
      </w:r>
      <w:r w:rsidR="00596A92" w:rsidRPr="00883D06">
        <w:rPr>
          <w:lang w:val="fr-LU"/>
        </w:rPr>
        <w:t xml:space="preserve"> parmi son </w:t>
      </w:r>
      <w:r w:rsidR="002673AC" w:rsidRPr="00883D06">
        <w:rPr>
          <w:lang w:val="fr-LU"/>
        </w:rPr>
        <w:t>(</w:t>
      </w:r>
      <w:r w:rsidR="00596A92" w:rsidRPr="00883D06">
        <w:rPr>
          <w:lang w:val="fr-LU"/>
        </w:rPr>
        <w:t>vaste</w:t>
      </w:r>
      <w:r w:rsidR="002673AC" w:rsidRPr="00883D06">
        <w:rPr>
          <w:lang w:val="fr-LU"/>
        </w:rPr>
        <w:t>)</w:t>
      </w:r>
      <w:r w:rsidR="00596A92" w:rsidRPr="00883D06">
        <w:rPr>
          <w:lang w:val="fr-LU"/>
        </w:rPr>
        <w:t xml:space="preserve"> public nombre de députés de l</w:t>
      </w:r>
      <w:r w:rsidR="00025BAD" w:rsidRPr="00883D06">
        <w:rPr>
          <w:lang w:val="fr-LU"/>
        </w:rPr>
        <w:t>’</w:t>
      </w:r>
      <w:r w:rsidR="00596A92" w:rsidRPr="00883D06">
        <w:rPr>
          <w:lang w:val="fr-LU"/>
        </w:rPr>
        <w:t>Assemblée nationale, parmi lesquels Danton, Desmoulins ou encore Mirabeau</w:t>
      </w:r>
      <w:r w:rsidR="008F674E" w:rsidRPr="00883D06">
        <w:rPr>
          <w:lang w:val="fr-LU"/>
        </w:rPr>
        <w:t>, illustrant le mouvement conjoint de théâtralisation du politique et de politisation du théâtral qui se joue dans les premières années de la Révolution</w:t>
      </w:r>
      <w:r w:rsidR="00596A92" w:rsidRPr="00883D06">
        <w:rPr>
          <w:lang w:val="fr-LU"/>
        </w:rPr>
        <w:t>.</w:t>
      </w:r>
      <w:r w:rsidR="00A93B7E" w:rsidRPr="00883D06">
        <w:rPr>
          <w:lang w:val="fr-LU"/>
        </w:rPr>
        <w:t xml:space="preserve"> À y regarder de plus près, pourtant, </w:t>
      </w:r>
      <w:r w:rsidR="00BC7482" w:rsidRPr="00883D06">
        <w:rPr>
          <w:lang w:val="fr-LU"/>
        </w:rPr>
        <w:t xml:space="preserve">la pièce, </w:t>
      </w:r>
      <w:r w:rsidR="009D58EF" w:rsidRPr="00883D06">
        <w:rPr>
          <w:lang w:val="fr-LU"/>
        </w:rPr>
        <w:t>certes</w:t>
      </w:r>
      <w:r w:rsidR="00BC7482" w:rsidRPr="00883D06">
        <w:rPr>
          <w:lang w:val="fr-LU"/>
        </w:rPr>
        <w:t xml:space="preserve"> investie d</w:t>
      </w:r>
      <w:r w:rsidR="00025BAD" w:rsidRPr="00883D06">
        <w:rPr>
          <w:lang w:val="fr-LU"/>
        </w:rPr>
        <w:t>’</w:t>
      </w:r>
      <w:r w:rsidR="00BC7482" w:rsidRPr="00883D06">
        <w:rPr>
          <w:lang w:val="fr-LU"/>
        </w:rPr>
        <w:t>un fort pouvoir de contestation politique, ne peut être qualifiée d</w:t>
      </w:r>
      <w:r w:rsidR="00025BAD" w:rsidRPr="00883D06">
        <w:rPr>
          <w:lang w:val="fr-LU"/>
        </w:rPr>
        <w:t>’</w:t>
      </w:r>
      <w:r w:rsidR="00BC7482" w:rsidRPr="00883D06">
        <w:rPr>
          <w:lang w:val="fr-LU"/>
        </w:rPr>
        <w:t>antimonarchique</w:t>
      </w:r>
      <w:r w:rsidR="002B63C7" w:rsidRPr="00883D06">
        <w:rPr>
          <w:lang w:val="fr-LU"/>
        </w:rPr>
        <w:t xml:space="preserve"> ; </w:t>
      </w:r>
      <w:r w:rsidR="00BC7482" w:rsidRPr="00883D06">
        <w:rPr>
          <w:lang w:val="fr-LU"/>
        </w:rPr>
        <w:t>récit en filigrane des débuts de la Révolution française</w:t>
      </w:r>
      <w:r w:rsidR="007B214E" w:rsidRPr="00883D06">
        <w:rPr>
          <w:lang w:val="fr-LU"/>
        </w:rPr>
        <w:t>,</w:t>
      </w:r>
      <w:r w:rsidR="002929AC" w:rsidRPr="00883D06">
        <w:rPr>
          <w:lang w:val="fr-LU"/>
        </w:rPr>
        <w:t xml:space="preserve"> </w:t>
      </w:r>
      <w:r w:rsidR="002B63C7" w:rsidRPr="00883D06">
        <w:rPr>
          <w:i/>
          <w:lang w:val="fr-LU"/>
        </w:rPr>
        <w:t>Charles IX</w:t>
      </w:r>
      <w:r w:rsidR="002B63C7" w:rsidRPr="00883D06">
        <w:rPr>
          <w:lang w:val="fr-LU"/>
        </w:rPr>
        <w:t xml:space="preserve"> se veut bien plutôt</w:t>
      </w:r>
      <w:r w:rsidR="002929AC" w:rsidRPr="00883D06">
        <w:rPr>
          <w:lang w:val="fr-LU"/>
        </w:rPr>
        <w:t xml:space="preserve"> un plaidoyer contre le despotisme, qu</w:t>
      </w:r>
      <w:r w:rsidR="00025BAD" w:rsidRPr="00883D06">
        <w:rPr>
          <w:lang w:val="fr-LU"/>
        </w:rPr>
        <w:t>’</w:t>
      </w:r>
      <w:r w:rsidR="002929AC" w:rsidRPr="00883D06">
        <w:rPr>
          <w:lang w:val="fr-LU"/>
        </w:rPr>
        <w:t xml:space="preserve">il soit le fait des rois ou des </w:t>
      </w:r>
      <w:r w:rsidR="002929AC" w:rsidRPr="00883D06">
        <w:rPr>
          <w:lang w:val="fr-LU"/>
        </w:rPr>
        <w:lastRenderedPageBreak/>
        <w:t>tribuns de l</w:t>
      </w:r>
      <w:r w:rsidR="00025BAD" w:rsidRPr="00883D06">
        <w:rPr>
          <w:lang w:val="fr-LU"/>
        </w:rPr>
        <w:t>’</w:t>
      </w:r>
      <w:r w:rsidR="002929AC" w:rsidRPr="00883D06">
        <w:rPr>
          <w:lang w:val="fr-LU"/>
        </w:rPr>
        <w:t>Assemblée</w:t>
      </w:r>
      <w:r w:rsidR="00BC7482" w:rsidRPr="00883D06">
        <w:rPr>
          <w:rStyle w:val="Appelnotedebasdep"/>
          <w:lang w:val="fr-LU"/>
        </w:rPr>
        <w:footnoteReference w:id="20"/>
      </w:r>
      <w:r w:rsidR="00BC7482" w:rsidRPr="00883D06">
        <w:rPr>
          <w:lang w:val="fr-LU"/>
        </w:rPr>
        <w:t>.</w:t>
      </w:r>
      <w:r w:rsidR="002929AC" w:rsidRPr="00883D06">
        <w:rPr>
          <w:lang w:val="fr-LU"/>
        </w:rPr>
        <w:t xml:space="preserve"> </w:t>
      </w:r>
      <w:r w:rsidR="002B63C7" w:rsidRPr="00883D06">
        <w:rPr>
          <w:lang w:val="fr-LU"/>
        </w:rPr>
        <w:t xml:space="preserve">La pièce </w:t>
      </w:r>
      <w:r w:rsidR="002929AC" w:rsidRPr="00883D06">
        <w:rPr>
          <w:lang w:val="fr-LU"/>
        </w:rPr>
        <w:t>n</w:t>
      </w:r>
      <w:r w:rsidR="00025BAD" w:rsidRPr="00883D06">
        <w:rPr>
          <w:lang w:val="fr-LU"/>
        </w:rPr>
        <w:t>’</w:t>
      </w:r>
      <w:r w:rsidR="002929AC" w:rsidRPr="00883D06">
        <w:rPr>
          <w:lang w:val="fr-LU"/>
        </w:rPr>
        <w:t xml:space="preserve">en </w:t>
      </w:r>
      <w:r w:rsidR="007B214E" w:rsidRPr="00883D06">
        <w:rPr>
          <w:lang w:val="fr-LU"/>
        </w:rPr>
        <w:t>est</w:t>
      </w:r>
      <w:r w:rsidR="002929AC" w:rsidRPr="00883D06">
        <w:rPr>
          <w:lang w:val="fr-LU"/>
        </w:rPr>
        <w:t xml:space="preserve"> pas moins reçue à l</w:t>
      </w:r>
      <w:r w:rsidR="00025BAD" w:rsidRPr="00883D06">
        <w:rPr>
          <w:lang w:val="fr-LU"/>
        </w:rPr>
        <w:t>’</w:t>
      </w:r>
      <w:r w:rsidR="002929AC" w:rsidRPr="00883D06">
        <w:rPr>
          <w:lang w:val="fr-LU"/>
        </w:rPr>
        <w:t xml:space="preserve">époque comme une </w:t>
      </w:r>
      <w:r w:rsidR="006568A0" w:rsidRPr="00883D06">
        <w:rPr>
          <w:lang w:val="fr-LU"/>
        </w:rPr>
        <w:t xml:space="preserve">virulente </w:t>
      </w:r>
      <w:r w:rsidR="002929AC" w:rsidRPr="00883D06">
        <w:rPr>
          <w:lang w:val="fr-LU"/>
        </w:rPr>
        <w:t xml:space="preserve">charge antimonarchique, </w:t>
      </w:r>
      <w:r w:rsidR="003C551C" w:rsidRPr="00883D06">
        <w:rPr>
          <w:lang w:val="fr-LU"/>
        </w:rPr>
        <w:t>comme en atteste</w:t>
      </w:r>
      <w:r w:rsidR="00DC31BF" w:rsidRPr="00883D06">
        <w:rPr>
          <w:lang w:val="fr-LU"/>
        </w:rPr>
        <w:t xml:space="preserve"> </w:t>
      </w:r>
      <w:r w:rsidR="002929AC" w:rsidRPr="00883D06">
        <w:rPr>
          <w:lang w:val="fr-LU"/>
        </w:rPr>
        <w:t>l</w:t>
      </w:r>
      <w:r w:rsidR="003C551C" w:rsidRPr="00883D06">
        <w:rPr>
          <w:lang w:val="fr-LU"/>
        </w:rPr>
        <w:t>e</w:t>
      </w:r>
      <w:r w:rsidR="002929AC" w:rsidRPr="00883D06">
        <w:rPr>
          <w:lang w:val="fr-LU"/>
        </w:rPr>
        <w:t xml:space="preserve"> mot attribué à Danton</w:t>
      </w:r>
      <w:r w:rsidR="00602206" w:rsidRPr="00883D06">
        <w:rPr>
          <w:lang w:val="fr-LU"/>
        </w:rPr>
        <w:t xml:space="preserve"> au sortir de la représentation</w:t>
      </w:r>
      <w:r w:rsidR="00EA4EBB" w:rsidRPr="00883D06">
        <w:rPr>
          <w:lang w:val="fr-LU"/>
        </w:rPr>
        <w:t>, révélatrice du potentiel performatif alors accordé au théâtre</w:t>
      </w:r>
      <w:r w:rsidR="002929AC" w:rsidRPr="00883D06">
        <w:rPr>
          <w:lang w:val="fr-LU"/>
        </w:rPr>
        <w:t> : « </w:t>
      </w:r>
      <w:r w:rsidR="002929AC" w:rsidRPr="00883D06">
        <w:rPr>
          <w:szCs w:val="20"/>
          <w:lang w:val="fr-LU"/>
        </w:rPr>
        <w:t xml:space="preserve">Si </w:t>
      </w:r>
      <w:r w:rsidR="002929AC" w:rsidRPr="00883D06">
        <w:rPr>
          <w:i/>
          <w:szCs w:val="20"/>
          <w:lang w:val="fr-LU"/>
        </w:rPr>
        <w:t>Figaro</w:t>
      </w:r>
      <w:r w:rsidR="002929AC" w:rsidRPr="00883D06">
        <w:rPr>
          <w:szCs w:val="20"/>
          <w:lang w:val="fr-LU"/>
        </w:rPr>
        <w:t xml:space="preserve"> a tué la noblesse, </w:t>
      </w:r>
      <w:r w:rsidR="002929AC" w:rsidRPr="00883D06">
        <w:rPr>
          <w:i/>
          <w:szCs w:val="20"/>
          <w:lang w:val="fr-LU"/>
        </w:rPr>
        <w:t>Charles</w:t>
      </w:r>
      <w:r w:rsidR="002B63C7" w:rsidRPr="00883D06">
        <w:rPr>
          <w:i/>
          <w:szCs w:val="20"/>
          <w:lang w:val="fr-LU"/>
        </w:rPr>
        <w:t> </w:t>
      </w:r>
      <w:r w:rsidR="002929AC" w:rsidRPr="00883D06">
        <w:rPr>
          <w:i/>
          <w:szCs w:val="20"/>
          <w:lang w:val="fr-LU"/>
        </w:rPr>
        <w:t>IX</w:t>
      </w:r>
      <w:r w:rsidR="002929AC" w:rsidRPr="00883D06">
        <w:rPr>
          <w:szCs w:val="20"/>
          <w:lang w:val="fr-LU"/>
        </w:rPr>
        <w:t xml:space="preserve"> tuera la royauté »</w:t>
      </w:r>
      <w:r w:rsidR="002929AC" w:rsidRPr="00883D06">
        <w:rPr>
          <w:rStyle w:val="Appelnotedebasdep"/>
          <w:szCs w:val="20"/>
          <w:lang w:val="fr-LU"/>
        </w:rPr>
        <w:footnoteReference w:id="21"/>
      </w:r>
      <w:r w:rsidR="002929AC" w:rsidRPr="00883D06">
        <w:rPr>
          <w:szCs w:val="20"/>
          <w:lang w:val="fr-LU"/>
        </w:rPr>
        <w:t>.</w:t>
      </w:r>
    </w:p>
    <w:p w14:paraId="1B98963B" w14:textId="1BB178D1" w:rsidR="00AB495E" w:rsidRPr="00883D06" w:rsidRDefault="009B4475" w:rsidP="004016AD">
      <w:pPr>
        <w:spacing w:line="240" w:lineRule="auto"/>
        <w:ind w:firstLine="708"/>
        <w:rPr>
          <w:lang w:val="fr-LU"/>
        </w:rPr>
      </w:pPr>
      <w:r w:rsidRPr="00883D06">
        <w:rPr>
          <w:lang w:val="fr-LU"/>
        </w:rPr>
        <w:t>Le répertoire des pièces représentées durant</w:t>
      </w:r>
      <w:r w:rsidR="00A7790A" w:rsidRPr="00883D06">
        <w:rPr>
          <w:lang w:val="fr-LU"/>
        </w:rPr>
        <w:t xml:space="preserve"> l</w:t>
      </w:r>
      <w:r w:rsidR="00025BAD" w:rsidRPr="00883D06">
        <w:rPr>
          <w:lang w:val="fr-LU"/>
        </w:rPr>
        <w:t>’</w:t>
      </w:r>
      <w:r w:rsidR="00A7790A" w:rsidRPr="00883D06">
        <w:rPr>
          <w:lang w:val="fr-LU"/>
        </w:rPr>
        <w:t>époque révolutionnaire</w:t>
      </w:r>
      <w:r w:rsidR="008F674E" w:rsidRPr="00883D06">
        <w:rPr>
          <w:lang w:val="fr-LU"/>
        </w:rPr>
        <w:t xml:space="preserve"> ne </w:t>
      </w:r>
      <w:r w:rsidR="00602C28" w:rsidRPr="00883D06">
        <w:rPr>
          <w:lang w:val="fr-LU"/>
        </w:rPr>
        <w:t>se borne pas</w:t>
      </w:r>
      <w:r w:rsidR="00A7790A" w:rsidRPr="00883D06">
        <w:rPr>
          <w:lang w:val="fr-LU"/>
        </w:rPr>
        <w:t xml:space="preserve"> pour autant</w:t>
      </w:r>
      <w:r w:rsidR="008F674E" w:rsidRPr="00883D06">
        <w:rPr>
          <w:lang w:val="fr-LU"/>
        </w:rPr>
        <w:t xml:space="preserve"> à une production de circonstance</w:t>
      </w:r>
      <w:r w:rsidR="00602206" w:rsidRPr="00883D06">
        <w:rPr>
          <w:lang w:val="fr-LU"/>
        </w:rPr>
        <w:t>,</w:t>
      </w:r>
      <w:r w:rsidR="00A7790A" w:rsidRPr="00883D06">
        <w:rPr>
          <w:lang w:val="fr-LU"/>
        </w:rPr>
        <w:t xml:space="preserve"> loin s</w:t>
      </w:r>
      <w:r w:rsidR="00025BAD" w:rsidRPr="00883D06">
        <w:rPr>
          <w:lang w:val="fr-LU"/>
        </w:rPr>
        <w:t>’</w:t>
      </w:r>
      <w:r w:rsidR="00A7790A" w:rsidRPr="00883D06">
        <w:rPr>
          <w:lang w:val="fr-LU"/>
        </w:rPr>
        <w:t>en faut</w:t>
      </w:r>
      <w:r w:rsidRPr="00883D06">
        <w:rPr>
          <w:lang w:val="fr-LU"/>
        </w:rPr>
        <w:t> ;</w:t>
      </w:r>
      <w:r w:rsidR="001D6504" w:rsidRPr="00883D06">
        <w:rPr>
          <w:lang w:val="fr-LU"/>
        </w:rPr>
        <w:t xml:space="preserve"> </w:t>
      </w:r>
      <w:r w:rsidR="00602206" w:rsidRPr="00883D06">
        <w:rPr>
          <w:lang w:val="fr-LU"/>
        </w:rPr>
        <w:t>les reprises préval</w:t>
      </w:r>
      <w:r w:rsidRPr="00883D06">
        <w:rPr>
          <w:lang w:val="fr-LU"/>
        </w:rPr>
        <w:t>e</w:t>
      </w:r>
      <w:r w:rsidR="00602206" w:rsidRPr="00883D06">
        <w:rPr>
          <w:lang w:val="fr-LU"/>
        </w:rPr>
        <w:t>nt</w:t>
      </w:r>
      <w:r w:rsidRPr="00883D06">
        <w:rPr>
          <w:lang w:val="fr-LU"/>
        </w:rPr>
        <w:t xml:space="preserve"> </w:t>
      </w:r>
      <w:r w:rsidR="00602206" w:rsidRPr="00883D06">
        <w:rPr>
          <w:lang w:val="fr-LU"/>
        </w:rPr>
        <w:t xml:space="preserve">de loin sur les créations, comme en attestent </w:t>
      </w:r>
      <w:r w:rsidR="001D6504" w:rsidRPr="00883D06">
        <w:rPr>
          <w:lang w:val="fr-LU"/>
        </w:rPr>
        <w:t>le répertoire du Théâtre de la Nation, celui du Théâtre de la République et celui du Théâtre Feydeau</w:t>
      </w:r>
      <w:r w:rsidR="00E61FD1" w:rsidRPr="00883D06">
        <w:rPr>
          <w:rStyle w:val="Appelnotedebasdep"/>
          <w:lang w:val="fr-LU"/>
        </w:rPr>
        <w:footnoteReference w:id="22"/>
      </w:r>
      <w:r w:rsidRPr="00883D06">
        <w:rPr>
          <w:lang w:val="fr-LU"/>
        </w:rPr>
        <w:t>, et les comédies légères prédominent sur les pièces explicitement politiques</w:t>
      </w:r>
      <w:r w:rsidRPr="00883D06">
        <w:rPr>
          <w:rStyle w:val="Appelnotedebasdep"/>
          <w:lang w:val="fr-LU"/>
        </w:rPr>
        <w:footnoteReference w:id="23"/>
      </w:r>
      <w:r w:rsidR="008F674E" w:rsidRPr="00883D06">
        <w:rPr>
          <w:lang w:val="fr-LU"/>
        </w:rPr>
        <w:t xml:space="preserve">. </w:t>
      </w:r>
      <w:r w:rsidR="00AB495E" w:rsidRPr="00883D06">
        <w:rPr>
          <w:lang w:val="fr-LU"/>
        </w:rPr>
        <w:t xml:space="preserve">Le contraste est </w:t>
      </w:r>
      <w:r w:rsidR="008F674E" w:rsidRPr="00883D06">
        <w:rPr>
          <w:lang w:val="fr-LU"/>
        </w:rPr>
        <w:t xml:space="preserve">ainsi </w:t>
      </w:r>
      <w:r w:rsidR="00AB495E" w:rsidRPr="00883D06">
        <w:rPr>
          <w:lang w:val="fr-LU"/>
        </w:rPr>
        <w:t xml:space="preserve">saisissant entre la </w:t>
      </w:r>
      <w:r w:rsidR="00126B64" w:rsidRPr="00883D06">
        <w:rPr>
          <w:lang w:val="fr-LU"/>
        </w:rPr>
        <w:t>violence propre à l</w:t>
      </w:r>
      <w:r w:rsidR="00025BAD" w:rsidRPr="00883D06">
        <w:rPr>
          <w:lang w:val="fr-LU"/>
        </w:rPr>
        <w:t>’</w:t>
      </w:r>
      <w:r w:rsidR="00126B64" w:rsidRPr="00883D06">
        <w:rPr>
          <w:lang w:val="fr-LU"/>
        </w:rPr>
        <w:t>époque révolutionnaire</w:t>
      </w:r>
      <w:r w:rsidR="00AB495E" w:rsidRPr="00883D06">
        <w:rPr>
          <w:lang w:val="fr-LU"/>
        </w:rPr>
        <w:t xml:space="preserve"> et la </w:t>
      </w:r>
      <w:r w:rsidR="00430600" w:rsidRPr="00883D06">
        <w:rPr>
          <w:lang w:val="fr-LU"/>
        </w:rPr>
        <w:t>vogue</w:t>
      </w:r>
      <w:r w:rsidR="0017614A" w:rsidRPr="00883D06">
        <w:rPr>
          <w:lang w:val="fr-LU"/>
        </w:rPr>
        <w:t xml:space="preserve">, en 1792, </w:t>
      </w:r>
      <w:r w:rsidR="00430600" w:rsidRPr="00883D06">
        <w:rPr>
          <w:lang w:val="fr-LU"/>
        </w:rPr>
        <w:t>de la pastorale dramatique</w:t>
      </w:r>
      <w:r w:rsidR="00AB495E" w:rsidRPr="00883D06">
        <w:rPr>
          <w:lang w:val="fr-LU"/>
        </w:rPr>
        <w:t> :</w:t>
      </w:r>
    </w:p>
    <w:p w14:paraId="47C81CFD" w14:textId="05BE501E" w:rsidR="00AB495E" w:rsidRPr="00883D06" w:rsidRDefault="00AB495E" w:rsidP="00493B16">
      <w:pPr>
        <w:spacing w:line="240" w:lineRule="auto"/>
        <w:ind w:left="567"/>
        <w:rPr>
          <w:sz w:val="20"/>
          <w:lang w:val="fr-LU"/>
        </w:rPr>
      </w:pPr>
      <w:r w:rsidRPr="00883D06">
        <w:rPr>
          <w:sz w:val="20"/>
          <w:lang w:val="fr-LU"/>
        </w:rPr>
        <w:t>Tandis que la tragédie rougissait les rues, la bergerie florissait au théâtre ; il n</w:t>
      </w:r>
      <w:r w:rsidR="00025BAD" w:rsidRPr="00883D06">
        <w:rPr>
          <w:sz w:val="20"/>
          <w:lang w:val="fr-LU"/>
        </w:rPr>
        <w:t>’</w:t>
      </w:r>
      <w:r w:rsidRPr="00883D06">
        <w:rPr>
          <w:sz w:val="20"/>
          <w:lang w:val="fr-LU"/>
        </w:rPr>
        <w:t>était question que d</w:t>
      </w:r>
      <w:r w:rsidR="00025BAD" w:rsidRPr="00883D06">
        <w:rPr>
          <w:sz w:val="20"/>
          <w:lang w:val="fr-LU"/>
        </w:rPr>
        <w:t>’</w:t>
      </w:r>
      <w:r w:rsidRPr="00883D06">
        <w:rPr>
          <w:sz w:val="20"/>
          <w:lang w:val="fr-LU"/>
        </w:rPr>
        <w:t>innocents pasteurs et de virginales pastourelles : champs, ruisseaux, prairies, moutons, colombes, âge d</w:t>
      </w:r>
      <w:r w:rsidR="00025BAD" w:rsidRPr="00883D06">
        <w:rPr>
          <w:sz w:val="20"/>
          <w:lang w:val="fr-LU"/>
        </w:rPr>
        <w:t>’</w:t>
      </w:r>
      <w:r w:rsidRPr="00883D06">
        <w:rPr>
          <w:sz w:val="20"/>
          <w:lang w:val="fr-LU"/>
        </w:rPr>
        <w:t xml:space="preserve">or sous le chaume, revivaient aux soupirs du pipeau devant les roucoulants </w:t>
      </w:r>
      <w:proofErr w:type="spellStart"/>
      <w:r w:rsidRPr="00883D06">
        <w:rPr>
          <w:sz w:val="20"/>
          <w:lang w:val="fr-LU"/>
        </w:rPr>
        <w:t>Tircis</w:t>
      </w:r>
      <w:proofErr w:type="spellEnd"/>
      <w:r w:rsidRPr="00883D06">
        <w:rPr>
          <w:rStyle w:val="Appelnotedebasdep"/>
          <w:sz w:val="20"/>
          <w:lang w:val="fr-LU"/>
        </w:rPr>
        <w:footnoteReference w:id="24"/>
      </w:r>
      <w:r w:rsidRPr="00883D06">
        <w:rPr>
          <w:sz w:val="20"/>
          <w:lang w:val="fr-LU"/>
        </w:rPr>
        <w:t xml:space="preserve"> et les naïves tricoteuses qui sortaient du spectacle de la guillotine. Si Sanson en avait eu le temps, il aurait joué le rôle de Colin, et mademoiselle Théroigne de Méricourt, celui de Babet</w:t>
      </w:r>
      <w:r w:rsidRPr="00883D06">
        <w:rPr>
          <w:rStyle w:val="Appelnotedebasdep"/>
          <w:sz w:val="20"/>
          <w:lang w:val="fr-LU"/>
        </w:rPr>
        <w:footnoteReference w:id="25"/>
      </w:r>
      <w:r w:rsidRPr="00883D06">
        <w:rPr>
          <w:sz w:val="20"/>
          <w:lang w:val="fr-LU"/>
        </w:rPr>
        <w:t>. Les conventionnels se piquaient d</w:t>
      </w:r>
      <w:r w:rsidR="00025BAD" w:rsidRPr="00883D06">
        <w:rPr>
          <w:sz w:val="20"/>
          <w:lang w:val="fr-LU"/>
        </w:rPr>
        <w:t>’</w:t>
      </w:r>
      <w:r w:rsidRPr="00883D06">
        <w:rPr>
          <w:sz w:val="20"/>
          <w:lang w:val="fr-LU"/>
        </w:rPr>
        <w:t>être les plus bénins des hommes […]. Ils chantaient la nature, la paix, la pitié, la bienfaisance, la candeur, les vertus domestiques ; ces béats de philanthropie faisaient couper le cou à leurs voisins avec une extrême sensibilité, pour le plus grand bonheur de l</w:t>
      </w:r>
      <w:r w:rsidR="00025BAD" w:rsidRPr="00883D06">
        <w:rPr>
          <w:sz w:val="20"/>
          <w:lang w:val="fr-LU"/>
        </w:rPr>
        <w:t>’</w:t>
      </w:r>
      <w:r w:rsidRPr="00883D06">
        <w:rPr>
          <w:sz w:val="20"/>
          <w:lang w:val="fr-LU"/>
        </w:rPr>
        <w:t>espèce humaine</w:t>
      </w:r>
      <w:r w:rsidRPr="00883D06">
        <w:rPr>
          <w:rStyle w:val="Appelnotedebasdep"/>
          <w:sz w:val="20"/>
          <w:lang w:val="fr-LU"/>
        </w:rPr>
        <w:footnoteReference w:id="26"/>
      </w:r>
      <w:r w:rsidRPr="00883D06">
        <w:rPr>
          <w:sz w:val="20"/>
          <w:lang w:val="fr-LU"/>
        </w:rPr>
        <w:t>.</w:t>
      </w:r>
    </w:p>
    <w:p w14:paraId="18F20A52" w14:textId="059E3097" w:rsidR="00D14314" w:rsidRPr="00883D06" w:rsidRDefault="00D14314" w:rsidP="004016AD">
      <w:pPr>
        <w:spacing w:line="240" w:lineRule="auto"/>
        <w:rPr>
          <w:lang w:val="fr-LU"/>
        </w:rPr>
      </w:pPr>
      <w:r w:rsidRPr="00883D06">
        <w:rPr>
          <w:lang w:val="fr-LU"/>
        </w:rPr>
        <w:t>Le passage évoque le rapprochement fait dans l</w:t>
      </w:r>
      <w:r w:rsidR="00025BAD" w:rsidRPr="00883D06">
        <w:rPr>
          <w:lang w:val="fr-LU"/>
        </w:rPr>
        <w:t>’</w:t>
      </w:r>
      <w:r w:rsidRPr="00883D06">
        <w:rPr>
          <w:i/>
          <w:lang w:val="fr-LU"/>
        </w:rPr>
        <w:t xml:space="preserve">Essai sur les révolutions </w:t>
      </w:r>
      <w:r w:rsidRPr="00883D06">
        <w:rPr>
          <w:lang w:val="fr-LU"/>
        </w:rPr>
        <w:t xml:space="preserve">entre </w:t>
      </w:r>
      <w:r w:rsidR="00E6721E" w:rsidRPr="00883D06">
        <w:rPr>
          <w:lang w:val="fr-LU"/>
        </w:rPr>
        <w:t xml:space="preserve">la </w:t>
      </w:r>
      <w:r w:rsidRPr="00883D06">
        <w:rPr>
          <w:lang w:val="fr-LU"/>
        </w:rPr>
        <w:t xml:space="preserve">Grèce antique et </w:t>
      </w:r>
      <w:r w:rsidR="00E6721E" w:rsidRPr="00883D06">
        <w:rPr>
          <w:lang w:val="fr-LU"/>
        </w:rPr>
        <w:t xml:space="preserve">la </w:t>
      </w:r>
      <w:r w:rsidRPr="00883D06">
        <w:rPr>
          <w:lang w:val="fr-LU"/>
        </w:rPr>
        <w:t>France contemporaine</w:t>
      </w:r>
      <w:r w:rsidR="00EA3EE6" w:rsidRPr="00883D06">
        <w:rPr>
          <w:lang w:val="fr-LU"/>
        </w:rPr>
        <w:t xml:space="preserve">, </w:t>
      </w:r>
      <w:r w:rsidR="00DA1D55" w:rsidRPr="00883D06">
        <w:rPr>
          <w:lang w:val="fr-LU"/>
        </w:rPr>
        <w:t xml:space="preserve">les </w:t>
      </w:r>
      <w:r w:rsidR="00EA3EE6" w:rsidRPr="00883D06">
        <w:rPr>
          <w:lang w:val="fr-LU"/>
        </w:rPr>
        <w:t xml:space="preserve">Athéniens et </w:t>
      </w:r>
      <w:r w:rsidR="00DA1D55" w:rsidRPr="00883D06">
        <w:rPr>
          <w:lang w:val="fr-LU"/>
        </w:rPr>
        <w:t xml:space="preserve">les </w:t>
      </w:r>
      <w:r w:rsidR="00EA3EE6" w:rsidRPr="00883D06">
        <w:rPr>
          <w:lang w:val="fr-LU"/>
        </w:rPr>
        <w:t>Français</w:t>
      </w:r>
      <w:r w:rsidR="00DA1D55" w:rsidRPr="00883D06">
        <w:rPr>
          <w:lang w:val="fr-LU"/>
        </w:rPr>
        <w:t>,</w:t>
      </w:r>
      <w:r w:rsidR="00EA3EE6" w:rsidRPr="00883D06">
        <w:rPr>
          <w:lang w:val="fr-LU"/>
        </w:rPr>
        <w:t xml:space="preserve"> « tour à tour plus doux, plus innocents que la brebis qu</w:t>
      </w:r>
      <w:r w:rsidR="00025BAD" w:rsidRPr="00883D06">
        <w:rPr>
          <w:lang w:val="fr-LU"/>
        </w:rPr>
        <w:t>’</w:t>
      </w:r>
      <w:r w:rsidR="00EA3EE6" w:rsidRPr="00883D06">
        <w:rPr>
          <w:lang w:val="fr-LU"/>
        </w:rPr>
        <w:t>on égorge, et plus féroces que le tigre qui déchire les entrailles de sa victime</w:t>
      </w:r>
      <w:r w:rsidR="00EA3EE6" w:rsidRPr="00883D06">
        <w:rPr>
          <w:rStyle w:val="Appelnotedebasdep"/>
          <w:lang w:val="fr-LU"/>
        </w:rPr>
        <w:footnoteReference w:id="27"/>
      </w:r>
      <w:r w:rsidR="00EA3EE6" w:rsidRPr="00883D06">
        <w:rPr>
          <w:lang w:val="fr-LU"/>
        </w:rPr>
        <w:t> »</w:t>
      </w:r>
      <w:r w:rsidR="006765B6" w:rsidRPr="00883D06">
        <w:rPr>
          <w:lang w:val="fr-LU"/>
        </w:rPr>
        <w:t>. Aussi alternent-ils sacrifices et spectacles</w:t>
      </w:r>
      <w:r w:rsidR="00E32D75" w:rsidRPr="00883D06">
        <w:rPr>
          <w:lang w:val="fr-LU"/>
        </w:rPr>
        <w:t xml:space="preserve"> avec une équanimité digne de remarque</w:t>
      </w:r>
      <w:r w:rsidRPr="00883D06">
        <w:rPr>
          <w:lang w:val="fr-LU"/>
        </w:rPr>
        <w:t> :</w:t>
      </w:r>
    </w:p>
    <w:p w14:paraId="5E9D4338" w14:textId="2A54880B" w:rsidR="00D14314" w:rsidRPr="00883D06" w:rsidRDefault="00D14314" w:rsidP="00493B16">
      <w:pPr>
        <w:spacing w:line="240" w:lineRule="auto"/>
        <w:ind w:left="567"/>
        <w:rPr>
          <w:sz w:val="20"/>
          <w:lang w:val="fr-LU"/>
        </w:rPr>
      </w:pPr>
      <w:r w:rsidRPr="00883D06">
        <w:rPr>
          <w:sz w:val="20"/>
          <w:lang w:val="fr-LU"/>
        </w:rPr>
        <w:t>Mais où court tout ce peuple furieux ? d</w:t>
      </w:r>
      <w:r w:rsidR="00025BAD" w:rsidRPr="00883D06">
        <w:rPr>
          <w:sz w:val="20"/>
          <w:lang w:val="fr-LU"/>
        </w:rPr>
        <w:t>’</w:t>
      </w:r>
      <w:r w:rsidRPr="00883D06">
        <w:rPr>
          <w:sz w:val="20"/>
          <w:lang w:val="fr-LU"/>
        </w:rPr>
        <w:t>où viennent ces cris de rage dans les uns, et de désespoir dans les autres ? Quelles sont ces victimes égorgées sur l</w:t>
      </w:r>
      <w:r w:rsidR="00025BAD" w:rsidRPr="00883D06">
        <w:rPr>
          <w:sz w:val="20"/>
          <w:lang w:val="fr-LU"/>
        </w:rPr>
        <w:t>’</w:t>
      </w:r>
      <w:r w:rsidRPr="00883D06">
        <w:rPr>
          <w:sz w:val="20"/>
          <w:lang w:val="fr-LU"/>
        </w:rPr>
        <w:t>autel des Euménides ? Quel cœur ces monstres à la bouche teinte de sang ont-ils dévoré ?... Ce n</w:t>
      </w:r>
      <w:r w:rsidR="00025BAD" w:rsidRPr="00883D06">
        <w:rPr>
          <w:sz w:val="20"/>
          <w:lang w:val="fr-LU"/>
        </w:rPr>
        <w:t>’</w:t>
      </w:r>
      <w:r w:rsidRPr="00883D06">
        <w:rPr>
          <w:sz w:val="20"/>
          <w:lang w:val="fr-LU"/>
        </w:rPr>
        <w:t xml:space="preserve">est rien : ce sont ces </w:t>
      </w:r>
      <w:r w:rsidR="00817E80" w:rsidRPr="00883D06">
        <w:rPr>
          <w:sz w:val="20"/>
          <w:lang w:val="fr-LU"/>
        </w:rPr>
        <w:t>É</w:t>
      </w:r>
      <w:r w:rsidRPr="00883D06">
        <w:rPr>
          <w:sz w:val="20"/>
          <w:lang w:val="fr-LU"/>
        </w:rPr>
        <w:t>picuriens que vous avez vus danser à la fête, et qui, ce soir, assisteront tranquillement aux farces de Thespis, ou aux ballets de l</w:t>
      </w:r>
      <w:r w:rsidR="00025BAD" w:rsidRPr="00883D06">
        <w:rPr>
          <w:sz w:val="20"/>
          <w:lang w:val="fr-LU"/>
        </w:rPr>
        <w:t>’</w:t>
      </w:r>
      <w:r w:rsidRPr="00883D06">
        <w:rPr>
          <w:sz w:val="20"/>
          <w:lang w:val="fr-LU"/>
        </w:rPr>
        <w:t>Opéra</w:t>
      </w:r>
      <w:r w:rsidRPr="00883D06">
        <w:rPr>
          <w:rStyle w:val="Appelnotedebasdep"/>
          <w:sz w:val="20"/>
          <w:lang w:val="fr-LU"/>
        </w:rPr>
        <w:footnoteReference w:id="28"/>
      </w:r>
      <w:r w:rsidRPr="00883D06">
        <w:rPr>
          <w:sz w:val="20"/>
          <w:lang w:val="fr-LU"/>
        </w:rPr>
        <w:t>.</w:t>
      </w:r>
    </w:p>
    <w:p w14:paraId="630D01A8" w14:textId="7E00B66D" w:rsidR="00AB495E" w:rsidRPr="00883D06" w:rsidRDefault="00D42A94" w:rsidP="004016AD">
      <w:pPr>
        <w:spacing w:line="240" w:lineRule="auto"/>
        <w:rPr>
          <w:lang w:val="fr-LU"/>
        </w:rPr>
      </w:pPr>
      <w:r w:rsidRPr="00883D06">
        <w:rPr>
          <w:lang w:val="fr-LU"/>
        </w:rPr>
        <w:t>Cette coexistence auparavant i</w:t>
      </w:r>
      <w:r w:rsidR="00DA1D55" w:rsidRPr="00883D06">
        <w:rPr>
          <w:lang w:val="fr-LU"/>
        </w:rPr>
        <w:t>mpensable</w:t>
      </w:r>
      <w:r w:rsidRPr="00883D06">
        <w:rPr>
          <w:lang w:val="fr-LU"/>
        </w:rPr>
        <w:t xml:space="preserve"> </w:t>
      </w:r>
      <w:r w:rsidR="00DA1D55" w:rsidRPr="00883D06">
        <w:rPr>
          <w:lang w:val="fr-LU"/>
        </w:rPr>
        <w:t>–</w:t>
      </w:r>
      <w:r w:rsidRPr="00883D06">
        <w:rPr>
          <w:lang w:val="fr-LU"/>
        </w:rPr>
        <w:t xml:space="preserve"> et</w:t>
      </w:r>
      <w:r w:rsidR="005C3822" w:rsidRPr="00883D06">
        <w:rPr>
          <w:lang w:val="fr-LU"/>
        </w:rPr>
        <w:t xml:space="preserve"> rendu</w:t>
      </w:r>
      <w:r w:rsidR="00AD1491" w:rsidRPr="00883D06">
        <w:rPr>
          <w:lang w:val="fr-LU"/>
        </w:rPr>
        <w:t>e</w:t>
      </w:r>
      <w:r w:rsidR="00817E80" w:rsidRPr="00883D06">
        <w:rPr>
          <w:lang w:val="fr-LU"/>
        </w:rPr>
        <w:t xml:space="preserve"> ici comme là</w:t>
      </w:r>
      <w:r w:rsidR="005C3822" w:rsidRPr="00883D06">
        <w:rPr>
          <w:lang w:val="fr-LU"/>
        </w:rPr>
        <w:t xml:space="preserve"> par une ironie corrosive</w:t>
      </w:r>
      <w:r w:rsidR="00DA1D55" w:rsidRPr="00883D06">
        <w:rPr>
          <w:lang w:val="fr-LU"/>
        </w:rPr>
        <w:t xml:space="preserve"> –</w:t>
      </w:r>
      <w:r w:rsidR="00AB495E" w:rsidRPr="00883D06">
        <w:rPr>
          <w:lang w:val="fr-LU"/>
        </w:rPr>
        <w:t xml:space="preserve"> entre </w:t>
      </w:r>
      <w:r w:rsidR="00AD1491" w:rsidRPr="00883D06">
        <w:rPr>
          <w:lang w:val="fr-LU"/>
        </w:rPr>
        <w:t>les massacres qui rougissent</w:t>
      </w:r>
      <w:r w:rsidR="00AB495E" w:rsidRPr="00883D06">
        <w:rPr>
          <w:lang w:val="fr-LU"/>
        </w:rPr>
        <w:t xml:space="preserve"> les rues de Paris</w:t>
      </w:r>
      <w:r w:rsidR="00AD1491" w:rsidRPr="00883D06">
        <w:rPr>
          <w:lang w:val="fr-LU"/>
        </w:rPr>
        <w:t xml:space="preserve"> </w:t>
      </w:r>
      <w:r w:rsidR="00AB495E" w:rsidRPr="00883D06">
        <w:rPr>
          <w:lang w:val="fr-LU"/>
        </w:rPr>
        <w:t xml:space="preserve">et la </w:t>
      </w:r>
      <w:r w:rsidR="00AD1491" w:rsidRPr="00883D06">
        <w:rPr>
          <w:lang w:val="fr-LU"/>
        </w:rPr>
        <w:t>mode bucolique</w:t>
      </w:r>
      <w:r w:rsidR="006556ED" w:rsidRPr="00883D06">
        <w:rPr>
          <w:lang w:val="fr-LU"/>
        </w:rPr>
        <w:t xml:space="preserve"> qui fleurit au théâtre, la violence coupable du présent et l</w:t>
      </w:r>
      <w:r w:rsidR="00025BAD" w:rsidRPr="00883D06">
        <w:rPr>
          <w:lang w:val="fr-LU"/>
        </w:rPr>
        <w:t>’</w:t>
      </w:r>
      <w:r w:rsidR="006556ED" w:rsidRPr="00883D06">
        <w:rPr>
          <w:lang w:val="fr-LU"/>
        </w:rPr>
        <w:t>innocence d</w:t>
      </w:r>
      <w:r w:rsidR="00025BAD" w:rsidRPr="00883D06">
        <w:rPr>
          <w:lang w:val="fr-LU"/>
        </w:rPr>
        <w:t>’</w:t>
      </w:r>
      <w:r w:rsidR="006556ED" w:rsidRPr="00883D06">
        <w:rPr>
          <w:lang w:val="fr-LU"/>
        </w:rPr>
        <w:t>un âge d</w:t>
      </w:r>
      <w:r w:rsidR="00025BAD" w:rsidRPr="00883D06">
        <w:rPr>
          <w:lang w:val="fr-LU"/>
        </w:rPr>
        <w:t>’</w:t>
      </w:r>
      <w:r w:rsidR="006556ED" w:rsidRPr="00883D06">
        <w:rPr>
          <w:lang w:val="fr-LU"/>
        </w:rPr>
        <w:t>or idyllique</w:t>
      </w:r>
      <w:r w:rsidR="00827899" w:rsidRPr="00883D06">
        <w:rPr>
          <w:rStyle w:val="Appelnotedebasdep"/>
          <w:lang w:val="fr-LU"/>
        </w:rPr>
        <w:footnoteReference w:id="29"/>
      </w:r>
      <w:r w:rsidR="006556ED" w:rsidRPr="00883D06">
        <w:rPr>
          <w:lang w:val="fr-LU"/>
        </w:rPr>
        <w:t>,</w:t>
      </w:r>
      <w:r w:rsidR="00425AF7" w:rsidRPr="00883D06">
        <w:rPr>
          <w:lang w:val="fr-LU"/>
        </w:rPr>
        <w:t xml:space="preserve"> les discours pacifistes des conventionnels et leur usage de la guillotine,</w:t>
      </w:r>
      <w:r w:rsidR="006B1844" w:rsidRPr="00883D06">
        <w:rPr>
          <w:lang w:val="fr-LU"/>
        </w:rPr>
        <w:t xml:space="preserve"> </w:t>
      </w:r>
      <w:r w:rsidR="00DA1D55" w:rsidRPr="00883D06">
        <w:rPr>
          <w:lang w:val="fr-LU"/>
        </w:rPr>
        <w:t>est</w:t>
      </w:r>
      <w:r w:rsidRPr="00883D06">
        <w:rPr>
          <w:lang w:val="fr-LU"/>
        </w:rPr>
        <w:t xml:space="preserve"> désormais</w:t>
      </w:r>
      <w:r w:rsidR="00DA1D55" w:rsidRPr="00883D06">
        <w:rPr>
          <w:lang w:val="fr-LU"/>
        </w:rPr>
        <w:t xml:space="preserve"> chose courante</w:t>
      </w:r>
      <w:r w:rsidRPr="00883D06">
        <w:rPr>
          <w:lang w:val="fr-LU"/>
        </w:rPr>
        <w:t xml:space="preserve">, tant est </w:t>
      </w:r>
      <w:r w:rsidR="00E56DF5" w:rsidRPr="00883D06">
        <w:rPr>
          <w:lang w:val="fr-LU"/>
        </w:rPr>
        <w:t>perméable</w:t>
      </w:r>
      <w:r w:rsidR="006556ED" w:rsidRPr="00883D06">
        <w:rPr>
          <w:lang w:val="fr-LU"/>
        </w:rPr>
        <w:t xml:space="preserve"> </w:t>
      </w:r>
      <w:r w:rsidR="00427513" w:rsidRPr="00883D06">
        <w:rPr>
          <w:lang w:val="fr-LU"/>
        </w:rPr>
        <w:t>la limite entre la tribune, la scène de théâtre et l</w:t>
      </w:r>
      <w:r w:rsidR="00025BAD" w:rsidRPr="00883D06">
        <w:rPr>
          <w:lang w:val="fr-LU"/>
        </w:rPr>
        <w:t>’</w:t>
      </w:r>
      <w:r w:rsidR="00427513" w:rsidRPr="00883D06">
        <w:rPr>
          <w:lang w:val="fr-LU"/>
        </w:rPr>
        <w:t>échafaud</w:t>
      </w:r>
      <w:r w:rsidR="005C4228" w:rsidRPr="00883D06">
        <w:rPr>
          <w:rStyle w:val="Appelnotedebasdep"/>
          <w:lang w:val="fr-LU"/>
        </w:rPr>
        <w:footnoteReference w:id="30"/>
      </w:r>
      <w:r w:rsidR="00E56DF5" w:rsidRPr="00883D06">
        <w:rPr>
          <w:lang w:val="fr-LU"/>
        </w:rPr>
        <w:t xml:space="preserve"> –</w:t>
      </w:r>
      <w:r w:rsidR="00007471" w:rsidRPr="00883D06">
        <w:rPr>
          <w:lang w:val="fr-LU"/>
        </w:rPr>
        <w:t xml:space="preserve"> </w:t>
      </w:r>
      <w:r w:rsidR="00D84D21" w:rsidRPr="00883D06">
        <w:rPr>
          <w:lang w:val="fr-LU"/>
        </w:rPr>
        <w:t>l</w:t>
      </w:r>
      <w:r w:rsidR="0048026C" w:rsidRPr="00883D06">
        <w:rPr>
          <w:lang w:val="fr-LU"/>
        </w:rPr>
        <w:t>e parterre</w:t>
      </w:r>
      <w:r w:rsidR="00512593" w:rsidRPr="00883D06">
        <w:rPr>
          <w:lang w:val="fr-LU"/>
        </w:rPr>
        <w:t xml:space="preserve"> </w:t>
      </w:r>
      <w:r w:rsidR="00D84D21" w:rsidRPr="00883D06">
        <w:rPr>
          <w:lang w:val="fr-LU"/>
        </w:rPr>
        <w:t>étant</w:t>
      </w:r>
      <w:r w:rsidR="00DA1D55" w:rsidRPr="00883D06">
        <w:rPr>
          <w:lang w:val="fr-LU"/>
        </w:rPr>
        <w:t xml:space="preserve"> par ailleurs</w:t>
      </w:r>
      <w:r w:rsidR="00512593" w:rsidRPr="00883D06">
        <w:rPr>
          <w:lang w:val="fr-LU"/>
        </w:rPr>
        <w:t xml:space="preserve"> </w:t>
      </w:r>
      <w:r w:rsidR="0048026C" w:rsidRPr="00883D06">
        <w:rPr>
          <w:lang w:val="fr-LU"/>
        </w:rPr>
        <w:t xml:space="preserve">prompt à </w:t>
      </w:r>
      <w:r w:rsidR="00007471" w:rsidRPr="00883D06">
        <w:rPr>
          <w:lang w:val="fr-LU"/>
        </w:rPr>
        <w:t>suppléer à cette confusion en voyant</w:t>
      </w:r>
      <w:r w:rsidR="0048026C" w:rsidRPr="00883D06">
        <w:rPr>
          <w:lang w:val="fr-LU"/>
        </w:rPr>
        <w:t xml:space="preserve"> dans des répliques sorti</w:t>
      </w:r>
      <w:r w:rsidR="00007471" w:rsidRPr="00883D06">
        <w:rPr>
          <w:lang w:val="fr-LU"/>
        </w:rPr>
        <w:t>e</w:t>
      </w:r>
      <w:r w:rsidR="0048026C" w:rsidRPr="00883D06">
        <w:rPr>
          <w:lang w:val="fr-LU"/>
        </w:rPr>
        <w:t>s de leur contexte des allusions à l’actualité</w:t>
      </w:r>
      <w:r w:rsidR="0048026C" w:rsidRPr="00883D06">
        <w:rPr>
          <w:rStyle w:val="Appelnotedebasdep"/>
          <w:lang w:val="fr-LU"/>
        </w:rPr>
        <w:footnoteReference w:id="31"/>
      </w:r>
      <w:r w:rsidR="00827899" w:rsidRPr="00883D06">
        <w:rPr>
          <w:lang w:val="fr-LU"/>
        </w:rPr>
        <w:t xml:space="preserve">. </w:t>
      </w:r>
      <w:r w:rsidR="006556ED" w:rsidRPr="00883D06">
        <w:rPr>
          <w:lang w:val="fr-LU"/>
        </w:rPr>
        <w:t xml:space="preserve">Babet potentielle, </w:t>
      </w:r>
      <w:r w:rsidR="00AB495E" w:rsidRPr="00883D06">
        <w:rPr>
          <w:lang w:val="fr-LU"/>
        </w:rPr>
        <w:t>Théroigne de Méricourt,</w:t>
      </w:r>
      <w:r w:rsidR="00E32D75" w:rsidRPr="00883D06">
        <w:rPr>
          <w:lang w:val="fr-LU"/>
        </w:rPr>
        <w:t xml:space="preserve"> bientôt</w:t>
      </w:r>
      <w:r w:rsidR="00AB495E" w:rsidRPr="00883D06">
        <w:rPr>
          <w:lang w:val="fr-LU"/>
        </w:rPr>
        <w:t xml:space="preserve"> frappée de folie, </w:t>
      </w:r>
      <w:r w:rsidR="005C3822" w:rsidRPr="00883D06">
        <w:rPr>
          <w:lang w:val="fr-LU"/>
        </w:rPr>
        <w:t>incarne</w:t>
      </w:r>
      <w:r w:rsidR="009A3955" w:rsidRPr="00883D06">
        <w:rPr>
          <w:lang w:val="fr-LU"/>
        </w:rPr>
        <w:t xml:space="preserve"> </w:t>
      </w:r>
      <w:r w:rsidR="00CC4AA8" w:rsidRPr="00883D06">
        <w:rPr>
          <w:lang w:val="fr-LU"/>
        </w:rPr>
        <w:t xml:space="preserve">bien </w:t>
      </w:r>
      <w:r w:rsidR="009A3955" w:rsidRPr="00883D06">
        <w:rPr>
          <w:lang w:val="fr-LU"/>
        </w:rPr>
        <w:t>ici</w:t>
      </w:r>
      <w:r w:rsidR="006556ED" w:rsidRPr="00883D06">
        <w:rPr>
          <w:lang w:val="fr-LU"/>
        </w:rPr>
        <w:t xml:space="preserve"> aux côtés du bourreau Charles-Henri Sanson, Colin</w:t>
      </w:r>
      <w:r w:rsidR="005C3822" w:rsidRPr="00883D06">
        <w:rPr>
          <w:lang w:val="fr-LU"/>
        </w:rPr>
        <w:t xml:space="preserve"> </w:t>
      </w:r>
      <w:r w:rsidR="00425AF7" w:rsidRPr="00883D06">
        <w:rPr>
          <w:lang w:val="fr-LU"/>
        </w:rPr>
        <w:t xml:space="preserve">rêvé </w:t>
      </w:r>
      <w:r w:rsidR="005C3822" w:rsidRPr="00883D06">
        <w:rPr>
          <w:lang w:val="fr-LU"/>
        </w:rPr>
        <w:t xml:space="preserve">auquel on devrait la décapitation de </w:t>
      </w:r>
      <w:r w:rsidR="005C3822" w:rsidRPr="00883D06">
        <w:rPr>
          <w:lang w:val="fr-LU"/>
        </w:rPr>
        <w:lastRenderedPageBreak/>
        <w:t>Louis XVI</w:t>
      </w:r>
      <w:r w:rsidR="00477F2D" w:rsidRPr="00883D06">
        <w:rPr>
          <w:lang w:val="fr-LU"/>
        </w:rPr>
        <w:t xml:space="preserve"> et celle</w:t>
      </w:r>
      <w:r w:rsidR="005C3822" w:rsidRPr="00883D06">
        <w:rPr>
          <w:lang w:val="fr-LU"/>
        </w:rPr>
        <w:t xml:space="preserve"> de Robespierre</w:t>
      </w:r>
      <w:r w:rsidR="006556ED" w:rsidRPr="00883D06">
        <w:rPr>
          <w:lang w:val="fr-LU"/>
        </w:rPr>
        <w:t>,</w:t>
      </w:r>
      <w:r w:rsidR="00E32D75" w:rsidRPr="00883D06">
        <w:rPr>
          <w:lang w:val="fr-LU"/>
        </w:rPr>
        <w:t xml:space="preserve"> le vertige permanent de la folie </w:t>
      </w:r>
      <w:r w:rsidR="00C11F70" w:rsidRPr="00883D06">
        <w:rPr>
          <w:lang w:val="fr-LU"/>
        </w:rPr>
        <w:t>caractéristique de</w:t>
      </w:r>
      <w:r w:rsidR="00AB495E" w:rsidRPr="00883D06">
        <w:rPr>
          <w:lang w:val="fr-LU"/>
        </w:rPr>
        <w:t xml:space="preserve"> l</w:t>
      </w:r>
      <w:r w:rsidR="00025BAD" w:rsidRPr="00883D06">
        <w:rPr>
          <w:lang w:val="fr-LU"/>
        </w:rPr>
        <w:t>’</w:t>
      </w:r>
      <w:r w:rsidR="00AB495E" w:rsidRPr="00883D06">
        <w:rPr>
          <w:lang w:val="fr-LU"/>
        </w:rPr>
        <w:t>épisode révolutionnaire.</w:t>
      </w:r>
      <w:r w:rsidR="00425AF7" w:rsidRPr="00883D06">
        <w:rPr>
          <w:lang w:val="fr-LU"/>
        </w:rPr>
        <w:t xml:space="preserve"> </w:t>
      </w:r>
    </w:p>
    <w:p w14:paraId="05056B84" w14:textId="47FB7700" w:rsidR="00427513" w:rsidRPr="00883D06" w:rsidRDefault="005C3822" w:rsidP="004016AD">
      <w:pPr>
        <w:spacing w:line="240" w:lineRule="auto"/>
        <w:ind w:firstLine="708"/>
        <w:rPr>
          <w:color w:val="FF0000"/>
        </w:rPr>
      </w:pPr>
      <w:r w:rsidRPr="00883D06">
        <w:rPr>
          <w:lang w:val="fr-LU"/>
        </w:rPr>
        <w:t>S</w:t>
      </w:r>
      <w:r w:rsidR="00436EE8" w:rsidRPr="00883D06">
        <w:rPr>
          <w:lang w:val="fr-LU"/>
        </w:rPr>
        <w:t>ympt</w:t>
      </w:r>
      <w:r w:rsidRPr="00883D06">
        <w:rPr>
          <w:lang w:val="fr-LU"/>
        </w:rPr>
        <w:t>o</w:t>
      </w:r>
      <w:r w:rsidR="00436EE8" w:rsidRPr="00883D06">
        <w:rPr>
          <w:lang w:val="fr-LU"/>
        </w:rPr>
        <w:t>m</w:t>
      </w:r>
      <w:r w:rsidRPr="00883D06">
        <w:rPr>
          <w:lang w:val="fr-LU"/>
        </w:rPr>
        <w:t>atique</w:t>
      </w:r>
      <w:r w:rsidR="00436EE8" w:rsidRPr="00883D06">
        <w:rPr>
          <w:lang w:val="fr-LU"/>
        </w:rPr>
        <w:t xml:space="preserve"> d</w:t>
      </w:r>
      <w:r w:rsidRPr="00883D06">
        <w:rPr>
          <w:lang w:val="fr-LU"/>
        </w:rPr>
        <w:t>e cette folie qui s</w:t>
      </w:r>
      <w:r w:rsidR="00025BAD" w:rsidRPr="00883D06">
        <w:rPr>
          <w:lang w:val="fr-LU"/>
        </w:rPr>
        <w:t>’</w:t>
      </w:r>
      <w:r w:rsidRPr="00883D06">
        <w:rPr>
          <w:lang w:val="fr-LU"/>
        </w:rPr>
        <w:t xml:space="preserve">est </w:t>
      </w:r>
      <w:r w:rsidR="007D1CA1" w:rsidRPr="00883D06">
        <w:rPr>
          <w:lang w:val="fr-LU"/>
        </w:rPr>
        <w:t>emparée du</w:t>
      </w:r>
      <w:r w:rsidR="00436EE8" w:rsidRPr="00883D06">
        <w:rPr>
          <w:lang w:val="fr-LU"/>
        </w:rPr>
        <w:t xml:space="preserve"> corps social</w:t>
      </w:r>
      <w:r w:rsidR="001F0439" w:rsidRPr="00883D06">
        <w:rPr>
          <w:lang w:val="fr-LU"/>
        </w:rPr>
        <w:t>,</w:t>
      </w:r>
      <w:r w:rsidRPr="00883D06">
        <w:rPr>
          <w:lang w:val="fr-LU"/>
        </w:rPr>
        <w:t xml:space="preserve"> le mélange des genres se reflète également dans les pièces nouvelles, à l</w:t>
      </w:r>
      <w:r w:rsidR="00025BAD" w:rsidRPr="00883D06">
        <w:rPr>
          <w:lang w:val="fr-LU"/>
        </w:rPr>
        <w:t>’</w:t>
      </w:r>
      <w:r w:rsidRPr="00883D06">
        <w:rPr>
          <w:lang w:val="fr-LU"/>
        </w:rPr>
        <w:t xml:space="preserve">image de </w:t>
      </w:r>
      <w:r w:rsidRPr="00883D06">
        <w:rPr>
          <w:i/>
          <w:lang w:val="fr-LU"/>
        </w:rPr>
        <w:t xml:space="preserve">La Mère coupable </w:t>
      </w:r>
      <w:r w:rsidRPr="00883D06">
        <w:rPr>
          <w:lang w:val="fr-LU"/>
        </w:rPr>
        <w:t>(179</w:t>
      </w:r>
      <w:r w:rsidR="00DD7054" w:rsidRPr="00883D06">
        <w:rPr>
          <w:lang w:val="fr-LU"/>
        </w:rPr>
        <w:t>2</w:t>
      </w:r>
      <w:r w:rsidRPr="00883D06">
        <w:rPr>
          <w:lang w:val="fr-LU"/>
        </w:rPr>
        <w:t>),</w:t>
      </w:r>
      <w:r w:rsidR="00DD7054" w:rsidRPr="00883D06">
        <w:t xml:space="preserve"> drame </w:t>
      </w:r>
      <w:r w:rsidR="00DD7054" w:rsidRPr="00883D06">
        <w:rPr>
          <w:lang w:val="fr-LU"/>
        </w:rPr>
        <w:t>de Beaumarchais dans lequel</w:t>
      </w:r>
      <w:r w:rsidR="007D1CA1" w:rsidRPr="00883D06">
        <w:rPr>
          <w:lang w:val="fr-LU"/>
        </w:rPr>
        <w:t xml:space="preserve"> –</w:t>
      </w:r>
      <w:r w:rsidR="00425AF7" w:rsidRPr="00883D06">
        <w:rPr>
          <w:lang w:val="fr-LU"/>
        </w:rPr>
        <w:t xml:space="preserve"> signe des temps</w:t>
      </w:r>
      <w:r w:rsidR="007D1CA1" w:rsidRPr="00883D06">
        <w:rPr>
          <w:lang w:val="fr-LU"/>
        </w:rPr>
        <w:t xml:space="preserve"> – joue </w:t>
      </w:r>
      <w:r w:rsidR="00DD7054" w:rsidRPr="00883D06">
        <w:rPr>
          <w:lang w:val="fr-LU"/>
        </w:rPr>
        <w:t>Laurent de Gouvion-Saint-Cyr</w:t>
      </w:r>
      <w:r w:rsidR="004C6934" w:rsidRPr="00883D06">
        <w:rPr>
          <w:lang w:val="fr-LU"/>
        </w:rPr>
        <w:t>,</w:t>
      </w:r>
      <w:r w:rsidR="00113025" w:rsidRPr="00883D06">
        <w:rPr>
          <w:lang w:val="fr-LU"/>
        </w:rPr>
        <w:t> </w:t>
      </w:r>
      <w:r w:rsidR="004C6934" w:rsidRPr="00883D06">
        <w:rPr>
          <w:lang w:val="fr-LU"/>
        </w:rPr>
        <w:t>futur maréchal d’Empire </w:t>
      </w:r>
      <w:r w:rsidR="00113025" w:rsidRPr="00883D06">
        <w:rPr>
          <w:lang w:val="fr-LU"/>
        </w:rPr>
        <w:t>;</w:t>
      </w:r>
      <w:r w:rsidR="00425AF7" w:rsidRPr="00883D06">
        <w:rPr>
          <w:lang w:val="fr-LU"/>
        </w:rPr>
        <w:t xml:space="preserve"> Chateaubriand </w:t>
      </w:r>
      <w:r w:rsidR="00E736AF" w:rsidRPr="00883D06">
        <w:rPr>
          <w:lang w:val="fr-LU"/>
        </w:rPr>
        <w:t xml:space="preserve">assiste </w:t>
      </w:r>
      <w:r w:rsidR="00113025" w:rsidRPr="00883D06">
        <w:rPr>
          <w:lang w:val="fr-LU"/>
        </w:rPr>
        <w:t>d</w:t>
      </w:r>
      <w:r w:rsidR="00025BAD" w:rsidRPr="00883D06">
        <w:rPr>
          <w:lang w:val="fr-LU"/>
        </w:rPr>
        <w:t>’</w:t>
      </w:r>
      <w:r w:rsidR="00113025" w:rsidRPr="00883D06">
        <w:rPr>
          <w:lang w:val="fr-LU"/>
        </w:rPr>
        <w:t xml:space="preserve">ailleurs </w:t>
      </w:r>
      <w:r w:rsidR="00425AF7" w:rsidRPr="00883D06">
        <w:rPr>
          <w:lang w:val="fr-LU"/>
        </w:rPr>
        <w:t>à une représentation</w:t>
      </w:r>
      <w:r w:rsidR="00113025" w:rsidRPr="00883D06">
        <w:rPr>
          <w:lang w:val="fr-LU"/>
        </w:rPr>
        <w:t xml:space="preserve"> de la pièce</w:t>
      </w:r>
      <w:r w:rsidR="00425AF7" w:rsidRPr="00883D06">
        <w:rPr>
          <w:lang w:val="fr-LU"/>
        </w:rPr>
        <w:t xml:space="preserve"> au théâtre du Marais</w:t>
      </w:r>
      <w:r w:rsidR="00425AF7" w:rsidRPr="00883D06">
        <w:rPr>
          <w:rStyle w:val="Appelnotedebasdep"/>
          <w:lang w:val="fr-LU"/>
        </w:rPr>
        <w:footnoteReference w:id="32"/>
      </w:r>
      <w:r w:rsidR="00DD7054" w:rsidRPr="00883D06">
        <w:rPr>
          <w:lang w:val="fr-LU"/>
        </w:rPr>
        <w:t xml:space="preserve">. </w:t>
      </w:r>
      <w:r w:rsidR="00FE6735" w:rsidRPr="00883D06">
        <w:rPr>
          <w:lang w:val="fr-LU"/>
        </w:rPr>
        <w:t xml:space="preserve">Conçue par Beaumarchais comme </w:t>
      </w:r>
      <w:r w:rsidR="00F76C50" w:rsidRPr="00883D06">
        <w:rPr>
          <w:lang w:val="fr-LU"/>
        </w:rPr>
        <w:t>une « intrigue de comédie, fondue dans le pathétique d</w:t>
      </w:r>
      <w:r w:rsidR="00025BAD" w:rsidRPr="00883D06">
        <w:rPr>
          <w:lang w:val="fr-LU"/>
        </w:rPr>
        <w:t>’</w:t>
      </w:r>
      <w:r w:rsidR="00F76C50" w:rsidRPr="00883D06">
        <w:rPr>
          <w:lang w:val="fr-LU"/>
        </w:rPr>
        <w:t>un drame</w:t>
      </w:r>
      <w:r w:rsidR="00F76C50" w:rsidRPr="00883D06">
        <w:rPr>
          <w:rStyle w:val="Appelnotedebasdep"/>
          <w:lang w:val="fr-LU"/>
        </w:rPr>
        <w:footnoteReference w:id="33"/>
      </w:r>
      <w:r w:rsidR="00F76C50" w:rsidRPr="00883D06">
        <w:rPr>
          <w:lang w:val="fr-LU"/>
        </w:rPr>
        <w:t> »</w:t>
      </w:r>
      <w:r w:rsidR="00FE6735" w:rsidRPr="00883D06">
        <w:rPr>
          <w:lang w:val="fr-LU"/>
        </w:rPr>
        <w:t xml:space="preserve">, </w:t>
      </w:r>
      <w:r w:rsidR="008B5EBD" w:rsidRPr="00883D06">
        <w:t xml:space="preserve">la pièce, créée le </w:t>
      </w:r>
      <w:r w:rsidR="00E736AF" w:rsidRPr="00883D06">
        <w:t>2</w:t>
      </w:r>
      <w:r w:rsidR="008B5EBD" w:rsidRPr="00883D06">
        <w:t>6 juin 1792, se voit</w:t>
      </w:r>
      <w:r w:rsidR="00F76C50" w:rsidRPr="00883D06">
        <w:rPr>
          <w:lang w:val="fr-LU"/>
        </w:rPr>
        <w:t xml:space="preserve"> é</w:t>
      </w:r>
      <w:r w:rsidR="00DD7054" w:rsidRPr="00883D06">
        <w:rPr>
          <w:lang w:val="fr-LU"/>
        </w:rPr>
        <w:t>pinglée par la critique comme un</w:t>
      </w:r>
      <w:r w:rsidRPr="00883D06">
        <w:rPr>
          <w:lang w:val="fr-LU"/>
        </w:rPr>
        <w:t xml:space="preserve"> </w:t>
      </w:r>
      <w:r w:rsidR="00427513" w:rsidRPr="00883D06">
        <w:t>« mélange monstrueux de beautés dramatiques, &amp; de trivialités absurdes &amp; ridicules</w:t>
      </w:r>
      <w:r w:rsidR="00427513" w:rsidRPr="00883D06">
        <w:rPr>
          <w:rStyle w:val="Appelnotedebasdep"/>
        </w:rPr>
        <w:footnoteReference w:id="34"/>
      </w:r>
      <w:r w:rsidR="00427513" w:rsidRPr="00883D06">
        <w:t> »</w:t>
      </w:r>
      <w:r w:rsidR="00E736AF" w:rsidRPr="00883D06">
        <w:t>.</w:t>
      </w:r>
      <w:r w:rsidR="00810E8A" w:rsidRPr="00883D06">
        <w:t xml:space="preserve"> </w:t>
      </w:r>
      <w:r w:rsidR="00722311" w:rsidRPr="00883D06">
        <w:t>C</w:t>
      </w:r>
      <w:r w:rsidR="00025BAD" w:rsidRPr="00883D06">
        <w:t>’</w:t>
      </w:r>
      <w:r w:rsidR="00722311" w:rsidRPr="00883D06">
        <w:t xml:space="preserve">est que </w:t>
      </w:r>
      <w:r w:rsidR="00722311" w:rsidRPr="00883D06">
        <w:rPr>
          <w:i/>
          <w:iCs/>
        </w:rPr>
        <w:t>La Mère coupable</w:t>
      </w:r>
      <w:r w:rsidR="00722311" w:rsidRPr="00883D06">
        <w:t xml:space="preserve"> traduit à bien des égards l</w:t>
      </w:r>
      <w:r w:rsidR="00025BAD" w:rsidRPr="00883D06">
        <w:t>’</w:t>
      </w:r>
      <w:r w:rsidR="00722311" w:rsidRPr="00883D06">
        <w:t xml:space="preserve">importance </w:t>
      </w:r>
      <w:r w:rsidR="00562920" w:rsidRPr="00883D06">
        <w:t xml:space="preserve">cruciale </w:t>
      </w:r>
      <w:r w:rsidR="00722311" w:rsidRPr="00883D06">
        <w:t xml:space="preserve">pour Beaumarchais </w:t>
      </w:r>
      <w:r w:rsidR="00562920" w:rsidRPr="00883D06">
        <w:t>d</w:t>
      </w:r>
      <w:r w:rsidR="00722311" w:rsidRPr="00883D06">
        <w:t>es formes intermédiaires</w:t>
      </w:r>
      <w:r w:rsidR="00562920" w:rsidRPr="00883D06">
        <w:t xml:space="preserve"> – l</w:t>
      </w:r>
      <w:r w:rsidR="00025BAD" w:rsidRPr="00883D06">
        <w:t>’</w:t>
      </w:r>
      <w:r w:rsidR="00562920" w:rsidRPr="00883D06">
        <w:t>adjectif désignant chez lui non seulement</w:t>
      </w:r>
      <w:r w:rsidR="00722311" w:rsidRPr="00883D06">
        <w:t xml:space="preserve"> les genres délaissés par la poétique classique, à l</w:t>
      </w:r>
      <w:r w:rsidR="00025BAD" w:rsidRPr="00883D06">
        <w:t>’</w:t>
      </w:r>
      <w:r w:rsidR="00722311" w:rsidRPr="00883D06">
        <w:t>image du drame</w:t>
      </w:r>
      <w:r w:rsidR="00562920" w:rsidRPr="00883D06">
        <w:t>, mais aussi les catégories sociales médianes, dont sont issus les protagonistes de son théâtre</w:t>
      </w:r>
      <w:r w:rsidR="00562920" w:rsidRPr="00883D06">
        <w:rPr>
          <w:rStyle w:val="Appelnotedebasdep"/>
        </w:rPr>
        <w:footnoteReference w:id="35"/>
      </w:r>
      <w:r w:rsidR="00562920" w:rsidRPr="00883D06">
        <w:t>.</w:t>
      </w:r>
      <w:r w:rsidR="00231B2A" w:rsidRPr="00883D06">
        <w:t xml:space="preserve"> </w:t>
      </w:r>
      <w:r w:rsidR="00113025" w:rsidRPr="00883D06">
        <w:t xml:space="preserve">La production dramatique </w:t>
      </w:r>
      <w:r w:rsidR="00C8201E" w:rsidRPr="00883D06">
        <w:t>s</w:t>
      </w:r>
      <w:r w:rsidR="00025BAD" w:rsidRPr="00883D06">
        <w:t>’</w:t>
      </w:r>
      <w:r w:rsidR="00C8201E" w:rsidRPr="00883D06">
        <w:t>ouvre donc</w:t>
      </w:r>
      <w:r w:rsidR="00231B2A" w:rsidRPr="00883D06">
        <w:t xml:space="preserve"> désormais</w:t>
      </w:r>
      <w:r w:rsidR="00C8201E" w:rsidRPr="00883D06">
        <w:t xml:space="preserve"> à une</w:t>
      </w:r>
      <w:r w:rsidR="00113025" w:rsidRPr="00883D06">
        <w:t xml:space="preserve"> instabilité générique féconde sur le plan littéraire</w:t>
      </w:r>
      <w:r w:rsidR="00231B2A" w:rsidRPr="00883D06">
        <w:t>, à rebours de la sclérose des normes académiques</w:t>
      </w:r>
      <w:r w:rsidR="00C8201E" w:rsidRPr="00883D06">
        <w:t> ;</w:t>
      </w:r>
      <w:r w:rsidR="00113025" w:rsidRPr="00883D06">
        <w:t xml:space="preserve"> </w:t>
      </w:r>
      <w:r w:rsidR="00EE4E2A" w:rsidRPr="00883D06">
        <w:t xml:space="preserve">la </w:t>
      </w:r>
      <w:r w:rsidR="00EE4E2A" w:rsidRPr="00883D06">
        <w:rPr>
          <w:i/>
        </w:rPr>
        <w:t xml:space="preserve">terra </w:t>
      </w:r>
      <w:proofErr w:type="spellStart"/>
      <w:r w:rsidR="00EE4E2A" w:rsidRPr="00883D06">
        <w:rPr>
          <w:i/>
        </w:rPr>
        <w:t>incognita</w:t>
      </w:r>
      <w:proofErr w:type="spellEnd"/>
      <w:r w:rsidR="00EE4E2A" w:rsidRPr="00883D06">
        <w:rPr>
          <w:i/>
        </w:rPr>
        <w:t xml:space="preserve"> </w:t>
      </w:r>
      <w:r w:rsidR="00EE4E2A" w:rsidRPr="00883D06">
        <w:t xml:space="preserve">politique ouverte par la Révolution </w:t>
      </w:r>
      <w:r w:rsidR="00C8201E" w:rsidRPr="00883D06">
        <w:t>a</w:t>
      </w:r>
      <w:r w:rsidR="00EE4E2A" w:rsidRPr="00883D06">
        <w:t xml:space="preserve"> décidément son pendant </w:t>
      </w:r>
      <w:r w:rsidR="00E947B8" w:rsidRPr="00883D06">
        <w:t>dramatique dans une « scène bâtarde</w:t>
      </w:r>
      <w:r w:rsidR="00E947B8" w:rsidRPr="00883D06">
        <w:rPr>
          <w:rStyle w:val="Appelnotedebasdep"/>
        </w:rPr>
        <w:footnoteReference w:id="36"/>
      </w:r>
      <w:r w:rsidR="00E947B8" w:rsidRPr="00883D06">
        <w:t> »</w:t>
      </w:r>
      <w:r w:rsidR="00C8201E" w:rsidRPr="00883D06">
        <w:t xml:space="preserve"> où</w:t>
      </w:r>
      <w:r w:rsidR="00EE4E2A" w:rsidRPr="00883D06">
        <w:t xml:space="preserve"> comique et tragique, pathos et ironie, </w:t>
      </w:r>
      <w:r w:rsidR="00C8201E" w:rsidRPr="00883D06">
        <w:t>s</w:t>
      </w:r>
      <w:r w:rsidR="00025BAD" w:rsidRPr="00883D06">
        <w:t>’</w:t>
      </w:r>
      <w:r w:rsidR="00C8201E" w:rsidRPr="00883D06">
        <w:t>entremêlent pour former</w:t>
      </w:r>
      <w:r w:rsidR="00EE4E2A" w:rsidRPr="00883D06">
        <w:t xml:space="preserve"> un alliage d</w:t>
      </w:r>
      <w:r w:rsidR="00025BAD" w:rsidRPr="00883D06">
        <w:t>’</w:t>
      </w:r>
      <w:r w:rsidR="00EE4E2A" w:rsidRPr="00883D06">
        <w:t>un genre nouveau.</w:t>
      </w:r>
    </w:p>
    <w:p w14:paraId="5FFD1579" w14:textId="5F423F5D" w:rsidR="0055636E" w:rsidRPr="00883D06" w:rsidRDefault="004016AD" w:rsidP="004016AD">
      <w:pPr>
        <w:spacing w:line="240" w:lineRule="auto"/>
        <w:jc w:val="center"/>
      </w:pPr>
      <w:r w:rsidRPr="00883D06">
        <w:t>DU CARNAVALESQUE AU MONSTRUEUX</w:t>
      </w:r>
    </w:p>
    <w:p w14:paraId="7EB1E63A" w14:textId="7BA72794" w:rsidR="0086732E" w:rsidRPr="00883D06" w:rsidRDefault="0055636E" w:rsidP="004016AD">
      <w:pPr>
        <w:spacing w:line="240" w:lineRule="auto"/>
        <w:ind w:firstLine="708"/>
      </w:pPr>
      <w:r w:rsidRPr="00883D06">
        <w:t>L</w:t>
      </w:r>
      <w:r w:rsidR="00025BAD" w:rsidRPr="00883D06">
        <w:t>’</w:t>
      </w:r>
      <w:r w:rsidRPr="00883D06">
        <w:t>irruption du monstrueux, symptomatique de ces temps de troubles, n</w:t>
      </w:r>
      <w:r w:rsidR="00025BAD" w:rsidRPr="00883D06">
        <w:t>’</w:t>
      </w:r>
      <w:r w:rsidRPr="00883D06">
        <w:t xml:space="preserve">est toutefois pas le seul fait de la poétique de Beaumarchais </w:t>
      </w:r>
      <w:r w:rsidR="00AF00C6" w:rsidRPr="00883D06">
        <w:t>(</w:t>
      </w:r>
      <w:r w:rsidRPr="00883D06">
        <w:t>telle</w:t>
      </w:r>
      <w:r w:rsidR="00AF00C6" w:rsidRPr="00883D06">
        <w:t>, à tout le moins,</w:t>
      </w:r>
      <w:r w:rsidRPr="00883D06">
        <w:t xml:space="preserve"> qu</w:t>
      </w:r>
      <w:r w:rsidR="00025BAD" w:rsidRPr="00883D06">
        <w:t>’</w:t>
      </w:r>
      <w:r w:rsidRPr="00883D06">
        <w:t>envisagée par ce critique</w:t>
      </w:r>
      <w:r w:rsidR="00AF00C6" w:rsidRPr="00883D06">
        <w:t>)</w:t>
      </w:r>
      <w:r w:rsidR="00F35205" w:rsidRPr="00883D06">
        <w:t>. R</w:t>
      </w:r>
      <w:r w:rsidRPr="00883D06">
        <w:t xml:space="preserve">evenu </w:t>
      </w:r>
      <w:r w:rsidR="00A95173" w:rsidRPr="00883D06">
        <w:t xml:space="preserve">à Paris en mai </w:t>
      </w:r>
      <w:r w:rsidR="00025B91" w:rsidRPr="00883D06">
        <w:t>179</w:t>
      </w:r>
      <w:r w:rsidR="00A95173" w:rsidRPr="00883D06">
        <w:t>2, plus d</w:t>
      </w:r>
      <w:r w:rsidR="00025BAD" w:rsidRPr="00883D06">
        <w:t>’</w:t>
      </w:r>
      <w:r w:rsidR="00A95173" w:rsidRPr="00883D06">
        <w:t>un an après avoir quitté la capitale</w:t>
      </w:r>
      <w:r w:rsidRPr="00883D06">
        <w:t xml:space="preserve">, Chateaubriand constate </w:t>
      </w:r>
      <w:r w:rsidR="000D4B41" w:rsidRPr="00883D06">
        <w:t>à quel point la Révolution a évolué</w:t>
      </w:r>
      <w:r w:rsidRPr="00883D06">
        <w:t> : « Les révolutions, comme les fleuves, grossissent dans leurs cours ; je trouvai celle que j</w:t>
      </w:r>
      <w:r w:rsidR="00025BAD" w:rsidRPr="00883D06">
        <w:t>’</w:t>
      </w:r>
      <w:r w:rsidRPr="00883D06">
        <w:t>avais laissée en France énormément élargie et débordant ses rivages</w:t>
      </w:r>
      <w:r w:rsidR="00840C8E" w:rsidRPr="00883D06">
        <w:t> ; je l</w:t>
      </w:r>
      <w:r w:rsidR="00025BAD" w:rsidRPr="00883D06">
        <w:t>’</w:t>
      </w:r>
      <w:r w:rsidR="00840C8E" w:rsidRPr="00883D06">
        <w:t xml:space="preserve">avais quittée avec Mirabeau sous la </w:t>
      </w:r>
      <w:r w:rsidR="00840C8E" w:rsidRPr="00883D06">
        <w:rPr>
          <w:i/>
          <w:iCs/>
        </w:rPr>
        <w:t>Constituante</w:t>
      </w:r>
      <w:r w:rsidR="00840C8E" w:rsidRPr="00883D06">
        <w:t xml:space="preserve">, je la retrouvai avec Danton sous la </w:t>
      </w:r>
      <w:r w:rsidR="00840C8E" w:rsidRPr="00883D06">
        <w:rPr>
          <w:i/>
          <w:iCs/>
        </w:rPr>
        <w:t>Législative</w:t>
      </w:r>
      <w:r w:rsidR="00840C8E" w:rsidRPr="00883D06">
        <w:rPr>
          <w:rStyle w:val="Appelnotedebasdep"/>
        </w:rPr>
        <w:footnoteReference w:id="37"/>
      </w:r>
      <w:r w:rsidRPr="00883D06">
        <w:t>. »</w:t>
      </w:r>
      <w:r w:rsidR="00C40BBD" w:rsidRPr="00883D06">
        <w:t xml:space="preserve"> </w:t>
      </w:r>
    </w:p>
    <w:p w14:paraId="77F138A9" w14:textId="4D6B179E" w:rsidR="0055636E" w:rsidRPr="00883D06" w:rsidRDefault="0086732E" w:rsidP="004016AD">
      <w:pPr>
        <w:spacing w:line="240" w:lineRule="auto"/>
        <w:ind w:firstLine="708"/>
      </w:pPr>
      <w:r w:rsidRPr="00883D06">
        <w:t>Signe des temps, l</w:t>
      </w:r>
      <w:r w:rsidR="00025BAD" w:rsidRPr="00883D06">
        <w:t>’</w:t>
      </w:r>
      <w:r w:rsidR="00A561D7" w:rsidRPr="00883D06">
        <w:t>effervescence fantasque des débuts de la Révolution a cédé la place à une folie au visage bien plus inquiétant :</w:t>
      </w:r>
    </w:p>
    <w:p w14:paraId="01D667C7" w14:textId="42594573" w:rsidR="00A561D7" w:rsidRPr="00883D06" w:rsidRDefault="00A561D7" w:rsidP="00493B16">
      <w:pPr>
        <w:spacing w:line="240" w:lineRule="auto"/>
        <w:ind w:left="567"/>
        <w:rPr>
          <w:sz w:val="20"/>
          <w:szCs w:val="18"/>
        </w:rPr>
      </w:pPr>
      <w:r w:rsidRPr="00883D06">
        <w:rPr>
          <w:sz w:val="20"/>
          <w:szCs w:val="18"/>
        </w:rPr>
        <w:t>Paris n</w:t>
      </w:r>
      <w:r w:rsidR="00025BAD" w:rsidRPr="00883D06">
        <w:rPr>
          <w:sz w:val="20"/>
          <w:szCs w:val="18"/>
        </w:rPr>
        <w:t>’</w:t>
      </w:r>
      <w:r w:rsidRPr="00883D06">
        <w:rPr>
          <w:sz w:val="20"/>
          <w:szCs w:val="18"/>
        </w:rPr>
        <w:t>avait plus, en 1792, la physionomie de 1789 et de 1790 ; ce n</w:t>
      </w:r>
      <w:r w:rsidR="00025BAD" w:rsidRPr="00883D06">
        <w:rPr>
          <w:sz w:val="20"/>
          <w:szCs w:val="18"/>
        </w:rPr>
        <w:t>’</w:t>
      </w:r>
      <w:r w:rsidRPr="00883D06">
        <w:rPr>
          <w:sz w:val="20"/>
          <w:szCs w:val="18"/>
        </w:rPr>
        <w:t>était plus la Révolution naissante, c</w:t>
      </w:r>
      <w:r w:rsidR="00025BAD" w:rsidRPr="00883D06">
        <w:rPr>
          <w:sz w:val="20"/>
          <w:szCs w:val="18"/>
        </w:rPr>
        <w:t>’</w:t>
      </w:r>
      <w:r w:rsidRPr="00883D06">
        <w:rPr>
          <w:sz w:val="20"/>
          <w:szCs w:val="18"/>
        </w:rPr>
        <w:t>était un peuple marchant ivre à ses destins, au travers des abîmes, par des voies égarées. L</w:t>
      </w:r>
      <w:r w:rsidR="00025BAD" w:rsidRPr="00883D06">
        <w:rPr>
          <w:sz w:val="20"/>
          <w:szCs w:val="18"/>
        </w:rPr>
        <w:t>’</w:t>
      </w:r>
      <w:r w:rsidRPr="00883D06">
        <w:rPr>
          <w:sz w:val="20"/>
          <w:szCs w:val="18"/>
        </w:rPr>
        <w:t>apparence du peuple n</w:t>
      </w:r>
      <w:r w:rsidR="00025BAD" w:rsidRPr="00883D06">
        <w:rPr>
          <w:sz w:val="20"/>
          <w:szCs w:val="18"/>
        </w:rPr>
        <w:t>’</w:t>
      </w:r>
      <w:r w:rsidRPr="00883D06">
        <w:rPr>
          <w:sz w:val="20"/>
          <w:szCs w:val="18"/>
        </w:rPr>
        <w:t>était plus tumultueuse, curieuse, empressée ; elle était mena</w:t>
      </w:r>
      <w:r w:rsidR="00A95173" w:rsidRPr="00883D06">
        <w:rPr>
          <w:sz w:val="20"/>
          <w:szCs w:val="18"/>
        </w:rPr>
        <w:t>çante. On ne rencontrait dans les rues que des figures effrayées ou farouches, des gens qui se glissaient le long des maisons, afin de n</w:t>
      </w:r>
      <w:r w:rsidR="00025BAD" w:rsidRPr="00883D06">
        <w:rPr>
          <w:sz w:val="20"/>
          <w:szCs w:val="18"/>
        </w:rPr>
        <w:t>’</w:t>
      </w:r>
      <w:r w:rsidR="00A95173" w:rsidRPr="00883D06">
        <w:rPr>
          <w:sz w:val="20"/>
          <w:szCs w:val="18"/>
        </w:rPr>
        <w:t>être pas aperçus, ou qui rôdaient cherchant leur proie […]</w:t>
      </w:r>
      <w:r w:rsidR="00A95173" w:rsidRPr="00883D06">
        <w:rPr>
          <w:rStyle w:val="Appelnotedebasdep"/>
          <w:sz w:val="20"/>
          <w:szCs w:val="18"/>
        </w:rPr>
        <w:footnoteReference w:id="38"/>
      </w:r>
      <w:r w:rsidR="00A95173" w:rsidRPr="00883D06">
        <w:rPr>
          <w:sz w:val="20"/>
          <w:szCs w:val="18"/>
        </w:rPr>
        <w:t>.</w:t>
      </w:r>
    </w:p>
    <w:p w14:paraId="43ABDCC7" w14:textId="509142E4" w:rsidR="00AA7DC6" w:rsidRPr="00883D06" w:rsidRDefault="00580813" w:rsidP="004016AD">
      <w:pPr>
        <w:spacing w:line="240" w:lineRule="auto"/>
      </w:pPr>
      <w:r w:rsidRPr="00883D06">
        <w:t xml:space="preserve">Dans ce monde </w:t>
      </w:r>
      <w:r w:rsidR="007207CF" w:rsidRPr="00883D06">
        <w:t xml:space="preserve">nouveau </w:t>
      </w:r>
      <w:r w:rsidRPr="00883D06">
        <w:t>où la « variété des costumes avait cessé</w:t>
      </w:r>
      <w:r w:rsidRPr="00883D06">
        <w:rPr>
          <w:rStyle w:val="Appelnotedebasdep"/>
        </w:rPr>
        <w:footnoteReference w:id="39"/>
      </w:r>
      <w:r w:rsidRPr="00883D06">
        <w:t> »</w:t>
      </w:r>
      <w:r w:rsidR="007207CF" w:rsidRPr="00883D06">
        <w:t xml:space="preserve">, la folie a ainsi résolument changé </w:t>
      </w:r>
      <w:r w:rsidR="0086732E" w:rsidRPr="00883D06">
        <w:t>de nature</w:t>
      </w:r>
      <w:r w:rsidR="00AF465A" w:rsidRPr="00883D06">
        <w:t>, le tumulte</w:t>
      </w:r>
      <w:r w:rsidR="0086732E" w:rsidRPr="00883D06">
        <w:t xml:space="preserve"> et l</w:t>
      </w:r>
      <w:r w:rsidR="00025BAD" w:rsidRPr="00883D06">
        <w:t>’</w:t>
      </w:r>
      <w:r w:rsidR="0086732E" w:rsidRPr="00883D06">
        <w:t>empressement</w:t>
      </w:r>
      <w:r w:rsidR="00AF465A" w:rsidRPr="00883D06">
        <w:t xml:space="preserve"> des années 1789 et 1790 laissant la place à un silence pesant, lourd </w:t>
      </w:r>
      <w:r w:rsidR="0086732E" w:rsidRPr="00883D06">
        <w:t>des menaces qu</w:t>
      </w:r>
      <w:r w:rsidR="00025BAD" w:rsidRPr="00883D06">
        <w:t>’</w:t>
      </w:r>
      <w:r w:rsidR="0086732E" w:rsidRPr="00883D06">
        <w:t xml:space="preserve">y </w:t>
      </w:r>
      <w:r w:rsidR="00F35205" w:rsidRPr="00883D06">
        <w:t>f</w:t>
      </w:r>
      <w:r w:rsidR="001B14F5" w:rsidRPr="00883D06">
        <w:t>on</w:t>
      </w:r>
      <w:r w:rsidR="00F35205" w:rsidRPr="00883D06">
        <w:t xml:space="preserve">t planer </w:t>
      </w:r>
      <w:r w:rsidR="005A7A5D" w:rsidRPr="00883D06">
        <w:t>des figures</w:t>
      </w:r>
      <w:r w:rsidR="00F35205" w:rsidRPr="00883D06">
        <w:t xml:space="preserve"> à l</w:t>
      </w:r>
      <w:r w:rsidR="00025BAD" w:rsidRPr="00883D06">
        <w:t>’</w:t>
      </w:r>
      <w:r w:rsidR="00F35205" w:rsidRPr="00883D06">
        <w:t xml:space="preserve">allure </w:t>
      </w:r>
      <w:r w:rsidR="00E56DF5" w:rsidRPr="00883D06">
        <w:t>quasi animale</w:t>
      </w:r>
      <w:r w:rsidR="00AF465A" w:rsidRPr="00883D06">
        <w:t xml:space="preserve">. </w:t>
      </w:r>
    </w:p>
    <w:p w14:paraId="6657958A" w14:textId="02A909A7" w:rsidR="00AA7DC6" w:rsidRPr="00883D06" w:rsidRDefault="00AA7DC6" w:rsidP="004016AD">
      <w:pPr>
        <w:spacing w:line="240" w:lineRule="auto"/>
      </w:pPr>
      <w:r w:rsidRPr="00883D06">
        <w:lastRenderedPageBreak/>
        <w:tab/>
      </w:r>
      <w:r w:rsidR="005371E9" w:rsidRPr="00883D06">
        <w:t xml:space="preserve">Cette folie </w:t>
      </w:r>
      <w:r w:rsidR="00F35205" w:rsidRPr="00883D06">
        <w:t>d</w:t>
      </w:r>
      <w:r w:rsidR="00025BAD" w:rsidRPr="00883D06">
        <w:t>’</w:t>
      </w:r>
      <w:r w:rsidR="00F35205" w:rsidRPr="00883D06">
        <w:t xml:space="preserve">un tour plus sombre </w:t>
      </w:r>
      <w:r w:rsidR="005371E9" w:rsidRPr="00883D06">
        <w:t>prend bientôt les contours du monstrueux.</w:t>
      </w:r>
      <w:r w:rsidR="005C1EE3" w:rsidRPr="00883D06">
        <w:t xml:space="preserve"> </w:t>
      </w:r>
      <w:r w:rsidR="006947FD" w:rsidRPr="00883D06">
        <w:t>Chateaubriand</w:t>
      </w:r>
      <w:r w:rsidR="005C1EE3" w:rsidRPr="00883D06">
        <w:t xml:space="preserve"> </w:t>
      </w:r>
      <w:r w:rsidR="006947FD" w:rsidRPr="00883D06">
        <w:t xml:space="preserve">relate ainsi dans une note de son </w:t>
      </w:r>
      <w:r w:rsidR="006947FD" w:rsidRPr="00883D06">
        <w:rPr>
          <w:i/>
          <w:iCs/>
        </w:rPr>
        <w:t xml:space="preserve">Essai </w:t>
      </w:r>
      <w:r w:rsidR="004A6B3E" w:rsidRPr="00883D06">
        <w:rPr>
          <w:i/>
          <w:iCs/>
        </w:rPr>
        <w:t>sur les révolutions</w:t>
      </w:r>
      <w:r w:rsidR="006947FD" w:rsidRPr="00883D06">
        <w:t xml:space="preserve"> le propos d</w:t>
      </w:r>
      <w:r w:rsidR="00025BAD" w:rsidRPr="00883D06">
        <w:t>’</w:t>
      </w:r>
      <w:r w:rsidR="006947FD" w:rsidRPr="00883D06">
        <w:t>un témoin oculaire des massacres de Septembre</w:t>
      </w:r>
      <w:r w:rsidR="007D24A9" w:rsidRPr="00883D06">
        <w:rPr>
          <w:rStyle w:val="Appelnotedebasdep"/>
        </w:rPr>
        <w:footnoteReference w:id="40"/>
      </w:r>
      <w:r w:rsidR="006947FD" w:rsidRPr="00883D06">
        <w:t> :</w:t>
      </w:r>
    </w:p>
    <w:p w14:paraId="78590C4B" w14:textId="5A916CD7" w:rsidR="00AA7DC6" w:rsidRPr="00883D06" w:rsidRDefault="00353009" w:rsidP="00493B16">
      <w:pPr>
        <w:spacing w:line="240" w:lineRule="auto"/>
        <w:ind w:left="567"/>
        <w:rPr>
          <w:sz w:val="20"/>
          <w:szCs w:val="18"/>
        </w:rPr>
      </w:pPr>
      <w:r w:rsidRPr="00883D06">
        <w:rPr>
          <w:sz w:val="20"/>
          <w:szCs w:val="18"/>
        </w:rPr>
        <w:t>Ce citoyen […] vit une petite fille pleurant auprès d</w:t>
      </w:r>
      <w:r w:rsidR="00025BAD" w:rsidRPr="00883D06">
        <w:rPr>
          <w:sz w:val="20"/>
          <w:szCs w:val="18"/>
        </w:rPr>
        <w:t>’</w:t>
      </w:r>
      <w:r w:rsidRPr="00883D06">
        <w:rPr>
          <w:sz w:val="20"/>
          <w:szCs w:val="18"/>
        </w:rPr>
        <w:t xml:space="preserve">un chariot plein de corps, où celui de son père, qui </w:t>
      </w:r>
      <w:proofErr w:type="spellStart"/>
      <w:r w:rsidRPr="00883D06">
        <w:rPr>
          <w:sz w:val="20"/>
          <w:szCs w:val="18"/>
        </w:rPr>
        <w:t>venoit</w:t>
      </w:r>
      <w:proofErr w:type="spellEnd"/>
      <w:r w:rsidRPr="00883D06">
        <w:rPr>
          <w:sz w:val="20"/>
          <w:szCs w:val="18"/>
        </w:rPr>
        <w:t xml:space="preserve"> d</w:t>
      </w:r>
      <w:r w:rsidR="00025BAD" w:rsidRPr="00883D06">
        <w:rPr>
          <w:sz w:val="20"/>
          <w:szCs w:val="18"/>
        </w:rPr>
        <w:t>’</w:t>
      </w:r>
      <w:r w:rsidRPr="00883D06">
        <w:rPr>
          <w:sz w:val="20"/>
          <w:szCs w:val="18"/>
        </w:rPr>
        <w:t xml:space="preserve">être massacré, </w:t>
      </w:r>
      <w:proofErr w:type="spellStart"/>
      <w:r w:rsidRPr="00883D06">
        <w:rPr>
          <w:sz w:val="20"/>
          <w:szCs w:val="18"/>
        </w:rPr>
        <w:t>avoit</w:t>
      </w:r>
      <w:proofErr w:type="spellEnd"/>
      <w:r w:rsidRPr="00883D06">
        <w:rPr>
          <w:sz w:val="20"/>
          <w:szCs w:val="18"/>
        </w:rPr>
        <w:t xml:space="preserve"> été jeté. Un monstre, portant l</w:t>
      </w:r>
      <w:r w:rsidR="00025BAD" w:rsidRPr="00883D06">
        <w:rPr>
          <w:sz w:val="20"/>
          <w:szCs w:val="18"/>
        </w:rPr>
        <w:t>’</w:t>
      </w:r>
      <w:r w:rsidRPr="00883D06">
        <w:rPr>
          <w:sz w:val="20"/>
          <w:szCs w:val="18"/>
        </w:rPr>
        <w:t xml:space="preserve">uniforme national, qui </w:t>
      </w:r>
      <w:proofErr w:type="spellStart"/>
      <w:r w:rsidRPr="00883D06">
        <w:rPr>
          <w:sz w:val="20"/>
          <w:szCs w:val="18"/>
        </w:rPr>
        <w:t>escortoit</w:t>
      </w:r>
      <w:proofErr w:type="spellEnd"/>
      <w:r w:rsidRPr="00883D06">
        <w:rPr>
          <w:sz w:val="20"/>
          <w:szCs w:val="18"/>
        </w:rPr>
        <w:t xml:space="preserve"> cette digne pompe des factions, passe aussitôt sa baïonnette dans la poitrine de cette </w:t>
      </w:r>
      <w:r w:rsidR="00953571" w:rsidRPr="00883D06">
        <w:rPr>
          <w:sz w:val="20"/>
          <w:szCs w:val="18"/>
        </w:rPr>
        <w:t>en</w:t>
      </w:r>
      <w:r w:rsidRPr="00883D06">
        <w:rPr>
          <w:sz w:val="20"/>
          <w:szCs w:val="18"/>
        </w:rPr>
        <w:t>fant</w:t>
      </w:r>
      <w:r w:rsidR="00953571" w:rsidRPr="00883D06">
        <w:rPr>
          <w:sz w:val="20"/>
          <w:szCs w:val="18"/>
        </w:rPr>
        <w:t xml:space="preserve"> ; et […] </w:t>
      </w:r>
      <w:r w:rsidR="00953571" w:rsidRPr="00883D06">
        <w:rPr>
          <w:i/>
          <w:iCs/>
          <w:sz w:val="20"/>
          <w:szCs w:val="18"/>
        </w:rPr>
        <w:t>la place aussi tranquillement qu</w:t>
      </w:r>
      <w:r w:rsidR="00025BAD" w:rsidRPr="00883D06">
        <w:rPr>
          <w:i/>
          <w:iCs/>
          <w:sz w:val="20"/>
          <w:szCs w:val="18"/>
        </w:rPr>
        <w:t>’</w:t>
      </w:r>
      <w:r w:rsidR="00953571" w:rsidRPr="00883D06">
        <w:rPr>
          <w:i/>
          <w:iCs/>
          <w:sz w:val="20"/>
          <w:szCs w:val="18"/>
        </w:rPr>
        <w:t xml:space="preserve">on </w:t>
      </w:r>
      <w:proofErr w:type="spellStart"/>
      <w:r w:rsidR="00953571" w:rsidRPr="00883D06">
        <w:rPr>
          <w:i/>
          <w:iCs/>
          <w:sz w:val="20"/>
          <w:szCs w:val="18"/>
        </w:rPr>
        <w:t>auroit</w:t>
      </w:r>
      <w:proofErr w:type="spellEnd"/>
      <w:r w:rsidR="00953571" w:rsidRPr="00883D06">
        <w:rPr>
          <w:i/>
          <w:iCs/>
          <w:sz w:val="20"/>
          <w:szCs w:val="18"/>
        </w:rPr>
        <w:t xml:space="preserve"> fait d</w:t>
      </w:r>
      <w:r w:rsidR="00025BAD" w:rsidRPr="00883D06">
        <w:rPr>
          <w:i/>
          <w:iCs/>
          <w:sz w:val="20"/>
          <w:szCs w:val="18"/>
        </w:rPr>
        <w:t>’</w:t>
      </w:r>
      <w:r w:rsidR="00953571" w:rsidRPr="00883D06">
        <w:rPr>
          <w:i/>
          <w:iCs/>
          <w:sz w:val="20"/>
          <w:szCs w:val="18"/>
        </w:rPr>
        <w:t xml:space="preserve">une </w:t>
      </w:r>
      <w:r w:rsidR="008D41CA" w:rsidRPr="00883D06">
        <w:rPr>
          <w:i/>
          <w:iCs/>
          <w:sz w:val="20"/>
          <w:szCs w:val="18"/>
        </w:rPr>
        <w:t>b</w:t>
      </w:r>
      <w:r w:rsidR="00953571" w:rsidRPr="00883D06">
        <w:rPr>
          <w:i/>
          <w:iCs/>
          <w:sz w:val="20"/>
          <w:szCs w:val="18"/>
        </w:rPr>
        <w:t>otte de paille</w:t>
      </w:r>
      <w:r w:rsidR="008D41CA" w:rsidRPr="00883D06">
        <w:rPr>
          <w:i/>
          <w:iCs/>
          <w:sz w:val="20"/>
          <w:szCs w:val="18"/>
        </w:rPr>
        <w:t xml:space="preserve"> </w:t>
      </w:r>
      <w:r w:rsidR="008D41CA" w:rsidRPr="00883D06">
        <w:rPr>
          <w:sz w:val="20"/>
          <w:szCs w:val="18"/>
        </w:rPr>
        <w:t>sur une pile de morts, à côté de son père. […] Le même citoyen rencontra d</w:t>
      </w:r>
      <w:r w:rsidR="00025BAD" w:rsidRPr="00883D06">
        <w:rPr>
          <w:sz w:val="20"/>
          <w:szCs w:val="18"/>
        </w:rPr>
        <w:t>’</w:t>
      </w:r>
      <w:r w:rsidR="008D41CA" w:rsidRPr="00883D06">
        <w:rPr>
          <w:sz w:val="20"/>
          <w:szCs w:val="18"/>
        </w:rPr>
        <w:t xml:space="preserve">autres tombereaux, je crois vers la porte Saint-Martin : une troupe de femmes </w:t>
      </w:r>
      <w:proofErr w:type="spellStart"/>
      <w:r w:rsidR="008D41CA" w:rsidRPr="00883D06">
        <w:rPr>
          <w:sz w:val="20"/>
          <w:szCs w:val="18"/>
        </w:rPr>
        <w:t>étoient</w:t>
      </w:r>
      <w:proofErr w:type="spellEnd"/>
      <w:r w:rsidR="008D41CA" w:rsidRPr="00883D06">
        <w:rPr>
          <w:sz w:val="20"/>
          <w:szCs w:val="18"/>
        </w:rPr>
        <w:t xml:space="preserve"> montées parmi ces lambeaux de chair, et, </w:t>
      </w:r>
      <w:r w:rsidR="008D41CA" w:rsidRPr="00883D06">
        <w:rPr>
          <w:i/>
          <w:iCs/>
          <w:sz w:val="20"/>
          <w:szCs w:val="18"/>
        </w:rPr>
        <w:t>à cheval sur les cadavres des hommes</w:t>
      </w:r>
      <w:r w:rsidR="008D41CA" w:rsidRPr="00883D06">
        <w:rPr>
          <w:sz w:val="20"/>
          <w:szCs w:val="18"/>
        </w:rPr>
        <w:t xml:space="preserve"> […], </w:t>
      </w:r>
      <w:proofErr w:type="spellStart"/>
      <w:r w:rsidR="008D41CA" w:rsidRPr="00883D06">
        <w:rPr>
          <w:sz w:val="20"/>
          <w:szCs w:val="18"/>
        </w:rPr>
        <w:t>cherchoient</w:t>
      </w:r>
      <w:proofErr w:type="spellEnd"/>
      <w:r w:rsidR="008D41CA" w:rsidRPr="00883D06">
        <w:rPr>
          <w:sz w:val="20"/>
          <w:szCs w:val="18"/>
        </w:rPr>
        <w:t xml:space="preserve"> avec des rires affreux à assouvir la plus monstrueuse des lubricités. Les réflexions ne </w:t>
      </w:r>
      <w:proofErr w:type="spellStart"/>
      <w:r w:rsidR="008D41CA" w:rsidRPr="00883D06">
        <w:rPr>
          <w:sz w:val="20"/>
          <w:szCs w:val="18"/>
        </w:rPr>
        <w:t>serviroient</w:t>
      </w:r>
      <w:proofErr w:type="spellEnd"/>
      <w:r w:rsidR="008D41CA" w:rsidRPr="00883D06">
        <w:rPr>
          <w:sz w:val="20"/>
          <w:szCs w:val="18"/>
        </w:rPr>
        <w:t xml:space="preserve"> de rien ici</w:t>
      </w:r>
      <w:r w:rsidR="008D41CA" w:rsidRPr="00883D06">
        <w:rPr>
          <w:rStyle w:val="Appelnotedebasdep"/>
          <w:sz w:val="20"/>
          <w:szCs w:val="18"/>
        </w:rPr>
        <w:footnoteReference w:id="41"/>
      </w:r>
      <w:r w:rsidR="008D41CA" w:rsidRPr="00883D06">
        <w:rPr>
          <w:sz w:val="20"/>
          <w:szCs w:val="18"/>
        </w:rPr>
        <w:t>.</w:t>
      </w:r>
    </w:p>
    <w:p w14:paraId="6A34C99E" w14:textId="24D576D1" w:rsidR="00B55DDD" w:rsidRPr="00883D06" w:rsidRDefault="00B55DDD" w:rsidP="004016AD">
      <w:pPr>
        <w:spacing w:line="240" w:lineRule="auto"/>
      </w:pPr>
      <w:r w:rsidRPr="00883D06">
        <w:t>Cruauté et monstruosité forment ainsi l</w:t>
      </w:r>
      <w:r w:rsidR="00025BAD" w:rsidRPr="00883D06">
        <w:t>’</w:t>
      </w:r>
      <w:r w:rsidRPr="00883D06">
        <w:t xml:space="preserve">essentiel du </w:t>
      </w:r>
      <w:r w:rsidR="005972A4" w:rsidRPr="00883D06">
        <w:t>sinistre</w:t>
      </w:r>
      <w:r w:rsidRPr="00883D06">
        <w:t xml:space="preserve"> </w:t>
      </w:r>
      <w:r w:rsidR="005C1EE3" w:rsidRPr="00883D06">
        <w:t xml:space="preserve">spectacle </w:t>
      </w:r>
      <w:r w:rsidRPr="00883D06">
        <w:t>que donnent à voir les rues parisiennes lors de ces journées de septembre</w:t>
      </w:r>
      <w:r w:rsidR="005C1EE3" w:rsidRPr="00883D06">
        <w:t xml:space="preserve">, la folie étant </w:t>
      </w:r>
      <w:r w:rsidR="00C2733A" w:rsidRPr="00883D06">
        <w:t xml:space="preserve">ici </w:t>
      </w:r>
      <w:r w:rsidR="005C1EE3" w:rsidRPr="00883D06">
        <w:t>plus que jamais, pour emprunter la formule de Michel Foucault, le « déjà-là de la mort »</w:t>
      </w:r>
      <w:r w:rsidR="00F823A9" w:rsidRPr="00883D06">
        <w:t> ; p</w:t>
      </w:r>
      <w:r w:rsidR="00C718E2" w:rsidRPr="00883D06">
        <w:t>artout résonne</w:t>
      </w:r>
      <w:r w:rsidR="0089696F" w:rsidRPr="00883D06">
        <w:t xml:space="preserve"> alors</w:t>
      </w:r>
      <w:r w:rsidR="00C718E2" w:rsidRPr="00883D06">
        <w:t xml:space="preserve"> le rire </w:t>
      </w:r>
      <w:r w:rsidR="00B970AD" w:rsidRPr="00883D06">
        <w:t>lugubre</w:t>
      </w:r>
      <w:r w:rsidR="00C718E2" w:rsidRPr="00883D06">
        <w:t xml:space="preserve"> du fou, qui « rit par avance du rire de la mort</w:t>
      </w:r>
      <w:r w:rsidR="00F823A9" w:rsidRPr="00883D06">
        <w:rPr>
          <w:rStyle w:val="Appelnotedebasdep"/>
        </w:rPr>
        <w:footnoteReference w:id="42"/>
      </w:r>
      <w:r w:rsidR="00C718E2" w:rsidRPr="00883D06">
        <w:t xml:space="preserve">. » </w:t>
      </w:r>
      <w:r w:rsidR="007977E9" w:rsidRPr="00883D06">
        <w:t>D</w:t>
      </w:r>
      <w:r w:rsidR="005972A4" w:rsidRPr="00883D06">
        <w:t xml:space="preserve">es danses macabres </w:t>
      </w:r>
      <w:r w:rsidR="00C718E2" w:rsidRPr="00883D06">
        <w:t>prennent place</w:t>
      </w:r>
      <w:r w:rsidR="005972A4" w:rsidRPr="00883D06">
        <w:t xml:space="preserve"> au pied même de</w:t>
      </w:r>
      <w:r w:rsidR="00694F8F" w:rsidRPr="00883D06">
        <w:t xml:space="preserve"> l</w:t>
      </w:r>
      <w:r w:rsidR="00025BAD" w:rsidRPr="00883D06">
        <w:t>’</w:t>
      </w:r>
      <w:r w:rsidR="005972A4" w:rsidRPr="00883D06">
        <w:t xml:space="preserve">échafaud </w:t>
      </w:r>
      <w:r w:rsidR="0089696F" w:rsidRPr="00883D06">
        <w:t>dont tous se savent les victimes potentielles</w:t>
      </w:r>
      <w:r w:rsidR="008C7BE4" w:rsidRPr="00883D06">
        <w:t>,</w:t>
      </w:r>
      <w:r w:rsidR="005972A4" w:rsidRPr="00883D06">
        <w:t xml:space="preserve"> </w:t>
      </w:r>
      <w:r w:rsidR="008C7BE4" w:rsidRPr="00883D06">
        <w:t xml:space="preserve">célébrant dans ce funeste </w:t>
      </w:r>
      <w:r w:rsidR="00B970AD" w:rsidRPr="00883D06">
        <w:t>décor</w:t>
      </w:r>
      <w:r w:rsidR="008C7BE4" w:rsidRPr="00883D06">
        <w:t xml:space="preserve"> </w:t>
      </w:r>
      <w:r w:rsidR="005972A4" w:rsidRPr="00883D06">
        <w:t>« </w:t>
      </w:r>
      <w:r w:rsidR="00FE09DB" w:rsidRPr="00883D06">
        <w:t>les joyeuses orgies du sang, de l</w:t>
      </w:r>
      <w:r w:rsidR="00025BAD" w:rsidRPr="00883D06">
        <w:t>’</w:t>
      </w:r>
      <w:r w:rsidR="00FE09DB" w:rsidRPr="00883D06">
        <w:t>acier et de la rage, où l</w:t>
      </w:r>
      <w:r w:rsidR="00025BAD" w:rsidRPr="00883D06">
        <w:t>’</w:t>
      </w:r>
      <w:r w:rsidR="00FE09DB" w:rsidRPr="00883D06">
        <w:t>on trinquait au néant, où l</w:t>
      </w:r>
      <w:r w:rsidR="00025BAD" w:rsidRPr="00883D06">
        <w:t>’</w:t>
      </w:r>
      <w:r w:rsidR="00FE09DB" w:rsidRPr="00883D06">
        <w:t>on dansait tout nu la danse des trépassés, pour n</w:t>
      </w:r>
      <w:r w:rsidR="00025BAD" w:rsidRPr="00883D06">
        <w:t>’</w:t>
      </w:r>
      <w:r w:rsidR="00FE09DB" w:rsidRPr="00883D06">
        <w:t>avoir pas la peine de se déshabiller en allant les rejoindre</w:t>
      </w:r>
      <w:r w:rsidR="007977E9" w:rsidRPr="00883D06">
        <w:rPr>
          <w:rStyle w:val="Appelnotedebasdep"/>
        </w:rPr>
        <w:footnoteReference w:id="43"/>
      </w:r>
      <w:r w:rsidR="005972A4" w:rsidRPr="00883D06">
        <w:t> ».</w:t>
      </w:r>
      <w:r w:rsidR="007977E9" w:rsidRPr="00883D06">
        <w:t xml:space="preserve"> </w:t>
      </w:r>
    </w:p>
    <w:p w14:paraId="5027C6DC" w14:textId="3EA4FB78" w:rsidR="004E1890" w:rsidRPr="00883D06" w:rsidRDefault="00B55DDD" w:rsidP="004016AD">
      <w:pPr>
        <w:spacing w:line="240" w:lineRule="auto"/>
        <w:ind w:firstLine="708"/>
      </w:pPr>
      <w:r w:rsidRPr="00883D06">
        <w:t>S</w:t>
      </w:r>
      <w:r w:rsidR="004E1890" w:rsidRPr="00883D06">
        <w:t xml:space="preserve">eule la métaphore théâtrale </w:t>
      </w:r>
      <w:r w:rsidR="00906C73" w:rsidRPr="00883D06">
        <w:t xml:space="preserve">permet d’appréhender et de représenter </w:t>
      </w:r>
      <w:r w:rsidRPr="00883D06">
        <w:t>cette folle surenchère</w:t>
      </w:r>
      <w:r w:rsidR="004E1890" w:rsidRPr="00883D06">
        <w:t xml:space="preserve"> </w:t>
      </w:r>
      <w:r w:rsidR="007977E9" w:rsidRPr="00883D06">
        <w:t>– ou cette surenchère dans la folie</w:t>
      </w:r>
      <w:r w:rsidR="004E1890" w:rsidRPr="00883D06">
        <w:t> : « pris collectivement, le peuple est un poète, auteur et acteur ardent de la pièce qu</w:t>
      </w:r>
      <w:r w:rsidR="00025BAD" w:rsidRPr="00883D06">
        <w:t>’</w:t>
      </w:r>
      <w:r w:rsidR="004E1890" w:rsidRPr="00883D06">
        <w:t>il joue ou qu</w:t>
      </w:r>
      <w:r w:rsidR="00025BAD" w:rsidRPr="00883D06">
        <w:t>’</w:t>
      </w:r>
      <w:r w:rsidR="004E1890" w:rsidRPr="00883D06">
        <w:t>on lui fait jouer. Ses excès ne sont pas tant l</w:t>
      </w:r>
      <w:r w:rsidR="00025BAD" w:rsidRPr="00883D06">
        <w:t>’</w:t>
      </w:r>
      <w:r w:rsidR="004E1890" w:rsidRPr="00883D06">
        <w:t>instinct d</w:t>
      </w:r>
      <w:r w:rsidR="00025BAD" w:rsidRPr="00883D06">
        <w:t>’</w:t>
      </w:r>
      <w:r w:rsidR="004E1890" w:rsidRPr="00883D06">
        <w:t>une cruauté native que le délire d</w:t>
      </w:r>
      <w:r w:rsidR="00025BAD" w:rsidRPr="00883D06">
        <w:t>’</w:t>
      </w:r>
      <w:r w:rsidR="004E1890" w:rsidRPr="00883D06">
        <w:t>une foule enivrée de spectacles, surtout quand ils sont tragiques</w:t>
      </w:r>
      <w:r w:rsidR="004E1890" w:rsidRPr="00883D06">
        <w:rPr>
          <w:rStyle w:val="Appelnotedebasdep"/>
        </w:rPr>
        <w:footnoteReference w:id="44"/>
      </w:r>
      <w:r w:rsidR="004E1890" w:rsidRPr="00883D06">
        <w:t> ».</w:t>
      </w:r>
      <w:r w:rsidR="003404AB" w:rsidRPr="00883D06">
        <w:t xml:space="preserve"> </w:t>
      </w:r>
      <w:r w:rsidR="00B970AD" w:rsidRPr="00883D06">
        <w:t xml:space="preserve">Fruit de la folie des chefs révolutionnaires, </w:t>
      </w:r>
      <w:r w:rsidR="003404AB" w:rsidRPr="00883D06">
        <w:t>la déraison publique doit</w:t>
      </w:r>
      <w:r w:rsidR="0016463E" w:rsidRPr="00883D06">
        <w:t xml:space="preserve"> aussi</w:t>
      </w:r>
      <w:r w:rsidR="003404AB" w:rsidRPr="00883D06">
        <w:t xml:space="preserve"> beaucoup</w:t>
      </w:r>
      <w:r w:rsidR="00B970AD" w:rsidRPr="00883D06">
        <w:t xml:space="preserve"> </w:t>
      </w:r>
      <w:r w:rsidR="003404AB" w:rsidRPr="00883D06">
        <w:t>au pouvoir du groupe, de loin supérieur à celui de l</w:t>
      </w:r>
      <w:r w:rsidR="00025BAD" w:rsidRPr="00883D06">
        <w:t>’</w:t>
      </w:r>
      <w:r w:rsidR="003404AB" w:rsidRPr="00883D06">
        <w:t>individu</w:t>
      </w:r>
      <w:r w:rsidR="000E7C4C" w:rsidRPr="00883D06">
        <w:t xml:space="preserve"> – les Français étant « individuellement les plus aimables des hommes, en corps les plus détestables de tous »</w:t>
      </w:r>
      <w:r w:rsidR="00E0119A" w:rsidRPr="00883D06">
        <w:t xml:space="preserve"> –</w:t>
      </w:r>
      <w:r w:rsidR="003404AB" w:rsidRPr="00883D06">
        <w:t>, à l</w:t>
      </w:r>
      <w:r w:rsidR="00025BAD" w:rsidRPr="00883D06">
        <w:t>’</w:t>
      </w:r>
      <w:r w:rsidR="003404AB" w:rsidRPr="00883D06">
        <w:t>effet d</w:t>
      </w:r>
      <w:r w:rsidR="00025BAD" w:rsidRPr="00883D06">
        <w:t>’</w:t>
      </w:r>
      <w:r w:rsidR="003404AB" w:rsidRPr="00883D06">
        <w:t xml:space="preserve">entraînement que produit sur </w:t>
      </w:r>
      <w:r w:rsidR="00E0119A" w:rsidRPr="00883D06">
        <w:t xml:space="preserve">des êtres </w:t>
      </w:r>
      <w:r w:rsidR="00E625B2" w:rsidRPr="00883D06">
        <w:t>agissant</w:t>
      </w:r>
      <w:r w:rsidR="00E0119A" w:rsidRPr="00883D06">
        <w:t xml:space="preserve"> « au gré de leurs passions impétueuses</w:t>
      </w:r>
      <w:r w:rsidR="00E0119A" w:rsidRPr="00883D06">
        <w:rPr>
          <w:rStyle w:val="Appelnotedebasdep"/>
        </w:rPr>
        <w:footnoteReference w:id="45"/>
      </w:r>
      <w:r w:rsidR="00E0119A" w:rsidRPr="00883D06">
        <w:t> »</w:t>
      </w:r>
      <w:r w:rsidR="003404AB" w:rsidRPr="00883D06">
        <w:t xml:space="preserve"> le spectacle</w:t>
      </w:r>
      <w:r w:rsidR="00A83815" w:rsidRPr="00883D06">
        <w:t xml:space="preserve"> omniprésent</w:t>
      </w:r>
      <w:r w:rsidR="003404AB" w:rsidRPr="00883D06">
        <w:t xml:space="preserve"> de la violence</w:t>
      </w:r>
      <w:r w:rsidR="00E0119A" w:rsidRPr="00883D06">
        <w:t>,</w:t>
      </w:r>
      <w:r w:rsidR="003404AB" w:rsidRPr="00883D06">
        <w:t xml:space="preserve"> qu</w:t>
      </w:r>
      <w:r w:rsidR="00025BAD" w:rsidRPr="00883D06">
        <w:t>’</w:t>
      </w:r>
      <w:r w:rsidR="003404AB" w:rsidRPr="00883D06">
        <w:t>il ressorte de la fiction ou de la réalité.</w:t>
      </w:r>
      <w:r w:rsidR="00BF30B5" w:rsidRPr="00883D06">
        <w:t xml:space="preserve"> </w:t>
      </w:r>
    </w:p>
    <w:p w14:paraId="7382FDFE" w14:textId="65F5F43C" w:rsidR="00B51EA8" w:rsidRPr="00883D06" w:rsidRDefault="001C24AD" w:rsidP="004016AD">
      <w:pPr>
        <w:spacing w:line="240" w:lineRule="auto"/>
        <w:ind w:firstLine="708"/>
      </w:pPr>
      <w:r w:rsidRPr="00883D06">
        <w:t xml:space="preserve">La Terreur </w:t>
      </w:r>
      <w:r w:rsidR="00A83815" w:rsidRPr="00883D06">
        <w:t xml:space="preserve">constitue le paroxysme </w:t>
      </w:r>
      <w:r w:rsidR="00D4428F" w:rsidRPr="00883D06">
        <w:t xml:space="preserve">de </w:t>
      </w:r>
      <w:r w:rsidR="003404AB" w:rsidRPr="00883D06">
        <w:t>cette violence volontiers spectaculaire</w:t>
      </w:r>
      <w:r w:rsidRPr="00883D06">
        <w:t xml:space="preserve"> </w:t>
      </w:r>
      <w:r w:rsidR="005A5AC3" w:rsidRPr="00883D06">
        <w:t>dont elle</w:t>
      </w:r>
      <w:r w:rsidR="00A83815" w:rsidRPr="00883D06">
        <w:t xml:space="preserve"> augure par là même </w:t>
      </w:r>
      <w:r w:rsidR="002A6F70" w:rsidRPr="00883D06">
        <w:t>la fin prochaine</w:t>
      </w:r>
      <w:r w:rsidR="00A83815" w:rsidRPr="00883D06">
        <w:t xml:space="preserve">. </w:t>
      </w:r>
      <w:r w:rsidR="007865B1" w:rsidRPr="00883D06">
        <w:t>Depuis l</w:t>
      </w:r>
      <w:r w:rsidR="00025BAD" w:rsidRPr="00883D06">
        <w:t>’</w:t>
      </w:r>
      <w:r w:rsidRPr="00883D06">
        <w:t xml:space="preserve">échafaud sur lequel </w:t>
      </w:r>
      <w:r w:rsidR="007865B1" w:rsidRPr="00883D06">
        <w:t xml:space="preserve">il </w:t>
      </w:r>
      <w:r w:rsidRPr="00883D06">
        <w:t xml:space="preserve">monte </w:t>
      </w:r>
      <w:r w:rsidR="00A83815" w:rsidRPr="00883D06">
        <w:t>le 5 avril 1794</w:t>
      </w:r>
      <w:r w:rsidR="007865B1" w:rsidRPr="00883D06">
        <w:t>,</w:t>
      </w:r>
      <w:r w:rsidRPr="00883D06">
        <w:t xml:space="preserve"> « théâtre de la Terreur, où ses pieds se collaient dans le sang épaissi de la veille</w:t>
      </w:r>
      <w:r w:rsidRPr="00883D06">
        <w:rPr>
          <w:rStyle w:val="Appelnotedebasdep"/>
        </w:rPr>
        <w:footnoteReference w:id="46"/>
      </w:r>
      <w:r w:rsidRPr="00883D06">
        <w:t> »</w:t>
      </w:r>
      <w:r w:rsidR="007865B1" w:rsidRPr="00883D06">
        <w:t>,</w:t>
      </w:r>
      <w:r w:rsidR="002A6F70" w:rsidRPr="00883D06">
        <w:t xml:space="preserve"> </w:t>
      </w:r>
      <w:r w:rsidR="007865B1" w:rsidRPr="00883D06">
        <w:t xml:space="preserve">Danton </w:t>
      </w:r>
      <w:r w:rsidR="002A6F70" w:rsidRPr="00883D06">
        <w:t>se livre</w:t>
      </w:r>
      <w:r w:rsidR="007865B1" w:rsidRPr="00883D06">
        <w:t xml:space="preserve"> pour la dernière fois</w:t>
      </w:r>
      <w:r w:rsidR="00A22DDB" w:rsidRPr="00883D06">
        <w:t>, écrit Arnault,</w:t>
      </w:r>
      <w:r w:rsidR="002A6F70" w:rsidRPr="00883D06">
        <w:t xml:space="preserve"> à une « [e]</w:t>
      </w:r>
      <w:proofErr w:type="spellStart"/>
      <w:r w:rsidR="002A6F70" w:rsidRPr="00883D06">
        <w:t>ffroyable</w:t>
      </w:r>
      <w:proofErr w:type="spellEnd"/>
      <w:r w:rsidR="002A6F70" w:rsidRPr="00883D06">
        <w:t xml:space="preserve"> pantomime</w:t>
      </w:r>
      <w:r w:rsidR="002A6F70" w:rsidRPr="00883D06">
        <w:rPr>
          <w:rStyle w:val="Appelnotedebasdep"/>
        </w:rPr>
        <w:footnoteReference w:id="47"/>
      </w:r>
      <w:r w:rsidR="002A6F70" w:rsidRPr="00883D06">
        <w:t> »</w:t>
      </w:r>
      <w:r w:rsidR="007865B1" w:rsidRPr="00883D06">
        <w:t>, avant de prononcer</w:t>
      </w:r>
      <w:r w:rsidR="00601D77" w:rsidRPr="00883D06">
        <w:t xml:space="preserve"> (« avec l</w:t>
      </w:r>
      <w:r w:rsidR="00025BAD" w:rsidRPr="00883D06">
        <w:t>’</w:t>
      </w:r>
      <w:r w:rsidR="00601D77" w:rsidRPr="00883D06">
        <w:t>accent d</w:t>
      </w:r>
      <w:r w:rsidR="00025BAD" w:rsidRPr="00883D06">
        <w:t>’</w:t>
      </w:r>
      <w:r w:rsidR="00601D77" w:rsidRPr="00883D06">
        <w:t>un Gracque</w:t>
      </w:r>
      <w:r w:rsidR="00601D77" w:rsidRPr="00883D06">
        <w:rPr>
          <w:rStyle w:val="Appelnotedebasdep"/>
        </w:rPr>
        <w:footnoteReference w:id="48"/>
      </w:r>
      <w:r w:rsidR="00601D77" w:rsidRPr="00883D06">
        <w:t> »)</w:t>
      </w:r>
      <w:r w:rsidR="007865B1" w:rsidRPr="00883D06">
        <w:t xml:space="preserve"> ses derniers mots, exemplaires de cette macabre théâtralisation du politique : « Tu montreras ma tête au peuple ; elle en vaut la peine</w:t>
      </w:r>
      <w:r w:rsidR="007865B1" w:rsidRPr="00883D06">
        <w:rPr>
          <w:rStyle w:val="Appelnotedebasdep"/>
        </w:rPr>
        <w:footnoteReference w:id="49"/>
      </w:r>
      <w:r w:rsidR="007865B1" w:rsidRPr="00883D06">
        <w:t> »</w:t>
      </w:r>
      <w:r w:rsidR="00A83815" w:rsidRPr="00883D06">
        <w:t>. L</w:t>
      </w:r>
      <w:r w:rsidR="00025BAD" w:rsidRPr="00883D06">
        <w:t>’</w:t>
      </w:r>
      <w:r w:rsidRPr="00883D06">
        <w:t>exécution</w:t>
      </w:r>
      <w:r w:rsidR="00A83815" w:rsidRPr="00883D06">
        <w:t>, le même jour,</w:t>
      </w:r>
      <w:r w:rsidRPr="00883D06">
        <w:t xml:space="preserve"> de Camille Desmoulins </w:t>
      </w:r>
      <w:r w:rsidR="00FF6CC3" w:rsidRPr="00883D06">
        <w:t>devient sous la plume de Chateaubriand l</w:t>
      </w:r>
      <w:r w:rsidR="00025BAD" w:rsidRPr="00883D06">
        <w:t>’</w:t>
      </w:r>
      <w:r w:rsidR="00FF6CC3" w:rsidRPr="00883D06">
        <w:t>un des premiers signes annonciateurs de</w:t>
      </w:r>
      <w:r w:rsidR="00A83815" w:rsidRPr="00883D06">
        <w:t xml:space="preserve"> la fin</w:t>
      </w:r>
      <w:r w:rsidRPr="00883D06">
        <w:t xml:space="preserve"> du </w:t>
      </w:r>
      <w:r w:rsidR="00BF30B5" w:rsidRPr="00883D06">
        <w:t>drame</w:t>
      </w:r>
      <w:r w:rsidRPr="00883D06">
        <w:t xml:space="preserve"> révolutionnaire :</w:t>
      </w:r>
    </w:p>
    <w:p w14:paraId="5120AA80" w14:textId="0E77EC9F" w:rsidR="001C24AD" w:rsidRPr="00883D06" w:rsidRDefault="00BF30B5" w:rsidP="00493B16">
      <w:pPr>
        <w:spacing w:line="240" w:lineRule="auto"/>
        <w:ind w:left="567"/>
        <w:rPr>
          <w:sz w:val="20"/>
          <w:szCs w:val="18"/>
        </w:rPr>
      </w:pPr>
      <w:r w:rsidRPr="00883D06">
        <w:rPr>
          <w:sz w:val="20"/>
          <w:szCs w:val="18"/>
        </w:rPr>
        <w:t>A</w:t>
      </w:r>
      <w:r w:rsidR="001C24AD" w:rsidRPr="00883D06">
        <w:rPr>
          <w:sz w:val="20"/>
          <w:szCs w:val="18"/>
        </w:rPr>
        <w:t xml:space="preserve"> l</w:t>
      </w:r>
      <w:r w:rsidR="00025BAD" w:rsidRPr="00883D06">
        <w:rPr>
          <w:sz w:val="20"/>
          <w:szCs w:val="18"/>
        </w:rPr>
        <w:t>’</w:t>
      </w:r>
      <w:r w:rsidR="001C24AD" w:rsidRPr="00883D06">
        <w:rPr>
          <w:sz w:val="20"/>
          <w:szCs w:val="18"/>
        </w:rPr>
        <w:t>époque où l</w:t>
      </w:r>
      <w:r w:rsidR="00025BAD" w:rsidRPr="00883D06">
        <w:rPr>
          <w:sz w:val="20"/>
          <w:szCs w:val="18"/>
        </w:rPr>
        <w:t>’</w:t>
      </w:r>
      <w:r w:rsidR="001C24AD" w:rsidRPr="00883D06">
        <w:rPr>
          <w:sz w:val="20"/>
          <w:szCs w:val="18"/>
        </w:rPr>
        <w:t>on faisait des pensions à la guillotine, où l</w:t>
      </w:r>
      <w:r w:rsidR="00025BAD" w:rsidRPr="00883D06">
        <w:rPr>
          <w:sz w:val="20"/>
          <w:szCs w:val="18"/>
        </w:rPr>
        <w:t>’</w:t>
      </w:r>
      <w:r w:rsidR="001C24AD" w:rsidRPr="00883D06">
        <w:rPr>
          <w:sz w:val="20"/>
          <w:szCs w:val="18"/>
        </w:rPr>
        <w:t>on portait alternativement à la boutonnière de sa carmagnole, en guise de fleur, une petite guillotine en or, un petit morceau de cœur de guillotiné ; à l</w:t>
      </w:r>
      <w:r w:rsidR="00025BAD" w:rsidRPr="00883D06">
        <w:rPr>
          <w:sz w:val="20"/>
          <w:szCs w:val="18"/>
        </w:rPr>
        <w:t>’</w:t>
      </w:r>
      <w:r w:rsidR="001C24AD" w:rsidRPr="00883D06">
        <w:rPr>
          <w:sz w:val="20"/>
          <w:szCs w:val="18"/>
        </w:rPr>
        <w:t>époque où l</w:t>
      </w:r>
      <w:r w:rsidR="00025BAD" w:rsidRPr="00883D06">
        <w:rPr>
          <w:sz w:val="20"/>
          <w:szCs w:val="18"/>
        </w:rPr>
        <w:t>’</w:t>
      </w:r>
      <w:r w:rsidR="001C24AD" w:rsidRPr="00883D06">
        <w:rPr>
          <w:sz w:val="20"/>
          <w:szCs w:val="18"/>
        </w:rPr>
        <w:t xml:space="preserve">on vociférait : </w:t>
      </w:r>
      <w:r w:rsidR="001C24AD" w:rsidRPr="00883D06">
        <w:rPr>
          <w:i/>
          <w:iCs/>
          <w:sz w:val="20"/>
          <w:szCs w:val="18"/>
        </w:rPr>
        <w:t>Vive l</w:t>
      </w:r>
      <w:r w:rsidR="00025BAD" w:rsidRPr="00883D06">
        <w:rPr>
          <w:i/>
          <w:iCs/>
          <w:sz w:val="20"/>
          <w:szCs w:val="18"/>
        </w:rPr>
        <w:t>’</w:t>
      </w:r>
      <w:r w:rsidR="001C24AD" w:rsidRPr="00883D06">
        <w:rPr>
          <w:i/>
          <w:iCs/>
          <w:sz w:val="20"/>
          <w:szCs w:val="18"/>
        </w:rPr>
        <w:t xml:space="preserve">enfer ! </w:t>
      </w:r>
      <w:r w:rsidR="00B45E0D" w:rsidRPr="00883D06">
        <w:rPr>
          <w:sz w:val="20"/>
          <w:szCs w:val="18"/>
        </w:rPr>
        <w:t>[…] ; à cette époque, il fallait, en fin de compte, arriver au dernier banquet, à la dernière facétie de la douleur</w:t>
      </w:r>
      <w:r w:rsidR="00B45E0D" w:rsidRPr="00883D06">
        <w:rPr>
          <w:rStyle w:val="Appelnotedebasdep"/>
          <w:sz w:val="20"/>
          <w:szCs w:val="18"/>
        </w:rPr>
        <w:footnoteReference w:id="50"/>
      </w:r>
      <w:r w:rsidR="00B45E0D" w:rsidRPr="00883D06">
        <w:rPr>
          <w:sz w:val="20"/>
          <w:szCs w:val="18"/>
        </w:rPr>
        <w:t>.</w:t>
      </w:r>
    </w:p>
    <w:p w14:paraId="3B1C2E3B" w14:textId="6625EC90" w:rsidR="00A22DDB" w:rsidRPr="00883D06" w:rsidRDefault="00A22DDB" w:rsidP="004016AD">
      <w:pPr>
        <w:spacing w:line="240" w:lineRule="auto"/>
        <w:rPr>
          <w:lang w:val="fr-LU"/>
        </w:rPr>
      </w:pPr>
      <w:r w:rsidRPr="00883D06">
        <w:rPr>
          <w:lang w:val="fr-LU"/>
        </w:rPr>
        <w:lastRenderedPageBreak/>
        <w:t xml:space="preserve">Ce carnavalesque macabre trouve ainsi dans </w:t>
      </w:r>
      <w:r w:rsidR="00CF00CE" w:rsidRPr="00883D06">
        <w:rPr>
          <w:lang w:val="fr-LU"/>
        </w:rPr>
        <w:t>le paroxysme</w:t>
      </w:r>
      <w:r w:rsidRPr="00883D06">
        <w:rPr>
          <w:lang w:val="fr-LU"/>
        </w:rPr>
        <w:t xml:space="preserve"> que constitue la Terreur son terme naturel</w:t>
      </w:r>
      <w:r w:rsidR="0016463E" w:rsidRPr="00883D06">
        <w:rPr>
          <w:lang w:val="fr-LU"/>
        </w:rPr>
        <w:t>. P</w:t>
      </w:r>
      <w:r w:rsidRPr="00883D06">
        <w:rPr>
          <w:lang w:val="fr-LU"/>
        </w:rPr>
        <w:t xml:space="preserve">our autant, le mélange des genres et des registres, </w:t>
      </w:r>
      <w:r w:rsidR="0016463E" w:rsidRPr="00883D06">
        <w:rPr>
          <w:lang w:val="fr-LU"/>
        </w:rPr>
        <w:t xml:space="preserve">de la farce et du tragique, </w:t>
      </w:r>
      <w:r w:rsidRPr="00883D06">
        <w:rPr>
          <w:lang w:val="fr-LU"/>
        </w:rPr>
        <w:t>signe de la rupture définitive avec l</w:t>
      </w:r>
      <w:r w:rsidR="00025BAD" w:rsidRPr="00883D06">
        <w:rPr>
          <w:lang w:val="fr-LU"/>
        </w:rPr>
        <w:t>’</w:t>
      </w:r>
      <w:r w:rsidRPr="00883D06">
        <w:rPr>
          <w:lang w:val="fr-LU"/>
        </w:rPr>
        <w:t>Ancien Régime, demeure le partage des régimes politiques qui succèdent au Directoire</w:t>
      </w:r>
      <w:r w:rsidR="00542192" w:rsidRPr="00883D06">
        <w:rPr>
          <w:lang w:val="fr-LU"/>
        </w:rPr>
        <w:t>. Cette persistance d</w:t>
      </w:r>
      <w:r w:rsidR="00025BAD" w:rsidRPr="00883D06">
        <w:rPr>
          <w:lang w:val="fr-LU"/>
        </w:rPr>
        <w:t>’</w:t>
      </w:r>
      <w:r w:rsidR="00542192" w:rsidRPr="00883D06">
        <w:rPr>
          <w:lang w:val="fr-LU"/>
        </w:rPr>
        <w:t xml:space="preserve">un </w:t>
      </w:r>
      <w:r w:rsidR="00B25F37" w:rsidRPr="00883D06">
        <w:rPr>
          <w:lang w:val="fr-LU"/>
        </w:rPr>
        <w:t>lien indissociable</w:t>
      </w:r>
      <w:r w:rsidR="00542192" w:rsidRPr="00883D06">
        <w:rPr>
          <w:lang w:val="fr-LU"/>
        </w:rPr>
        <w:t xml:space="preserve"> entre spectacle politique et représentation théâtrale se reflète dans la figure de Talma</w:t>
      </w:r>
      <w:r w:rsidR="00B25F37" w:rsidRPr="00883D06">
        <w:rPr>
          <w:lang w:val="fr-LU"/>
        </w:rPr>
        <w:t>, dans laquelle les déchirements identitaires de la France postrévolutionnaire trouvent sans doute leur meilleure allégorie</w:t>
      </w:r>
      <w:r w:rsidR="00542192" w:rsidRPr="00883D06">
        <w:rPr>
          <w:lang w:val="fr-LU"/>
        </w:rPr>
        <w:t>.</w:t>
      </w:r>
    </w:p>
    <w:p w14:paraId="3BFA667E" w14:textId="015E1962" w:rsidR="00AB495E" w:rsidRPr="00883D06" w:rsidRDefault="004016AD" w:rsidP="004016AD">
      <w:pPr>
        <w:spacing w:line="240" w:lineRule="auto"/>
        <w:jc w:val="center"/>
        <w:rPr>
          <w:lang w:val="fr-LU"/>
        </w:rPr>
      </w:pPr>
      <w:r w:rsidRPr="00883D06">
        <w:rPr>
          <w:lang w:val="fr-LU"/>
        </w:rPr>
        <w:t>THÉÂTRALISATION DU MONDE POSTRÉVOLUTIONNAIRE</w:t>
      </w:r>
    </w:p>
    <w:p w14:paraId="30DBABA8" w14:textId="1EB19B06" w:rsidR="001C67F3" w:rsidRPr="00883D06" w:rsidRDefault="001C3197" w:rsidP="004016AD">
      <w:pPr>
        <w:spacing w:line="240" w:lineRule="auto"/>
        <w:ind w:firstLine="708"/>
        <w:rPr>
          <w:szCs w:val="24"/>
          <w:lang w:val="fr-LU"/>
        </w:rPr>
      </w:pPr>
      <w:r w:rsidRPr="00883D06">
        <w:rPr>
          <w:szCs w:val="24"/>
          <w:lang w:val="fr-LU"/>
        </w:rPr>
        <w:t>Sous la plume de Chateaubriand, qui lui voue à l</w:t>
      </w:r>
      <w:r w:rsidR="00025BAD" w:rsidRPr="00883D06">
        <w:rPr>
          <w:szCs w:val="24"/>
          <w:lang w:val="fr-LU"/>
        </w:rPr>
        <w:t>’</w:t>
      </w:r>
      <w:r w:rsidRPr="00883D06">
        <w:rPr>
          <w:szCs w:val="24"/>
          <w:lang w:val="fr-LU"/>
        </w:rPr>
        <w:t>image de Germaine de Staël une vive admiration, Talma</w:t>
      </w:r>
      <w:r w:rsidR="0079716B" w:rsidRPr="00883D06">
        <w:rPr>
          <w:szCs w:val="24"/>
          <w:lang w:val="fr-LU"/>
        </w:rPr>
        <w:t xml:space="preserve">, fervent partisan sous la Révolution d’un </w:t>
      </w:r>
      <w:r w:rsidR="00CB37A4" w:rsidRPr="00883D06">
        <w:rPr>
          <w:szCs w:val="24"/>
          <w:lang w:val="fr-LU"/>
        </w:rPr>
        <w:t>théâtre</w:t>
      </w:r>
      <w:r w:rsidR="0079716B" w:rsidRPr="00883D06">
        <w:rPr>
          <w:szCs w:val="24"/>
          <w:lang w:val="fr-LU"/>
        </w:rPr>
        <w:t xml:space="preserve"> militant et patriotique</w:t>
      </w:r>
      <w:r w:rsidRPr="00883D06">
        <w:rPr>
          <w:szCs w:val="24"/>
          <w:lang w:val="fr-LU"/>
        </w:rPr>
        <w:t xml:space="preserve"> est l</w:t>
      </w:r>
      <w:r w:rsidR="00025BAD" w:rsidRPr="00883D06">
        <w:rPr>
          <w:szCs w:val="24"/>
          <w:lang w:val="fr-LU"/>
        </w:rPr>
        <w:t>’</w:t>
      </w:r>
      <w:r w:rsidRPr="00883D06">
        <w:rPr>
          <w:szCs w:val="24"/>
          <w:lang w:val="fr-LU"/>
        </w:rPr>
        <w:t>incarnation même au théâtre d</w:t>
      </w:r>
      <w:r w:rsidR="00025BAD" w:rsidRPr="00883D06">
        <w:rPr>
          <w:szCs w:val="24"/>
          <w:lang w:val="fr-LU"/>
        </w:rPr>
        <w:t>’</w:t>
      </w:r>
      <w:r w:rsidRPr="00883D06">
        <w:rPr>
          <w:szCs w:val="24"/>
          <w:lang w:val="fr-LU"/>
        </w:rPr>
        <w:t>une France postrévolutionnaire ayant fait table rase de ce qui faisait l</w:t>
      </w:r>
      <w:r w:rsidR="00025BAD" w:rsidRPr="00883D06">
        <w:rPr>
          <w:szCs w:val="24"/>
          <w:lang w:val="fr-LU"/>
        </w:rPr>
        <w:t>’</w:t>
      </w:r>
      <w:r w:rsidRPr="00883D06">
        <w:rPr>
          <w:szCs w:val="24"/>
          <w:lang w:val="fr-LU"/>
        </w:rPr>
        <w:t>Ancien Régime :</w:t>
      </w:r>
      <w:r w:rsidR="00211116" w:rsidRPr="00883D06">
        <w:rPr>
          <w:szCs w:val="24"/>
          <w:lang w:val="fr-LU"/>
        </w:rPr>
        <w:t xml:space="preserve"> « i</w:t>
      </w:r>
      <w:r w:rsidR="004F37DD" w:rsidRPr="00883D06">
        <w:rPr>
          <w:szCs w:val="24"/>
          <w:lang w:val="fr-LU"/>
        </w:rPr>
        <w:t xml:space="preserve">l ne savait pas le </w:t>
      </w:r>
      <w:r w:rsidR="004F37DD" w:rsidRPr="00883D06">
        <w:rPr>
          <w:i/>
          <w:iCs/>
          <w:szCs w:val="24"/>
          <w:lang w:val="fr-LU"/>
        </w:rPr>
        <w:t>gentilhomme </w:t>
      </w:r>
      <w:r w:rsidR="004F37DD" w:rsidRPr="00883D06">
        <w:rPr>
          <w:szCs w:val="24"/>
          <w:lang w:val="fr-LU"/>
        </w:rPr>
        <w:t>; il ne connaissait pas notre ancienne société ; il ne s</w:t>
      </w:r>
      <w:r w:rsidR="00025BAD" w:rsidRPr="00883D06">
        <w:rPr>
          <w:szCs w:val="24"/>
          <w:lang w:val="fr-LU"/>
        </w:rPr>
        <w:t>’</w:t>
      </w:r>
      <w:r w:rsidR="004F37DD" w:rsidRPr="00883D06">
        <w:rPr>
          <w:szCs w:val="24"/>
          <w:lang w:val="fr-LU"/>
        </w:rPr>
        <w:t xml:space="preserve">était pas assis à la table des châtelaines, dans la tour gothique au fond des bois ; il ignorait </w:t>
      </w:r>
      <w:r w:rsidR="00211116" w:rsidRPr="00883D06">
        <w:rPr>
          <w:szCs w:val="24"/>
          <w:lang w:val="fr-LU"/>
        </w:rPr>
        <w:t>[…]</w:t>
      </w:r>
      <w:r w:rsidR="004F37DD" w:rsidRPr="00883D06">
        <w:rPr>
          <w:szCs w:val="24"/>
          <w:lang w:val="fr-LU"/>
        </w:rPr>
        <w:t xml:space="preserve"> la galanterie, l</w:t>
      </w:r>
      <w:r w:rsidR="00025BAD" w:rsidRPr="00883D06">
        <w:rPr>
          <w:szCs w:val="24"/>
          <w:lang w:val="fr-LU"/>
        </w:rPr>
        <w:t>’</w:t>
      </w:r>
      <w:r w:rsidR="004F37DD" w:rsidRPr="00883D06">
        <w:rPr>
          <w:szCs w:val="24"/>
          <w:lang w:val="fr-LU"/>
        </w:rPr>
        <w:t>allure légère des mœurs, la naïveté, la tendresse, l</w:t>
      </w:r>
      <w:r w:rsidR="00025BAD" w:rsidRPr="00883D06">
        <w:rPr>
          <w:szCs w:val="24"/>
          <w:lang w:val="fr-LU"/>
        </w:rPr>
        <w:t>’</w:t>
      </w:r>
      <w:r w:rsidR="004F37DD" w:rsidRPr="00883D06">
        <w:rPr>
          <w:szCs w:val="24"/>
          <w:lang w:val="fr-LU"/>
        </w:rPr>
        <w:t>héroïsme d</w:t>
      </w:r>
      <w:r w:rsidR="00025BAD" w:rsidRPr="00883D06">
        <w:rPr>
          <w:szCs w:val="24"/>
          <w:lang w:val="fr-LU"/>
        </w:rPr>
        <w:t>’</w:t>
      </w:r>
      <w:r w:rsidR="004F37DD" w:rsidRPr="00883D06">
        <w:rPr>
          <w:szCs w:val="24"/>
          <w:lang w:val="fr-LU"/>
        </w:rPr>
        <w:t>honneur, les dévouements chrétiens de la chevalerie</w:t>
      </w:r>
      <w:r w:rsidRPr="00883D06">
        <w:rPr>
          <w:rStyle w:val="Appelnotedebasdep"/>
          <w:szCs w:val="24"/>
          <w:lang w:val="fr-LU"/>
        </w:rPr>
        <w:footnoteReference w:id="51"/>
      </w:r>
      <w:r w:rsidR="00211116" w:rsidRPr="00883D06">
        <w:rPr>
          <w:szCs w:val="24"/>
          <w:lang w:val="fr-LU"/>
        </w:rPr>
        <w:t> »</w:t>
      </w:r>
      <w:r w:rsidR="004F37DD" w:rsidRPr="00883D06">
        <w:rPr>
          <w:szCs w:val="24"/>
          <w:lang w:val="fr-LU"/>
        </w:rPr>
        <w:t>.</w:t>
      </w:r>
      <w:r w:rsidR="00211116" w:rsidRPr="00883D06">
        <w:rPr>
          <w:szCs w:val="24"/>
          <w:lang w:val="fr-LU"/>
        </w:rPr>
        <w:t xml:space="preserve"> </w:t>
      </w:r>
    </w:p>
    <w:p w14:paraId="4366995B" w14:textId="759A806C" w:rsidR="001C3197" w:rsidRPr="00883D06" w:rsidRDefault="00211116" w:rsidP="004016AD">
      <w:pPr>
        <w:spacing w:line="240" w:lineRule="auto"/>
        <w:ind w:firstLine="708"/>
        <w:rPr>
          <w:szCs w:val="24"/>
          <w:lang w:val="fr-LU"/>
        </w:rPr>
      </w:pPr>
      <w:r w:rsidRPr="00883D06">
        <w:rPr>
          <w:szCs w:val="24"/>
          <w:lang w:val="fr-LU"/>
        </w:rPr>
        <w:t>Ce qu</w:t>
      </w:r>
      <w:r w:rsidR="00025BAD" w:rsidRPr="00883D06">
        <w:rPr>
          <w:szCs w:val="24"/>
          <w:lang w:val="fr-LU"/>
        </w:rPr>
        <w:t>’</w:t>
      </w:r>
      <w:r w:rsidRPr="00883D06">
        <w:rPr>
          <w:szCs w:val="24"/>
          <w:lang w:val="fr-LU"/>
        </w:rPr>
        <w:t>incarne Talma, ce sont bien plutôt</w:t>
      </w:r>
      <w:r w:rsidR="009C7F62" w:rsidRPr="00883D06">
        <w:rPr>
          <w:szCs w:val="24"/>
          <w:lang w:val="fr-LU"/>
        </w:rPr>
        <w:t xml:space="preserve"> l’imaginaire et</w:t>
      </w:r>
      <w:r w:rsidRPr="00883D06">
        <w:rPr>
          <w:szCs w:val="24"/>
          <w:lang w:val="fr-LU"/>
        </w:rPr>
        <w:t xml:space="preserve"> les représentations propres au nouvel ordre </w:t>
      </w:r>
      <w:r w:rsidR="009002B8" w:rsidRPr="00883D06">
        <w:rPr>
          <w:szCs w:val="24"/>
          <w:lang w:val="fr-LU"/>
        </w:rPr>
        <w:t>sociopolitique</w:t>
      </w:r>
      <w:r w:rsidR="00182A32" w:rsidRPr="00883D06">
        <w:rPr>
          <w:szCs w:val="24"/>
          <w:lang w:val="fr-LU"/>
        </w:rPr>
        <w:t> ; son jeu porte</w:t>
      </w:r>
      <w:r w:rsidR="00CF00CE" w:rsidRPr="00883D06">
        <w:rPr>
          <w:szCs w:val="24"/>
          <w:lang w:val="fr-LU"/>
        </w:rPr>
        <w:t xml:space="preserve"> par conséquent</w:t>
      </w:r>
      <w:r w:rsidRPr="00883D06">
        <w:rPr>
          <w:szCs w:val="24"/>
          <w:lang w:val="fr-LU"/>
        </w:rPr>
        <w:t xml:space="preserve"> </w:t>
      </w:r>
      <w:r w:rsidR="00182A32" w:rsidRPr="00883D06">
        <w:rPr>
          <w:szCs w:val="24"/>
          <w:lang w:val="fr-LU"/>
        </w:rPr>
        <w:t xml:space="preserve">la marque de </w:t>
      </w:r>
      <w:r w:rsidRPr="00883D06">
        <w:rPr>
          <w:szCs w:val="24"/>
          <w:lang w:val="fr-LU"/>
        </w:rPr>
        <w:t>cette folie qui en est la caractéristique la plus saillante :</w:t>
      </w:r>
    </w:p>
    <w:p w14:paraId="15B81FA3" w14:textId="273339E3" w:rsidR="00211116" w:rsidRPr="00883D06" w:rsidRDefault="004F37DD" w:rsidP="00493B16">
      <w:pPr>
        <w:spacing w:line="240" w:lineRule="auto"/>
        <w:ind w:left="567"/>
        <w:rPr>
          <w:sz w:val="20"/>
          <w:lang w:val="fr-LU"/>
        </w:rPr>
      </w:pPr>
      <w:r w:rsidRPr="00883D06">
        <w:rPr>
          <w:sz w:val="20"/>
          <w:lang w:val="fr-LU"/>
        </w:rPr>
        <w:t>Qu</w:t>
      </w:r>
      <w:r w:rsidR="00025BAD" w:rsidRPr="00883D06">
        <w:rPr>
          <w:sz w:val="20"/>
          <w:lang w:val="fr-LU"/>
        </w:rPr>
        <w:t>’</w:t>
      </w:r>
      <w:r w:rsidRPr="00883D06">
        <w:rPr>
          <w:sz w:val="20"/>
          <w:lang w:val="fr-LU"/>
        </w:rPr>
        <w:t>était-il donc, Talma ? Lui, son siècle et le temps antique. Il avait les passions profondes et concentrées de l</w:t>
      </w:r>
      <w:r w:rsidR="00025BAD" w:rsidRPr="00883D06">
        <w:rPr>
          <w:sz w:val="20"/>
          <w:lang w:val="fr-LU"/>
        </w:rPr>
        <w:t>’</w:t>
      </w:r>
      <w:r w:rsidRPr="00883D06">
        <w:rPr>
          <w:sz w:val="20"/>
          <w:lang w:val="fr-LU"/>
        </w:rPr>
        <w:t>amour et de la patrie ; elles sortaient de son sein par explosion. Il avait l</w:t>
      </w:r>
      <w:r w:rsidR="00025BAD" w:rsidRPr="00883D06">
        <w:rPr>
          <w:sz w:val="20"/>
          <w:lang w:val="fr-LU"/>
        </w:rPr>
        <w:t>’</w:t>
      </w:r>
      <w:r w:rsidRPr="00883D06">
        <w:rPr>
          <w:sz w:val="20"/>
          <w:lang w:val="fr-LU"/>
        </w:rPr>
        <w:t>inspiration funeste, le dérangement de génie de la Révolution à travers laquelle il avait passé. Les terribles spectacles dont il fut environné se répétaient dans son talent avec les accents lamentables et lointains des chœurs de Sophocle et d</w:t>
      </w:r>
      <w:r w:rsidR="00025BAD" w:rsidRPr="00883D06">
        <w:rPr>
          <w:sz w:val="20"/>
          <w:lang w:val="fr-LU"/>
        </w:rPr>
        <w:t>’</w:t>
      </w:r>
      <w:r w:rsidRPr="00883D06">
        <w:rPr>
          <w:sz w:val="20"/>
          <w:lang w:val="fr-LU"/>
        </w:rPr>
        <w:t>Euripide. Sa grâce qui n</w:t>
      </w:r>
      <w:r w:rsidR="00025BAD" w:rsidRPr="00883D06">
        <w:rPr>
          <w:sz w:val="20"/>
          <w:lang w:val="fr-LU"/>
        </w:rPr>
        <w:t>’</w:t>
      </w:r>
      <w:r w:rsidRPr="00883D06">
        <w:rPr>
          <w:sz w:val="20"/>
          <w:lang w:val="fr-LU"/>
        </w:rPr>
        <w:t>était point la grâce convenue, vous saisissait comme le malheur. La noire ambition, le remords, la jalousie, la mélancolie de l</w:t>
      </w:r>
      <w:r w:rsidR="00025BAD" w:rsidRPr="00883D06">
        <w:rPr>
          <w:sz w:val="20"/>
          <w:lang w:val="fr-LU"/>
        </w:rPr>
        <w:t>’</w:t>
      </w:r>
      <w:r w:rsidRPr="00883D06">
        <w:rPr>
          <w:sz w:val="20"/>
          <w:lang w:val="fr-LU"/>
        </w:rPr>
        <w:t>âme, la douleur physique, la folie par les dieux et l</w:t>
      </w:r>
      <w:r w:rsidR="00025BAD" w:rsidRPr="00883D06">
        <w:rPr>
          <w:sz w:val="20"/>
          <w:lang w:val="fr-LU"/>
        </w:rPr>
        <w:t>’</w:t>
      </w:r>
      <w:r w:rsidRPr="00883D06">
        <w:rPr>
          <w:sz w:val="20"/>
          <w:lang w:val="fr-LU"/>
        </w:rPr>
        <w:t>adversité, le deuil humain : voilà ce qu</w:t>
      </w:r>
      <w:r w:rsidR="00025BAD" w:rsidRPr="00883D06">
        <w:rPr>
          <w:sz w:val="20"/>
          <w:lang w:val="fr-LU"/>
        </w:rPr>
        <w:t>’</w:t>
      </w:r>
      <w:r w:rsidRPr="00883D06">
        <w:rPr>
          <w:sz w:val="20"/>
          <w:lang w:val="fr-LU"/>
        </w:rPr>
        <w:t>il savait</w:t>
      </w:r>
      <w:r w:rsidR="00211116" w:rsidRPr="00883D06">
        <w:rPr>
          <w:rStyle w:val="Appelnotedebasdep"/>
          <w:sz w:val="20"/>
          <w:lang w:val="fr-LU"/>
        </w:rPr>
        <w:footnoteReference w:id="52"/>
      </w:r>
      <w:r w:rsidRPr="00883D06">
        <w:rPr>
          <w:sz w:val="20"/>
          <w:lang w:val="fr-LU"/>
        </w:rPr>
        <w:t xml:space="preserve">. </w:t>
      </w:r>
    </w:p>
    <w:p w14:paraId="24C1F8A7" w14:textId="23C37F45" w:rsidR="00B56129" w:rsidRPr="00883D06" w:rsidRDefault="00211116" w:rsidP="004016AD">
      <w:pPr>
        <w:spacing w:line="240" w:lineRule="auto"/>
        <w:rPr>
          <w:lang w:val="fr-LU"/>
        </w:rPr>
      </w:pPr>
      <w:r w:rsidRPr="00883D06">
        <w:rPr>
          <w:lang w:val="fr-LU"/>
        </w:rPr>
        <w:t>L</w:t>
      </w:r>
      <w:r w:rsidR="00025BAD" w:rsidRPr="00883D06">
        <w:rPr>
          <w:lang w:val="fr-LU"/>
        </w:rPr>
        <w:t>’</w:t>
      </w:r>
      <w:r w:rsidRPr="00883D06">
        <w:rPr>
          <w:lang w:val="fr-LU"/>
        </w:rPr>
        <w:t xml:space="preserve">innovation esthétique majeure </w:t>
      </w:r>
      <w:r w:rsidR="00481B5E" w:rsidRPr="00883D06">
        <w:rPr>
          <w:lang w:val="fr-LU"/>
        </w:rPr>
        <w:t>qui caractérise</w:t>
      </w:r>
      <w:r w:rsidRPr="00883D06">
        <w:rPr>
          <w:lang w:val="fr-LU"/>
        </w:rPr>
        <w:t xml:space="preserve"> le jeu de Talma est ainsi le fruit des représentations engendrées par la Révolution par la variété même des </w:t>
      </w:r>
      <w:r w:rsidR="007A4686" w:rsidRPr="00883D06">
        <w:rPr>
          <w:lang w:val="fr-LU"/>
        </w:rPr>
        <w:t xml:space="preserve">« terribles </w:t>
      </w:r>
      <w:r w:rsidRPr="00883D06">
        <w:rPr>
          <w:lang w:val="fr-LU"/>
        </w:rPr>
        <w:t>spectacles</w:t>
      </w:r>
      <w:r w:rsidR="007A4686" w:rsidRPr="00883D06">
        <w:rPr>
          <w:lang w:val="fr-LU"/>
        </w:rPr>
        <w:t> »</w:t>
      </w:r>
      <w:r w:rsidRPr="00883D06">
        <w:rPr>
          <w:lang w:val="fr-LU"/>
        </w:rPr>
        <w:t xml:space="preserve"> qu</w:t>
      </w:r>
      <w:r w:rsidR="00025BAD" w:rsidRPr="00883D06">
        <w:rPr>
          <w:lang w:val="fr-LU"/>
        </w:rPr>
        <w:t>’</w:t>
      </w:r>
      <w:r w:rsidRPr="00883D06">
        <w:rPr>
          <w:lang w:val="fr-LU"/>
        </w:rPr>
        <w:t>elle a donné à voir</w:t>
      </w:r>
      <w:r w:rsidR="00E00A4A" w:rsidRPr="00883D06">
        <w:rPr>
          <w:lang w:val="fr-LU"/>
        </w:rPr>
        <w:t>. L</w:t>
      </w:r>
      <w:r w:rsidRPr="00883D06">
        <w:rPr>
          <w:lang w:val="fr-LU"/>
        </w:rPr>
        <w:t>a ferveur révolutionnaire le dispute en Talma à un pathétique d</w:t>
      </w:r>
      <w:r w:rsidR="00025BAD" w:rsidRPr="00883D06">
        <w:rPr>
          <w:lang w:val="fr-LU"/>
        </w:rPr>
        <w:t>’</w:t>
      </w:r>
      <w:r w:rsidRPr="00883D06">
        <w:rPr>
          <w:lang w:val="fr-LU"/>
        </w:rPr>
        <w:t xml:space="preserve">un genre nouveau, </w:t>
      </w:r>
      <w:r w:rsidR="008C4191" w:rsidRPr="00883D06">
        <w:rPr>
          <w:lang w:val="fr-LU"/>
        </w:rPr>
        <w:t>trouvant sa source dans les</w:t>
      </w:r>
      <w:r w:rsidR="00D50FD3" w:rsidRPr="00883D06">
        <w:rPr>
          <w:lang w:val="fr-LU"/>
        </w:rPr>
        <w:t xml:space="preserve"> « </w:t>
      </w:r>
      <w:r w:rsidR="004F37DD" w:rsidRPr="00883D06">
        <w:rPr>
          <w:lang w:val="fr-LU"/>
        </w:rPr>
        <w:t>solitudes de Saint-Denis, où les Parques de 1793 avaient coupé le fil de la vie tombale des rois</w:t>
      </w:r>
      <w:r w:rsidR="00B56129" w:rsidRPr="00883D06">
        <w:rPr>
          <w:rStyle w:val="Appelnotedebasdep"/>
          <w:lang w:val="fr-LU"/>
        </w:rPr>
        <w:footnoteReference w:id="53"/>
      </w:r>
      <w:r w:rsidR="008C4191" w:rsidRPr="00883D06">
        <w:rPr>
          <w:lang w:val="fr-LU"/>
        </w:rPr>
        <w:t> »</w:t>
      </w:r>
      <w:r w:rsidR="00B56129" w:rsidRPr="00883D06">
        <w:rPr>
          <w:lang w:val="fr-LU"/>
        </w:rPr>
        <w:t>.</w:t>
      </w:r>
      <w:r w:rsidR="008C4191" w:rsidRPr="00883D06">
        <w:rPr>
          <w:lang w:val="fr-LU"/>
        </w:rPr>
        <w:t xml:space="preserve"> </w:t>
      </w:r>
    </w:p>
    <w:p w14:paraId="146D269D" w14:textId="1AC01FD4" w:rsidR="008049B2" w:rsidRPr="00883D06" w:rsidRDefault="00B56129" w:rsidP="004016AD">
      <w:pPr>
        <w:spacing w:line="240" w:lineRule="auto"/>
        <w:ind w:firstLine="708"/>
        <w:rPr>
          <w:lang w:val="fr-LU"/>
        </w:rPr>
      </w:pPr>
      <w:r w:rsidRPr="00883D06">
        <w:rPr>
          <w:lang w:val="fr-LU"/>
        </w:rPr>
        <w:t xml:space="preserve">Or la gravité de Talma, </w:t>
      </w:r>
      <w:r w:rsidR="008C4191" w:rsidRPr="00883D06">
        <w:rPr>
          <w:lang w:val="fr-LU"/>
        </w:rPr>
        <w:t>« </w:t>
      </w:r>
      <w:r w:rsidR="004F37DD" w:rsidRPr="00883D06">
        <w:rPr>
          <w:lang w:val="fr-LU"/>
        </w:rPr>
        <w:t>forçat de la destinée, inexorablement enchaîné entre la fatalité et la terreur</w:t>
      </w:r>
      <w:r w:rsidR="008C4191" w:rsidRPr="00883D06">
        <w:rPr>
          <w:rStyle w:val="Appelnotedebasdep"/>
          <w:lang w:val="fr-LU"/>
        </w:rPr>
        <w:footnoteReference w:id="54"/>
      </w:r>
      <w:r w:rsidR="00D50FD3" w:rsidRPr="00883D06">
        <w:rPr>
          <w:lang w:val="fr-LU"/>
        </w:rPr>
        <w:t> »</w:t>
      </w:r>
      <w:r w:rsidRPr="00883D06">
        <w:rPr>
          <w:lang w:val="fr-LU"/>
        </w:rPr>
        <w:t xml:space="preserve">, trouve dans la France postrévolutionnaire son </w:t>
      </w:r>
      <w:r w:rsidR="009A52C4" w:rsidRPr="00883D06">
        <w:rPr>
          <w:lang w:val="fr-LU"/>
        </w:rPr>
        <w:t>versant négatif</w:t>
      </w:r>
      <w:r w:rsidR="00547F3F" w:rsidRPr="00883D06">
        <w:rPr>
          <w:lang w:val="fr-LU"/>
        </w:rPr>
        <w:t xml:space="preserve"> –</w:t>
      </w:r>
      <w:r w:rsidR="009A52C4" w:rsidRPr="00883D06">
        <w:rPr>
          <w:lang w:val="fr-LU"/>
        </w:rPr>
        <w:t xml:space="preserve"> et son </w:t>
      </w:r>
      <w:r w:rsidRPr="00883D06">
        <w:rPr>
          <w:lang w:val="fr-LU"/>
        </w:rPr>
        <w:t xml:space="preserve">pendant grotesque </w:t>
      </w:r>
      <w:r w:rsidR="00547F3F" w:rsidRPr="00883D06">
        <w:rPr>
          <w:lang w:val="fr-LU"/>
        </w:rPr>
        <w:t xml:space="preserve">– </w:t>
      </w:r>
      <w:r w:rsidRPr="00883D06">
        <w:rPr>
          <w:lang w:val="fr-LU"/>
        </w:rPr>
        <w:t xml:space="preserve">en la personne de Bonaparte. </w:t>
      </w:r>
      <w:r w:rsidR="00542192" w:rsidRPr="00883D06">
        <w:rPr>
          <w:lang w:val="fr-LU"/>
        </w:rPr>
        <w:t xml:space="preserve">Dans </w:t>
      </w:r>
      <w:r w:rsidR="00542192" w:rsidRPr="00883D06">
        <w:rPr>
          <w:i/>
          <w:iCs/>
          <w:lang w:val="fr-LU"/>
        </w:rPr>
        <w:t>De Buonaparte et des Bourbons</w:t>
      </w:r>
      <w:r w:rsidR="00952473" w:rsidRPr="00883D06">
        <w:rPr>
          <w:i/>
          <w:iCs/>
          <w:lang w:val="fr-LU"/>
        </w:rPr>
        <w:t xml:space="preserve"> </w:t>
      </w:r>
      <w:r w:rsidR="00952473" w:rsidRPr="00883D06">
        <w:rPr>
          <w:iCs/>
          <w:lang w:val="fr-LU"/>
        </w:rPr>
        <w:t>(1814)</w:t>
      </w:r>
      <w:r w:rsidR="00542192" w:rsidRPr="00883D06">
        <w:rPr>
          <w:lang w:val="fr-LU"/>
        </w:rPr>
        <w:t xml:space="preserve">, Napoléon se trouve </w:t>
      </w:r>
      <w:r w:rsidR="005C24BE" w:rsidRPr="00883D06">
        <w:rPr>
          <w:lang w:val="fr-LU"/>
        </w:rPr>
        <w:t xml:space="preserve">ainsi </w:t>
      </w:r>
      <w:r w:rsidR="00542192" w:rsidRPr="00883D06">
        <w:rPr>
          <w:lang w:val="fr-LU"/>
        </w:rPr>
        <w:t>présenté comme un « insensé</w:t>
      </w:r>
      <w:r w:rsidR="00542192" w:rsidRPr="00883D06">
        <w:rPr>
          <w:rStyle w:val="Appelnotedebasdep"/>
          <w:lang w:val="fr-LU"/>
        </w:rPr>
        <w:footnoteReference w:id="55"/>
      </w:r>
      <w:r w:rsidR="00542192" w:rsidRPr="00883D06">
        <w:rPr>
          <w:lang w:val="fr-LU"/>
        </w:rPr>
        <w:t> »</w:t>
      </w:r>
      <w:r w:rsidR="00952473" w:rsidRPr="00883D06">
        <w:rPr>
          <w:lang w:val="fr-LU"/>
        </w:rPr>
        <w:t xml:space="preserve">, </w:t>
      </w:r>
      <w:r w:rsidR="00542192" w:rsidRPr="00883D06">
        <w:rPr>
          <w:lang w:val="fr-LU"/>
        </w:rPr>
        <w:t>le bilan de son règne</w:t>
      </w:r>
      <w:r w:rsidR="00952473" w:rsidRPr="00883D06">
        <w:rPr>
          <w:lang w:val="fr-LU"/>
        </w:rPr>
        <w:t xml:space="preserve"> étant</w:t>
      </w:r>
      <w:r w:rsidR="00542192" w:rsidRPr="00883D06">
        <w:rPr>
          <w:lang w:val="fr-LU"/>
        </w:rPr>
        <w:t xml:space="preserve"> celui d</w:t>
      </w:r>
      <w:r w:rsidR="00025BAD" w:rsidRPr="00883D06">
        <w:rPr>
          <w:lang w:val="fr-LU"/>
        </w:rPr>
        <w:t>’</w:t>
      </w:r>
      <w:r w:rsidR="00542192" w:rsidRPr="00883D06">
        <w:rPr>
          <w:lang w:val="fr-LU"/>
        </w:rPr>
        <w:t>un « défaut de raison et de bon sens, rêves d</w:t>
      </w:r>
      <w:r w:rsidR="00025BAD" w:rsidRPr="00883D06">
        <w:rPr>
          <w:lang w:val="fr-LU"/>
        </w:rPr>
        <w:t>’</w:t>
      </w:r>
      <w:r w:rsidR="00542192" w:rsidRPr="00883D06">
        <w:rPr>
          <w:lang w:val="fr-LU"/>
        </w:rPr>
        <w:t>un fou et d</w:t>
      </w:r>
      <w:r w:rsidR="00025BAD" w:rsidRPr="00883D06">
        <w:rPr>
          <w:lang w:val="fr-LU"/>
        </w:rPr>
        <w:t>’</w:t>
      </w:r>
      <w:r w:rsidR="00542192" w:rsidRPr="00883D06">
        <w:rPr>
          <w:lang w:val="fr-LU"/>
        </w:rPr>
        <w:t>un furieux</w:t>
      </w:r>
      <w:r w:rsidR="00542192" w:rsidRPr="00883D06">
        <w:rPr>
          <w:rStyle w:val="Appelnotedebasdep"/>
          <w:lang w:val="fr-LU"/>
        </w:rPr>
        <w:footnoteReference w:id="56"/>
      </w:r>
      <w:r w:rsidR="00542192" w:rsidRPr="00883D06">
        <w:rPr>
          <w:lang w:val="fr-LU"/>
        </w:rPr>
        <w:t> ».</w:t>
      </w:r>
      <w:r w:rsidR="002F6CF2" w:rsidRPr="00883D06">
        <w:rPr>
          <w:lang w:val="fr-LU"/>
        </w:rPr>
        <w:t xml:space="preserve"> </w:t>
      </w:r>
    </w:p>
    <w:p w14:paraId="4A138BF3" w14:textId="26E61973" w:rsidR="009A52C4" w:rsidRPr="00883D06" w:rsidRDefault="009A52C4" w:rsidP="004016AD">
      <w:pPr>
        <w:autoSpaceDE w:val="0"/>
        <w:autoSpaceDN w:val="0"/>
        <w:adjustRightInd w:val="0"/>
        <w:spacing w:line="240" w:lineRule="auto"/>
        <w:ind w:firstLine="708"/>
        <w:rPr>
          <w:lang w:val="fr-LU"/>
        </w:rPr>
      </w:pPr>
      <w:r w:rsidRPr="00883D06">
        <w:rPr>
          <w:lang w:val="fr-LU"/>
        </w:rPr>
        <w:t xml:space="preserve">Funeste conséquence des égarements révolutionnaires, </w:t>
      </w:r>
      <w:r w:rsidR="002246A5" w:rsidRPr="00883D06">
        <w:rPr>
          <w:lang w:val="fr-LU"/>
        </w:rPr>
        <w:t xml:space="preserve">le Consulat et </w:t>
      </w:r>
      <w:r w:rsidRPr="00883D06">
        <w:rPr>
          <w:lang w:val="fr-LU"/>
        </w:rPr>
        <w:t>l</w:t>
      </w:r>
      <w:r w:rsidR="00025BAD" w:rsidRPr="00883D06">
        <w:rPr>
          <w:lang w:val="fr-LU"/>
        </w:rPr>
        <w:t>’</w:t>
      </w:r>
      <w:r w:rsidRPr="00883D06">
        <w:rPr>
          <w:lang w:val="fr-LU"/>
        </w:rPr>
        <w:t xml:space="preserve">Empire </w:t>
      </w:r>
      <w:r w:rsidR="002246A5" w:rsidRPr="00883D06">
        <w:rPr>
          <w:lang w:val="fr-LU"/>
        </w:rPr>
        <w:t>se font</w:t>
      </w:r>
      <w:r w:rsidR="007845E4" w:rsidRPr="00883D06">
        <w:rPr>
          <w:lang w:val="fr-LU"/>
        </w:rPr>
        <w:t xml:space="preserve"> d’emblée</w:t>
      </w:r>
      <w:r w:rsidRPr="00883D06">
        <w:rPr>
          <w:lang w:val="fr-LU"/>
        </w:rPr>
        <w:t xml:space="preserve"> le lieu d</w:t>
      </w:r>
      <w:r w:rsidR="00025BAD" w:rsidRPr="00883D06">
        <w:rPr>
          <w:lang w:val="fr-LU"/>
        </w:rPr>
        <w:t>’</w:t>
      </w:r>
      <w:r w:rsidRPr="00883D06">
        <w:rPr>
          <w:lang w:val="fr-LU"/>
        </w:rPr>
        <w:t xml:space="preserve">une théâtralisation </w:t>
      </w:r>
      <w:r w:rsidR="002246A5" w:rsidRPr="00883D06">
        <w:rPr>
          <w:lang w:val="fr-LU"/>
        </w:rPr>
        <w:t xml:space="preserve">permanente </w:t>
      </w:r>
      <w:r w:rsidRPr="00883D06">
        <w:rPr>
          <w:lang w:val="fr-LU"/>
        </w:rPr>
        <w:t>de la chose publique, tant Napoléon</w:t>
      </w:r>
    </w:p>
    <w:p w14:paraId="6AECB51A" w14:textId="6BE76D4D" w:rsidR="009A52C4" w:rsidRPr="00883D06" w:rsidRDefault="009A52C4" w:rsidP="00493B16">
      <w:pPr>
        <w:spacing w:line="240" w:lineRule="auto"/>
        <w:ind w:left="567"/>
        <w:rPr>
          <w:sz w:val="20"/>
          <w:szCs w:val="18"/>
          <w:lang w:val="fr-BE"/>
        </w:rPr>
      </w:pPr>
      <w:r w:rsidRPr="00883D06">
        <w:rPr>
          <w:sz w:val="20"/>
          <w:szCs w:val="18"/>
          <w:lang w:val="fr-BE"/>
        </w:rPr>
        <w:t>a quelque chose de l</w:t>
      </w:r>
      <w:r w:rsidR="00025BAD" w:rsidRPr="00883D06">
        <w:rPr>
          <w:sz w:val="20"/>
          <w:szCs w:val="18"/>
          <w:lang w:val="fr-BE"/>
        </w:rPr>
        <w:t>’</w:t>
      </w:r>
      <w:r w:rsidRPr="00883D06">
        <w:rPr>
          <w:sz w:val="20"/>
          <w:szCs w:val="18"/>
          <w:lang w:val="fr-BE"/>
        </w:rPr>
        <w:t>histrion et du comédien. Il joue tout, jusqu</w:t>
      </w:r>
      <w:r w:rsidR="00025BAD" w:rsidRPr="00883D06">
        <w:rPr>
          <w:sz w:val="20"/>
          <w:szCs w:val="18"/>
          <w:lang w:val="fr-BE"/>
        </w:rPr>
        <w:t>’</w:t>
      </w:r>
      <w:r w:rsidRPr="00883D06">
        <w:rPr>
          <w:sz w:val="20"/>
          <w:szCs w:val="18"/>
          <w:lang w:val="fr-BE"/>
        </w:rPr>
        <w:t>aux passions qu</w:t>
      </w:r>
      <w:r w:rsidR="00025BAD" w:rsidRPr="00883D06">
        <w:rPr>
          <w:sz w:val="20"/>
          <w:szCs w:val="18"/>
          <w:lang w:val="fr-BE"/>
        </w:rPr>
        <w:t>’</w:t>
      </w:r>
      <w:r w:rsidRPr="00883D06">
        <w:rPr>
          <w:sz w:val="20"/>
          <w:szCs w:val="18"/>
          <w:lang w:val="fr-BE"/>
        </w:rPr>
        <w:t>il n</w:t>
      </w:r>
      <w:r w:rsidR="00025BAD" w:rsidRPr="00883D06">
        <w:rPr>
          <w:sz w:val="20"/>
          <w:szCs w:val="18"/>
          <w:lang w:val="fr-BE"/>
        </w:rPr>
        <w:t>’</w:t>
      </w:r>
      <w:r w:rsidRPr="00883D06">
        <w:rPr>
          <w:sz w:val="20"/>
          <w:szCs w:val="18"/>
          <w:lang w:val="fr-BE"/>
        </w:rPr>
        <w:t>a pas : il est toujours sur un théâtre ; au Caire, c</w:t>
      </w:r>
      <w:r w:rsidR="00025BAD" w:rsidRPr="00883D06">
        <w:rPr>
          <w:sz w:val="20"/>
          <w:szCs w:val="18"/>
          <w:lang w:val="fr-BE"/>
        </w:rPr>
        <w:t>’</w:t>
      </w:r>
      <w:r w:rsidRPr="00883D06">
        <w:rPr>
          <w:sz w:val="20"/>
          <w:szCs w:val="18"/>
          <w:lang w:val="fr-BE"/>
        </w:rPr>
        <w:t>est un renégat qui se vante d</w:t>
      </w:r>
      <w:r w:rsidR="00025BAD" w:rsidRPr="00883D06">
        <w:rPr>
          <w:sz w:val="20"/>
          <w:szCs w:val="18"/>
          <w:lang w:val="fr-BE"/>
        </w:rPr>
        <w:t>’</w:t>
      </w:r>
      <w:r w:rsidRPr="00883D06">
        <w:rPr>
          <w:sz w:val="20"/>
          <w:szCs w:val="18"/>
          <w:lang w:val="fr-BE"/>
        </w:rPr>
        <w:t>avoir détruit la papauté ; à Paris, c</w:t>
      </w:r>
      <w:r w:rsidR="00025BAD" w:rsidRPr="00883D06">
        <w:rPr>
          <w:sz w:val="20"/>
          <w:szCs w:val="18"/>
          <w:lang w:val="fr-BE"/>
        </w:rPr>
        <w:t>’</w:t>
      </w:r>
      <w:r w:rsidRPr="00883D06">
        <w:rPr>
          <w:sz w:val="20"/>
          <w:szCs w:val="18"/>
          <w:lang w:val="fr-BE"/>
        </w:rPr>
        <w:t>est le restaurateur de la religion chrétienne ; tantôt c</w:t>
      </w:r>
      <w:r w:rsidR="00025BAD" w:rsidRPr="00883D06">
        <w:rPr>
          <w:sz w:val="20"/>
          <w:szCs w:val="18"/>
          <w:lang w:val="fr-BE"/>
        </w:rPr>
        <w:t>’</w:t>
      </w:r>
      <w:r w:rsidRPr="00883D06">
        <w:rPr>
          <w:sz w:val="20"/>
          <w:szCs w:val="18"/>
          <w:lang w:val="fr-BE"/>
        </w:rPr>
        <w:t>est un inspiré, tantôt c</w:t>
      </w:r>
      <w:r w:rsidR="00025BAD" w:rsidRPr="00883D06">
        <w:rPr>
          <w:sz w:val="20"/>
          <w:szCs w:val="18"/>
          <w:lang w:val="fr-BE"/>
        </w:rPr>
        <w:t>’</w:t>
      </w:r>
      <w:r w:rsidRPr="00883D06">
        <w:rPr>
          <w:sz w:val="20"/>
          <w:szCs w:val="18"/>
          <w:lang w:val="fr-BE"/>
        </w:rPr>
        <w:t>est un philosophe. Ses scènes sont préparées d</w:t>
      </w:r>
      <w:r w:rsidR="00025BAD" w:rsidRPr="00883D06">
        <w:rPr>
          <w:sz w:val="20"/>
          <w:szCs w:val="18"/>
          <w:lang w:val="fr-BE"/>
        </w:rPr>
        <w:t>’</w:t>
      </w:r>
      <w:r w:rsidRPr="00883D06">
        <w:rPr>
          <w:sz w:val="20"/>
          <w:szCs w:val="18"/>
          <w:lang w:val="fr-BE"/>
        </w:rPr>
        <w:t xml:space="preserve">avance. Un souverain qui a pu prendre des leçons de Talma, afin de paraître dans une attitude royale, est jugé pour la </w:t>
      </w:r>
      <w:r w:rsidRPr="00883D06">
        <w:rPr>
          <w:sz w:val="20"/>
          <w:szCs w:val="18"/>
          <w:lang w:val="fr-BE"/>
        </w:rPr>
        <w:lastRenderedPageBreak/>
        <w:t>postérité. Il veut paraître original, et il n</w:t>
      </w:r>
      <w:r w:rsidR="00025BAD" w:rsidRPr="00883D06">
        <w:rPr>
          <w:sz w:val="20"/>
          <w:szCs w:val="18"/>
          <w:lang w:val="fr-BE"/>
        </w:rPr>
        <w:t>’</w:t>
      </w:r>
      <w:r w:rsidRPr="00883D06">
        <w:rPr>
          <w:sz w:val="20"/>
          <w:szCs w:val="18"/>
          <w:lang w:val="fr-BE"/>
        </w:rPr>
        <w:t>est presque jamais qu</w:t>
      </w:r>
      <w:r w:rsidR="00025BAD" w:rsidRPr="00883D06">
        <w:rPr>
          <w:sz w:val="20"/>
          <w:szCs w:val="18"/>
          <w:lang w:val="fr-BE"/>
        </w:rPr>
        <w:t>’</w:t>
      </w:r>
      <w:r w:rsidRPr="00883D06">
        <w:rPr>
          <w:sz w:val="20"/>
          <w:szCs w:val="18"/>
          <w:lang w:val="fr-BE"/>
        </w:rPr>
        <w:t>imitateur ; mais ses imitations sont si grossières qu</w:t>
      </w:r>
      <w:r w:rsidR="00025BAD" w:rsidRPr="00883D06">
        <w:rPr>
          <w:sz w:val="20"/>
          <w:szCs w:val="18"/>
          <w:lang w:val="fr-BE"/>
        </w:rPr>
        <w:t>’</w:t>
      </w:r>
      <w:r w:rsidRPr="00883D06">
        <w:rPr>
          <w:sz w:val="20"/>
          <w:szCs w:val="18"/>
          <w:lang w:val="fr-BE"/>
        </w:rPr>
        <w:t>elles rappellent à l</w:t>
      </w:r>
      <w:r w:rsidR="00025BAD" w:rsidRPr="00883D06">
        <w:rPr>
          <w:sz w:val="20"/>
          <w:szCs w:val="18"/>
          <w:lang w:val="fr-BE"/>
        </w:rPr>
        <w:t>’</w:t>
      </w:r>
      <w:r w:rsidRPr="00883D06">
        <w:rPr>
          <w:sz w:val="20"/>
          <w:szCs w:val="18"/>
          <w:lang w:val="fr-BE"/>
        </w:rPr>
        <w:t>instant l</w:t>
      </w:r>
      <w:r w:rsidR="00025BAD" w:rsidRPr="00883D06">
        <w:rPr>
          <w:sz w:val="20"/>
          <w:szCs w:val="18"/>
          <w:lang w:val="fr-BE"/>
        </w:rPr>
        <w:t>’</w:t>
      </w:r>
      <w:r w:rsidRPr="00883D06">
        <w:rPr>
          <w:sz w:val="20"/>
          <w:szCs w:val="18"/>
          <w:lang w:val="fr-BE"/>
        </w:rPr>
        <w:t>objet ou l</w:t>
      </w:r>
      <w:r w:rsidR="00025BAD" w:rsidRPr="00883D06">
        <w:rPr>
          <w:sz w:val="20"/>
          <w:szCs w:val="18"/>
          <w:lang w:val="fr-BE"/>
        </w:rPr>
        <w:t>’</w:t>
      </w:r>
      <w:r w:rsidRPr="00883D06">
        <w:rPr>
          <w:sz w:val="20"/>
          <w:szCs w:val="18"/>
          <w:lang w:val="fr-BE"/>
        </w:rPr>
        <w:t>action qu</w:t>
      </w:r>
      <w:r w:rsidR="00025BAD" w:rsidRPr="00883D06">
        <w:rPr>
          <w:sz w:val="20"/>
          <w:szCs w:val="18"/>
          <w:lang w:val="fr-BE"/>
        </w:rPr>
        <w:t>’</w:t>
      </w:r>
      <w:r w:rsidRPr="00883D06">
        <w:rPr>
          <w:sz w:val="20"/>
          <w:szCs w:val="18"/>
          <w:lang w:val="fr-BE"/>
        </w:rPr>
        <w:t>il copie</w:t>
      </w:r>
      <w:r w:rsidRPr="00883D06">
        <w:rPr>
          <w:rStyle w:val="Appelnotedebasdep"/>
          <w:sz w:val="20"/>
          <w:szCs w:val="18"/>
          <w:lang w:val="fr-BE"/>
        </w:rPr>
        <w:footnoteReference w:id="57"/>
      </w:r>
      <w:r w:rsidRPr="00883D06">
        <w:rPr>
          <w:sz w:val="20"/>
          <w:szCs w:val="18"/>
          <w:lang w:val="fr-BE"/>
        </w:rPr>
        <w:t>.</w:t>
      </w:r>
    </w:p>
    <w:p w14:paraId="31B98BF3" w14:textId="7B7F8B82" w:rsidR="009A52C4" w:rsidRPr="00883D06" w:rsidRDefault="009A52C4" w:rsidP="004016AD">
      <w:pPr>
        <w:spacing w:line="240" w:lineRule="auto"/>
        <w:rPr>
          <w:sz w:val="20"/>
          <w:szCs w:val="18"/>
          <w:lang w:val="fr-LU"/>
        </w:rPr>
      </w:pPr>
      <w:r w:rsidRPr="00883D06">
        <w:rPr>
          <w:lang w:val="fr-LU"/>
        </w:rPr>
        <w:t xml:space="preserve">Malgré les – supposées – leçons de Talma, il est </w:t>
      </w:r>
      <w:r w:rsidR="00911B1E" w:rsidRPr="00883D06">
        <w:rPr>
          <w:lang w:val="fr-LU"/>
        </w:rPr>
        <w:t xml:space="preserve">ainsi </w:t>
      </w:r>
      <w:r w:rsidRPr="00883D06">
        <w:rPr>
          <w:lang w:val="fr-LU"/>
        </w:rPr>
        <w:t>bien mauvais comédien celui qui, sous le « masque de César et d</w:t>
      </w:r>
      <w:r w:rsidR="00025BAD" w:rsidRPr="00883D06">
        <w:rPr>
          <w:lang w:val="fr-LU"/>
        </w:rPr>
        <w:t>’</w:t>
      </w:r>
      <w:r w:rsidRPr="00883D06">
        <w:rPr>
          <w:lang w:val="fr-LU"/>
        </w:rPr>
        <w:t>Alexandre » demeure un « homme de peu</w:t>
      </w:r>
      <w:r w:rsidRPr="00883D06">
        <w:rPr>
          <w:rStyle w:val="Appelnotedebasdep"/>
          <w:lang w:val="fr-LU"/>
        </w:rPr>
        <w:footnoteReference w:id="58"/>
      </w:r>
      <w:r w:rsidRPr="00883D06">
        <w:rPr>
          <w:lang w:val="fr-LU"/>
        </w:rPr>
        <w:t> » persuadé que la politique revient à « jouer aux hommes</w:t>
      </w:r>
      <w:r w:rsidRPr="00883D06">
        <w:rPr>
          <w:rStyle w:val="Appelnotedebasdep"/>
          <w:lang w:val="fr-LU"/>
        </w:rPr>
        <w:footnoteReference w:id="59"/>
      </w:r>
      <w:r w:rsidRPr="00883D06">
        <w:rPr>
          <w:lang w:val="fr-LU"/>
        </w:rPr>
        <w:t xml:space="preserve"> ». </w:t>
      </w:r>
    </w:p>
    <w:p w14:paraId="335BBF87" w14:textId="27D0FCDB" w:rsidR="00E809D9" w:rsidRPr="00883D06" w:rsidRDefault="00704F63" w:rsidP="004016AD">
      <w:pPr>
        <w:spacing w:line="240" w:lineRule="auto"/>
        <w:ind w:firstLine="708"/>
        <w:rPr>
          <w:rFonts w:cs="TimesNewRomanPSMT"/>
          <w:szCs w:val="24"/>
          <w:lang w:val="fr-LU"/>
        </w:rPr>
      </w:pPr>
      <w:r w:rsidRPr="00883D06">
        <w:rPr>
          <w:lang w:val="fr-LU"/>
        </w:rPr>
        <w:t xml:space="preserve">Le régime impérial se caractérise ainsi par sa propension perpétuelle à tenter de </w:t>
      </w:r>
      <w:r w:rsidR="00E809D9" w:rsidRPr="00883D06">
        <w:rPr>
          <w:lang w:val="fr-LU"/>
        </w:rPr>
        <w:t>pallier</w:t>
      </w:r>
      <w:r w:rsidRPr="00883D06">
        <w:rPr>
          <w:lang w:val="fr-LU"/>
        </w:rPr>
        <w:t xml:space="preserve"> son absence de légitimité </w:t>
      </w:r>
      <w:r w:rsidR="004C346D" w:rsidRPr="00883D06">
        <w:rPr>
          <w:lang w:val="fr-LU"/>
        </w:rPr>
        <w:t>et de filiation</w:t>
      </w:r>
      <w:r w:rsidR="00952473" w:rsidRPr="00883D06">
        <w:rPr>
          <w:lang w:val="fr-LU"/>
        </w:rPr>
        <w:t>, cela notamment</w:t>
      </w:r>
      <w:r w:rsidR="004C346D" w:rsidRPr="00883D06">
        <w:rPr>
          <w:lang w:val="fr-LU"/>
        </w:rPr>
        <w:t xml:space="preserve"> </w:t>
      </w:r>
      <w:r w:rsidR="00062834" w:rsidRPr="00883D06">
        <w:rPr>
          <w:lang w:val="fr-LU"/>
        </w:rPr>
        <w:t xml:space="preserve">en </w:t>
      </w:r>
      <w:r w:rsidR="00E809D9" w:rsidRPr="00883D06">
        <w:rPr>
          <w:lang w:val="fr-LU"/>
        </w:rPr>
        <w:t>surinvestissant l</w:t>
      </w:r>
      <w:r w:rsidR="00025BAD" w:rsidRPr="00883D06">
        <w:rPr>
          <w:lang w:val="fr-LU"/>
        </w:rPr>
        <w:t>’</w:t>
      </w:r>
      <w:r w:rsidR="00E809D9" w:rsidRPr="00883D06">
        <w:rPr>
          <w:lang w:val="fr-LU"/>
        </w:rPr>
        <w:t>imaginaire monarchique</w:t>
      </w:r>
      <w:r w:rsidR="00766B11" w:rsidRPr="00883D06">
        <w:rPr>
          <w:lang w:val="fr-LU"/>
        </w:rPr>
        <w:t xml:space="preserve">. </w:t>
      </w:r>
      <w:r w:rsidR="00E809D9" w:rsidRPr="00883D06">
        <w:rPr>
          <w:rFonts w:cs="TimesNewRomanPSMT"/>
          <w:szCs w:val="24"/>
          <w:lang w:val="fr-LU"/>
        </w:rPr>
        <w:t>Tout n</w:t>
      </w:r>
      <w:r w:rsidR="00025BAD" w:rsidRPr="00883D06">
        <w:rPr>
          <w:rFonts w:cs="TimesNewRomanPSMT"/>
          <w:szCs w:val="24"/>
          <w:lang w:val="fr-LU"/>
        </w:rPr>
        <w:t>’</w:t>
      </w:r>
      <w:r w:rsidR="00E809D9" w:rsidRPr="00883D06">
        <w:rPr>
          <w:rFonts w:cs="TimesNewRomanPSMT"/>
          <w:szCs w:val="24"/>
          <w:lang w:val="fr-LU"/>
        </w:rPr>
        <w:t>est ainsi que déguisements, à l</w:t>
      </w:r>
      <w:r w:rsidR="00025BAD" w:rsidRPr="00883D06">
        <w:rPr>
          <w:rFonts w:cs="TimesNewRomanPSMT"/>
          <w:szCs w:val="24"/>
          <w:lang w:val="fr-LU"/>
        </w:rPr>
        <w:t>’</w:t>
      </w:r>
      <w:r w:rsidR="00E809D9" w:rsidRPr="00883D06">
        <w:rPr>
          <w:rFonts w:cs="TimesNewRomanPSMT"/>
          <w:szCs w:val="24"/>
          <w:lang w:val="fr-LU"/>
        </w:rPr>
        <w:t>image de la noblesse d</w:t>
      </w:r>
      <w:r w:rsidR="00025BAD" w:rsidRPr="00883D06">
        <w:rPr>
          <w:rFonts w:cs="TimesNewRomanPSMT"/>
          <w:szCs w:val="24"/>
          <w:lang w:val="fr-LU"/>
        </w:rPr>
        <w:t>’</w:t>
      </w:r>
      <w:r w:rsidR="00E809D9" w:rsidRPr="00883D06">
        <w:rPr>
          <w:rFonts w:cs="TimesNewRomanPSMT"/>
          <w:szCs w:val="24"/>
          <w:lang w:val="fr-LU"/>
        </w:rPr>
        <w:t xml:space="preserve">Empire, dont Germaine de Staël souligne dans </w:t>
      </w:r>
      <w:r w:rsidR="00E809D9" w:rsidRPr="00883D06">
        <w:rPr>
          <w:rFonts w:cs="TimesNewRomanPSMT"/>
          <w:i/>
          <w:szCs w:val="24"/>
          <w:lang w:val="fr-LU"/>
        </w:rPr>
        <w:t>Dix années d</w:t>
      </w:r>
      <w:r w:rsidR="00025BAD" w:rsidRPr="00883D06">
        <w:rPr>
          <w:rFonts w:cs="TimesNewRomanPSMT"/>
          <w:i/>
          <w:szCs w:val="24"/>
          <w:lang w:val="fr-LU"/>
        </w:rPr>
        <w:t>’</w:t>
      </w:r>
      <w:r w:rsidR="00E809D9" w:rsidRPr="00883D06">
        <w:rPr>
          <w:rFonts w:cs="TimesNewRomanPSMT"/>
          <w:i/>
          <w:szCs w:val="24"/>
          <w:lang w:val="fr-LU"/>
        </w:rPr>
        <w:t>exil</w:t>
      </w:r>
      <w:r w:rsidR="00E809D9" w:rsidRPr="00883D06">
        <w:rPr>
          <w:rFonts w:cs="TimesNewRomanPSMT"/>
          <w:szCs w:val="24"/>
          <w:lang w:val="fr-LU"/>
        </w:rPr>
        <w:t xml:space="preserve"> le caractère factice</w:t>
      </w:r>
      <w:r w:rsidR="00952473" w:rsidRPr="00883D06">
        <w:rPr>
          <w:rFonts w:cs="TimesNewRomanPSMT"/>
          <w:szCs w:val="24"/>
          <w:lang w:val="fr-LU"/>
        </w:rPr>
        <w:t xml:space="preserve"> et</w:t>
      </w:r>
      <w:r w:rsidR="00E809D9" w:rsidRPr="00883D06">
        <w:rPr>
          <w:rFonts w:cs="TimesNewRomanPSMT"/>
          <w:szCs w:val="24"/>
          <w:lang w:val="fr-LU"/>
        </w:rPr>
        <w:t xml:space="preserve"> ridicule : « Rien en effet ne prête plus à la plaisanterie que la création d</w:t>
      </w:r>
      <w:r w:rsidR="00025BAD" w:rsidRPr="00883D06">
        <w:rPr>
          <w:rFonts w:cs="TimesNewRomanPSMT"/>
          <w:szCs w:val="24"/>
          <w:lang w:val="fr-LU"/>
        </w:rPr>
        <w:t>’</w:t>
      </w:r>
      <w:r w:rsidR="00E809D9" w:rsidRPr="00883D06">
        <w:rPr>
          <w:rFonts w:cs="TimesNewRomanPSMT"/>
          <w:szCs w:val="24"/>
          <w:lang w:val="fr-LU"/>
        </w:rPr>
        <w:t>une noblesse toute nouvelle telle que Bonaparte l</w:t>
      </w:r>
      <w:r w:rsidR="00025BAD" w:rsidRPr="00883D06">
        <w:rPr>
          <w:rFonts w:cs="TimesNewRomanPSMT"/>
          <w:szCs w:val="24"/>
          <w:lang w:val="fr-LU"/>
        </w:rPr>
        <w:t>’</w:t>
      </w:r>
      <w:r w:rsidR="00E809D9" w:rsidRPr="00883D06">
        <w:rPr>
          <w:rFonts w:cs="TimesNewRomanPSMT"/>
          <w:szCs w:val="24"/>
          <w:lang w:val="fr-LU"/>
        </w:rPr>
        <w:t>établit pour le soutien</w:t>
      </w:r>
      <w:r w:rsidR="00952473" w:rsidRPr="00883D06">
        <w:rPr>
          <w:rFonts w:cs="TimesNewRomanPSMT"/>
          <w:szCs w:val="24"/>
          <w:lang w:val="fr-LU"/>
        </w:rPr>
        <w:t xml:space="preserve"> de</w:t>
      </w:r>
      <w:r w:rsidR="00E809D9" w:rsidRPr="00883D06">
        <w:rPr>
          <w:rFonts w:cs="TimesNewRomanPSMT"/>
          <w:szCs w:val="24"/>
          <w:lang w:val="fr-LU"/>
        </w:rPr>
        <w:t xml:space="preserve"> son nouveau trône</w:t>
      </w:r>
      <w:r w:rsidR="00E809D9" w:rsidRPr="00883D06">
        <w:rPr>
          <w:rStyle w:val="Appelnotedebasdep"/>
          <w:rFonts w:cs="TimesNewRomanPSMT"/>
          <w:szCs w:val="24"/>
          <w:lang w:val="fr-LU"/>
        </w:rPr>
        <w:footnoteReference w:id="60"/>
      </w:r>
      <w:r w:rsidR="00E809D9" w:rsidRPr="00883D06">
        <w:rPr>
          <w:rFonts w:cs="TimesNewRomanPSMT"/>
          <w:szCs w:val="24"/>
          <w:lang w:val="fr-LU"/>
        </w:rPr>
        <w:t> »</w:t>
      </w:r>
      <w:r w:rsidR="0048145F" w:rsidRPr="00883D06">
        <w:rPr>
          <w:rFonts w:cs="TimesNewRomanPSMT"/>
          <w:szCs w:val="24"/>
          <w:lang w:val="fr-LU"/>
        </w:rPr>
        <w:t> ; c</w:t>
      </w:r>
      <w:r w:rsidR="00E809D9" w:rsidRPr="00883D06">
        <w:rPr>
          <w:rFonts w:cs="TimesNewRomanPSMT"/>
          <w:szCs w:val="24"/>
          <w:lang w:val="fr-LU"/>
        </w:rPr>
        <w:t>es nouveaux nobles, qui « ne pouvaient s</w:t>
      </w:r>
      <w:r w:rsidR="00025BAD" w:rsidRPr="00883D06">
        <w:rPr>
          <w:rFonts w:cs="TimesNewRomanPSMT"/>
          <w:szCs w:val="24"/>
          <w:lang w:val="fr-LU"/>
        </w:rPr>
        <w:t>’</w:t>
      </w:r>
      <w:r w:rsidR="00E809D9" w:rsidRPr="00883D06">
        <w:rPr>
          <w:rFonts w:cs="TimesNewRomanPSMT"/>
          <w:szCs w:val="24"/>
          <w:lang w:val="fr-LU"/>
        </w:rPr>
        <w:t>empêcher [eux]-mêmes de rire, en s</w:t>
      </w:r>
      <w:r w:rsidR="00025BAD" w:rsidRPr="00883D06">
        <w:rPr>
          <w:rFonts w:cs="TimesNewRomanPSMT"/>
          <w:szCs w:val="24"/>
          <w:lang w:val="fr-LU"/>
        </w:rPr>
        <w:t>’</w:t>
      </w:r>
      <w:r w:rsidR="00E809D9" w:rsidRPr="00883D06">
        <w:rPr>
          <w:rFonts w:cs="TimesNewRomanPSMT"/>
          <w:szCs w:val="24"/>
          <w:lang w:val="fr-LU"/>
        </w:rPr>
        <w:t>entendant appeler Votre Majesté » paraissent autant de bourgeois gentilhommes, chaque jour de ce régime donnant lieu à « quelques situations dignes de Molière</w:t>
      </w:r>
      <w:r w:rsidR="00E809D9" w:rsidRPr="00883D06">
        <w:rPr>
          <w:rStyle w:val="Appelnotedebasdep"/>
          <w:rFonts w:cs="TimesNewRomanPSMT"/>
          <w:szCs w:val="24"/>
          <w:lang w:val="fr-LU"/>
        </w:rPr>
        <w:footnoteReference w:id="61"/>
      </w:r>
      <w:r w:rsidR="00E809D9" w:rsidRPr="00883D06">
        <w:rPr>
          <w:rFonts w:cs="TimesNewRomanPSMT"/>
          <w:szCs w:val="24"/>
          <w:lang w:val="fr-LU"/>
        </w:rPr>
        <w:t xml:space="preserve"> ». </w:t>
      </w:r>
    </w:p>
    <w:p w14:paraId="61CF59D6" w14:textId="03944E04" w:rsidR="00E809D9" w:rsidRPr="00883D06" w:rsidRDefault="00E809D9" w:rsidP="004016AD">
      <w:pPr>
        <w:autoSpaceDE w:val="0"/>
        <w:autoSpaceDN w:val="0"/>
        <w:adjustRightInd w:val="0"/>
        <w:spacing w:line="240" w:lineRule="auto"/>
        <w:ind w:firstLine="708"/>
        <w:rPr>
          <w:sz w:val="20"/>
          <w:szCs w:val="18"/>
          <w:lang w:val="fr-LU"/>
        </w:rPr>
      </w:pPr>
      <w:r w:rsidRPr="00883D06">
        <w:rPr>
          <w:rFonts w:cs="TimesNewRomanPSMT"/>
          <w:szCs w:val="24"/>
          <w:lang w:val="fr-LU"/>
        </w:rPr>
        <w:t>Si elle eût pu prêter à rire</w:t>
      </w:r>
      <w:r w:rsidR="00F84E85" w:rsidRPr="00883D06">
        <w:rPr>
          <w:rFonts w:cs="TimesNewRomanPSMT"/>
          <w:szCs w:val="24"/>
          <w:lang w:val="fr-LU"/>
        </w:rPr>
        <w:t xml:space="preserve"> dans d</w:t>
      </w:r>
      <w:r w:rsidR="00025BAD" w:rsidRPr="00883D06">
        <w:rPr>
          <w:rFonts w:cs="TimesNewRomanPSMT"/>
          <w:szCs w:val="24"/>
          <w:lang w:val="fr-LU"/>
        </w:rPr>
        <w:t>’</w:t>
      </w:r>
      <w:r w:rsidR="00F84E85" w:rsidRPr="00883D06">
        <w:rPr>
          <w:rFonts w:cs="TimesNewRomanPSMT"/>
          <w:szCs w:val="24"/>
          <w:lang w:val="fr-LU"/>
        </w:rPr>
        <w:t>autres circonstances</w:t>
      </w:r>
      <w:r w:rsidRPr="00883D06">
        <w:rPr>
          <w:rFonts w:cs="TimesNewRomanPSMT"/>
          <w:szCs w:val="24"/>
          <w:lang w:val="fr-LU"/>
        </w:rPr>
        <w:t>, la pompe du régime impérial ne se départ pourtant jamais d</w:t>
      </w:r>
      <w:r w:rsidR="00025BAD" w:rsidRPr="00883D06">
        <w:rPr>
          <w:rFonts w:cs="TimesNewRomanPSMT"/>
          <w:szCs w:val="24"/>
          <w:lang w:val="fr-LU"/>
        </w:rPr>
        <w:t>’</w:t>
      </w:r>
      <w:r w:rsidRPr="00883D06">
        <w:rPr>
          <w:rFonts w:cs="TimesNewRomanPSMT"/>
          <w:szCs w:val="24"/>
          <w:lang w:val="fr-LU"/>
        </w:rPr>
        <w:t>un aspect menaçant coupant court à toute tentative de la tourner en dérision : « la terreur, qui faisait le fond du tableau, empêchait que le grotesque de l</w:t>
      </w:r>
      <w:r w:rsidR="00025BAD" w:rsidRPr="00883D06">
        <w:rPr>
          <w:rFonts w:cs="TimesNewRomanPSMT"/>
          <w:szCs w:val="24"/>
          <w:lang w:val="fr-LU"/>
        </w:rPr>
        <w:t>’</w:t>
      </w:r>
      <w:r w:rsidRPr="00883D06">
        <w:rPr>
          <w:rFonts w:cs="TimesNewRomanPSMT"/>
          <w:szCs w:val="24"/>
          <w:lang w:val="fr-LU"/>
        </w:rPr>
        <w:t xml:space="preserve">avant-scène ne fût </w:t>
      </w:r>
      <w:r w:rsidRPr="00883D06">
        <w:rPr>
          <w:rFonts w:cs="Times New Roman"/>
          <w:szCs w:val="24"/>
          <w:lang w:val="fr-LU"/>
        </w:rPr>
        <w:t>bafoué comme il aurait dû l</w:t>
      </w:r>
      <w:r w:rsidR="00025BAD" w:rsidRPr="00883D06">
        <w:rPr>
          <w:rFonts w:cs="Times New Roman"/>
          <w:szCs w:val="24"/>
          <w:lang w:val="fr-LU"/>
        </w:rPr>
        <w:t>’</w:t>
      </w:r>
      <w:r w:rsidRPr="00883D06">
        <w:rPr>
          <w:rFonts w:cs="Times New Roman"/>
          <w:szCs w:val="24"/>
          <w:lang w:val="fr-LU"/>
        </w:rPr>
        <w:t>être</w:t>
      </w:r>
      <w:r w:rsidRPr="00883D06">
        <w:rPr>
          <w:rStyle w:val="Appelnotedebasdep"/>
          <w:rFonts w:cs="Times New Roman"/>
          <w:szCs w:val="24"/>
          <w:lang w:val="fr-LU"/>
        </w:rPr>
        <w:footnoteReference w:id="62"/>
      </w:r>
      <w:r w:rsidRPr="00883D06">
        <w:rPr>
          <w:rFonts w:cs="Times New Roman"/>
          <w:szCs w:val="24"/>
          <w:lang w:val="fr-LU"/>
        </w:rPr>
        <w:t> », note Staël. De même chez Chateaubriand où l</w:t>
      </w:r>
      <w:r w:rsidR="00025BAD" w:rsidRPr="00883D06">
        <w:rPr>
          <w:rFonts w:cs="Times New Roman"/>
          <w:szCs w:val="24"/>
          <w:lang w:val="fr-LU"/>
        </w:rPr>
        <w:t>’</w:t>
      </w:r>
      <w:r w:rsidRPr="00883D06">
        <w:rPr>
          <w:rFonts w:cs="Times New Roman"/>
          <w:szCs w:val="24"/>
          <w:lang w:val="fr-LU"/>
        </w:rPr>
        <w:t xml:space="preserve">empereur, de retour de la désastreuse campagne de Russie, ne manifeste « pas un regret, pas un seul aveu de sa folie » et semble au contraire « triomphant, glorieux, paré du manteau royal » ; or « cette pompe ne </w:t>
      </w:r>
      <w:proofErr w:type="spellStart"/>
      <w:r w:rsidRPr="00883D06">
        <w:rPr>
          <w:rFonts w:cs="Times New Roman"/>
          <w:szCs w:val="24"/>
          <w:lang w:val="fr-LU"/>
        </w:rPr>
        <w:t>servoit</w:t>
      </w:r>
      <w:proofErr w:type="spellEnd"/>
      <w:r w:rsidRPr="00883D06">
        <w:rPr>
          <w:rFonts w:cs="Times New Roman"/>
          <w:szCs w:val="24"/>
          <w:lang w:val="fr-LU"/>
        </w:rPr>
        <w:t xml:space="preserve"> qu</w:t>
      </w:r>
      <w:r w:rsidR="00025BAD" w:rsidRPr="00883D06">
        <w:rPr>
          <w:rFonts w:cs="Times New Roman"/>
          <w:szCs w:val="24"/>
          <w:lang w:val="fr-LU"/>
        </w:rPr>
        <w:t>’</w:t>
      </w:r>
      <w:r w:rsidRPr="00883D06">
        <w:rPr>
          <w:rFonts w:cs="Times New Roman"/>
          <w:szCs w:val="24"/>
          <w:lang w:val="fr-LU"/>
        </w:rPr>
        <w:t xml:space="preserve">à le rendre plus hideux ; et tous les </w:t>
      </w:r>
      <w:proofErr w:type="spellStart"/>
      <w:r w:rsidRPr="00883D06">
        <w:rPr>
          <w:rFonts w:cs="Times New Roman"/>
          <w:szCs w:val="24"/>
          <w:lang w:val="fr-LU"/>
        </w:rPr>
        <w:t>diamans</w:t>
      </w:r>
      <w:proofErr w:type="spellEnd"/>
      <w:r w:rsidRPr="00883D06">
        <w:rPr>
          <w:rFonts w:cs="Times New Roman"/>
          <w:szCs w:val="24"/>
          <w:lang w:val="fr-LU"/>
        </w:rPr>
        <w:t xml:space="preserve"> de la couronne ne </w:t>
      </w:r>
      <w:proofErr w:type="spellStart"/>
      <w:r w:rsidRPr="00883D06">
        <w:rPr>
          <w:rFonts w:cs="Times New Roman"/>
          <w:szCs w:val="24"/>
          <w:lang w:val="fr-LU"/>
        </w:rPr>
        <w:t>pouvoient</w:t>
      </w:r>
      <w:proofErr w:type="spellEnd"/>
      <w:r w:rsidRPr="00883D06">
        <w:rPr>
          <w:rFonts w:cs="Times New Roman"/>
          <w:szCs w:val="24"/>
          <w:lang w:val="fr-LU"/>
        </w:rPr>
        <w:t xml:space="preserve"> cacher le sang dont il </w:t>
      </w:r>
      <w:proofErr w:type="spellStart"/>
      <w:r w:rsidRPr="00883D06">
        <w:rPr>
          <w:rFonts w:cs="Times New Roman"/>
          <w:szCs w:val="24"/>
          <w:lang w:val="fr-LU"/>
        </w:rPr>
        <w:t>étoit</w:t>
      </w:r>
      <w:proofErr w:type="spellEnd"/>
      <w:r w:rsidRPr="00883D06">
        <w:rPr>
          <w:rFonts w:cs="Times New Roman"/>
          <w:szCs w:val="24"/>
          <w:lang w:val="fr-LU"/>
        </w:rPr>
        <w:t xml:space="preserve"> couvert</w:t>
      </w:r>
      <w:r w:rsidRPr="00883D06">
        <w:rPr>
          <w:rStyle w:val="Appelnotedebasdep"/>
          <w:rFonts w:cs="Times New Roman"/>
          <w:szCs w:val="24"/>
          <w:lang w:val="fr-LU"/>
        </w:rPr>
        <w:footnoteReference w:id="63"/>
      </w:r>
      <w:r w:rsidRPr="00883D06">
        <w:rPr>
          <w:rFonts w:cs="Times New Roman"/>
          <w:szCs w:val="24"/>
          <w:lang w:val="fr-LU"/>
        </w:rPr>
        <w:t>. »</w:t>
      </w:r>
      <w:r w:rsidRPr="00883D06">
        <w:rPr>
          <w:lang w:val="fr-LU"/>
        </w:rPr>
        <w:t xml:space="preserve"> </w:t>
      </w:r>
      <w:r w:rsidR="00044853" w:rsidRPr="00883D06">
        <w:rPr>
          <w:lang w:val="fr-LU"/>
        </w:rPr>
        <w:t>C</w:t>
      </w:r>
      <w:r w:rsidR="00025BAD" w:rsidRPr="00883D06">
        <w:rPr>
          <w:lang w:val="fr-LU"/>
        </w:rPr>
        <w:t>’</w:t>
      </w:r>
      <w:r w:rsidR="00044853" w:rsidRPr="00883D06">
        <w:rPr>
          <w:lang w:val="fr-LU"/>
        </w:rPr>
        <w:t>est bien de ce sombre carnavalesque dont la Terreur a marqué l</w:t>
      </w:r>
      <w:r w:rsidR="00025BAD" w:rsidRPr="00883D06">
        <w:rPr>
          <w:lang w:val="fr-LU"/>
        </w:rPr>
        <w:t>’</w:t>
      </w:r>
      <w:r w:rsidR="00044853" w:rsidRPr="00883D06">
        <w:rPr>
          <w:lang w:val="fr-LU"/>
        </w:rPr>
        <w:t>apogée qu</w:t>
      </w:r>
      <w:r w:rsidR="00025BAD" w:rsidRPr="00883D06">
        <w:rPr>
          <w:lang w:val="fr-LU"/>
        </w:rPr>
        <w:t>’</w:t>
      </w:r>
      <w:r w:rsidR="00044853" w:rsidRPr="00883D06">
        <w:rPr>
          <w:lang w:val="fr-LU"/>
        </w:rPr>
        <w:t>est empreinte sous l</w:t>
      </w:r>
      <w:r w:rsidR="00025BAD" w:rsidRPr="00883D06">
        <w:rPr>
          <w:lang w:val="fr-LU"/>
        </w:rPr>
        <w:t>’</w:t>
      </w:r>
      <w:r w:rsidR="00044853" w:rsidRPr="00883D06">
        <w:rPr>
          <w:lang w:val="fr-LU"/>
        </w:rPr>
        <w:t>Empire, la vie publique</w:t>
      </w:r>
      <w:r w:rsidR="00F84E85" w:rsidRPr="00883D06">
        <w:rPr>
          <w:lang w:val="fr-LU"/>
        </w:rPr>
        <w:t xml:space="preserve"> – </w:t>
      </w:r>
      <w:r w:rsidR="00044853" w:rsidRPr="00883D06">
        <w:rPr>
          <w:lang w:val="fr-LU"/>
        </w:rPr>
        <w:t>ou ce qui en fait office :</w:t>
      </w:r>
    </w:p>
    <w:p w14:paraId="1A271018" w14:textId="22D98901" w:rsidR="00542192" w:rsidRPr="00883D06" w:rsidRDefault="00542192" w:rsidP="00493B16">
      <w:pPr>
        <w:spacing w:line="240" w:lineRule="auto"/>
        <w:ind w:left="567"/>
        <w:rPr>
          <w:rFonts w:cs="Times New Roman"/>
          <w:sz w:val="20"/>
          <w:szCs w:val="20"/>
          <w:lang w:val="fr-LU"/>
        </w:rPr>
      </w:pPr>
      <w:r w:rsidRPr="00883D06">
        <w:rPr>
          <w:rFonts w:cs="Times New Roman"/>
          <w:sz w:val="20"/>
          <w:szCs w:val="20"/>
          <w:lang w:val="fr-BE"/>
        </w:rPr>
        <w:t>Alors commencèrent les grandes Saturnales de la royauté : les crimes, l</w:t>
      </w:r>
      <w:r w:rsidR="00025BAD" w:rsidRPr="00883D06">
        <w:rPr>
          <w:rFonts w:cs="Times New Roman"/>
          <w:sz w:val="20"/>
          <w:szCs w:val="20"/>
          <w:lang w:val="fr-BE"/>
        </w:rPr>
        <w:t>’</w:t>
      </w:r>
      <w:r w:rsidRPr="00883D06">
        <w:rPr>
          <w:rFonts w:cs="Times New Roman"/>
          <w:sz w:val="20"/>
          <w:szCs w:val="20"/>
          <w:lang w:val="fr-BE"/>
        </w:rPr>
        <w:t>oppression, l</w:t>
      </w:r>
      <w:r w:rsidR="00025BAD" w:rsidRPr="00883D06">
        <w:rPr>
          <w:rFonts w:cs="Times New Roman"/>
          <w:sz w:val="20"/>
          <w:szCs w:val="20"/>
          <w:lang w:val="fr-BE"/>
        </w:rPr>
        <w:t>’</w:t>
      </w:r>
      <w:r w:rsidRPr="00883D06">
        <w:rPr>
          <w:rFonts w:cs="Times New Roman"/>
          <w:sz w:val="20"/>
          <w:szCs w:val="20"/>
          <w:lang w:val="fr-BE"/>
        </w:rPr>
        <w:t>esclavage, marchèrent d</w:t>
      </w:r>
      <w:r w:rsidR="00025BAD" w:rsidRPr="00883D06">
        <w:rPr>
          <w:rFonts w:cs="Times New Roman"/>
          <w:sz w:val="20"/>
          <w:szCs w:val="20"/>
          <w:lang w:val="fr-BE"/>
        </w:rPr>
        <w:t>’</w:t>
      </w:r>
      <w:r w:rsidRPr="00883D06">
        <w:rPr>
          <w:rFonts w:cs="Times New Roman"/>
          <w:sz w:val="20"/>
          <w:szCs w:val="20"/>
          <w:lang w:val="fr-BE"/>
        </w:rPr>
        <w:t>un pas égal avec la folie. Toute liberté expire, tout sentiment honorable, toute pensée généreuse, deviennent des conspirations contre l</w:t>
      </w:r>
      <w:r w:rsidR="00025BAD" w:rsidRPr="00883D06">
        <w:rPr>
          <w:rFonts w:cs="Times New Roman"/>
          <w:sz w:val="20"/>
          <w:szCs w:val="20"/>
          <w:lang w:val="fr-BE"/>
        </w:rPr>
        <w:t>’</w:t>
      </w:r>
      <w:r w:rsidRPr="00883D06">
        <w:rPr>
          <w:rFonts w:cs="Times New Roman"/>
          <w:sz w:val="20"/>
          <w:szCs w:val="20"/>
          <w:lang w:val="fr-BE"/>
        </w:rPr>
        <w:t>État. Si on parle de vertu, on est suspect ; louer une belle action, c</w:t>
      </w:r>
      <w:r w:rsidR="00025BAD" w:rsidRPr="00883D06">
        <w:rPr>
          <w:rFonts w:cs="Times New Roman"/>
          <w:sz w:val="20"/>
          <w:szCs w:val="20"/>
          <w:lang w:val="fr-BE"/>
        </w:rPr>
        <w:t>’</w:t>
      </w:r>
      <w:r w:rsidRPr="00883D06">
        <w:rPr>
          <w:rFonts w:cs="Times New Roman"/>
          <w:sz w:val="20"/>
          <w:szCs w:val="20"/>
          <w:lang w:val="fr-BE"/>
        </w:rPr>
        <w:t>est une injure faite au prince. Les mots changent d</w:t>
      </w:r>
      <w:r w:rsidR="00025BAD" w:rsidRPr="00883D06">
        <w:rPr>
          <w:rFonts w:cs="Times New Roman"/>
          <w:sz w:val="20"/>
          <w:szCs w:val="20"/>
          <w:lang w:val="fr-BE"/>
        </w:rPr>
        <w:t>’</w:t>
      </w:r>
      <w:r w:rsidRPr="00883D06">
        <w:rPr>
          <w:rFonts w:cs="Times New Roman"/>
          <w:sz w:val="20"/>
          <w:szCs w:val="20"/>
          <w:lang w:val="fr-BE"/>
        </w:rPr>
        <w:t>acception : un peuple qui combat pour ses souverains légitimes est un peuple Rebelle ; un traître est un sujet fidèle ; la France entière devient l</w:t>
      </w:r>
      <w:r w:rsidR="00025BAD" w:rsidRPr="00883D06">
        <w:rPr>
          <w:rFonts w:cs="Times New Roman"/>
          <w:sz w:val="20"/>
          <w:szCs w:val="20"/>
          <w:lang w:val="fr-BE"/>
        </w:rPr>
        <w:t>’</w:t>
      </w:r>
      <w:r w:rsidRPr="00883D06">
        <w:rPr>
          <w:rFonts w:cs="Times New Roman"/>
          <w:sz w:val="20"/>
          <w:szCs w:val="20"/>
          <w:lang w:val="fr-BE"/>
        </w:rPr>
        <w:t>empire du mensonge </w:t>
      </w:r>
      <w:r w:rsidR="007D167D" w:rsidRPr="00883D06">
        <w:rPr>
          <w:rFonts w:cs="Times New Roman"/>
          <w:sz w:val="20"/>
          <w:szCs w:val="20"/>
          <w:lang w:val="fr-BE"/>
        </w:rPr>
        <w:t>[…]</w:t>
      </w:r>
      <w:r w:rsidRPr="00883D06">
        <w:rPr>
          <w:rStyle w:val="Appelnotedebasdep"/>
          <w:rFonts w:cs="Times New Roman"/>
          <w:sz w:val="20"/>
          <w:szCs w:val="20"/>
          <w:lang w:val="fr-BE"/>
        </w:rPr>
        <w:footnoteReference w:id="64"/>
      </w:r>
      <w:r w:rsidRPr="00883D06">
        <w:rPr>
          <w:rFonts w:cs="Times New Roman"/>
          <w:sz w:val="20"/>
          <w:szCs w:val="20"/>
          <w:lang w:val="fr-BE"/>
        </w:rPr>
        <w:t>.</w:t>
      </w:r>
    </w:p>
    <w:p w14:paraId="4580F148" w14:textId="3F752773" w:rsidR="0030529B" w:rsidRPr="00883D06" w:rsidRDefault="00542192" w:rsidP="004016AD">
      <w:pPr>
        <w:spacing w:line="240" w:lineRule="auto"/>
        <w:rPr>
          <w:lang w:val="fr-LU"/>
        </w:rPr>
      </w:pPr>
      <w:r w:rsidRPr="00883D06">
        <w:rPr>
          <w:lang w:val="fr-LU"/>
        </w:rPr>
        <w:t>Le choix même du terme de « saturnales », référence aux fêtes données en l</w:t>
      </w:r>
      <w:r w:rsidR="00025BAD" w:rsidRPr="00883D06">
        <w:rPr>
          <w:lang w:val="fr-LU"/>
        </w:rPr>
        <w:t>’</w:t>
      </w:r>
      <w:r w:rsidRPr="00883D06">
        <w:rPr>
          <w:lang w:val="fr-LU"/>
        </w:rPr>
        <w:t>honneur de Saturne dans la Rome antique, pendant lesquelles les esclaves jouissaient d</w:t>
      </w:r>
      <w:r w:rsidR="00025BAD" w:rsidRPr="00883D06">
        <w:rPr>
          <w:lang w:val="fr-LU"/>
        </w:rPr>
        <w:t>’</w:t>
      </w:r>
      <w:r w:rsidRPr="00883D06">
        <w:rPr>
          <w:lang w:val="fr-LU"/>
        </w:rPr>
        <w:t>une liberté apparente et où tous les excès étaient permis,</w:t>
      </w:r>
      <w:r w:rsidR="00E809D9" w:rsidRPr="00883D06">
        <w:rPr>
          <w:lang w:val="fr-LU"/>
        </w:rPr>
        <w:t xml:space="preserve"> est significatif, qui</w:t>
      </w:r>
      <w:r w:rsidRPr="00883D06">
        <w:rPr>
          <w:lang w:val="fr-LU"/>
        </w:rPr>
        <w:t xml:space="preserve"> </w:t>
      </w:r>
      <w:r w:rsidR="007D167D" w:rsidRPr="00883D06">
        <w:rPr>
          <w:lang w:val="fr-LU"/>
        </w:rPr>
        <w:t>convoque un</w:t>
      </w:r>
      <w:r w:rsidRPr="00883D06">
        <w:rPr>
          <w:lang w:val="fr-LU"/>
        </w:rPr>
        <w:t xml:space="preserve"> carnavalesque</w:t>
      </w:r>
      <w:r w:rsidR="007D167D" w:rsidRPr="00883D06">
        <w:rPr>
          <w:lang w:val="fr-LU"/>
        </w:rPr>
        <w:t xml:space="preserve"> où le grotesque occupe un rôle de premier plan</w:t>
      </w:r>
      <w:r w:rsidRPr="00883D06">
        <w:rPr>
          <w:lang w:val="fr-LU"/>
        </w:rPr>
        <w:t xml:space="preserve">. </w:t>
      </w:r>
    </w:p>
    <w:p w14:paraId="59286622" w14:textId="12E66454" w:rsidR="0030529B" w:rsidRPr="00883D06" w:rsidRDefault="00572662" w:rsidP="004016AD">
      <w:pPr>
        <w:spacing w:line="240" w:lineRule="auto"/>
        <w:ind w:firstLine="708"/>
        <w:rPr>
          <w:lang w:val="fr-LU"/>
        </w:rPr>
      </w:pPr>
      <w:r w:rsidRPr="00883D06">
        <w:rPr>
          <w:lang w:val="fr-LU"/>
        </w:rPr>
        <w:t>Théâtre</w:t>
      </w:r>
      <w:r w:rsidR="00542192" w:rsidRPr="00883D06">
        <w:rPr>
          <w:lang w:val="fr-LU"/>
        </w:rPr>
        <w:t xml:space="preserve"> </w:t>
      </w:r>
      <w:r w:rsidR="0030529B" w:rsidRPr="00883D06">
        <w:rPr>
          <w:lang w:val="fr-LU"/>
        </w:rPr>
        <w:t>d</w:t>
      </w:r>
      <w:r w:rsidR="00025BAD" w:rsidRPr="00883D06">
        <w:rPr>
          <w:lang w:val="fr-LU"/>
        </w:rPr>
        <w:t>’</w:t>
      </w:r>
      <w:r w:rsidR="0030529B" w:rsidRPr="00883D06">
        <w:rPr>
          <w:lang w:val="fr-LU"/>
        </w:rPr>
        <w:t>un dévoiement</w:t>
      </w:r>
      <w:r w:rsidR="003B5AB8" w:rsidRPr="00883D06">
        <w:rPr>
          <w:lang w:val="fr-LU"/>
        </w:rPr>
        <w:t xml:space="preserve"> moral et politique</w:t>
      </w:r>
      <w:r w:rsidR="0030529B" w:rsidRPr="00883D06">
        <w:rPr>
          <w:lang w:val="fr-LU"/>
        </w:rPr>
        <w:t xml:space="preserve"> généralisé dont le langage du pouvoir se fait à la fois l</w:t>
      </w:r>
      <w:r w:rsidR="00025BAD" w:rsidRPr="00883D06">
        <w:rPr>
          <w:lang w:val="fr-LU"/>
        </w:rPr>
        <w:t>’</w:t>
      </w:r>
      <w:r w:rsidR="0030529B" w:rsidRPr="00883D06">
        <w:rPr>
          <w:lang w:val="fr-LU"/>
        </w:rPr>
        <w:t>écho et le catalyseur</w:t>
      </w:r>
      <w:r w:rsidR="00C51A53" w:rsidRPr="00883D06">
        <w:rPr>
          <w:lang w:val="fr-LU"/>
        </w:rPr>
        <w:t>,</w:t>
      </w:r>
      <w:r w:rsidR="00542192" w:rsidRPr="00883D06">
        <w:rPr>
          <w:lang w:val="fr-LU"/>
        </w:rPr>
        <w:t xml:space="preserve"> </w:t>
      </w:r>
      <w:r w:rsidR="0030529B" w:rsidRPr="00883D06">
        <w:rPr>
          <w:lang w:val="fr-LU"/>
        </w:rPr>
        <w:t>c</w:t>
      </w:r>
      <w:r w:rsidR="00542192" w:rsidRPr="00883D06">
        <w:rPr>
          <w:lang w:val="fr-LU"/>
        </w:rPr>
        <w:t xml:space="preserve">es saturnales </w:t>
      </w:r>
      <w:r w:rsidR="008E5258" w:rsidRPr="00883D06">
        <w:rPr>
          <w:lang w:val="fr-LU"/>
        </w:rPr>
        <w:t>inaugurées par</w:t>
      </w:r>
      <w:r w:rsidR="0030529B" w:rsidRPr="00883D06">
        <w:rPr>
          <w:lang w:val="fr-LU"/>
        </w:rPr>
        <w:t xml:space="preserve"> </w:t>
      </w:r>
      <w:r w:rsidR="00025BAD" w:rsidRPr="00883D06">
        <w:rPr>
          <w:lang w:val="fr-LU"/>
        </w:rPr>
        <w:t>l’exécution</w:t>
      </w:r>
      <w:r w:rsidR="0030529B" w:rsidRPr="00883D06">
        <w:rPr>
          <w:lang w:val="fr-LU"/>
        </w:rPr>
        <w:t xml:space="preserve"> du duc d</w:t>
      </w:r>
      <w:r w:rsidR="00025BAD" w:rsidRPr="00883D06">
        <w:rPr>
          <w:lang w:val="fr-LU"/>
        </w:rPr>
        <w:t>’</w:t>
      </w:r>
      <w:r w:rsidR="0030529B" w:rsidRPr="00883D06">
        <w:rPr>
          <w:lang w:val="fr-LU"/>
        </w:rPr>
        <w:t>Enghien</w:t>
      </w:r>
      <w:r w:rsidR="00025BAD" w:rsidRPr="00883D06">
        <w:rPr>
          <w:lang w:val="fr-LU"/>
        </w:rPr>
        <w:t xml:space="preserve"> – épisode qui forme</w:t>
      </w:r>
      <w:r w:rsidR="0030529B" w:rsidRPr="00883D06">
        <w:rPr>
          <w:lang w:val="fr-LU"/>
        </w:rPr>
        <w:t xml:space="preserve"> </w:t>
      </w:r>
      <w:r w:rsidR="00025BAD" w:rsidRPr="00883D06">
        <w:rPr>
          <w:lang w:val="fr-LU"/>
        </w:rPr>
        <w:t>de « ces scènes que l’on ne trouve plus que dans les romans</w:t>
      </w:r>
      <w:r w:rsidR="00025BAD" w:rsidRPr="00883D06">
        <w:rPr>
          <w:rStyle w:val="Appelnotedebasdep"/>
          <w:lang w:val="fr-LU"/>
        </w:rPr>
        <w:footnoteReference w:id="65"/>
      </w:r>
      <w:r w:rsidR="00025BAD" w:rsidRPr="00883D06">
        <w:rPr>
          <w:lang w:val="fr-LU"/>
        </w:rPr>
        <w:t> »</w:t>
      </w:r>
      <w:r w:rsidR="005D48E3" w:rsidRPr="00883D06">
        <w:rPr>
          <w:lang w:val="fr-LU"/>
        </w:rPr>
        <w:t xml:space="preserve"> –</w:t>
      </w:r>
      <w:r w:rsidR="008E5258" w:rsidRPr="00883D06">
        <w:rPr>
          <w:lang w:val="fr-LU"/>
        </w:rPr>
        <w:t xml:space="preserve"> </w:t>
      </w:r>
      <w:r w:rsidR="00874F89" w:rsidRPr="00883D06">
        <w:rPr>
          <w:lang w:val="fr-LU"/>
        </w:rPr>
        <w:t>vouent</w:t>
      </w:r>
      <w:r w:rsidR="008E5258" w:rsidRPr="00883D06">
        <w:rPr>
          <w:lang w:val="fr-LU"/>
        </w:rPr>
        <w:t xml:space="preserve"> </w:t>
      </w:r>
      <w:r w:rsidR="003B5AB8" w:rsidRPr="00883D06">
        <w:rPr>
          <w:lang w:val="fr-LU"/>
        </w:rPr>
        <w:t xml:space="preserve">néanmoins </w:t>
      </w:r>
      <w:r w:rsidR="008E5258" w:rsidRPr="00883D06">
        <w:rPr>
          <w:lang w:val="fr-LU"/>
        </w:rPr>
        <w:t>l’Empire</w:t>
      </w:r>
      <w:r w:rsidR="00874F89" w:rsidRPr="00883D06">
        <w:rPr>
          <w:lang w:val="fr-LU"/>
        </w:rPr>
        <w:t xml:space="preserve"> à sa perte</w:t>
      </w:r>
      <w:r w:rsidR="00542192" w:rsidRPr="00883D06">
        <w:rPr>
          <w:lang w:val="fr-LU"/>
        </w:rPr>
        <w:t>.</w:t>
      </w:r>
      <w:r w:rsidR="00263905" w:rsidRPr="00883D06">
        <w:rPr>
          <w:lang w:val="fr-LU"/>
        </w:rPr>
        <w:t xml:space="preserve"> </w:t>
      </w:r>
      <w:r w:rsidR="0030529B" w:rsidRPr="00883D06">
        <w:rPr>
          <w:szCs w:val="18"/>
          <w:lang w:val="fr-LU"/>
        </w:rPr>
        <w:t>L</w:t>
      </w:r>
      <w:r w:rsidR="00025BAD" w:rsidRPr="00883D06">
        <w:rPr>
          <w:szCs w:val="18"/>
          <w:lang w:val="fr-LU"/>
        </w:rPr>
        <w:t>’</w:t>
      </w:r>
      <w:r w:rsidR="0030529B" w:rsidRPr="00883D06">
        <w:rPr>
          <w:lang w:val="fr-LU"/>
        </w:rPr>
        <w:t>« élévation prodigieuse » de Bonaparte, châtiment infligé aux Français en rétribution d</w:t>
      </w:r>
      <w:r w:rsidR="00025BAD" w:rsidRPr="00883D06">
        <w:rPr>
          <w:lang w:val="fr-LU"/>
        </w:rPr>
        <w:t>’</w:t>
      </w:r>
      <w:r w:rsidR="0030529B" w:rsidRPr="00883D06">
        <w:rPr>
          <w:lang w:val="fr-LU"/>
        </w:rPr>
        <w:t xml:space="preserve">une « révolution préparée par la corruption de nos mœurs et par les </w:t>
      </w:r>
      <w:proofErr w:type="spellStart"/>
      <w:r w:rsidR="0030529B" w:rsidRPr="00883D06">
        <w:rPr>
          <w:lang w:val="fr-LU"/>
        </w:rPr>
        <w:t>égaremens</w:t>
      </w:r>
      <w:proofErr w:type="spellEnd"/>
      <w:r w:rsidR="0030529B" w:rsidRPr="00883D06">
        <w:rPr>
          <w:lang w:val="fr-LU"/>
        </w:rPr>
        <w:t xml:space="preserve"> de notre esprit</w:t>
      </w:r>
      <w:r w:rsidR="0030529B" w:rsidRPr="00883D06">
        <w:rPr>
          <w:rStyle w:val="Appelnotedebasdep"/>
          <w:lang w:val="fr-LU"/>
        </w:rPr>
        <w:footnoteReference w:id="66"/>
      </w:r>
      <w:r w:rsidR="0030529B" w:rsidRPr="00883D06">
        <w:rPr>
          <w:lang w:val="fr-LU"/>
        </w:rPr>
        <w:t> », n</w:t>
      </w:r>
      <w:r w:rsidR="00025BAD" w:rsidRPr="00883D06">
        <w:rPr>
          <w:lang w:val="fr-LU"/>
        </w:rPr>
        <w:t>’</w:t>
      </w:r>
      <w:r w:rsidR="0030529B" w:rsidRPr="00883D06">
        <w:rPr>
          <w:lang w:val="fr-LU"/>
        </w:rPr>
        <w:t xml:space="preserve">aura </w:t>
      </w:r>
      <w:r w:rsidR="00055A65" w:rsidRPr="00883D06">
        <w:rPr>
          <w:lang w:val="fr-LU"/>
        </w:rPr>
        <w:t xml:space="preserve">ainsi </w:t>
      </w:r>
      <w:r w:rsidR="0030529B" w:rsidRPr="00883D06">
        <w:rPr>
          <w:lang w:val="fr-LU"/>
        </w:rPr>
        <w:t>d</w:t>
      </w:r>
      <w:r w:rsidR="00025BAD" w:rsidRPr="00883D06">
        <w:rPr>
          <w:lang w:val="fr-LU"/>
        </w:rPr>
        <w:t>’</w:t>
      </w:r>
      <w:r w:rsidR="0030529B" w:rsidRPr="00883D06">
        <w:rPr>
          <w:lang w:val="fr-LU"/>
        </w:rPr>
        <w:t>égale que sa chute</w:t>
      </w:r>
      <w:r w:rsidR="00055A65" w:rsidRPr="00883D06">
        <w:rPr>
          <w:lang w:val="fr-LU"/>
        </w:rPr>
        <w:t xml:space="preserve"> providentielle</w:t>
      </w:r>
      <w:r w:rsidR="0030529B" w:rsidRPr="00883D06">
        <w:rPr>
          <w:lang w:val="fr-LU"/>
        </w:rPr>
        <w:t xml:space="preserve"> : « la main de la Providence est </w:t>
      </w:r>
      <w:r w:rsidR="0030529B" w:rsidRPr="00883D06">
        <w:rPr>
          <w:lang w:val="fr-LU"/>
        </w:rPr>
        <w:lastRenderedPageBreak/>
        <w:t>visible dans tout ceci : Dieu lui-même marche à découvert à la tête des armées et s</w:t>
      </w:r>
      <w:r w:rsidR="00025BAD" w:rsidRPr="00883D06">
        <w:rPr>
          <w:lang w:val="fr-LU"/>
        </w:rPr>
        <w:t>’</w:t>
      </w:r>
      <w:r w:rsidR="0030529B" w:rsidRPr="00883D06">
        <w:rPr>
          <w:lang w:val="fr-LU"/>
        </w:rPr>
        <w:t>assied au conseil des rois</w:t>
      </w:r>
      <w:r w:rsidR="0030529B" w:rsidRPr="00883D06">
        <w:rPr>
          <w:rStyle w:val="Appelnotedebasdep"/>
          <w:lang w:val="fr-LU"/>
        </w:rPr>
        <w:footnoteReference w:id="67"/>
      </w:r>
      <w:r w:rsidR="0030529B" w:rsidRPr="00883D06">
        <w:rPr>
          <w:lang w:val="fr-LU"/>
        </w:rPr>
        <w:t> ».</w:t>
      </w:r>
    </w:p>
    <w:p w14:paraId="519717DB" w14:textId="2C7AFD42" w:rsidR="00DA5E1C" w:rsidRPr="00883D06" w:rsidRDefault="00DA5E1C" w:rsidP="004016AD">
      <w:pPr>
        <w:spacing w:line="240" w:lineRule="auto"/>
        <w:jc w:val="center"/>
        <w:rPr>
          <w:lang w:val="fr-LU"/>
        </w:rPr>
      </w:pPr>
      <w:r w:rsidRPr="00883D06">
        <w:rPr>
          <w:lang w:val="fr-LU"/>
        </w:rPr>
        <w:t>*</w:t>
      </w:r>
    </w:p>
    <w:p w14:paraId="5774C4FB" w14:textId="2D8174AE" w:rsidR="00215E29" w:rsidRPr="00883D06" w:rsidRDefault="00B626E0" w:rsidP="004016AD">
      <w:pPr>
        <w:spacing w:line="240" w:lineRule="auto"/>
        <w:ind w:firstLine="708"/>
        <w:rPr>
          <w:lang w:val="fr-LU"/>
        </w:rPr>
      </w:pPr>
      <w:r w:rsidRPr="00883D06">
        <w:rPr>
          <w:lang w:val="fr-LU"/>
        </w:rPr>
        <w:t xml:space="preserve">De </w:t>
      </w:r>
      <w:r w:rsidRPr="00883D06">
        <w:rPr>
          <w:i/>
          <w:iCs/>
          <w:lang w:val="fr-LU"/>
        </w:rPr>
        <w:t>L’Essai sur les révolutions</w:t>
      </w:r>
      <w:r w:rsidRPr="00883D06">
        <w:rPr>
          <w:lang w:val="fr-LU"/>
        </w:rPr>
        <w:t xml:space="preserve">, œuvre de jeunesse, aux </w:t>
      </w:r>
      <w:r w:rsidRPr="00883D06">
        <w:rPr>
          <w:i/>
          <w:iCs/>
          <w:lang w:val="fr-LU"/>
        </w:rPr>
        <w:t>Mémoires d’outre-tombe</w:t>
      </w:r>
      <w:r w:rsidRPr="00883D06">
        <w:rPr>
          <w:lang w:val="fr-LU"/>
        </w:rPr>
        <w:t>, l</w:t>
      </w:r>
      <w:r w:rsidR="004C0802" w:rsidRPr="00883D06">
        <w:rPr>
          <w:lang w:val="fr-LU"/>
        </w:rPr>
        <w:t>e théâtre</w:t>
      </w:r>
      <w:r w:rsidRPr="00883D06">
        <w:rPr>
          <w:lang w:val="fr-LU"/>
        </w:rPr>
        <w:t xml:space="preserve"> forme </w:t>
      </w:r>
      <w:r w:rsidR="004C0802" w:rsidRPr="00883D06">
        <w:rPr>
          <w:lang w:val="fr-LU"/>
        </w:rPr>
        <w:t xml:space="preserve">chez Chateaubriand le prisme privilégié à travers lequel </w:t>
      </w:r>
      <w:r w:rsidRPr="00883D06">
        <w:rPr>
          <w:lang w:val="fr-LU"/>
        </w:rPr>
        <w:t>penser et représenter l’événement révolutionnaire</w:t>
      </w:r>
      <w:r w:rsidR="00C377EC" w:rsidRPr="00883D06">
        <w:rPr>
          <w:lang w:val="fr-LU"/>
        </w:rPr>
        <w:t xml:space="preserve"> </w:t>
      </w:r>
      <w:r w:rsidR="002074A8" w:rsidRPr="00883D06">
        <w:rPr>
          <w:lang w:val="fr-LU"/>
        </w:rPr>
        <w:t xml:space="preserve">et la rupture décisive dont il est synonyme sur </w:t>
      </w:r>
      <w:r w:rsidR="00372C8F" w:rsidRPr="00883D06">
        <w:rPr>
          <w:lang w:val="fr-LU"/>
        </w:rPr>
        <w:t>le plan</w:t>
      </w:r>
      <w:r w:rsidR="00B43E29" w:rsidRPr="00883D06">
        <w:rPr>
          <w:lang w:val="fr-LU"/>
        </w:rPr>
        <w:t>, notamment,</w:t>
      </w:r>
      <w:r w:rsidR="002074A8" w:rsidRPr="00883D06">
        <w:rPr>
          <w:lang w:val="fr-LU"/>
        </w:rPr>
        <w:t xml:space="preserve"> des représentations</w:t>
      </w:r>
      <w:r w:rsidR="00F9052A" w:rsidRPr="00883D06">
        <w:rPr>
          <w:lang w:val="fr-LU"/>
        </w:rPr>
        <w:t>.</w:t>
      </w:r>
      <w:r w:rsidRPr="00883D06">
        <w:rPr>
          <w:lang w:val="fr-LU"/>
        </w:rPr>
        <w:t xml:space="preserve"> </w:t>
      </w:r>
      <w:r w:rsidR="00F9052A" w:rsidRPr="00883D06">
        <w:rPr>
          <w:lang w:val="fr-LU"/>
        </w:rPr>
        <w:t>T</w:t>
      </w:r>
      <w:r w:rsidRPr="00883D06">
        <w:rPr>
          <w:lang w:val="fr-LU"/>
        </w:rPr>
        <w:t>raversé par une déraison collective qu’il alimente en retour</w:t>
      </w:r>
      <w:r w:rsidR="00557EB8" w:rsidRPr="00883D06">
        <w:rPr>
          <w:lang w:val="fr-LU"/>
        </w:rPr>
        <w:t>,</w:t>
      </w:r>
      <w:r w:rsidR="00F9052A" w:rsidRPr="00883D06">
        <w:rPr>
          <w:lang w:val="fr-LU"/>
        </w:rPr>
        <w:t xml:space="preserve"> le théâtre constitue</w:t>
      </w:r>
      <w:r w:rsidR="00B43E29" w:rsidRPr="00883D06">
        <w:rPr>
          <w:lang w:val="fr-LU"/>
        </w:rPr>
        <w:t xml:space="preserve"> alors</w:t>
      </w:r>
      <w:r w:rsidR="00F9052A" w:rsidRPr="00883D06">
        <w:rPr>
          <w:lang w:val="fr-LU"/>
        </w:rPr>
        <w:t xml:space="preserve"> à la fois le reflet et le catalyseur d’un mélange des genres, des registres et des tons</w:t>
      </w:r>
      <w:r w:rsidR="00F24A3C" w:rsidRPr="00883D06">
        <w:rPr>
          <w:lang w:val="fr-LU"/>
        </w:rPr>
        <w:t xml:space="preserve"> où farce et </w:t>
      </w:r>
      <w:r w:rsidR="00372C8F" w:rsidRPr="00883D06">
        <w:rPr>
          <w:lang w:val="fr-LU"/>
        </w:rPr>
        <w:t>drame</w:t>
      </w:r>
      <w:r w:rsidR="003F0F94" w:rsidRPr="00883D06">
        <w:rPr>
          <w:lang w:val="fr-LU"/>
        </w:rPr>
        <w:t>, spectacle politique et spectacle théâtral se confondent</w:t>
      </w:r>
      <w:r w:rsidR="00F9052A" w:rsidRPr="00883D06">
        <w:rPr>
          <w:lang w:val="fr-LU"/>
        </w:rPr>
        <w:t>. À mesure que la tragédie rougit les rues parisiennes</w:t>
      </w:r>
      <w:r w:rsidR="00DA7E66" w:rsidRPr="00883D06">
        <w:rPr>
          <w:lang w:val="fr-LU"/>
        </w:rPr>
        <w:t xml:space="preserve"> et que se profile le paroxysme que sera la Terreur</w:t>
      </w:r>
      <w:r w:rsidR="00F9052A" w:rsidRPr="00883D06">
        <w:rPr>
          <w:lang w:val="fr-LU"/>
        </w:rPr>
        <w:t>, l</w:t>
      </w:r>
      <w:r w:rsidRPr="00883D06">
        <w:rPr>
          <w:lang w:val="fr-LU"/>
        </w:rPr>
        <w:t xml:space="preserve">es limites entre </w:t>
      </w:r>
      <w:r w:rsidR="00DA7E66" w:rsidRPr="00883D06">
        <w:rPr>
          <w:lang w:val="fr-LU"/>
        </w:rPr>
        <w:t>la tribune et la scène</w:t>
      </w:r>
      <w:r w:rsidRPr="00883D06">
        <w:rPr>
          <w:lang w:val="fr-LU"/>
        </w:rPr>
        <w:t xml:space="preserve"> se veulent </w:t>
      </w:r>
      <w:r w:rsidR="004026DE" w:rsidRPr="00883D06">
        <w:rPr>
          <w:lang w:val="fr-LU"/>
        </w:rPr>
        <w:t>de plus en plus</w:t>
      </w:r>
      <w:r w:rsidRPr="00883D06">
        <w:rPr>
          <w:lang w:val="fr-LU"/>
        </w:rPr>
        <w:t xml:space="preserve"> </w:t>
      </w:r>
      <w:r w:rsidR="00DA7E66" w:rsidRPr="00883D06">
        <w:rPr>
          <w:lang w:val="fr-LU"/>
        </w:rPr>
        <w:t>perméables</w:t>
      </w:r>
      <w:r w:rsidRPr="00883D06">
        <w:rPr>
          <w:lang w:val="fr-LU"/>
        </w:rPr>
        <w:t xml:space="preserve">, l’heure étant à une </w:t>
      </w:r>
      <w:r w:rsidR="00557EB8" w:rsidRPr="00883D06">
        <w:rPr>
          <w:lang w:val="fr-LU"/>
        </w:rPr>
        <w:t xml:space="preserve">spectacularisation </w:t>
      </w:r>
      <w:r w:rsidRPr="00883D06">
        <w:rPr>
          <w:lang w:val="fr-LU"/>
        </w:rPr>
        <w:t xml:space="preserve">de la chose publique et à une politisation du </w:t>
      </w:r>
      <w:r w:rsidR="00557EB8" w:rsidRPr="00883D06">
        <w:rPr>
          <w:lang w:val="fr-LU"/>
        </w:rPr>
        <w:t>théâtre</w:t>
      </w:r>
      <w:r w:rsidR="00683953" w:rsidRPr="00883D06">
        <w:rPr>
          <w:lang w:val="fr-LU"/>
        </w:rPr>
        <w:t xml:space="preserve"> sans précédent</w:t>
      </w:r>
      <w:r w:rsidR="00557EB8" w:rsidRPr="00883D06">
        <w:rPr>
          <w:lang w:val="fr-LU"/>
        </w:rPr>
        <w:t xml:space="preserve">. Ce phénomène dont Chateaubriand se veut </w:t>
      </w:r>
      <w:r w:rsidR="00B914E5" w:rsidRPr="00883D06">
        <w:rPr>
          <w:lang w:val="fr-LU"/>
        </w:rPr>
        <w:t>l’observateur</w:t>
      </w:r>
      <w:r w:rsidR="00557EB8" w:rsidRPr="00883D06">
        <w:rPr>
          <w:lang w:val="fr-LU"/>
        </w:rPr>
        <w:t xml:space="preserve"> attentif </w:t>
      </w:r>
      <w:r w:rsidR="004026DE" w:rsidRPr="00883D06">
        <w:rPr>
          <w:lang w:val="fr-LU"/>
        </w:rPr>
        <w:t xml:space="preserve">mais </w:t>
      </w:r>
      <w:r w:rsidR="00B914E5" w:rsidRPr="00883D06">
        <w:rPr>
          <w:lang w:val="fr-LU"/>
        </w:rPr>
        <w:t>détaché</w:t>
      </w:r>
      <w:r w:rsidR="004026DE" w:rsidRPr="00883D06">
        <w:rPr>
          <w:lang w:val="fr-LU"/>
        </w:rPr>
        <w:t xml:space="preserve"> – manière, sans doute, de se prémunir</w:t>
      </w:r>
      <w:r w:rsidR="00B43E29" w:rsidRPr="00883D06">
        <w:rPr>
          <w:lang w:val="fr-LU"/>
        </w:rPr>
        <w:t xml:space="preserve"> </w:t>
      </w:r>
      <w:r w:rsidR="004026DE" w:rsidRPr="00883D06">
        <w:rPr>
          <w:lang w:val="fr-LU"/>
        </w:rPr>
        <w:t>de la</w:t>
      </w:r>
      <w:r w:rsidR="00B914E5" w:rsidRPr="00883D06">
        <w:rPr>
          <w:lang w:val="fr-LU"/>
        </w:rPr>
        <w:t xml:space="preserve"> contagion de cette</w:t>
      </w:r>
      <w:r w:rsidR="004026DE" w:rsidRPr="00883D06">
        <w:rPr>
          <w:lang w:val="fr-LU"/>
        </w:rPr>
        <w:t xml:space="preserve"> folie – </w:t>
      </w:r>
      <w:r w:rsidR="00557EB8" w:rsidRPr="00883D06">
        <w:rPr>
          <w:lang w:val="fr-LU"/>
        </w:rPr>
        <w:t>devait persister sous une double forme dans la France postrévolutionnaire, comme en témoigne</w:t>
      </w:r>
      <w:r w:rsidR="003F0F94" w:rsidRPr="00883D06">
        <w:rPr>
          <w:lang w:val="fr-LU"/>
        </w:rPr>
        <w:t xml:space="preserve">nt </w:t>
      </w:r>
      <w:r w:rsidR="00215E29" w:rsidRPr="00883D06">
        <w:rPr>
          <w:lang w:val="fr-LU"/>
        </w:rPr>
        <w:t xml:space="preserve">la figure de Talma, dont </w:t>
      </w:r>
      <w:r w:rsidR="00E119F9" w:rsidRPr="00883D06">
        <w:rPr>
          <w:lang w:val="fr-LU"/>
        </w:rPr>
        <w:t>le jeu</w:t>
      </w:r>
      <w:r w:rsidR="00215E29" w:rsidRPr="00883D06">
        <w:rPr>
          <w:lang w:val="fr-LU"/>
        </w:rPr>
        <w:t xml:space="preserve"> doit beaucoup au dérangement de génie propre à la Révolution, et son pendant négatif qu’est Napoléon, </w:t>
      </w:r>
      <w:r w:rsidR="00683953" w:rsidRPr="00883D06">
        <w:rPr>
          <w:lang w:val="fr-LU"/>
        </w:rPr>
        <w:t xml:space="preserve">cynique </w:t>
      </w:r>
      <w:r w:rsidR="00215E29" w:rsidRPr="00883D06">
        <w:rPr>
          <w:lang w:val="fr-LU"/>
        </w:rPr>
        <w:t xml:space="preserve">histrion </w:t>
      </w:r>
      <w:r w:rsidR="00372C8F" w:rsidRPr="00883D06">
        <w:rPr>
          <w:lang w:val="fr-LU"/>
        </w:rPr>
        <w:t xml:space="preserve">à l’origine de saturnales consacrant l’avènement en France d’un </w:t>
      </w:r>
      <w:r w:rsidR="00E119F9" w:rsidRPr="00883D06">
        <w:rPr>
          <w:lang w:val="fr-LU"/>
        </w:rPr>
        <w:t xml:space="preserve">véritable </w:t>
      </w:r>
      <w:r w:rsidR="00372C8F" w:rsidRPr="00883D06">
        <w:rPr>
          <w:lang w:val="fr-LU"/>
        </w:rPr>
        <w:t>empire du mensonge</w:t>
      </w:r>
      <w:r w:rsidR="00215E29" w:rsidRPr="00883D06">
        <w:rPr>
          <w:lang w:val="fr-LU"/>
        </w:rPr>
        <w:t xml:space="preserve">. </w:t>
      </w:r>
    </w:p>
    <w:p w14:paraId="43EB7CE8" w14:textId="0FFF2D36" w:rsidR="008E06FB" w:rsidRPr="00883D06" w:rsidRDefault="00215E29" w:rsidP="004016AD">
      <w:pPr>
        <w:spacing w:line="240" w:lineRule="auto"/>
        <w:ind w:firstLine="708"/>
        <w:rPr>
          <w:color w:val="FF0000"/>
          <w:szCs w:val="18"/>
          <w:lang w:val="fr-LU"/>
        </w:rPr>
      </w:pPr>
      <w:r w:rsidRPr="00883D06">
        <w:rPr>
          <w:lang w:val="fr-LU"/>
        </w:rPr>
        <w:t>Quant au peuple, « </w:t>
      </w:r>
      <w:r w:rsidRPr="00883D06">
        <w:t>auteur et acteur ardent de la pièce qu’il joue ou qu’on lui fait jouer »</w:t>
      </w:r>
      <w:r w:rsidR="00CA4F47" w:rsidRPr="00883D06">
        <w:t xml:space="preserve">, </w:t>
      </w:r>
      <w:r w:rsidR="000F2010" w:rsidRPr="00883D06">
        <w:t>objet d’une folie tour à tour fantasque et monstrueuse,</w:t>
      </w:r>
      <w:r w:rsidR="00CA4F47" w:rsidRPr="00883D06">
        <w:t xml:space="preserve"> Chateaubriand ne le tient pas pour responsable des </w:t>
      </w:r>
      <w:r w:rsidR="008A2610" w:rsidRPr="00883D06">
        <w:t>exactions</w:t>
      </w:r>
      <w:r w:rsidR="00CA4F47" w:rsidRPr="00883D06">
        <w:t xml:space="preserve"> révolutionnaires</w:t>
      </w:r>
      <w:r w:rsidR="00372C8F" w:rsidRPr="00883D06">
        <w:t>,</w:t>
      </w:r>
      <w:r w:rsidR="00CA4F47" w:rsidRPr="00883D06">
        <w:t xml:space="preserve"> au contraire des tribuns qui l’ont </w:t>
      </w:r>
      <w:r w:rsidR="002D60F7" w:rsidRPr="00883D06">
        <w:t>poussé</w:t>
      </w:r>
      <w:r w:rsidR="00CA4F47" w:rsidRPr="00883D06">
        <w:t xml:space="preserve"> à </w:t>
      </w:r>
      <w:r w:rsidR="008A2610" w:rsidRPr="00883D06">
        <w:t xml:space="preserve">les </w:t>
      </w:r>
      <w:r w:rsidR="00CA4F47" w:rsidRPr="00883D06">
        <w:t>commettre</w:t>
      </w:r>
      <w:r w:rsidR="00FE6973" w:rsidRPr="00883D06">
        <w:t>, l’opinion ayant été « enchaînée par des tribunes pleines d’assassins</w:t>
      </w:r>
      <w:r w:rsidR="00FE6973" w:rsidRPr="00883D06">
        <w:rPr>
          <w:rStyle w:val="Appelnotedebasdep"/>
        </w:rPr>
        <w:footnoteReference w:id="68"/>
      </w:r>
      <w:r w:rsidR="00FE6973" w:rsidRPr="00883D06">
        <w:t> »</w:t>
      </w:r>
      <w:r w:rsidR="00CA4F47" w:rsidRPr="00883D06">
        <w:t>.</w:t>
      </w:r>
      <w:r w:rsidR="008A2610" w:rsidRPr="00883D06">
        <w:t xml:space="preserve"> Texte de circonstance,</w:t>
      </w:r>
      <w:r w:rsidR="00CA4F47" w:rsidRPr="00883D06">
        <w:t xml:space="preserve"> </w:t>
      </w:r>
      <w:r w:rsidR="00EE4B91" w:rsidRPr="00883D06">
        <w:rPr>
          <w:i/>
          <w:iCs/>
        </w:rPr>
        <w:t>De Buonaparte et des Bourbons</w:t>
      </w:r>
      <w:r w:rsidR="00EE4B91" w:rsidRPr="00883D06">
        <w:t xml:space="preserve"> exonère </w:t>
      </w:r>
      <w:r w:rsidR="008A2610" w:rsidRPr="00883D06">
        <w:t>de même</w:t>
      </w:r>
      <w:r w:rsidR="00EE4B91" w:rsidRPr="00883D06">
        <w:t xml:space="preserve"> les Français des crimes commis en leur nom sous l’Empire</w:t>
      </w:r>
      <w:r w:rsidR="00FC530C" w:rsidRPr="00883D06">
        <w:t>. M</w:t>
      </w:r>
      <w:r w:rsidR="001C7579" w:rsidRPr="00883D06">
        <w:t>anière sans doute de laisser entendre que, depuis la Révolution, chacun est peu ou prou réduit</w:t>
      </w:r>
      <w:r w:rsidR="008A2610" w:rsidRPr="00883D06">
        <w:t>, devant les évolutions de la chose publique</w:t>
      </w:r>
      <w:r w:rsidR="00E811E0" w:rsidRPr="00883D06">
        <w:t xml:space="preserve"> et les aléas de l’histoire</w:t>
      </w:r>
      <w:r w:rsidR="008A2610" w:rsidRPr="00883D06">
        <w:t>,</w:t>
      </w:r>
      <w:r w:rsidR="001C7579" w:rsidRPr="00883D06">
        <w:t xml:space="preserve"> à la passivité d’un spectateur au théâtre</w:t>
      </w:r>
      <w:r w:rsidR="0055076B" w:rsidRPr="00883D06">
        <w:rPr>
          <w:color w:val="FF0000"/>
        </w:rPr>
        <w:t> </w:t>
      </w:r>
      <w:r w:rsidR="0055076B" w:rsidRPr="00883D06">
        <w:t>:</w:t>
      </w:r>
      <w:r w:rsidR="001C7579" w:rsidRPr="00883D06">
        <w:t xml:space="preserve"> </w:t>
      </w:r>
      <w:r w:rsidR="001C7579" w:rsidRPr="00883D06">
        <w:rPr>
          <w:lang w:val="fr-LU"/>
        </w:rPr>
        <w:t>« </w:t>
      </w:r>
      <w:r w:rsidR="008E06FB" w:rsidRPr="00883D06">
        <w:rPr>
          <w:lang w:val="fr-LU"/>
        </w:rPr>
        <w:t>Nous sommes ici-bas comme au spectacle : si nous détournons un moment la tête, le coup de sifflet part, les palais enchantés s’évanouissent ; et lorsque nous ramenons les yeux sur la scène, nous n’apercevons plus que des déserts et des acteurs inconnus</w:t>
      </w:r>
      <w:r w:rsidR="008E06FB" w:rsidRPr="00883D06">
        <w:rPr>
          <w:rStyle w:val="Appelnotedebasdep"/>
          <w:lang w:val="fr-LU"/>
        </w:rPr>
        <w:footnoteReference w:id="69"/>
      </w:r>
      <w:r w:rsidR="008E06FB" w:rsidRPr="00883D06">
        <w:rPr>
          <w:lang w:val="fr-LU"/>
        </w:rPr>
        <w:t>.</w:t>
      </w:r>
      <w:r w:rsidR="001C7579" w:rsidRPr="00883D06">
        <w:rPr>
          <w:lang w:val="fr-LU"/>
        </w:rPr>
        <w:t> »</w:t>
      </w:r>
    </w:p>
    <w:sectPr w:rsidR="008E06FB" w:rsidRPr="00883D06" w:rsidSect="00F61F03">
      <w:footerReference w:type="default" r:id="rId8"/>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3AD3" w14:textId="77777777" w:rsidR="00D20145" w:rsidRDefault="00D20145" w:rsidP="001C4725">
      <w:pPr>
        <w:spacing w:after="0" w:line="240" w:lineRule="auto"/>
      </w:pPr>
      <w:r>
        <w:separator/>
      </w:r>
    </w:p>
  </w:endnote>
  <w:endnote w:type="continuationSeparator" w:id="0">
    <w:p w14:paraId="2426731A" w14:textId="77777777" w:rsidR="00D20145" w:rsidRDefault="00D20145" w:rsidP="001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410173"/>
      <w:docPartObj>
        <w:docPartGallery w:val="Page Numbers (Bottom of Page)"/>
        <w:docPartUnique/>
      </w:docPartObj>
    </w:sdtPr>
    <w:sdtEndPr>
      <w:rPr>
        <w:noProof/>
      </w:rPr>
    </w:sdtEndPr>
    <w:sdtContent>
      <w:p w14:paraId="3B1EEA7C" w14:textId="74DB7BCA" w:rsidR="00FE6973" w:rsidRDefault="00FE6973">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0E0F9FC3" w14:textId="77777777" w:rsidR="00FE6973" w:rsidRDefault="00FE69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E80C" w14:textId="77777777" w:rsidR="00D20145" w:rsidRDefault="00D20145" w:rsidP="001C4725">
      <w:pPr>
        <w:spacing w:after="0" w:line="240" w:lineRule="auto"/>
      </w:pPr>
      <w:r>
        <w:separator/>
      </w:r>
    </w:p>
  </w:footnote>
  <w:footnote w:type="continuationSeparator" w:id="0">
    <w:p w14:paraId="1B315C61" w14:textId="77777777" w:rsidR="00D20145" w:rsidRDefault="00D20145" w:rsidP="001C4725">
      <w:pPr>
        <w:spacing w:after="0" w:line="240" w:lineRule="auto"/>
      </w:pPr>
      <w:r>
        <w:continuationSeparator/>
      </w:r>
    </w:p>
  </w:footnote>
  <w:footnote w:id="1">
    <w:p w14:paraId="6EF7FB9B" w14:textId="77777777" w:rsidR="001C4725" w:rsidRPr="00573F6C" w:rsidRDefault="001C4725" w:rsidP="001C4725">
      <w:pPr>
        <w:pStyle w:val="Notedebasdepage"/>
        <w:rPr>
          <w:lang w:val="fr-LU"/>
        </w:rPr>
      </w:pPr>
      <w:r>
        <w:rPr>
          <w:rStyle w:val="Appelnotedebasdep"/>
        </w:rPr>
        <w:footnoteRef/>
      </w:r>
      <w:r>
        <w:t xml:space="preserve"> </w:t>
      </w:r>
      <w:r>
        <w:rPr>
          <w:lang w:val="fr-LU"/>
        </w:rPr>
        <w:t xml:space="preserve">François-René de Chateaubriand, </w:t>
      </w:r>
      <w:r>
        <w:rPr>
          <w:i/>
          <w:lang w:val="fr-LU"/>
        </w:rPr>
        <w:t>Mémoires d’outre-tombe</w:t>
      </w:r>
      <w:r>
        <w:rPr>
          <w:lang w:val="fr-LU"/>
        </w:rPr>
        <w:t>, Jean-Claude Berchet (éd.), Paris, Le Livre de Poche, coll. </w:t>
      </w:r>
      <w:r w:rsidRPr="00573F6C">
        <w:rPr>
          <w:lang w:val="fr-LU"/>
        </w:rPr>
        <w:t>« La Pochothèque », 2003, t. I, p. 303.</w:t>
      </w:r>
    </w:p>
  </w:footnote>
  <w:footnote w:id="2">
    <w:p w14:paraId="3A7C6192" w14:textId="77777777" w:rsidR="001C4725" w:rsidRPr="004A0398" w:rsidRDefault="001C4725" w:rsidP="001C4725">
      <w:pPr>
        <w:pStyle w:val="Notedebasdepage"/>
        <w:rPr>
          <w:lang w:val="fr-LU"/>
        </w:rPr>
      </w:pPr>
      <w:r>
        <w:rPr>
          <w:rStyle w:val="Appelnotedebasdep"/>
        </w:rPr>
        <w:footnoteRef/>
      </w:r>
      <w:r w:rsidRPr="004A0398">
        <w:rPr>
          <w:lang w:val="fr-LU"/>
        </w:rPr>
        <w:t> </w:t>
      </w:r>
      <w:r w:rsidRPr="004A0398">
        <w:rPr>
          <w:i/>
          <w:iCs/>
          <w:lang w:val="fr-LU"/>
        </w:rPr>
        <w:t>Ibid.</w:t>
      </w:r>
    </w:p>
  </w:footnote>
  <w:footnote w:id="3">
    <w:p w14:paraId="50B7E60B" w14:textId="03D67605" w:rsidR="001C4725" w:rsidRPr="004A0398" w:rsidRDefault="001C4725" w:rsidP="001C4725">
      <w:pPr>
        <w:pStyle w:val="Notedebasdepage"/>
        <w:rPr>
          <w:lang w:val="fr-LU"/>
        </w:rPr>
      </w:pPr>
      <w:r>
        <w:rPr>
          <w:rStyle w:val="Appelnotedebasdep"/>
        </w:rPr>
        <w:footnoteRef/>
      </w:r>
      <w:r w:rsidRPr="004A0398">
        <w:rPr>
          <w:lang w:val="fr-LU"/>
        </w:rPr>
        <w:t xml:space="preserve"> </w:t>
      </w:r>
      <w:r w:rsidRPr="004A0398">
        <w:rPr>
          <w:i/>
          <w:iCs/>
          <w:lang w:val="fr-LU"/>
        </w:rPr>
        <w:t>Ibid.</w:t>
      </w:r>
      <w:r w:rsidRPr="004A0398">
        <w:rPr>
          <w:lang w:val="fr-LU"/>
        </w:rPr>
        <w:t>, p. 302.</w:t>
      </w:r>
    </w:p>
  </w:footnote>
  <w:footnote w:id="4">
    <w:p w14:paraId="3A012331" w14:textId="77777777" w:rsidR="001C4725" w:rsidRPr="00C5469D" w:rsidRDefault="001C4725" w:rsidP="001C4725">
      <w:pPr>
        <w:pStyle w:val="Notedebasdepage"/>
        <w:rPr>
          <w:lang w:val="fr-LU"/>
        </w:rPr>
      </w:pPr>
      <w:r>
        <w:rPr>
          <w:rStyle w:val="Appelnotedebasdep"/>
        </w:rPr>
        <w:footnoteRef/>
      </w:r>
      <w:r w:rsidRPr="00C5469D">
        <w:rPr>
          <w:lang w:val="fr-LU"/>
        </w:rPr>
        <w:t xml:space="preserve"> </w:t>
      </w:r>
      <w:r w:rsidRPr="00216E42">
        <w:rPr>
          <w:i/>
          <w:iCs/>
        </w:rPr>
        <w:t>L</w:t>
      </w:r>
      <w:r>
        <w:rPr>
          <w:i/>
          <w:iCs/>
        </w:rPr>
        <w:t>’</w:t>
      </w:r>
      <w:r w:rsidRPr="00216E42">
        <w:rPr>
          <w:i/>
          <w:iCs/>
        </w:rPr>
        <w:t>Esprit des journaux français et étrangers</w:t>
      </w:r>
      <w:r w:rsidRPr="00216E42">
        <w:t>, septembre 1792, p. 333-340</w:t>
      </w:r>
      <w:r>
        <w:t>.</w:t>
      </w:r>
    </w:p>
  </w:footnote>
  <w:footnote w:id="5">
    <w:p w14:paraId="58AFD78E" w14:textId="77E5110C" w:rsidR="001C4725" w:rsidRPr="007B6A47" w:rsidRDefault="001C4725" w:rsidP="001C4725">
      <w:pPr>
        <w:pStyle w:val="Notedebasdepage"/>
        <w:rPr>
          <w:lang w:val="fr-LU"/>
        </w:rPr>
      </w:pPr>
      <w:r>
        <w:rPr>
          <w:rStyle w:val="Appelnotedebasdep"/>
        </w:rPr>
        <w:footnoteRef/>
      </w:r>
      <w:r w:rsidRPr="007B6A47">
        <w:rPr>
          <w:lang w:val="fr-LU"/>
        </w:rPr>
        <w:t xml:space="preserve"> </w:t>
      </w:r>
      <w:r>
        <w:rPr>
          <w:lang w:val="fr-LU"/>
        </w:rPr>
        <w:t xml:space="preserve">F.-R. de Chateaubriand, </w:t>
      </w:r>
      <w:r>
        <w:rPr>
          <w:i/>
          <w:lang w:val="fr-LU"/>
        </w:rPr>
        <w:t>Mémoires d’outre-tombe</w:t>
      </w:r>
      <w:r>
        <w:rPr>
          <w:lang w:val="fr-LU"/>
        </w:rPr>
        <w:t xml:space="preserve">, </w:t>
      </w:r>
      <w:r>
        <w:rPr>
          <w:i/>
          <w:lang w:val="fr-LU"/>
        </w:rPr>
        <w:t xml:space="preserve">op. </w:t>
      </w:r>
      <w:proofErr w:type="spellStart"/>
      <w:r>
        <w:rPr>
          <w:i/>
          <w:lang w:val="fr-LU"/>
        </w:rPr>
        <w:t>cit</w:t>
      </w:r>
      <w:proofErr w:type="spellEnd"/>
      <w:r>
        <w:rPr>
          <w:i/>
          <w:lang w:val="fr-LU"/>
        </w:rPr>
        <w:t>.</w:t>
      </w:r>
      <w:r>
        <w:rPr>
          <w:lang w:val="fr-LU"/>
        </w:rPr>
        <w:t>,</w:t>
      </w:r>
      <w:r w:rsidR="00025B91">
        <w:rPr>
          <w:lang w:val="fr-LU"/>
        </w:rPr>
        <w:t xml:space="preserve"> t. I,</w:t>
      </w:r>
      <w:r>
        <w:rPr>
          <w:lang w:val="fr-LU"/>
        </w:rPr>
        <w:t xml:space="preserve"> </w:t>
      </w:r>
      <w:r w:rsidRPr="007B6A47">
        <w:rPr>
          <w:lang w:val="fr-LU"/>
        </w:rPr>
        <w:t>p. 637.</w:t>
      </w:r>
    </w:p>
  </w:footnote>
  <w:footnote w:id="6">
    <w:p w14:paraId="2CCAAEB8" w14:textId="75A975C0" w:rsidR="00887E45" w:rsidRPr="00887E45" w:rsidRDefault="00887E45">
      <w:pPr>
        <w:pStyle w:val="Notedebasdepage"/>
        <w:rPr>
          <w:lang w:val="en-US"/>
        </w:rPr>
      </w:pPr>
      <w:r>
        <w:rPr>
          <w:rStyle w:val="Appelnotedebasdep"/>
        </w:rPr>
        <w:footnoteRef/>
      </w:r>
      <w:r w:rsidRPr="00887E45">
        <w:rPr>
          <w:lang w:val="en-US"/>
        </w:rPr>
        <w:t xml:space="preserve"> </w:t>
      </w:r>
      <w:r w:rsidRPr="004A0398">
        <w:rPr>
          <w:i/>
          <w:lang w:val="en-US"/>
        </w:rPr>
        <w:t>Ibid.</w:t>
      </w:r>
      <w:r w:rsidRPr="004A0398">
        <w:rPr>
          <w:lang w:val="en-US"/>
        </w:rPr>
        <w:t>, p. 302.</w:t>
      </w:r>
    </w:p>
  </w:footnote>
  <w:footnote w:id="7">
    <w:p w14:paraId="6CED4ABC" w14:textId="4BAF9251" w:rsidR="00314338" w:rsidRPr="00887E45" w:rsidRDefault="00314338" w:rsidP="00314338">
      <w:pPr>
        <w:pStyle w:val="Notedebasdepage"/>
        <w:rPr>
          <w:lang w:val="en-US"/>
        </w:rPr>
      </w:pPr>
      <w:r>
        <w:rPr>
          <w:rStyle w:val="Appelnotedebasdep"/>
        </w:rPr>
        <w:footnoteRef/>
      </w:r>
      <w:r w:rsidRPr="004A0398">
        <w:rPr>
          <w:lang w:val="en-US"/>
        </w:rPr>
        <w:t xml:space="preserve"> </w:t>
      </w:r>
      <w:r w:rsidR="00887E45">
        <w:rPr>
          <w:i/>
          <w:iCs/>
          <w:lang w:val="en-US"/>
        </w:rPr>
        <w:t>Ibid.</w:t>
      </w:r>
    </w:p>
  </w:footnote>
  <w:footnote w:id="8">
    <w:p w14:paraId="5EBD501A" w14:textId="677510B2" w:rsidR="00E736AF" w:rsidRPr="00E736AF" w:rsidRDefault="00E736AF">
      <w:pPr>
        <w:pStyle w:val="Notedebasdepage"/>
        <w:rPr>
          <w:lang w:val="en-US"/>
        </w:rPr>
      </w:pPr>
      <w:r>
        <w:rPr>
          <w:rStyle w:val="Appelnotedebasdep"/>
        </w:rPr>
        <w:footnoteRef/>
      </w:r>
      <w:r w:rsidRPr="00887E45">
        <w:rPr>
          <w:lang w:val="en-US"/>
        </w:rPr>
        <w:t> </w:t>
      </w:r>
      <w:r w:rsidRPr="00887E45">
        <w:rPr>
          <w:i/>
          <w:iCs/>
          <w:lang w:val="en-US"/>
        </w:rPr>
        <w:t>Ibid.</w:t>
      </w:r>
      <w:r w:rsidRPr="00887E45">
        <w:rPr>
          <w:lang w:val="en-US"/>
        </w:rPr>
        <w:t>, p. 304.</w:t>
      </w:r>
    </w:p>
  </w:footnote>
  <w:footnote w:id="9">
    <w:p w14:paraId="560507ED" w14:textId="613F276B" w:rsidR="007F50AB" w:rsidRPr="00947EA6" w:rsidRDefault="007F50AB">
      <w:pPr>
        <w:pStyle w:val="Notedebasdepage"/>
        <w:rPr>
          <w:i/>
          <w:iCs/>
          <w:lang w:val="en-US"/>
        </w:rPr>
      </w:pPr>
      <w:r>
        <w:rPr>
          <w:rStyle w:val="Appelnotedebasdep"/>
        </w:rPr>
        <w:footnoteRef/>
      </w:r>
      <w:r w:rsidRPr="00947EA6">
        <w:rPr>
          <w:lang w:val="en-US"/>
        </w:rPr>
        <w:t xml:space="preserve"> </w:t>
      </w:r>
      <w:r w:rsidRPr="00947EA6">
        <w:rPr>
          <w:i/>
          <w:iCs/>
          <w:lang w:val="en-US"/>
        </w:rPr>
        <w:t>Ibid.</w:t>
      </w:r>
    </w:p>
  </w:footnote>
  <w:footnote w:id="10">
    <w:p w14:paraId="4628266F" w14:textId="401362DD" w:rsidR="0035037D" w:rsidRPr="00947EA6" w:rsidRDefault="0035037D">
      <w:pPr>
        <w:pStyle w:val="Notedebasdepage"/>
        <w:rPr>
          <w:i/>
          <w:iCs/>
          <w:lang w:val="en-US"/>
        </w:rPr>
      </w:pPr>
      <w:r>
        <w:rPr>
          <w:rStyle w:val="Appelnotedebasdep"/>
        </w:rPr>
        <w:footnoteRef/>
      </w:r>
      <w:r w:rsidRPr="00947EA6">
        <w:rPr>
          <w:lang w:val="en-US"/>
        </w:rPr>
        <w:t xml:space="preserve"> </w:t>
      </w:r>
      <w:r w:rsidRPr="00947EA6">
        <w:rPr>
          <w:i/>
          <w:iCs/>
          <w:lang w:val="en-US"/>
        </w:rPr>
        <w:t>Ibid.</w:t>
      </w:r>
    </w:p>
  </w:footnote>
  <w:footnote w:id="11">
    <w:p w14:paraId="1C551638" w14:textId="14E5F864" w:rsidR="00477F2D" w:rsidRPr="00477F2D" w:rsidRDefault="00477F2D">
      <w:pPr>
        <w:pStyle w:val="Notedebasdepage"/>
        <w:rPr>
          <w:lang w:val="en-US"/>
        </w:rPr>
      </w:pPr>
      <w:r>
        <w:rPr>
          <w:rStyle w:val="Appelnotedebasdep"/>
        </w:rPr>
        <w:footnoteRef/>
      </w:r>
      <w:r w:rsidRPr="00477F2D">
        <w:rPr>
          <w:lang w:val="en-US"/>
        </w:rPr>
        <w:t xml:space="preserve"> </w:t>
      </w:r>
      <w:r w:rsidRPr="00477F2D">
        <w:rPr>
          <w:i/>
          <w:iCs/>
          <w:lang w:val="en-US"/>
        </w:rPr>
        <w:t>Ibid.</w:t>
      </w:r>
      <w:r w:rsidRPr="00477F2D">
        <w:rPr>
          <w:lang w:val="en-US"/>
        </w:rPr>
        <w:t>, p</w:t>
      </w:r>
      <w:r>
        <w:rPr>
          <w:lang w:val="en-US"/>
        </w:rPr>
        <w:t>. 312.</w:t>
      </w:r>
    </w:p>
  </w:footnote>
  <w:footnote w:id="12">
    <w:p w14:paraId="7A2F51C8" w14:textId="5FAF43DD" w:rsidR="00947EA6" w:rsidRPr="00947EA6" w:rsidRDefault="00947EA6">
      <w:pPr>
        <w:pStyle w:val="Notedebasdepage"/>
        <w:rPr>
          <w:lang w:val="en-US"/>
        </w:rPr>
      </w:pPr>
      <w:r>
        <w:rPr>
          <w:rStyle w:val="Appelnotedebasdep"/>
        </w:rPr>
        <w:footnoteRef/>
      </w:r>
      <w:r w:rsidRPr="00947EA6">
        <w:rPr>
          <w:lang w:val="en-US"/>
        </w:rPr>
        <w:t xml:space="preserve"> </w:t>
      </w:r>
      <w:r w:rsidRPr="00947EA6">
        <w:rPr>
          <w:i/>
          <w:iCs/>
          <w:lang w:val="en-US"/>
        </w:rPr>
        <w:t>I</w:t>
      </w:r>
      <w:r>
        <w:rPr>
          <w:i/>
          <w:iCs/>
          <w:lang w:val="en-US"/>
        </w:rPr>
        <w:t>bid.</w:t>
      </w:r>
      <w:r>
        <w:rPr>
          <w:lang w:val="en-US"/>
        </w:rPr>
        <w:t>, p. 308.</w:t>
      </w:r>
    </w:p>
  </w:footnote>
  <w:footnote w:id="13">
    <w:p w14:paraId="5F92AF78" w14:textId="00B644C9" w:rsidR="00245906" w:rsidRPr="003226AC" w:rsidRDefault="00245906">
      <w:pPr>
        <w:pStyle w:val="Notedebasdepage"/>
        <w:rPr>
          <w:i/>
          <w:iCs/>
          <w:lang w:val="fr-BE"/>
        </w:rPr>
      </w:pPr>
      <w:r>
        <w:rPr>
          <w:rStyle w:val="Appelnotedebasdep"/>
        </w:rPr>
        <w:footnoteRef/>
      </w:r>
      <w:r w:rsidRPr="003226AC">
        <w:rPr>
          <w:lang w:val="fr-BE"/>
        </w:rPr>
        <w:t xml:space="preserve"> </w:t>
      </w:r>
      <w:r w:rsidRPr="003226AC">
        <w:rPr>
          <w:i/>
          <w:iCs/>
          <w:lang w:val="fr-BE"/>
        </w:rPr>
        <w:t>Ibid.</w:t>
      </w:r>
    </w:p>
  </w:footnote>
  <w:footnote w:id="14">
    <w:p w14:paraId="6658FA91" w14:textId="44633A79" w:rsidR="00AB495E" w:rsidRPr="003226AC" w:rsidRDefault="00AB495E" w:rsidP="00AB495E">
      <w:pPr>
        <w:pStyle w:val="Notedebasdepage"/>
        <w:rPr>
          <w:lang w:val="fr-BE"/>
        </w:rPr>
      </w:pPr>
      <w:r>
        <w:rPr>
          <w:rStyle w:val="Appelnotedebasdep"/>
        </w:rPr>
        <w:footnoteRef/>
      </w:r>
      <w:r w:rsidRPr="003226AC">
        <w:rPr>
          <w:lang w:val="fr-BE"/>
        </w:rPr>
        <w:t> </w:t>
      </w:r>
      <w:r w:rsidRPr="003226AC">
        <w:rPr>
          <w:i/>
          <w:iCs/>
          <w:lang w:val="fr-BE"/>
        </w:rPr>
        <w:t>Ibid.</w:t>
      </w:r>
      <w:r w:rsidRPr="003226AC">
        <w:rPr>
          <w:lang w:val="fr-BE"/>
        </w:rPr>
        <w:t>, p. 303.</w:t>
      </w:r>
    </w:p>
  </w:footnote>
  <w:footnote w:id="15">
    <w:p w14:paraId="1AA44050" w14:textId="77777777" w:rsidR="003111E8" w:rsidRPr="000164BC" w:rsidRDefault="003111E8" w:rsidP="003111E8">
      <w:pPr>
        <w:pStyle w:val="Notedebasdepage"/>
      </w:pPr>
      <w:r>
        <w:rPr>
          <w:rStyle w:val="Appelnotedebasdep"/>
        </w:rPr>
        <w:footnoteRef/>
      </w:r>
      <w:r>
        <w:t xml:space="preserve"> Martial </w:t>
      </w:r>
      <w:proofErr w:type="spellStart"/>
      <w:r>
        <w:t>Poirson</w:t>
      </w:r>
      <w:proofErr w:type="spellEnd"/>
      <w:r>
        <w:t xml:space="preserve">, « Introduction », in </w:t>
      </w:r>
      <w:r>
        <w:rPr>
          <w:i/>
          <w:iCs/>
        </w:rPr>
        <w:t>Le Théâtre sous la Révolution. Politique du répertoire (1789-1799)</w:t>
      </w:r>
      <w:r>
        <w:t xml:space="preserve">, M. </w:t>
      </w:r>
      <w:proofErr w:type="spellStart"/>
      <w:r>
        <w:t>Poirson</w:t>
      </w:r>
      <w:proofErr w:type="spellEnd"/>
      <w:r>
        <w:t xml:space="preserve"> (</w:t>
      </w:r>
      <w:proofErr w:type="spellStart"/>
      <w:r>
        <w:t>dir</w:t>
      </w:r>
      <w:proofErr w:type="spellEnd"/>
      <w:r>
        <w:t xml:space="preserve">.), Paris, </w:t>
      </w:r>
      <w:proofErr w:type="spellStart"/>
      <w:r>
        <w:t>Desjonquères</w:t>
      </w:r>
      <w:proofErr w:type="spellEnd"/>
      <w:r>
        <w:t>, 2008, p. 26. Marmontel parlera d’ailleurs de « démocratie du parterre ».</w:t>
      </w:r>
    </w:p>
  </w:footnote>
  <w:footnote w:id="16">
    <w:p w14:paraId="6DD91776" w14:textId="052961B8" w:rsidR="00001806" w:rsidRPr="003111E8" w:rsidRDefault="00001806">
      <w:pPr>
        <w:pStyle w:val="Notedebasdepage"/>
        <w:rPr>
          <w:lang w:val="fr-BE"/>
        </w:rPr>
      </w:pPr>
      <w:r>
        <w:rPr>
          <w:rStyle w:val="Appelnotedebasdep"/>
        </w:rPr>
        <w:footnoteRef/>
      </w:r>
      <w:r w:rsidRPr="003111E8">
        <w:rPr>
          <w:lang w:val="fr-BE"/>
        </w:rPr>
        <w:t xml:space="preserve"> </w:t>
      </w:r>
      <w:r w:rsidRPr="003111E8">
        <w:rPr>
          <w:i/>
          <w:iCs/>
          <w:lang w:val="fr-BE"/>
        </w:rPr>
        <w:t>Ibid.</w:t>
      </w:r>
      <w:r w:rsidRPr="003111E8">
        <w:rPr>
          <w:lang w:val="fr-BE"/>
        </w:rPr>
        <w:t>, p. 301.</w:t>
      </w:r>
    </w:p>
  </w:footnote>
  <w:footnote w:id="17">
    <w:p w14:paraId="00C955A3" w14:textId="77777777" w:rsidR="00E0119A" w:rsidRPr="009F477A" w:rsidRDefault="00E0119A" w:rsidP="00E0119A">
      <w:pPr>
        <w:pStyle w:val="Notedebasdepage"/>
      </w:pPr>
      <w:r w:rsidRPr="009F477A">
        <w:rPr>
          <w:rStyle w:val="Appelnotedebasdep"/>
        </w:rPr>
        <w:footnoteRef/>
      </w:r>
      <w:r w:rsidRPr="009F477A">
        <w:t xml:space="preserve"> </w:t>
      </w:r>
      <w:r w:rsidRPr="009F477A">
        <w:rPr>
          <w:i/>
          <w:iCs/>
        </w:rPr>
        <w:t>L’Esprit des journaux français et étrangers</w:t>
      </w:r>
      <w:r w:rsidRPr="009F477A">
        <w:t>, 1791, volume 6 (juin 1791), p. 333-334.</w:t>
      </w:r>
    </w:p>
  </w:footnote>
  <w:footnote w:id="18">
    <w:p w14:paraId="340B2D40" w14:textId="3B96A0F0" w:rsidR="00AB495E" w:rsidRPr="00053A8E" w:rsidRDefault="00AB495E" w:rsidP="00AB495E">
      <w:pPr>
        <w:pStyle w:val="Notedebasdepage"/>
      </w:pPr>
      <w:r>
        <w:rPr>
          <w:rStyle w:val="Appelnotedebasdep"/>
        </w:rPr>
        <w:footnoteRef/>
      </w:r>
      <w:r>
        <w:t xml:space="preserve"> </w:t>
      </w:r>
      <w:r>
        <w:rPr>
          <w:lang w:val="fr-LU"/>
        </w:rPr>
        <w:t xml:space="preserve">F.-R. de Chateaubriand, </w:t>
      </w:r>
      <w:r>
        <w:rPr>
          <w:i/>
          <w:lang w:val="fr-LU"/>
        </w:rPr>
        <w:t>Mémoires d’outre-tombe</w:t>
      </w:r>
      <w:r>
        <w:rPr>
          <w:lang w:val="fr-LU"/>
        </w:rPr>
        <w:t xml:space="preserve">, éd. </w:t>
      </w:r>
      <w:proofErr w:type="spellStart"/>
      <w:r>
        <w:rPr>
          <w:lang w:val="fr-LU"/>
        </w:rPr>
        <w:t>cit</w:t>
      </w:r>
      <w:proofErr w:type="spellEnd"/>
      <w:r>
        <w:rPr>
          <w:lang w:val="fr-LU"/>
        </w:rPr>
        <w:t>., p. 441.</w:t>
      </w:r>
      <w:r w:rsidR="002446E8" w:rsidRPr="002446E8">
        <w:rPr>
          <w:lang w:val="fr-LU"/>
        </w:rPr>
        <w:t xml:space="preserve"> </w:t>
      </w:r>
      <w:r w:rsidR="002446E8">
        <w:rPr>
          <w:lang w:val="fr-LU"/>
        </w:rPr>
        <w:t>Chateaubriand assistera à une représentation de la pièce en juin 1792, de retour des États-Unis</w:t>
      </w:r>
      <w:r w:rsidR="002446E8">
        <w:t xml:space="preserve"> (cf. Marc </w:t>
      </w:r>
      <w:proofErr w:type="spellStart"/>
      <w:r w:rsidR="002446E8">
        <w:t>Fumaroli</w:t>
      </w:r>
      <w:proofErr w:type="spellEnd"/>
      <w:r w:rsidR="002446E8">
        <w:t xml:space="preserve">, « Penser à chaud la Révolution : Chateaubriand et Burke », </w:t>
      </w:r>
      <w:r w:rsidR="002446E8">
        <w:rPr>
          <w:i/>
        </w:rPr>
        <w:t>Commentaire</w:t>
      </w:r>
      <w:r w:rsidR="002446E8">
        <w:t>, n° 95, automne 2001, p. 511-524, ici p. 522).</w:t>
      </w:r>
    </w:p>
  </w:footnote>
  <w:footnote w:id="19">
    <w:p w14:paraId="76861AB7" w14:textId="400464D6" w:rsidR="006568A0" w:rsidRPr="006568A0" w:rsidRDefault="006568A0">
      <w:pPr>
        <w:pStyle w:val="Notedebasdepage"/>
      </w:pPr>
      <w:r>
        <w:rPr>
          <w:rStyle w:val="Appelnotedebasdep"/>
        </w:rPr>
        <w:footnoteRef/>
      </w:r>
      <w:r>
        <w:t xml:space="preserve"> </w:t>
      </w:r>
      <w:r>
        <w:rPr>
          <w:i/>
          <w:iCs/>
        </w:rPr>
        <w:t>Ibid.</w:t>
      </w:r>
      <w:r>
        <w:t>, p. 440, note e.</w:t>
      </w:r>
    </w:p>
  </w:footnote>
  <w:footnote w:id="20">
    <w:p w14:paraId="2BD3B3C3" w14:textId="77777777" w:rsidR="00BC7482" w:rsidRPr="00BC7482" w:rsidRDefault="00BC7482">
      <w:pPr>
        <w:pStyle w:val="Notedebasdepage"/>
        <w:rPr>
          <w:lang w:val="fr-LU"/>
        </w:rPr>
      </w:pPr>
      <w:r>
        <w:rPr>
          <w:rStyle w:val="Appelnotedebasdep"/>
        </w:rPr>
        <w:footnoteRef/>
      </w:r>
      <w:r>
        <w:t xml:space="preserve"> </w:t>
      </w:r>
      <w:r w:rsidRPr="00BC7482">
        <w:rPr>
          <w:lang w:val="fr-LU"/>
        </w:rPr>
        <w:t xml:space="preserve">Philippe </w:t>
      </w:r>
      <w:proofErr w:type="spellStart"/>
      <w:r w:rsidRPr="00BC7482">
        <w:rPr>
          <w:lang w:val="fr-LU"/>
        </w:rPr>
        <w:t>Corno</w:t>
      </w:r>
      <w:proofErr w:type="spellEnd"/>
      <w:r w:rsidRPr="00BC7482">
        <w:rPr>
          <w:lang w:val="fr-LU"/>
        </w:rPr>
        <w:t xml:space="preserve">, </w:t>
      </w:r>
      <w:r w:rsidR="00F22616" w:rsidRPr="00BC7482">
        <w:rPr>
          <w:lang w:val="fr-LU"/>
        </w:rPr>
        <w:t>«</w:t>
      </w:r>
      <w:r w:rsidRPr="00BC7482">
        <w:rPr>
          <w:lang w:val="fr-LU"/>
        </w:rPr>
        <w:t> "</w:t>
      </w:r>
      <w:r w:rsidR="00F22616" w:rsidRPr="00BC7482">
        <w:rPr>
          <w:lang w:val="fr-LU"/>
        </w:rPr>
        <w:t xml:space="preserve">Si </w:t>
      </w:r>
      <w:r w:rsidR="00F22616" w:rsidRPr="00BC7482">
        <w:rPr>
          <w:i/>
          <w:lang w:val="fr-LU"/>
        </w:rPr>
        <w:t>Figaro</w:t>
      </w:r>
      <w:r w:rsidR="00F22616" w:rsidRPr="00BC7482">
        <w:rPr>
          <w:lang w:val="fr-LU"/>
        </w:rPr>
        <w:t xml:space="preserve"> a tué la noblesse, </w:t>
      </w:r>
      <w:r w:rsidR="00F22616" w:rsidRPr="00BC7482">
        <w:rPr>
          <w:i/>
          <w:lang w:val="fr-LU"/>
        </w:rPr>
        <w:t>Charles IX</w:t>
      </w:r>
      <w:r w:rsidR="00F22616" w:rsidRPr="00BC7482">
        <w:rPr>
          <w:lang w:val="fr-LU"/>
        </w:rPr>
        <w:t xml:space="preserve"> tuera la royauté</w:t>
      </w:r>
      <w:r w:rsidRPr="00BC7482">
        <w:rPr>
          <w:lang w:val="fr-LU"/>
        </w:rPr>
        <w:t xml:space="preserve">". </w:t>
      </w:r>
      <w:r w:rsidR="00F22616" w:rsidRPr="00BC7482">
        <w:rPr>
          <w:lang w:val="fr-LU"/>
        </w:rPr>
        <w:t>Une représentation problématique de l’action du théâtre dans l’événement révolutionnaire</w:t>
      </w:r>
      <w:r w:rsidRPr="00BC7482">
        <w:rPr>
          <w:lang w:val="fr-LU"/>
        </w:rPr>
        <w:t xml:space="preserve"> », in </w:t>
      </w:r>
      <w:bookmarkStart w:id="0" w:name="_Hlk95315539"/>
      <w:r w:rsidRPr="00BC7482">
        <w:rPr>
          <w:i/>
          <w:lang w:val="fr-LU"/>
        </w:rPr>
        <w:t>Que m’arrive-t-il ? Littérature et événement</w:t>
      </w:r>
      <w:bookmarkEnd w:id="0"/>
      <w:r w:rsidRPr="00BC7482">
        <w:rPr>
          <w:lang w:val="fr-LU"/>
        </w:rPr>
        <w:t xml:space="preserve">, Philippe </w:t>
      </w:r>
      <w:proofErr w:type="spellStart"/>
      <w:r w:rsidRPr="00BC7482">
        <w:rPr>
          <w:lang w:val="fr-LU"/>
        </w:rPr>
        <w:t>Corno</w:t>
      </w:r>
      <w:proofErr w:type="spellEnd"/>
      <w:r w:rsidRPr="00BC7482">
        <w:rPr>
          <w:lang w:val="fr-LU"/>
        </w:rPr>
        <w:t xml:space="preserve"> et Emmanuel Boisset (</w:t>
      </w:r>
      <w:proofErr w:type="spellStart"/>
      <w:r w:rsidRPr="00BC7482">
        <w:rPr>
          <w:lang w:val="fr-LU"/>
        </w:rPr>
        <w:t>dir</w:t>
      </w:r>
      <w:proofErr w:type="spellEnd"/>
      <w:r w:rsidRPr="00BC7482">
        <w:rPr>
          <w:lang w:val="fr-LU"/>
        </w:rPr>
        <w:t>.), Rennes, Presses universitaires de Rennes, 2006, p. 155-166.</w:t>
      </w:r>
    </w:p>
  </w:footnote>
  <w:footnote w:id="21">
    <w:p w14:paraId="73A40C90" w14:textId="77777777" w:rsidR="002929AC" w:rsidRPr="002929AC" w:rsidRDefault="002929AC">
      <w:pPr>
        <w:pStyle w:val="Notedebasdepage"/>
      </w:pPr>
      <w:r>
        <w:rPr>
          <w:rStyle w:val="Appelnotedebasdep"/>
        </w:rPr>
        <w:footnoteRef/>
      </w:r>
      <w:r>
        <w:t xml:space="preserve"> </w:t>
      </w:r>
      <w:r w:rsidRPr="002929AC">
        <w:rPr>
          <w:i/>
        </w:rPr>
        <w:t>Ibid</w:t>
      </w:r>
      <w:r>
        <w:t>.</w:t>
      </w:r>
    </w:p>
  </w:footnote>
  <w:footnote w:id="22">
    <w:p w14:paraId="7782F083" w14:textId="77777777" w:rsidR="00E61FD1" w:rsidRPr="00E61FD1" w:rsidRDefault="00E61FD1">
      <w:pPr>
        <w:pStyle w:val="Notedebasdepage"/>
      </w:pPr>
      <w:r>
        <w:rPr>
          <w:rStyle w:val="Appelnotedebasdep"/>
        </w:rPr>
        <w:footnoteRef/>
      </w:r>
      <w:r>
        <w:t xml:space="preserve"> Philippe Bourdin, « Introduction. Théâtre et révolutions », in </w:t>
      </w:r>
      <w:r w:rsidRPr="00E61FD1">
        <w:rPr>
          <w:i/>
        </w:rPr>
        <w:t>Annales historiques de la Révolution française</w:t>
      </w:r>
      <w:r w:rsidRPr="00E61FD1">
        <w:t xml:space="preserve">, </w:t>
      </w:r>
      <w:r>
        <w:t>n° </w:t>
      </w:r>
      <w:r w:rsidRPr="00E61FD1">
        <w:t>367</w:t>
      </w:r>
      <w:r>
        <w:t>, janvier-mars</w:t>
      </w:r>
      <w:r w:rsidRPr="00E61FD1">
        <w:t xml:space="preserve"> 2012</w:t>
      </w:r>
      <w:r>
        <w:t>,</w:t>
      </w:r>
      <w:r w:rsidRPr="00E61FD1">
        <w:t xml:space="preserve"> </w:t>
      </w:r>
      <w:r>
        <w:t>p. 3-15, ici p. 5.</w:t>
      </w:r>
    </w:p>
  </w:footnote>
  <w:footnote w:id="23">
    <w:p w14:paraId="45FD008D" w14:textId="01D90501" w:rsidR="009B4475" w:rsidRPr="009B4475" w:rsidRDefault="009B4475">
      <w:pPr>
        <w:pStyle w:val="Notedebasdepage"/>
      </w:pPr>
      <w:r>
        <w:rPr>
          <w:rStyle w:val="Appelnotedebasdep"/>
        </w:rPr>
        <w:footnoteRef/>
      </w:r>
      <w:r>
        <w:t xml:space="preserve"> </w:t>
      </w:r>
      <w:r w:rsidR="000164BC">
        <w:t>M.</w:t>
      </w:r>
      <w:r>
        <w:t xml:space="preserve"> </w:t>
      </w:r>
      <w:proofErr w:type="spellStart"/>
      <w:r>
        <w:t>Poirson</w:t>
      </w:r>
      <w:proofErr w:type="spellEnd"/>
      <w:r>
        <w:t xml:space="preserve">, « Introduction », in </w:t>
      </w:r>
      <w:r>
        <w:rPr>
          <w:i/>
          <w:iCs/>
        </w:rPr>
        <w:t>Le Théâtre sous la Révolution</w:t>
      </w:r>
      <w:r w:rsidR="000164BC">
        <w:t xml:space="preserve">, </w:t>
      </w:r>
      <w:r w:rsidR="000164BC">
        <w:rPr>
          <w:i/>
          <w:iCs/>
        </w:rPr>
        <w:t xml:space="preserve">op. </w:t>
      </w:r>
      <w:proofErr w:type="spellStart"/>
      <w:r w:rsidR="000164BC">
        <w:rPr>
          <w:i/>
          <w:iCs/>
        </w:rPr>
        <w:t>cit</w:t>
      </w:r>
      <w:proofErr w:type="spellEnd"/>
      <w:r w:rsidR="000164BC">
        <w:rPr>
          <w:i/>
          <w:iCs/>
        </w:rPr>
        <w:t>.</w:t>
      </w:r>
      <w:r>
        <w:t>, p. 15.</w:t>
      </w:r>
    </w:p>
  </w:footnote>
  <w:footnote w:id="24">
    <w:p w14:paraId="7551C9B2" w14:textId="77777777" w:rsidR="00AB495E" w:rsidRPr="008625B6" w:rsidRDefault="00AB495E" w:rsidP="00AB495E">
      <w:pPr>
        <w:pStyle w:val="Notedebasdepage"/>
        <w:rPr>
          <w:lang w:val="fr-LU"/>
        </w:rPr>
      </w:pPr>
      <w:r>
        <w:rPr>
          <w:rStyle w:val="Appelnotedebasdep"/>
        </w:rPr>
        <w:footnoteRef/>
      </w:r>
      <w:r w:rsidRPr="008625B6">
        <w:rPr>
          <w:lang w:val="fr-LU"/>
        </w:rPr>
        <w:t xml:space="preserve"> Référence à </w:t>
      </w:r>
      <w:r>
        <w:rPr>
          <w:lang w:val="fr-LU"/>
        </w:rPr>
        <w:t>« </w:t>
      </w:r>
      <w:proofErr w:type="spellStart"/>
      <w:r>
        <w:rPr>
          <w:lang w:val="fr-LU"/>
        </w:rPr>
        <w:t>Tircis</w:t>
      </w:r>
      <w:proofErr w:type="spellEnd"/>
      <w:r>
        <w:rPr>
          <w:lang w:val="fr-LU"/>
        </w:rPr>
        <w:t xml:space="preserve"> et Amarante »,</w:t>
      </w:r>
      <w:r w:rsidRPr="008625B6">
        <w:rPr>
          <w:lang w:val="fr-LU"/>
        </w:rPr>
        <w:t xml:space="preserve"> fable d</w:t>
      </w:r>
      <w:r>
        <w:rPr>
          <w:lang w:val="fr-LU"/>
        </w:rPr>
        <w:t>e La Fontaine.</w:t>
      </w:r>
    </w:p>
  </w:footnote>
  <w:footnote w:id="25">
    <w:p w14:paraId="5DB3B875" w14:textId="0BAACFA0" w:rsidR="00AB495E" w:rsidRPr="004A79F9" w:rsidRDefault="00AB495E" w:rsidP="00AB495E">
      <w:pPr>
        <w:pStyle w:val="Notedebasdepage"/>
      </w:pPr>
      <w:r>
        <w:rPr>
          <w:rStyle w:val="Appelnotedebasdep"/>
        </w:rPr>
        <w:footnoteRef/>
      </w:r>
      <w:r>
        <w:t xml:space="preserve"> Colin et Babet </w:t>
      </w:r>
      <w:r w:rsidR="00717E5E">
        <w:t>so</w:t>
      </w:r>
      <w:r>
        <w:t xml:space="preserve">nt les héros du </w:t>
      </w:r>
      <w:r>
        <w:rPr>
          <w:i/>
          <w:iCs/>
        </w:rPr>
        <w:t>Devin du village</w:t>
      </w:r>
      <w:r>
        <w:t xml:space="preserve"> de Jean-Jacques Rousseau, ainsi que de nombre d’œuvres pastorales de Sedaine.</w:t>
      </w:r>
    </w:p>
  </w:footnote>
  <w:footnote w:id="26">
    <w:p w14:paraId="52B85804" w14:textId="53754F04" w:rsidR="00AB495E" w:rsidRPr="005C3822" w:rsidRDefault="00AB495E" w:rsidP="00AB495E">
      <w:pPr>
        <w:pStyle w:val="Notedebasdepage"/>
        <w:rPr>
          <w:lang w:val="fr-LU"/>
        </w:rPr>
      </w:pPr>
      <w:r>
        <w:rPr>
          <w:rStyle w:val="Appelnotedebasdep"/>
        </w:rPr>
        <w:footnoteRef/>
      </w:r>
      <w:r w:rsidRPr="005C3822">
        <w:rPr>
          <w:lang w:val="fr-LU"/>
        </w:rPr>
        <w:t xml:space="preserve"> </w:t>
      </w:r>
      <w:r w:rsidR="005C3822">
        <w:rPr>
          <w:lang w:val="fr-LU"/>
        </w:rPr>
        <w:t xml:space="preserve">F.-R. de Chateaubriand, </w:t>
      </w:r>
      <w:r w:rsidR="005C3822">
        <w:rPr>
          <w:i/>
          <w:lang w:val="fr-LU"/>
        </w:rPr>
        <w:t>Mémoires d’outre-tombe</w:t>
      </w:r>
      <w:r w:rsidR="005C3822">
        <w:rPr>
          <w:lang w:val="fr-LU"/>
        </w:rPr>
        <w:t xml:space="preserve">, </w:t>
      </w:r>
      <w:r w:rsidR="00252623">
        <w:rPr>
          <w:i/>
          <w:lang w:val="fr-LU"/>
        </w:rPr>
        <w:t xml:space="preserve">op. </w:t>
      </w:r>
      <w:proofErr w:type="spellStart"/>
      <w:r w:rsidR="00252623">
        <w:rPr>
          <w:i/>
          <w:lang w:val="fr-LU"/>
        </w:rPr>
        <w:t>cit</w:t>
      </w:r>
      <w:proofErr w:type="spellEnd"/>
      <w:r w:rsidR="00252623">
        <w:rPr>
          <w:i/>
          <w:lang w:val="fr-LU"/>
        </w:rPr>
        <w:t>.</w:t>
      </w:r>
      <w:r w:rsidR="00252623">
        <w:rPr>
          <w:lang w:val="fr-LU"/>
        </w:rPr>
        <w:t>,</w:t>
      </w:r>
      <w:r w:rsidR="005C3822">
        <w:rPr>
          <w:lang w:val="fr-LU"/>
        </w:rPr>
        <w:t xml:space="preserve"> p. 441.</w:t>
      </w:r>
    </w:p>
  </w:footnote>
  <w:footnote w:id="27">
    <w:p w14:paraId="0F3F2964" w14:textId="359D68EE" w:rsidR="00EA3EE6" w:rsidRPr="00EA3EE6" w:rsidRDefault="00EA3EE6">
      <w:pPr>
        <w:pStyle w:val="Notedebasdepage"/>
      </w:pPr>
      <w:r>
        <w:rPr>
          <w:rStyle w:val="Appelnotedebasdep"/>
        </w:rPr>
        <w:footnoteRef/>
      </w:r>
      <w:r w:rsidR="00252623">
        <w:t> </w:t>
      </w:r>
      <w:r w:rsidRPr="00810E8A">
        <w:t>F</w:t>
      </w:r>
      <w:r w:rsidRPr="00810E8A">
        <w:rPr>
          <w:lang w:val="fr-LU"/>
        </w:rPr>
        <w:t xml:space="preserve">.-R. de Chateaubriand, </w:t>
      </w:r>
      <w:r w:rsidRPr="00810E8A">
        <w:rPr>
          <w:i/>
          <w:iCs/>
          <w:lang w:val="fr-LU"/>
        </w:rPr>
        <w:t>Essai historique, politique et moral sur les révolutions anciennes et modernes, considérées dans leurs rapports avec la Révolution française</w:t>
      </w:r>
      <w:r w:rsidRPr="00810E8A">
        <w:rPr>
          <w:lang w:val="fr-LU"/>
        </w:rPr>
        <w:t>, Maurice Regard (</w:t>
      </w:r>
      <w:r w:rsidR="00252623">
        <w:rPr>
          <w:lang w:val="fr-LU"/>
        </w:rPr>
        <w:t>éd</w:t>
      </w:r>
      <w:r w:rsidRPr="00810E8A">
        <w:rPr>
          <w:lang w:val="fr-LU"/>
        </w:rPr>
        <w:t>.), Paris, Gallimard, coll. « Bibliothèque de la Pléiade », 1978</w:t>
      </w:r>
      <w:r>
        <w:rPr>
          <w:lang w:val="fr-LU"/>
        </w:rPr>
        <w:t>, p. 95.</w:t>
      </w:r>
    </w:p>
  </w:footnote>
  <w:footnote w:id="28">
    <w:p w14:paraId="45EC450F" w14:textId="52E4CE83" w:rsidR="00D14314" w:rsidRPr="00D14314" w:rsidRDefault="00D14314">
      <w:pPr>
        <w:pStyle w:val="Notedebasdepage"/>
      </w:pPr>
      <w:r>
        <w:rPr>
          <w:rStyle w:val="Appelnotedebasdep"/>
        </w:rPr>
        <w:footnoteRef/>
      </w:r>
      <w:r w:rsidR="00EA3EE6">
        <w:rPr>
          <w:lang w:val="fr-LU"/>
        </w:rPr>
        <w:t> </w:t>
      </w:r>
      <w:r w:rsidR="00EA3EE6" w:rsidRPr="00EA3EE6">
        <w:rPr>
          <w:i/>
          <w:lang w:val="fr-LU"/>
        </w:rPr>
        <w:t>Ibid</w:t>
      </w:r>
      <w:r w:rsidR="00EA3EE6">
        <w:rPr>
          <w:lang w:val="fr-LU"/>
        </w:rPr>
        <w:t>.</w:t>
      </w:r>
      <w:r w:rsidR="00817E80" w:rsidRPr="00810E8A">
        <w:rPr>
          <w:lang w:val="fr-LU"/>
        </w:rPr>
        <w:t>, p. 92</w:t>
      </w:r>
      <w:r w:rsidR="00817E80">
        <w:rPr>
          <w:lang w:val="fr-LU"/>
        </w:rPr>
        <w:t>.</w:t>
      </w:r>
    </w:p>
  </w:footnote>
  <w:footnote w:id="29">
    <w:p w14:paraId="0515606E" w14:textId="77777777" w:rsidR="00827899" w:rsidRPr="00827899" w:rsidRDefault="00827899" w:rsidP="00827899">
      <w:pPr>
        <w:spacing w:after="0"/>
        <w:rPr>
          <w:sz w:val="20"/>
          <w:szCs w:val="20"/>
        </w:rPr>
      </w:pPr>
      <w:r w:rsidRPr="00827899">
        <w:rPr>
          <w:rStyle w:val="Appelnotedebasdep"/>
          <w:sz w:val="20"/>
          <w:szCs w:val="20"/>
        </w:rPr>
        <w:footnoteRef/>
      </w:r>
      <w:r w:rsidRPr="00827899">
        <w:rPr>
          <w:sz w:val="20"/>
          <w:szCs w:val="20"/>
        </w:rPr>
        <w:t xml:space="preserve"> On lira à ce sujet Anne-Rozenn Morel, « Les utopies de la Révolution française. Ou l’introduction de l’événement dans la fiction (1789-1804) », in </w:t>
      </w:r>
      <w:r w:rsidRPr="00827899">
        <w:rPr>
          <w:i/>
          <w:sz w:val="20"/>
          <w:szCs w:val="20"/>
          <w:lang w:val="fr-LU"/>
        </w:rPr>
        <w:t>Que m’arrive-t-il ? Littérature et événement</w:t>
      </w:r>
      <w:r w:rsidRPr="00827899">
        <w:rPr>
          <w:sz w:val="20"/>
          <w:szCs w:val="20"/>
        </w:rPr>
        <w:t xml:space="preserve">, </w:t>
      </w:r>
      <w:r w:rsidRPr="00827899">
        <w:rPr>
          <w:i/>
          <w:sz w:val="20"/>
          <w:szCs w:val="20"/>
        </w:rPr>
        <w:t xml:space="preserve">op. </w:t>
      </w:r>
      <w:proofErr w:type="spellStart"/>
      <w:r w:rsidRPr="00827899">
        <w:rPr>
          <w:i/>
          <w:sz w:val="20"/>
          <w:szCs w:val="20"/>
        </w:rPr>
        <w:t>cit</w:t>
      </w:r>
      <w:proofErr w:type="spellEnd"/>
      <w:r w:rsidRPr="00827899">
        <w:rPr>
          <w:sz w:val="20"/>
          <w:szCs w:val="20"/>
        </w:rPr>
        <w:t>., p. 145-154.</w:t>
      </w:r>
    </w:p>
  </w:footnote>
  <w:footnote w:id="30">
    <w:p w14:paraId="202120AC" w14:textId="2855857C" w:rsidR="005C4228" w:rsidRPr="00943F6F" w:rsidRDefault="005C4228">
      <w:pPr>
        <w:pStyle w:val="Notedebasdepage"/>
        <w:rPr>
          <w:lang w:val="fr-LU"/>
        </w:rPr>
      </w:pPr>
      <w:r>
        <w:rPr>
          <w:rStyle w:val="Appelnotedebasdep"/>
        </w:rPr>
        <w:footnoteRef/>
      </w:r>
      <w:r>
        <w:t xml:space="preserve"> </w:t>
      </w:r>
      <w:r w:rsidR="00C240B9">
        <w:t>M.</w:t>
      </w:r>
      <w:r w:rsidR="00943F6F">
        <w:t xml:space="preserve"> </w:t>
      </w:r>
      <w:proofErr w:type="spellStart"/>
      <w:r w:rsidR="00943F6F">
        <w:t>Poirson</w:t>
      </w:r>
      <w:proofErr w:type="spellEnd"/>
      <w:r w:rsidR="00943F6F">
        <w:t xml:space="preserve">, « La Terreur en spectacle », </w:t>
      </w:r>
      <w:r w:rsidR="005F4008">
        <w:rPr>
          <w:i/>
        </w:rPr>
        <w:t>Études</w:t>
      </w:r>
      <w:r w:rsidR="00943F6F">
        <w:rPr>
          <w:i/>
        </w:rPr>
        <w:t xml:space="preserve"> théâtrales</w:t>
      </w:r>
      <w:r w:rsidR="00943F6F">
        <w:t>, 2014/1, n° 59, « La Terreur en scène », p. 13-46, ici p. 14.</w:t>
      </w:r>
    </w:p>
  </w:footnote>
  <w:footnote w:id="31">
    <w:p w14:paraId="0D5B5BEF" w14:textId="417F3456" w:rsidR="0048026C" w:rsidRPr="00512593" w:rsidRDefault="0048026C">
      <w:pPr>
        <w:pStyle w:val="Notedebasdepage"/>
      </w:pPr>
      <w:r>
        <w:rPr>
          <w:rStyle w:val="Appelnotedebasdep"/>
        </w:rPr>
        <w:footnoteRef/>
      </w:r>
      <w:r>
        <w:t xml:space="preserve"> </w:t>
      </w:r>
      <w:r w:rsidR="00512593">
        <w:t xml:space="preserve">Martine de Rougemont, </w:t>
      </w:r>
      <w:r w:rsidR="00512593">
        <w:rPr>
          <w:i/>
          <w:iCs/>
        </w:rPr>
        <w:t xml:space="preserve">La Vie théâtrale en France au </w:t>
      </w:r>
      <w:proofErr w:type="spellStart"/>
      <w:r w:rsidR="00493B16" w:rsidRPr="00493B16">
        <w:rPr>
          <w:i/>
          <w:iCs/>
          <w:smallCaps/>
        </w:rPr>
        <w:t>xviii</w:t>
      </w:r>
      <w:r w:rsidR="00512593">
        <w:rPr>
          <w:i/>
          <w:iCs/>
          <w:vertAlign w:val="superscript"/>
        </w:rPr>
        <w:t>e</w:t>
      </w:r>
      <w:proofErr w:type="spellEnd"/>
      <w:r w:rsidR="00512593">
        <w:rPr>
          <w:i/>
          <w:iCs/>
        </w:rPr>
        <w:t> siècle</w:t>
      </w:r>
      <w:r w:rsidR="00512593">
        <w:t>, Paris, Honoré Champion, 1988, p. 231.</w:t>
      </w:r>
    </w:p>
  </w:footnote>
  <w:footnote w:id="32">
    <w:p w14:paraId="31EF2F9E" w14:textId="77777777" w:rsidR="00425AF7" w:rsidRPr="00425AF7" w:rsidRDefault="00425AF7">
      <w:pPr>
        <w:pStyle w:val="Notedebasdepage"/>
      </w:pPr>
      <w:r>
        <w:rPr>
          <w:rStyle w:val="Appelnotedebasdep"/>
        </w:rPr>
        <w:footnoteRef/>
      </w:r>
      <w:r>
        <w:t xml:space="preserve"> </w:t>
      </w:r>
      <w:r w:rsidR="00943F6F">
        <w:rPr>
          <w:lang w:val="fr-LU"/>
        </w:rPr>
        <w:t xml:space="preserve">F.-R. de Chateaubriand, </w:t>
      </w:r>
      <w:r w:rsidR="00943F6F">
        <w:rPr>
          <w:i/>
          <w:lang w:val="fr-LU"/>
        </w:rPr>
        <w:t>Mémoires d’outre-tombe</w:t>
      </w:r>
      <w:r w:rsidR="00943F6F">
        <w:rPr>
          <w:lang w:val="fr-LU"/>
        </w:rPr>
        <w:t xml:space="preserve">, éd. </w:t>
      </w:r>
      <w:proofErr w:type="spellStart"/>
      <w:r w:rsidR="00943F6F">
        <w:rPr>
          <w:lang w:val="fr-LU"/>
        </w:rPr>
        <w:t>cit</w:t>
      </w:r>
      <w:proofErr w:type="spellEnd"/>
      <w:r w:rsidR="00943F6F">
        <w:rPr>
          <w:lang w:val="fr-LU"/>
        </w:rPr>
        <w:t xml:space="preserve">., t. I, </w:t>
      </w:r>
      <w:r>
        <w:rPr>
          <w:lang w:val="fr-LU"/>
        </w:rPr>
        <w:t>p. 303.</w:t>
      </w:r>
    </w:p>
  </w:footnote>
  <w:footnote w:id="33">
    <w:p w14:paraId="40027EAA" w14:textId="0471F185" w:rsidR="00F76C50" w:rsidRPr="00231B2A" w:rsidRDefault="00F76C50">
      <w:pPr>
        <w:pStyle w:val="Notedebasdepage"/>
      </w:pPr>
      <w:r w:rsidRPr="00231B2A">
        <w:rPr>
          <w:rStyle w:val="Appelnotedebasdep"/>
        </w:rPr>
        <w:footnoteRef/>
      </w:r>
      <w:r w:rsidRPr="00231B2A">
        <w:t xml:space="preserve"> Pierre</w:t>
      </w:r>
      <w:r w:rsidR="00DB0BBE" w:rsidRPr="00231B2A">
        <w:t>-</w:t>
      </w:r>
      <w:r w:rsidRPr="00231B2A">
        <w:t>Augustin</w:t>
      </w:r>
      <w:r w:rsidR="00DB0BBE" w:rsidRPr="00231B2A">
        <w:t xml:space="preserve"> Caron</w:t>
      </w:r>
      <w:r w:rsidRPr="00231B2A">
        <w:t xml:space="preserve"> de Beaumarchais, « Un mot sur </w:t>
      </w:r>
      <w:r w:rsidRPr="00231B2A">
        <w:rPr>
          <w:i/>
        </w:rPr>
        <w:t>La Mère coupable</w:t>
      </w:r>
      <w:r w:rsidRPr="00231B2A">
        <w:t xml:space="preserve"> », in </w:t>
      </w:r>
      <w:r w:rsidR="00DB0BBE" w:rsidRPr="00231B2A">
        <w:rPr>
          <w:i/>
          <w:iCs/>
        </w:rPr>
        <w:t>Le Mariage de Figaro, La Mère coupable</w:t>
      </w:r>
      <w:r w:rsidR="00DB0BBE" w:rsidRPr="00231B2A">
        <w:t xml:space="preserve">, Pierre </w:t>
      </w:r>
      <w:proofErr w:type="spellStart"/>
      <w:r w:rsidR="00DB0BBE" w:rsidRPr="00231B2A">
        <w:t>Larthomas</w:t>
      </w:r>
      <w:proofErr w:type="spellEnd"/>
      <w:r w:rsidR="00DB0BBE" w:rsidRPr="00231B2A">
        <w:t xml:space="preserve"> (éd.), Paris, Gallimard, coll. « Folio », 1984. </w:t>
      </w:r>
      <w:r w:rsidRPr="00231B2A">
        <w:t>p. </w:t>
      </w:r>
      <w:r w:rsidR="00562920" w:rsidRPr="00231B2A">
        <w:t>273.</w:t>
      </w:r>
    </w:p>
  </w:footnote>
  <w:footnote w:id="34">
    <w:p w14:paraId="3AC2176D" w14:textId="77777777" w:rsidR="00427513" w:rsidRPr="00C5469D" w:rsidRDefault="00427513" w:rsidP="00427513">
      <w:pPr>
        <w:pStyle w:val="Notedebasdepage"/>
        <w:rPr>
          <w:lang w:val="fr-LU"/>
        </w:rPr>
      </w:pPr>
      <w:r>
        <w:rPr>
          <w:rStyle w:val="Appelnotedebasdep"/>
        </w:rPr>
        <w:footnoteRef/>
      </w:r>
      <w:r w:rsidRPr="00C5469D">
        <w:rPr>
          <w:lang w:val="fr-LU"/>
        </w:rPr>
        <w:t xml:space="preserve"> </w:t>
      </w:r>
      <w:r w:rsidRPr="00216E42">
        <w:rPr>
          <w:i/>
          <w:iCs/>
        </w:rPr>
        <w:t>L</w:t>
      </w:r>
      <w:r>
        <w:rPr>
          <w:i/>
          <w:iCs/>
        </w:rPr>
        <w:t>’</w:t>
      </w:r>
      <w:r w:rsidRPr="00216E42">
        <w:rPr>
          <w:i/>
          <w:iCs/>
        </w:rPr>
        <w:t>Esprit des journaux français et étrangers</w:t>
      </w:r>
      <w:r w:rsidRPr="00216E42">
        <w:t>, septembre 1792, p. 333-340</w:t>
      </w:r>
      <w:r>
        <w:t>.</w:t>
      </w:r>
    </w:p>
  </w:footnote>
  <w:footnote w:id="35">
    <w:p w14:paraId="1EE08D49" w14:textId="3A0EC32A" w:rsidR="00562920" w:rsidRPr="00562920" w:rsidRDefault="00562920">
      <w:pPr>
        <w:pStyle w:val="Notedebasdepage"/>
      </w:pPr>
      <w:r>
        <w:rPr>
          <w:rStyle w:val="Appelnotedebasdep"/>
        </w:rPr>
        <w:footnoteRef/>
      </w:r>
      <w:r>
        <w:t xml:space="preserve"> Stéphanie </w:t>
      </w:r>
      <w:proofErr w:type="spellStart"/>
      <w:r>
        <w:t>Genand</w:t>
      </w:r>
      <w:proofErr w:type="spellEnd"/>
      <w:r>
        <w:t xml:space="preserve">, « Introduction. Beaumarchais, actuel ? », in S. </w:t>
      </w:r>
      <w:proofErr w:type="spellStart"/>
      <w:r>
        <w:t>Genand</w:t>
      </w:r>
      <w:proofErr w:type="spellEnd"/>
      <w:r>
        <w:t xml:space="preserve">, </w:t>
      </w:r>
      <w:r>
        <w:rPr>
          <w:i/>
          <w:iCs/>
        </w:rPr>
        <w:t>« Deviner l’énigme du Sphinx. La Trilogie de Beaumarchais</w:t>
      </w:r>
      <w:r>
        <w:t>, Mont-Saint-Aignan, Presses universitaires de Rouen et du Havre, 2015, p. 13-39.</w:t>
      </w:r>
    </w:p>
  </w:footnote>
  <w:footnote w:id="36">
    <w:p w14:paraId="6F034994" w14:textId="078BFE7A" w:rsidR="00E947B8" w:rsidRPr="00DE24BB" w:rsidRDefault="00E947B8">
      <w:pPr>
        <w:pStyle w:val="Notedebasdepage"/>
      </w:pPr>
      <w:r>
        <w:rPr>
          <w:rStyle w:val="Appelnotedebasdep"/>
        </w:rPr>
        <w:footnoteRef/>
      </w:r>
      <w:r>
        <w:t xml:space="preserve"> </w:t>
      </w:r>
      <w:r w:rsidR="00DE24BB">
        <w:t xml:space="preserve">Voir à ce sujet </w:t>
      </w:r>
      <w:r w:rsidR="00DE24BB">
        <w:rPr>
          <w:i/>
          <w:iCs/>
        </w:rPr>
        <w:t>La Scène bâtarde. Entre Lumières et romantisme</w:t>
      </w:r>
      <w:r w:rsidR="00DE24BB">
        <w:t xml:space="preserve">, G. </w:t>
      </w:r>
      <w:proofErr w:type="spellStart"/>
      <w:r w:rsidR="00DE24BB">
        <w:t>Loubinoux</w:t>
      </w:r>
      <w:proofErr w:type="spellEnd"/>
      <w:r w:rsidR="00DE24BB">
        <w:t xml:space="preserve"> (</w:t>
      </w:r>
      <w:proofErr w:type="spellStart"/>
      <w:r w:rsidR="00DE24BB">
        <w:t>dir</w:t>
      </w:r>
      <w:proofErr w:type="spellEnd"/>
      <w:r w:rsidR="00DE24BB">
        <w:t xml:space="preserve">.), Clermont-Ferrand, Presses universitaires Blaise Pascal, 2004. </w:t>
      </w:r>
    </w:p>
  </w:footnote>
  <w:footnote w:id="37">
    <w:p w14:paraId="54CBD5A9" w14:textId="7FB84F48" w:rsidR="00840C8E" w:rsidRDefault="00840C8E">
      <w:pPr>
        <w:pStyle w:val="Notedebasdepage"/>
      </w:pPr>
      <w:r>
        <w:rPr>
          <w:rStyle w:val="Appelnotedebasdep"/>
        </w:rPr>
        <w:footnoteRef/>
      </w:r>
      <w:r>
        <w:t xml:space="preserve"> F</w:t>
      </w:r>
      <w:r>
        <w:rPr>
          <w:lang w:val="fr-LU"/>
        </w:rPr>
        <w:t xml:space="preserve">.-R. de Chateaubriand, </w:t>
      </w:r>
      <w:r>
        <w:rPr>
          <w:i/>
          <w:lang w:val="fr-LU"/>
        </w:rPr>
        <w:t>Mémoires d’outre-tombe</w:t>
      </w:r>
      <w:r>
        <w:rPr>
          <w:lang w:val="fr-LU"/>
        </w:rPr>
        <w:t xml:space="preserve">, </w:t>
      </w:r>
      <w:r w:rsidR="00A3789B" w:rsidRPr="00E23E86">
        <w:rPr>
          <w:i/>
          <w:lang w:val="fr-LU"/>
        </w:rPr>
        <w:t>op</w:t>
      </w:r>
      <w:r w:rsidRPr="00E23E86">
        <w:rPr>
          <w:i/>
          <w:lang w:val="fr-LU"/>
        </w:rPr>
        <w:t xml:space="preserve">. </w:t>
      </w:r>
      <w:proofErr w:type="spellStart"/>
      <w:r w:rsidRPr="00E23E86">
        <w:rPr>
          <w:i/>
          <w:lang w:val="fr-LU"/>
        </w:rPr>
        <w:t>cit</w:t>
      </w:r>
      <w:proofErr w:type="spellEnd"/>
      <w:r>
        <w:rPr>
          <w:lang w:val="fr-LU"/>
        </w:rPr>
        <w:t>., p. 433.</w:t>
      </w:r>
    </w:p>
  </w:footnote>
  <w:footnote w:id="38">
    <w:p w14:paraId="5BB835C9" w14:textId="19931BF1" w:rsidR="00A95173" w:rsidRPr="00A95173" w:rsidRDefault="00A95173">
      <w:pPr>
        <w:pStyle w:val="Notedebasdepage"/>
      </w:pPr>
      <w:r>
        <w:rPr>
          <w:rStyle w:val="Appelnotedebasdep"/>
        </w:rPr>
        <w:footnoteRef/>
      </w:r>
      <w:r>
        <w:t xml:space="preserve"> </w:t>
      </w:r>
      <w:r>
        <w:rPr>
          <w:i/>
          <w:iCs/>
        </w:rPr>
        <w:t>Ibid.</w:t>
      </w:r>
      <w:r>
        <w:t>, p. 442.</w:t>
      </w:r>
    </w:p>
  </w:footnote>
  <w:footnote w:id="39">
    <w:p w14:paraId="3BE54997" w14:textId="084CE404" w:rsidR="00580813" w:rsidRPr="00580813" w:rsidRDefault="00580813">
      <w:pPr>
        <w:pStyle w:val="Notedebasdepage"/>
        <w:rPr>
          <w:i/>
          <w:iCs/>
        </w:rPr>
      </w:pPr>
      <w:r>
        <w:rPr>
          <w:rStyle w:val="Appelnotedebasdep"/>
        </w:rPr>
        <w:footnoteRef/>
      </w:r>
      <w:r>
        <w:t xml:space="preserve"> </w:t>
      </w:r>
      <w:r>
        <w:rPr>
          <w:i/>
          <w:iCs/>
        </w:rPr>
        <w:t>Ibid.</w:t>
      </w:r>
    </w:p>
  </w:footnote>
  <w:footnote w:id="40">
    <w:p w14:paraId="51B1490A" w14:textId="45299FF0" w:rsidR="007D24A9" w:rsidRPr="007D24A9" w:rsidRDefault="007D24A9">
      <w:pPr>
        <w:pStyle w:val="Notedebasdepage"/>
      </w:pPr>
      <w:r>
        <w:rPr>
          <w:rStyle w:val="Appelnotedebasdep"/>
        </w:rPr>
        <w:footnoteRef/>
      </w:r>
      <w:r>
        <w:t xml:space="preserve"> Auxquels lui-même n’a pas assisté, étant alors à Trèves, dans les rangs de l’armée des princes.</w:t>
      </w:r>
    </w:p>
  </w:footnote>
  <w:footnote w:id="41">
    <w:p w14:paraId="39162A60" w14:textId="2566927D" w:rsidR="008D41CA" w:rsidRPr="008D41CA" w:rsidRDefault="008D41CA">
      <w:pPr>
        <w:pStyle w:val="Notedebasdepage"/>
        <w:rPr>
          <w:color w:val="FF0000"/>
        </w:rPr>
      </w:pPr>
      <w:r w:rsidRPr="00810E8A">
        <w:rPr>
          <w:rStyle w:val="Appelnotedebasdep"/>
        </w:rPr>
        <w:footnoteRef/>
      </w:r>
      <w:r w:rsidRPr="00810E8A">
        <w:t xml:space="preserve"> F</w:t>
      </w:r>
      <w:r w:rsidRPr="00810E8A">
        <w:rPr>
          <w:lang w:val="fr-LU"/>
        </w:rPr>
        <w:t xml:space="preserve">.-R. de Chateaubriand, </w:t>
      </w:r>
      <w:r w:rsidRPr="00810E8A">
        <w:rPr>
          <w:i/>
          <w:iCs/>
          <w:lang w:val="fr-LU"/>
        </w:rPr>
        <w:t>Essai historique</w:t>
      </w:r>
      <w:r w:rsidR="00810E8A" w:rsidRPr="00810E8A">
        <w:rPr>
          <w:i/>
          <w:iCs/>
          <w:lang w:val="fr-LU"/>
        </w:rPr>
        <w:t>, politique et moral sur les révolutions anciennes et modernes, considérées dans leurs rapports avec la Révolution française</w:t>
      </w:r>
      <w:r w:rsidRPr="00810E8A">
        <w:rPr>
          <w:lang w:val="fr-LU"/>
        </w:rPr>
        <w:t xml:space="preserve">, </w:t>
      </w:r>
      <w:r w:rsidR="00817E80">
        <w:rPr>
          <w:i/>
          <w:lang w:val="fr-LU"/>
        </w:rPr>
        <w:t xml:space="preserve">op. </w:t>
      </w:r>
      <w:proofErr w:type="spellStart"/>
      <w:r w:rsidR="00817E80">
        <w:rPr>
          <w:i/>
          <w:lang w:val="fr-LU"/>
        </w:rPr>
        <w:t>cit</w:t>
      </w:r>
      <w:proofErr w:type="spellEnd"/>
      <w:r w:rsidR="00817E80">
        <w:rPr>
          <w:i/>
          <w:lang w:val="fr-LU"/>
        </w:rPr>
        <w:t>.</w:t>
      </w:r>
      <w:r w:rsidR="00810E8A" w:rsidRPr="00810E8A">
        <w:rPr>
          <w:lang w:val="fr-LU"/>
        </w:rPr>
        <w:t>, p. 92, n. D.</w:t>
      </w:r>
    </w:p>
  </w:footnote>
  <w:footnote w:id="42">
    <w:p w14:paraId="4779DC71" w14:textId="77777777" w:rsidR="00F823A9" w:rsidRPr="005C1EE3" w:rsidRDefault="00F823A9" w:rsidP="00F823A9">
      <w:pPr>
        <w:pStyle w:val="Notedebasdepage"/>
      </w:pPr>
      <w:r>
        <w:rPr>
          <w:rStyle w:val="Appelnotedebasdep"/>
        </w:rPr>
        <w:footnoteRef/>
      </w:r>
      <w:r>
        <w:t xml:space="preserve"> Michel Foucault, </w:t>
      </w:r>
      <w:r>
        <w:rPr>
          <w:i/>
        </w:rPr>
        <w:t>Histoire de la folie à l’âge classique</w:t>
      </w:r>
      <w:r>
        <w:t>, Paris, Gallimard, 1972, p. 26.</w:t>
      </w:r>
    </w:p>
  </w:footnote>
  <w:footnote w:id="43">
    <w:p w14:paraId="1CBC761F" w14:textId="279954DF" w:rsidR="007977E9" w:rsidRPr="007977E9" w:rsidRDefault="007977E9">
      <w:pPr>
        <w:pStyle w:val="Notedebasdepage"/>
      </w:pPr>
      <w:r>
        <w:rPr>
          <w:rStyle w:val="Appelnotedebasdep"/>
        </w:rPr>
        <w:footnoteRef/>
      </w:r>
      <w:r>
        <w:t xml:space="preserve"> F</w:t>
      </w:r>
      <w:r>
        <w:rPr>
          <w:lang w:val="fr-LU"/>
        </w:rPr>
        <w:t xml:space="preserve">.-R. de Chateaubriand, </w:t>
      </w:r>
      <w:r>
        <w:rPr>
          <w:i/>
          <w:lang w:val="fr-LU"/>
        </w:rPr>
        <w:t>Mémoires d’outre-tombe</w:t>
      </w:r>
      <w:r>
        <w:rPr>
          <w:lang w:val="fr-LU"/>
        </w:rPr>
        <w:t xml:space="preserve">, </w:t>
      </w:r>
      <w:r w:rsidR="001C67F3" w:rsidRPr="001C67F3">
        <w:rPr>
          <w:i/>
          <w:lang w:val="fr-LU"/>
        </w:rPr>
        <w:t>op</w:t>
      </w:r>
      <w:r w:rsidRPr="001C67F3">
        <w:rPr>
          <w:i/>
          <w:lang w:val="fr-LU"/>
        </w:rPr>
        <w:t xml:space="preserve">. </w:t>
      </w:r>
      <w:proofErr w:type="spellStart"/>
      <w:r w:rsidRPr="001C67F3">
        <w:rPr>
          <w:i/>
          <w:lang w:val="fr-LU"/>
        </w:rPr>
        <w:t>cit</w:t>
      </w:r>
      <w:proofErr w:type="spellEnd"/>
      <w:r>
        <w:rPr>
          <w:lang w:val="fr-LU"/>
        </w:rPr>
        <w:t xml:space="preserve">., </w:t>
      </w:r>
      <w:r>
        <w:t>p. 451.</w:t>
      </w:r>
    </w:p>
  </w:footnote>
  <w:footnote w:id="44">
    <w:p w14:paraId="5121608D" w14:textId="43A52F32" w:rsidR="004E1890" w:rsidRPr="004E1890" w:rsidRDefault="004E1890">
      <w:pPr>
        <w:pStyle w:val="Notedebasdepage"/>
      </w:pPr>
      <w:r>
        <w:rPr>
          <w:rStyle w:val="Appelnotedebasdep"/>
        </w:rPr>
        <w:footnoteRef/>
      </w:r>
      <w:r>
        <w:t xml:space="preserve"> </w:t>
      </w:r>
      <w:r w:rsidR="00C718E2">
        <w:rPr>
          <w:i/>
        </w:rPr>
        <w:t>Ibid.</w:t>
      </w:r>
    </w:p>
  </w:footnote>
  <w:footnote w:id="45">
    <w:p w14:paraId="64D92FE2" w14:textId="22C59F2A" w:rsidR="00E0119A" w:rsidRPr="000E7C4C" w:rsidRDefault="00E0119A" w:rsidP="00E0119A">
      <w:pPr>
        <w:pStyle w:val="Notedebasdepage"/>
        <w:rPr>
          <w:lang w:val="fr-LU"/>
        </w:rPr>
      </w:pPr>
      <w:r>
        <w:rPr>
          <w:rStyle w:val="Appelnotedebasdep"/>
        </w:rPr>
        <w:footnoteRef/>
      </w:r>
      <w:r>
        <w:t> </w:t>
      </w:r>
      <w:r w:rsidRPr="00810E8A">
        <w:t>F</w:t>
      </w:r>
      <w:r w:rsidRPr="00810E8A">
        <w:rPr>
          <w:lang w:val="fr-LU"/>
        </w:rPr>
        <w:t xml:space="preserve">.-R. de Chateaubriand, </w:t>
      </w:r>
      <w:r w:rsidRPr="00810E8A">
        <w:rPr>
          <w:i/>
          <w:iCs/>
          <w:lang w:val="fr-LU"/>
        </w:rPr>
        <w:t>Essai sur les révolutions</w:t>
      </w:r>
      <w:r w:rsidRPr="00810E8A">
        <w:rPr>
          <w:lang w:val="fr-LU"/>
        </w:rPr>
        <w:t xml:space="preserve">, </w:t>
      </w:r>
      <w:r>
        <w:rPr>
          <w:i/>
          <w:lang w:val="fr-LU"/>
        </w:rPr>
        <w:t xml:space="preserve">op. </w:t>
      </w:r>
      <w:proofErr w:type="spellStart"/>
      <w:r>
        <w:rPr>
          <w:i/>
          <w:lang w:val="fr-LU"/>
        </w:rPr>
        <w:t>cit</w:t>
      </w:r>
      <w:proofErr w:type="spellEnd"/>
      <w:r>
        <w:rPr>
          <w:i/>
          <w:lang w:val="fr-LU"/>
        </w:rPr>
        <w:t>.</w:t>
      </w:r>
      <w:r w:rsidRPr="00810E8A">
        <w:rPr>
          <w:lang w:val="fr-LU"/>
        </w:rPr>
        <w:t>, p. 9</w:t>
      </w:r>
      <w:r>
        <w:rPr>
          <w:lang w:val="fr-LU"/>
        </w:rPr>
        <w:t>4.</w:t>
      </w:r>
    </w:p>
  </w:footnote>
  <w:footnote w:id="46">
    <w:p w14:paraId="17CB9154" w14:textId="7D656051" w:rsidR="001C24AD" w:rsidRPr="001C24AD" w:rsidRDefault="001C24AD">
      <w:pPr>
        <w:pStyle w:val="Notedebasdepage"/>
        <w:rPr>
          <w:i/>
          <w:iCs/>
        </w:rPr>
      </w:pPr>
      <w:r>
        <w:rPr>
          <w:rStyle w:val="Appelnotedebasdep"/>
        </w:rPr>
        <w:footnoteRef/>
      </w:r>
      <w:r>
        <w:t xml:space="preserve"> </w:t>
      </w:r>
      <w:r w:rsidR="000E7C4C">
        <w:t>F</w:t>
      </w:r>
      <w:r w:rsidR="000E7C4C">
        <w:rPr>
          <w:lang w:val="fr-LU"/>
        </w:rPr>
        <w:t xml:space="preserve">.-R. de Chateaubriand, </w:t>
      </w:r>
      <w:r w:rsidR="000E7C4C">
        <w:rPr>
          <w:i/>
          <w:lang w:val="fr-LU"/>
        </w:rPr>
        <w:t>Mémoires d’outre-tombe</w:t>
      </w:r>
      <w:r w:rsidR="000E7C4C">
        <w:rPr>
          <w:lang w:val="fr-LU"/>
        </w:rPr>
        <w:t xml:space="preserve">, </w:t>
      </w:r>
      <w:r w:rsidR="001C67F3" w:rsidRPr="001C67F3">
        <w:rPr>
          <w:i/>
          <w:lang w:val="fr-LU"/>
        </w:rPr>
        <w:t xml:space="preserve">op. </w:t>
      </w:r>
      <w:proofErr w:type="spellStart"/>
      <w:r w:rsidR="001C67F3" w:rsidRPr="001C67F3">
        <w:rPr>
          <w:i/>
          <w:lang w:val="fr-LU"/>
        </w:rPr>
        <w:t>cit</w:t>
      </w:r>
      <w:proofErr w:type="spellEnd"/>
      <w:r w:rsidR="000E7C4C">
        <w:rPr>
          <w:lang w:val="fr-LU"/>
        </w:rPr>
        <w:t xml:space="preserve">., </w:t>
      </w:r>
      <w:r w:rsidR="000E7C4C">
        <w:t>p. 451.</w:t>
      </w:r>
    </w:p>
  </w:footnote>
  <w:footnote w:id="47">
    <w:p w14:paraId="48F475A8" w14:textId="28375335" w:rsidR="002A6F70" w:rsidRPr="002A6F70" w:rsidRDefault="002A6F70">
      <w:pPr>
        <w:pStyle w:val="Notedebasdepage"/>
        <w:rPr>
          <w:lang w:val="fr-LU"/>
        </w:rPr>
      </w:pPr>
      <w:r>
        <w:rPr>
          <w:rStyle w:val="Appelnotedebasdep"/>
        </w:rPr>
        <w:footnoteRef/>
      </w:r>
      <w:r>
        <w:t xml:space="preserve"> </w:t>
      </w:r>
      <w:r w:rsidRPr="002A6F70">
        <w:t>A</w:t>
      </w:r>
      <w:r w:rsidR="00463067">
        <w:t>ntoine Vincent</w:t>
      </w:r>
      <w:r w:rsidRPr="002A6F70">
        <w:t xml:space="preserve"> </w:t>
      </w:r>
      <w:r w:rsidRPr="001C67F3">
        <w:t>Arnault</w:t>
      </w:r>
      <w:r w:rsidRPr="002A6F70">
        <w:t xml:space="preserve">, </w:t>
      </w:r>
      <w:r w:rsidRPr="002855CE">
        <w:rPr>
          <w:i/>
        </w:rPr>
        <w:t>Souvenirs d’un sexagénaire</w:t>
      </w:r>
      <w:r w:rsidRPr="002A6F70">
        <w:t xml:space="preserve">, </w:t>
      </w:r>
      <w:r w:rsidR="002855CE" w:rsidRPr="002A6F70">
        <w:t xml:space="preserve">Paris, </w:t>
      </w:r>
      <w:proofErr w:type="spellStart"/>
      <w:r w:rsidRPr="002A6F70">
        <w:t>Dufey</w:t>
      </w:r>
      <w:proofErr w:type="spellEnd"/>
      <w:r w:rsidRPr="002A6F70">
        <w:t>, 1833</w:t>
      </w:r>
      <w:r w:rsidR="00463067">
        <w:t xml:space="preserve">, </w:t>
      </w:r>
      <w:r w:rsidR="005E2CF1">
        <w:t xml:space="preserve">t. II, </w:t>
      </w:r>
      <w:r w:rsidR="00463067">
        <w:t>p. </w:t>
      </w:r>
      <w:r w:rsidR="005E2CF1">
        <w:t>99.</w:t>
      </w:r>
    </w:p>
  </w:footnote>
  <w:footnote w:id="48">
    <w:p w14:paraId="3F0FE2C0" w14:textId="7116CF19" w:rsidR="00601D77" w:rsidRPr="00601D77" w:rsidRDefault="00601D77">
      <w:pPr>
        <w:pStyle w:val="Notedebasdepage"/>
      </w:pPr>
      <w:r>
        <w:rPr>
          <w:rStyle w:val="Appelnotedebasdep"/>
        </w:rPr>
        <w:footnoteRef/>
      </w:r>
      <w:r>
        <w:t xml:space="preserve"> </w:t>
      </w:r>
      <w:r>
        <w:rPr>
          <w:i/>
        </w:rPr>
        <w:t>Ibid.</w:t>
      </w:r>
      <w:r>
        <w:t>, p. 100.</w:t>
      </w:r>
    </w:p>
  </w:footnote>
  <w:footnote w:id="49">
    <w:p w14:paraId="0D2EF415" w14:textId="0971798D" w:rsidR="007865B1" w:rsidRPr="007865B1" w:rsidRDefault="007865B1">
      <w:pPr>
        <w:pStyle w:val="Notedebasdepage"/>
      </w:pPr>
      <w:r>
        <w:rPr>
          <w:rStyle w:val="Appelnotedebasdep"/>
        </w:rPr>
        <w:footnoteRef/>
      </w:r>
      <w:r>
        <w:t xml:space="preserve"> F</w:t>
      </w:r>
      <w:r>
        <w:rPr>
          <w:lang w:val="fr-LU"/>
        </w:rPr>
        <w:t xml:space="preserve">.-R. de Chateaubriand, </w:t>
      </w:r>
      <w:r>
        <w:rPr>
          <w:i/>
          <w:lang w:val="fr-LU"/>
        </w:rPr>
        <w:t>Mémoires d’outre-tombe</w:t>
      </w:r>
      <w:r>
        <w:rPr>
          <w:lang w:val="fr-LU"/>
        </w:rPr>
        <w:t xml:space="preserve">, </w:t>
      </w:r>
      <w:r w:rsidR="00182A32" w:rsidRPr="001C67F3">
        <w:rPr>
          <w:i/>
          <w:lang w:val="fr-LU"/>
        </w:rPr>
        <w:t xml:space="preserve">op. </w:t>
      </w:r>
      <w:proofErr w:type="spellStart"/>
      <w:r w:rsidR="00182A32" w:rsidRPr="001C67F3">
        <w:rPr>
          <w:i/>
          <w:lang w:val="fr-LU"/>
        </w:rPr>
        <w:t>cit</w:t>
      </w:r>
      <w:proofErr w:type="spellEnd"/>
      <w:r w:rsidR="00182A32">
        <w:rPr>
          <w:lang w:val="fr-LU"/>
        </w:rPr>
        <w:t xml:space="preserve">., </w:t>
      </w:r>
      <w:r>
        <w:t>p. 452.</w:t>
      </w:r>
    </w:p>
  </w:footnote>
  <w:footnote w:id="50">
    <w:p w14:paraId="29CAB9C6" w14:textId="21E325E1" w:rsidR="00B45E0D" w:rsidRPr="00EA4EBB" w:rsidRDefault="00B45E0D">
      <w:pPr>
        <w:pStyle w:val="Notedebasdepage"/>
        <w:rPr>
          <w:lang w:val="en-US"/>
        </w:rPr>
      </w:pPr>
      <w:r>
        <w:rPr>
          <w:rStyle w:val="Appelnotedebasdep"/>
        </w:rPr>
        <w:footnoteRef/>
      </w:r>
      <w:r w:rsidRPr="00EA4EBB">
        <w:rPr>
          <w:lang w:val="en-US"/>
        </w:rPr>
        <w:t xml:space="preserve"> </w:t>
      </w:r>
      <w:r w:rsidR="007865B1" w:rsidRPr="00EA4EBB">
        <w:rPr>
          <w:i/>
          <w:lang w:val="en-US"/>
        </w:rPr>
        <w:t>Ibid</w:t>
      </w:r>
      <w:r w:rsidR="007865B1" w:rsidRPr="00EA4EBB">
        <w:rPr>
          <w:lang w:val="en-US"/>
        </w:rPr>
        <w:t>.</w:t>
      </w:r>
    </w:p>
  </w:footnote>
  <w:footnote w:id="51">
    <w:p w14:paraId="394D67DC" w14:textId="54B57B99" w:rsidR="001C3197" w:rsidRPr="00EA4EBB" w:rsidRDefault="001C3197" w:rsidP="001C3197">
      <w:pPr>
        <w:pStyle w:val="Notedebasdepage"/>
        <w:rPr>
          <w:lang w:val="en-US"/>
        </w:rPr>
      </w:pPr>
      <w:r>
        <w:rPr>
          <w:rStyle w:val="Appelnotedebasdep"/>
        </w:rPr>
        <w:footnoteRef/>
      </w:r>
      <w:r w:rsidRPr="00EA4EBB">
        <w:rPr>
          <w:lang w:val="en-US"/>
        </w:rPr>
        <w:t xml:space="preserve"> </w:t>
      </w:r>
      <w:r w:rsidR="00182A32" w:rsidRPr="00EA4EBB">
        <w:rPr>
          <w:i/>
          <w:lang w:val="en-US"/>
        </w:rPr>
        <w:t>Ibid.</w:t>
      </w:r>
      <w:r w:rsidRPr="00EA4EBB">
        <w:rPr>
          <w:lang w:val="en-US"/>
        </w:rPr>
        <w:t>, p. 637.</w:t>
      </w:r>
    </w:p>
  </w:footnote>
  <w:footnote w:id="52">
    <w:p w14:paraId="185B8907" w14:textId="12313B37" w:rsidR="00211116" w:rsidRPr="00EA4EBB" w:rsidRDefault="00211116">
      <w:pPr>
        <w:pStyle w:val="Notedebasdepage"/>
        <w:rPr>
          <w:i/>
          <w:lang w:val="en-US"/>
        </w:rPr>
      </w:pPr>
      <w:r>
        <w:rPr>
          <w:rStyle w:val="Appelnotedebasdep"/>
        </w:rPr>
        <w:footnoteRef/>
      </w:r>
      <w:r w:rsidRPr="00EA4EBB">
        <w:rPr>
          <w:lang w:val="en-US"/>
        </w:rPr>
        <w:t xml:space="preserve"> </w:t>
      </w:r>
      <w:r w:rsidRPr="00EA4EBB">
        <w:rPr>
          <w:i/>
          <w:lang w:val="en-US"/>
        </w:rPr>
        <w:t>Ibid.</w:t>
      </w:r>
    </w:p>
  </w:footnote>
  <w:footnote w:id="53">
    <w:p w14:paraId="4BF5D9B8" w14:textId="5A9A56D8" w:rsidR="00B56129" w:rsidRPr="00EA4EBB" w:rsidRDefault="00B56129">
      <w:pPr>
        <w:pStyle w:val="Notedebasdepage"/>
        <w:rPr>
          <w:i/>
          <w:lang w:val="en-US"/>
        </w:rPr>
      </w:pPr>
      <w:r>
        <w:rPr>
          <w:rStyle w:val="Appelnotedebasdep"/>
        </w:rPr>
        <w:footnoteRef/>
      </w:r>
      <w:r w:rsidRPr="00EA4EBB">
        <w:rPr>
          <w:lang w:val="en-US"/>
        </w:rPr>
        <w:t xml:space="preserve"> </w:t>
      </w:r>
      <w:r w:rsidRPr="00EA4EBB">
        <w:rPr>
          <w:i/>
          <w:lang w:val="en-US"/>
        </w:rPr>
        <w:t>Ibid.</w:t>
      </w:r>
    </w:p>
  </w:footnote>
  <w:footnote w:id="54">
    <w:p w14:paraId="06045B59" w14:textId="77777777" w:rsidR="008C4191" w:rsidRPr="00D50FD3" w:rsidRDefault="008C4191" w:rsidP="008C4191">
      <w:pPr>
        <w:pStyle w:val="Notedebasdepage"/>
        <w:rPr>
          <w:i/>
        </w:rPr>
      </w:pPr>
      <w:r>
        <w:rPr>
          <w:rStyle w:val="Appelnotedebasdep"/>
        </w:rPr>
        <w:footnoteRef/>
      </w:r>
      <w:r>
        <w:t xml:space="preserve"> </w:t>
      </w:r>
      <w:r>
        <w:rPr>
          <w:i/>
        </w:rPr>
        <w:t>Ibid.</w:t>
      </w:r>
    </w:p>
  </w:footnote>
  <w:footnote w:id="55">
    <w:p w14:paraId="6BC7472D" w14:textId="164F0CF9" w:rsidR="00542192" w:rsidRPr="00182A32" w:rsidRDefault="00542192" w:rsidP="00182A32">
      <w:pPr>
        <w:autoSpaceDE w:val="0"/>
        <w:autoSpaceDN w:val="0"/>
        <w:adjustRightInd w:val="0"/>
        <w:spacing w:after="0" w:line="240" w:lineRule="auto"/>
        <w:rPr>
          <w:rFonts w:cs="Times New Roman"/>
          <w:sz w:val="20"/>
          <w:szCs w:val="20"/>
          <w:lang w:val="fr-BE"/>
        </w:rPr>
      </w:pPr>
      <w:r w:rsidRPr="00182A32">
        <w:rPr>
          <w:rStyle w:val="Appelnotedebasdep"/>
          <w:rFonts w:cs="Times New Roman"/>
          <w:sz w:val="20"/>
          <w:szCs w:val="20"/>
        </w:rPr>
        <w:footnoteRef/>
      </w:r>
      <w:r w:rsidRPr="00182A32">
        <w:rPr>
          <w:rFonts w:cs="Times New Roman"/>
          <w:sz w:val="20"/>
          <w:szCs w:val="20"/>
          <w:lang w:val="fr-BE"/>
        </w:rPr>
        <w:t xml:space="preserve"> </w:t>
      </w:r>
      <w:r w:rsidRPr="00182A32">
        <w:rPr>
          <w:rFonts w:cs="Times New Roman"/>
          <w:sz w:val="20"/>
          <w:szCs w:val="20"/>
          <w:lang w:val="fr-LU"/>
        </w:rPr>
        <w:t xml:space="preserve">F.-R. de Chateaubriand, </w:t>
      </w:r>
      <w:r w:rsidRPr="00182A32">
        <w:rPr>
          <w:rFonts w:cs="Times New Roman"/>
          <w:i/>
          <w:sz w:val="20"/>
          <w:szCs w:val="20"/>
          <w:lang w:val="fr-LU"/>
        </w:rPr>
        <w:t>De Buonaparte et des Bourbons</w:t>
      </w:r>
      <w:r w:rsidRPr="00182A32">
        <w:rPr>
          <w:rFonts w:cs="Times New Roman"/>
          <w:sz w:val="20"/>
          <w:szCs w:val="20"/>
          <w:lang w:val="fr-LU"/>
        </w:rPr>
        <w:t xml:space="preserve">, </w:t>
      </w:r>
      <w:r w:rsidR="00182A32" w:rsidRPr="00182A32">
        <w:rPr>
          <w:rFonts w:cs="Times New Roman"/>
          <w:sz w:val="20"/>
          <w:szCs w:val="20"/>
          <w:lang w:val="fr-LU"/>
        </w:rPr>
        <w:t xml:space="preserve">in </w:t>
      </w:r>
      <w:r w:rsidR="00182A32" w:rsidRPr="00182A32">
        <w:rPr>
          <w:rFonts w:cs="Times New Roman"/>
          <w:i/>
          <w:iCs/>
          <w:sz w:val="20"/>
          <w:szCs w:val="20"/>
          <w:lang w:val="fr-LU"/>
        </w:rPr>
        <w:t>Écrits politiques (1814-1816)</w:t>
      </w:r>
      <w:r w:rsidR="00182A32" w:rsidRPr="00182A32">
        <w:rPr>
          <w:rFonts w:cs="Times New Roman"/>
          <w:sz w:val="20"/>
          <w:szCs w:val="20"/>
          <w:lang w:val="fr-LU"/>
        </w:rPr>
        <w:t xml:space="preserve">, Colin </w:t>
      </w:r>
      <w:proofErr w:type="spellStart"/>
      <w:r w:rsidR="00182A32" w:rsidRPr="00182A32">
        <w:rPr>
          <w:rFonts w:cs="Times New Roman"/>
          <w:sz w:val="20"/>
          <w:szCs w:val="20"/>
          <w:lang w:val="fr-LU"/>
        </w:rPr>
        <w:t>Smethurst</w:t>
      </w:r>
      <w:proofErr w:type="spellEnd"/>
      <w:r w:rsidR="00182A32" w:rsidRPr="00182A32">
        <w:rPr>
          <w:rFonts w:cs="Times New Roman"/>
          <w:sz w:val="20"/>
          <w:szCs w:val="20"/>
          <w:lang w:val="fr-LU"/>
        </w:rPr>
        <w:t xml:space="preserve"> (éd.), Genève, Droz, coll. « Les classiques de la pensée politique », 2002, </w:t>
      </w:r>
      <w:r w:rsidRPr="00182A32">
        <w:rPr>
          <w:rFonts w:cs="Times New Roman"/>
          <w:sz w:val="20"/>
          <w:szCs w:val="20"/>
          <w:lang w:val="fr-BE"/>
        </w:rPr>
        <w:t>p. 45.</w:t>
      </w:r>
    </w:p>
  </w:footnote>
  <w:footnote w:id="56">
    <w:p w14:paraId="178F374F" w14:textId="77777777" w:rsidR="00542192" w:rsidRPr="002246A5" w:rsidRDefault="00542192" w:rsidP="00542192">
      <w:pPr>
        <w:pStyle w:val="Notedebasdepage"/>
        <w:rPr>
          <w:lang w:val="fr-LU"/>
        </w:rPr>
      </w:pPr>
      <w:r>
        <w:rPr>
          <w:rStyle w:val="Appelnotedebasdep"/>
        </w:rPr>
        <w:footnoteRef/>
      </w:r>
      <w:r w:rsidRPr="002246A5">
        <w:rPr>
          <w:lang w:val="fr-LU"/>
        </w:rPr>
        <w:t xml:space="preserve"> </w:t>
      </w:r>
      <w:r w:rsidRPr="002246A5">
        <w:rPr>
          <w:i/>
          <w:iCs/>
          <w:lang w:val="fr-LU"/>
        </w:rPr>
        <w:t>Ibid</w:t>
      </w:r>
      <w:r w:rsidRPr="002246A5">
        <w:rPr>
          <w:lang w:val="fr-LU"/>
        </w:rPr>
        <w:t>., p. 63.</w:t>
      </w:r>
    </w:p>
  </w:footnote>
  <w:footnote w:id="57">
    <w:p w14:paraId="363AC524" w14:textId="36DDDAD6" w:rsidR="009A52C4" w:rsidRPr="00EA4EBB" w:rsidRDefault="009A52C4" w:rsidP="009A52C4">
      <w:pPr>
        <w:pStyle w:val="Notedebasdepage"/>
        <w:rPr>
          <w:lang w:val="fr-BE"/>
        </w:rPr>
      </w:pPr>
      <w:r>
        <w:rPr>
          <w:rStyle w:val="Appelnotedebasdep"/>
        </w:rPr>
        <w:footnoteRef/>
      </w:r>
      <w:r w:rsidRPr="00EA4EBB">
        <w:rPr>
          <w:lang w:val="fr-BE"/>
        </w:rPr>
        <w:t xml:space="preserve"> </w:t>
      </w:r>
      <w:r w:rsidR="00025B91" w:rsidRPr="00025B91">
        <w:rPr>
          <w:i/>
          <w:iCs/>
          <w:lang w:val="fr-BE"/>
        </w:rPr>
        <w:t>Ibid</w:t>
      </w:r>
      <w:r w:rsidR="00025B91">
        <w:rPr>
          <w:lang w:val="fr-BE"/>
        </w:rPr>
        <w:t>.,</w:t>
      </w:r>
      <w:r w:rsidRPr="00EA4EBB">
        <w:rPr>
          <w:lang w:val="fr-BE"/>
        </w:rPr>
        <w:t xml:space="preserve"> p. 71.</w:t>
      </w:r>
    </w:p>
  </w:footnote>
  <w:footnote w:id="58">
    <w:p w14:paraId="07A9C415" w14:textId="77777777" w:rsidR="009A52C4" w:rsidRPr="00EA4EBB" w:rsidRDefault="009A52C4" w:rsidP="009A52C4">
      <w:pPr>
        <w:pStyle w:val="Notedebasdepage"/>
        <w:rPr>
          <w:i/>
          <w:iCs/>
          <w:lang w:val="fr-BE"/>
        </w:rPr>
      </w:pPr>
      <w:r>
        <w:rPr>
          <w:rStyle w:val="Appelnotedebasdep"/>
        </w:rPr>
        <w:footnoteRef/>
      </w:r>
      <w:r w:rsidRPr="00EA4EBB">
        <w:rPr>
          <w:lang w:val="fr-BE"/>
        </w:rPr>
        <w:t xml:space="preserve"> </w:t>
      </w:r>
      <w:r w:rsidRPr="00EA4EBB">
        <w:rPr>
          <w:i/>
          <w:iCs/>
          <w:lang w:val="fr-BE"/>
        </w:rPr>
        <w:t>Ibid.</w:t>
      </w:r>
    </w:p>
  </w:footnote>
  <w:footnote w:id="59">
    <w:p w14:paraId="16D4107B" w14:textId="77777777" w:rsidR="009A52C4" w:rsidRPr="00EA4EBB" w:rsidRDefault="009A52C4" w:rsidP="009A52C4">
      <w:pPr>
        <w:pStyle w:val="Notedebasdepage"/>
        <w:rPr>
          <w:lang w:val="fr-BE"/>
        </w:rPr>
      </w:pPr>
      <w:r>
        <w:rPr>
          <w:rStyle w:val="Appelnotedebasdep"/>
        </w:rPr>
        <w:footnoteRef/>
      </w:r>
      <w:r w:rsidRPr="00EA4EBB">
        <w:rPr>
          <w:lang w:val="fr-BE"/>
        </w:rPr>
        <w:t xml:space="preserve"> </w:t>
      </w:r>
      <w:r w:rsidRPr="00EA4EBB">
        <w:rPr>
          <w:i/>
          <w:iCs/>
          <w:lang w:val="fr-BE"/>
        </w:rPr>
        <w:t>Ibid.</w:t>
      </w:r>
      <w:r w:rsidRPr="00EA4EBB">
        <w:rPr>
          <w:lang w:val="fr-BE"/>
        </w:rPr>
        <w:t>, p. 62.</w:t>
      </w:r>
    </w:p>
  </w:footnote>
  <w:footnote w:id="60">
    <w:p w14:paraId="6AB63EA1" w14:textId="1B099033" w:rsidR="00E809D9" w:rsidRPr="009A52C4" w:rsidRDefault="00E809D9" w:rsidP="00717E5E">
      <w:pPr>
        <w:pStyle w:val="Notedebasdepage"/>
        <w:rPr>
          <w:lang w:val="fr-LU"/>
        </w:rPr>
      </w:pPr>
      <w:r>
        <w:rPr>
          <w:rStyle w:val="Appelnotedebasdep"/>
        </w:rPr>
        <w:footnoteRef/>
      </w:r>
      <w:r>
        <w:t xml:space="preserve"> Germaine de Staël, </w:t>
      </w:r>
      <w:r>
        <w:rPr>
          <w:i/>
        </w:rPr>
        <w:t>Dix années d’exil</w:t>
      </w:r>
      <w:r>
        <w:t xml:space="preserve">, </w:t>
      </w:r>
      <w:r w:rsidR="00717E5E" w:rsidRPr="00717E5E">
        <w:rPr>
          <w:lang w:val="fr-BE"/>
        </w:rPr>
        <w:t xml:space="preserve">Simone Balayé et Mariella </w:t>
      </w:r>
      <w:proofErr w:type="spellStart"/>
      <w:r w:rsidR="00717E5E" w:rsidRPr="00717E5E">
        <w:rPr>
          <w:lang w:val="fr-BE"/>
        </w:rPr>
        <w:t>Vianello</w:t>
      </w:r>
      <w:proofErr w:type="spellEnd"/>
      <w:r w:rsidR="00717E5E" w:rsidRPr="00717E5E">
        <w:rPr>
          <w:lang w:val="fr-BE"/>
        </w:rPr>
        <w:t xml:space="preserve"> Bonifacio</w:t>
      </w:r>
      <w:r w:rsidR="00717E5E">
        <w:rPr>
          <w:lang w:val="fr-BE"/>
        </w:rPr>
        <w:t xml:space="preserve"> </w:t>
      </w:r>
      <w:r w:rsidR="00717E5E" w:rsidRPr="00717E5E">
        <w:rPr>
          <w:lang w:val="fr-BE"/>
        </w:rPr>
        <w:t>(éd.), Paris, Fayard, 1996</w:t>
      </w:r>
      <w:r w:rsidR="00717E5E">
        <w:t xml:space="preserve">, </w:t>
      </w:r>
      <w:r>
        <w:t>p. 185.</w:t>
      </w:r>
    </w:p>
  </w:footnote>
  <w:footnote w:id="61">
    <w:p w14:paraId="6C8DA929" w14:textId="77777777" w:rsidR="00E809D9" w:rsidRPr="00007471" w:rsidRDefault="00E809D9" w:rsidP="00E809D9">
      <w:pPr>
        <w:pStyle w:val="Notedebasdepage"/>
        <w:rPr>
          <w:i/>
          <w:lang w:val="fr-BE"/>
        </w:rPr>
      </w:pPr>
      <w:r>
        <w:rPr>
          <w:rStyle w:val="Appelnotedebasdep"/>
        </w:rPr>
        <w:footnoteRef/>
      </w:r>
      <w:r w:rsidRPr="00007471">
        <w:rPr>
          <w:lang w:val="fr-BE"/>
        </w:rPr>
        <w:t xml:space="preserve"> </w:t>
      </w:r>
      <w:r w:rsidRPr="00007471">
        <w:rPr>
          <w:i/>
          <w:lang w:val="fr-BE"/>
        </w:rPr>
        <w:t>Ibid.</w:t>
      </w:r>
    </w:p>
  </w:footnote>
  <w:footnote w:id="62">
    <w:p w14:paraId="119F81B5" w14:textId="77777777" w:rsidR="00E809D9" w:rsidRPr="00007471" w:rsidRDefault="00E809D9" w:rsidP="00E809D9">
      <w:pPr>
        <w:pStyle w:val="Notedebasdepage"/>
        <w:rPr>
          <w:lang w:val="fr-BE"/>
        </w:rPr>
      </w:pPr>
      <w:r>
        <w:rPr>
          <w:rStyle w:val="Appelnotedebasdep"/>
        </w:rPr>
        <w:footnoteRef/>
      </w:r>
      <w:r w:rsidRPr="00007471">
        <w:rPr>
          <w:lang w:val="fr-BE"/>
        </w:rPr>
        <w:t xml:space="preserve"> </w:t>
      </w:r>
      <w:r w:rsidRPr="00007471">
        <w:rPr>
          <w:i/>
          <w:lang w:val="fr-BE"/>
        </w:rPr>
        <w:t>Ibid.</w:t>
      </w:r>
      <w:r w:rsidRPr="00007471">
        <w:rPr>
          <w:lang w:val="fr-BE"/>
        </w:rPr>
        <w:t>, p. 185-186.</w:t>
      </w:r>
    </w:p>
  </w:footnote>
  <w:footnote w:id="63">
    <w:p w14:paraId="2F3FC151" w14:textId="1EB5FCB9" w:rsidR="00E809D9" w:rsidRPr="00025B91" w:rsidRDefault="00E809D9" w:rsidP="00E809D9">
      <w:pPr>
        <w:pStyle w:val="Notedebasdepage"/>
        <w:rPr>
          <w:lang w:val="fr-BE"/>
        </w:rPr>
      </w:pPr>
      <w:r>
        <w:rPr>
          <w:rStyle w:val="Appelnotedebasdep"/>
        </w:rPr>
        <w:footnoteRef/>
      </w:r>
      <w:r w:rsidRPr="00025B91">
        <w:rPr>
          <w:lang w:val="fr-BE"/>
        </w:rPr>
        <w:t xml:space="preserve"> </w:t>
      </w:r>
      <w:r w:rsidR="00025B91" w:rsidRPr="00182A32">
        <w:rPr>
          <w:rFonts w:cs="Times New Roman"/>
          <w:lang w:val="fr-LU"/>
        </w:rPr>
        <w:t xml:space="preserve">F.-R. de Chateaubriand, </w:t>
      </w:r>
      <w:r w:rsidR="00025B91" w:rsidRPr="00182A32">
        <w:rPr>
          <w:rFonts w:cs="Times New Roman"/>
          <w:i/>
          <w:lang w:val="fr-LU"/>
        </w:rPr>
        <w:t>De Buonaparte et des Bourbons</w:t>
      </w:r>
      <w:r w:rsidR="00025B91" w:rsidRPr="00182A32">
        <w:rPr>
          <w:rFonts w:cs="Times New Roman"/>
          <w:lang w:val="fr-LU"/>
        </w:rPr>
        <w:t xml:space="preserve">, </w:t>
      </w:r>
      <w:r w:rsidR="00025B91">
        <w:rPr>
          <w:rFonts w:cs="Times New Roman"/>
          <w:i/>
          <w:iCs/>
          <w:lang w:val="fr-LU"/>
        </w:rPr>
        <w:t xml:space="preserve">op. </w:t>
      </w:r>
      <w:proofErr w:type="spellStart"/>
      <w:r w:rsidR="00025B91">
        <w:rPr>
          <w:rFonts w:cs="Times New Roman"/>
          <w:i/>
          <w:iCs/>
          <w:lang w:val="fr-LU"/>
        </w:rPr>
        <w:t>cit</w:t>
      </w:r>
      <w:proofErr w:type="spellEnd"/>
      <w:r w:rsidR="00025B91">
        <w:rPr>
          <w:rFonts w:cs="Times New Roman"/>
          <w:i/>
          <w:iCs/>
          <w:lang w:val="fr-LU"/>
        </w:rPr>
        <w:t>.</w:t>
      </w:r>
      <w:r w:rsidR="00025B91">
        <w:rPr>
          <w:rFonts w:cs="Times New Roman"/>
          <w:lang w:val="fr-LU"/>
        </w:rPr>
        <w:t xml:space="preserve">, </w:t>
      </w:r>
      <w:r w:rsidRPr="00025B91">
        <w:rPr>
          <w:lang w:val="fr-BE"/>
        </w:rPr>
        <w:t>p. 67-68.</w:t>
      </w:r>
    </w:p>
  </w:footnote>
  <w:footnote w:id="64">
    <w:p w14:paraId="6C499FFF" w14:textId="77777777" w:rsidR="00542192" w:rsidRPr="00F24A3C" w:rsidRDefault="00542192" w:rsidP="00542192">
      <w:pPr>
        <w:pStyle w:val="Notedebasdepage"/>
        <w:rPr>
          <w:lang w:val="en-US"/>
        </w:rPr>
      </w:pPr>
      <w:r>
        <w:rPr>
          <w:rStyle w:val="Appelnotedebasdep"/>
        </w:rPr>
        <w:footnoteRef/>
      </w:r>
      <w:r w:rsidRPr="00F24A3C">
        <w:rPr>
          <w:lang w:val="en-US"/>
        </w:rPr>
        <w:t> </w:t>
      </w:r>
      <w:r w:rsidRPr="00F24A3C">
        <w:rPr>
          <w:i/>
          <w:iCs/>
          <w:lang w:val="en-US"/>
        </w:rPr>
        <w:t>Ibid.</w:t>
      </w:r>
      <w:r w:rsidRPr="00F24A3C">
        <w:rPr>
          <w:lang w:val="en-US"/>
        </w:rPr>
        <w:t>, p. 52.</w:t>
      </w:r>
    </w:p>
  </w:footnote>
  <w:footnote w:id="65">
    <w:p w14:paraId="0B59DE45" w14:textId="419F1542" w:rsidR="00025BAD" w:rsidRPr="00874F89" w:rsidRDefault="00025BAD">
      <w:pPr>
        <w:pStyle w:val="Notedebasdepage"/>
        <w:rPr>
          <w:lang w:val="en-US"/>
        </w:rPr>
      </w:pPr>
      <w:r>
        <w:rPr>
          <w:rStyle w:val="Appelnotedebasdep"/>
        </w:rPr>
        <w:footnoteRef/>
      </w:r>
      <w:r w:rsidRPr="00874F89">
        <w:rPr>
          <w:lang w:val="en-US"/>
        </w:rPr>
        <w:t xml:space="preserve"> </w:t>
      </w:r>
      <w:r w:rsidR="005D48E3" w:rsidRPr="00874F89">
        <w:rPr>
          <w:i/>
          <w:iCs/>
          <w:lang w:val="en-US"/>
        </w:rPr>
        <w:t>Ibid.</w:t>
      </w:r>
      <w:r w:rsidR="005D48E3" w:rsidRPr="00874F89">
        <w:rPr>
          <w:lang w:val="en-US"/>
        </w:rPr>
        <w:t>, p. 49.</w:t>
      </w:r>
    </w:p>
  </w:footnote>
  <w:footnote w:id="66">
    <w:p w14:paraId="246AFE92" w14:textId="77777777" w:rsidR="0030529B" w:rsidRPr="00A11CCF" w:rsidRDefault="0030529B" w:rsidP="0030529B">
      <w:pPr>
        <w:pStyle w:val="Notedebasdepage"/>
        <w:rPr>
          <w:lang w:val="en-US"/>
        </w:rPr>
      </w:pPr>
      <w:r>
        <w:rPr>
          <w:rStyle w:val="Appelnotedebasdep"/>
        </w:rPr>
        <w:footnoteRef/>
      </w:r>
      <w:r w:rsidRPr="00A11CCF">
        <w:rPr>
          <w:lang w:val="en-US"/>
        </w:rPr>
        <w:t xml:space="preserve"> </w:t>
      </w:r>
      <w:r w:rsidRPr="00A11CCF">
        <w:rPr>
          <w:i/>
          <w:iCs/>
          <w:lang w:val="en-US"/>
        </w:rPr>
        <w:t>Ibid</w:t>
      </w:r>
      <w:r>
        <w:rPr>
          <w:lang w:val="en-US"/>
        </w:rPr>
        <w:t>., p. 45.</w:t>
      </w:r>
    </w:p>
  </w:footnote>
  <w:footnote w:id="67">
    <w:p w14:paraId="37B4FE1B" w14:textId="77777777" w:rsidR="0030529B" w:rsidRPr="009002B8" w:rsidRDefault="0030529B" w:rsidP="0030529B">
      <w:pPr>
        <w:pStyle w:val="Notedebasdepage"/>
        <w:rPr>
          <w:i/>
          <w:lang w:val="fr-BE"/>
        </w:rPr>
      </w:pPr>
      <w:r>
        <w:rPr>
          <w:rStyle w:val="Appelnotedebasdep"/>
        </w:rPr>
        <w:footnoteRef/>
      </w:r>
      <w:r w:rsidRPr="009002B8">
        <w:rPr>
          <w:lang w:val="fr-BE"/>
        </w:rPr>
        <w:t xml:space="preserve"> </w:t>
      </w:r>
      <w:r w:rsidRPr="009002B8">
        <w:rPr>
          <w:i/>
          <w:lang w:val="fr-BE"/>
        </w:rPr>
        <w:t>Ibid.</w:t>
      </w:r>
    </w:p>
  </w:footnote>
  <w:footnote w:id="68">
    <w:p w14:paraId="377DC510" w14:textId="721B9FA7" w:rsidR="00FE6973" w:rsidRPr="009002B8" w:rsidRDefault="00FE6973">
      <w:pPr>
        <w:pStyle w:val="Notedebasdepage"/>
        <w:rPr>
          <w:lang w:val="fr-BE"/>
        </w:rPr>
      </w:pPr>
      <w:r>
        <w:rPr>
          <w:rStyle w:val="Appelnotedebasdep"/>
        </w:rPr>
        <w:footnoteRef/>
      </w:r>
      <w:r w:rsidRPr="009002B8">
        <w:rPr>
          <w:lang w:val="fr-BE"/>
        </w:rPr>
        <w:t xml:space="preserve"> </w:t>
      </w:r>
      <w:r w:rsidR="009002B8" w:rsidRPr="00810E8A">
        <w:t>F</w:t>
      </w:r>
      <w:r w:rsidR="009002B8" w:rsidRPr="00810E8A">
        <w:rPr>
          <w:lang w:val="fr-LU"/>
        </w:rPr>
        <w:t xml:space="preserve">.-R. de Chateaubriand, </w:t>
      </w:r>
      <w:r w:rsidR="009002B8" w:rsidRPr="00810E8A">
        <w:rPr>
          <w:i/>
          <w:iCs/>
          <w:lang w:val="fr-LU"/>
        </w:rPr>
        <w:t>Essai sur les révolutions</w:t>
      </w:r>
      <w:r w:rsidR="009002B8" w:rsidRPr="00810E8A">
        <w:rPr>
          <w:lang w:val="fr-LU"/>
        </w:rPr>
        <w:t xml:space="preserve">, </w:t>
      </w:r>
      <w:r w:rsidR="009002B8">
        <w:rPr>
          <w:i/>
          <w:lang w:val="fr-LU"/>
        </w:rPr>
        <w:t xml:space="preserve">op. </w:t>
      </w:r>
      <w:proofErr w:type="spellStart"/>
      <w:r w:rsidR="009002B8">
        <w:rPr>
          <w:i/>
          <w:lang w:val="fr-LU"/>
        </w:rPr>
        <w:t>cit</w:t>
      </w:r>
      <w:proofErr w:type="spellEnd"/>
      <w:r w:rsidR="009002B8">
        <w:rPr>
          <w:i/>
          <w:lang w:val="fr-LU"/>
        </w:rPr>
        <w:t>.</w:t>
      </w:r>
      <w:r w:rsidR="009002B8" w:rsidRPr="00810E8A">
        <w:rPr>
          <w:lang w:val="fr-LU"/>
        </w:rPr>
        <w:t>, p</w:t>
      </w:r>
      <w:r w:rsidRPr="009002B8">
        <w:rPr>
          <w:lang w:val="fr-BE"/>
        </w:rPr>
        <w:t>. 284.</w:t>
      </w:r>
    </w:p>
  </w:footnote>
  <w:footnote w:id="69">
    <w:p w14:paraId="06D8B503" w14:textId="6201FDC3" w:rsidR="008E06FB" w:rsidRPr="009002B8" w:rsidRDefault="008E06FB">
      <w:pPr>
        <w:pStyle w:val="Notedebasdepage"/>
        <w:rPr>
          <w:lang w:val="fr-BE"/>
        </w:rPr>
      </w:pPr>
      <w:r>
        <w:rPr>
          <w:rStyle w:val="Appelnotedebasdep"/>
        </w:rPr>
        <w:footnoteRef/>
      </w:r>
      <w:r w:rsidRPr="009002B8">
        <w:rPr>
          <w:lang w:val="fr-BE"/>
        </w:rPr>
        <w:t xml:space="preserve"> </w:t>
      </w:r>
      <w:r w:rsidR="00717E5E">
        <w:rPr>
          <w:i/>
          <w:iCs/>
        </w:rPr>
        <w:t>Ibid.</w:t>
      </w:r>
      <w:r w:rsidR="00717E5E">
        <w:t xml:space="preserve">, </w:t>
      </w:r>
      <w:r w:rsidR="009002B8" w:rsidRPr="00810E8A">
        <w:rPr>
          <w:lang w:val="fr-LU"/>
        </w:rPr>
        <w:t>p</w:t>
      </w:r>
      <w:r w:rsidRPr="009002B8">
        <w:rPr>
          <w:lang w:val="fr-BE"/>
        </w:rPr>
        <w:t>. </w:t>
      </w:r>
      <w:r w:rsidR="00432B2C" w:rsidRPr="009002B8">
        <w:rPr>
          <w:lang w:val="fr-BE"/>
        </w:rPr>
        <w:t>268.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838AE"/>
    <w:multiLevelType w:val="hybridMultilevel"/>
    <w:tmpl w:val="7A5208F6"/>
    <w:lvl w:ilvl="0" w:tplc="FAC87524">
      <w:start w:val="1"/>
      <w:numFmt w:val="decimal"/>
      <w:lvlText w:val="%1."/>
      <w:lvlJc w:val="left"/>
      <w:pPr>
        <w:ind w:left="1068" w:hanging="360"/>
      </w:pPr>
      <w:rPr>
        <w:rFonts w:hint="default"/>
      </w:rPr>
    </w:lvl>
    <w:lvl w:ilvl="1" w:tplc="140C0019" w:tentative="1">
      <w:start w:val="1"/>
      <w:numFmt w:val="lowerLetter"/>
      <w:lvlText w:val="%2."/>
      <w:lvlJc w:val="left"/>
      <w:pPr>
        <w:ind w:left="1788" w:hanging="360"/>
      </w:pPr>
    </w:lvl>
    <w:lvl w:ilvl="2" w:tplc="140C001B" w:tentative="1">
      <w:start w:val="1"/>
      <w:numFmt w:val="lowerRoman"/>
      <w:lvlText w:val="%3."/>
      <w:lvlJc w:val="right"/>
      <w:pPr>
        <w:ind w:left="2508" w:hanging="180"/>
      </w:pPr>
    </w:lvl>
    <w:lvl w:ilvl="3" w:tplc="140C000F" w:tentative="1">
      <w:start w:val="1"/>
      <w:numFmt w:val="decimal"/>
      <w:lvlText w:val="%4."/>
      <w:lvlJc w:val="left"/>
      <w:pPr>
        <w:ind w:left="3228" w:hanging="360"/>
      </w:pPr>
    </w:lvl>
    <w:lvl w:ilvl="4" w:tplc="140C0019" w:tentative="1">
      <w:start w:val="1"/>
      <w:numFmt w:val="lowerLetter"/>
      <w:lvlText w:val="%5."/>
      <w:lvlJc w:val="left"/>
      <w:pPr>
        <w:ind w:left="3948" w:hanging="360"/>
      </w:pPr>
    </w:lvl>
    <w:lvl w:ilvl="5" w:tplc="140C001B" w:tentative="1">
      <w:start w:val="1"/>
      <w:numFmt w:val="lowerRoman"/>
      <w:lvlText w:val="%6."/>
      <w:lvlJc w:val="right"/>
      <w:pPr>
        <w:ind w:left="4668" w:hanging="180"/>
      </w:pPr>
    </w:lvl>
    <w:lvl w:ilvl="6" w:tplc="140C000F" w:tentative="1">
      <w:start w:val="1"/>
      <w:numFmt w:val="decimal"/>
      <w:lvlText w:val="%7."/>
      <w:lvlJc w:val="left"/>
      <w:pPr>
        <w:ind w:left="5388" w:hanging="360"/>
      </w:pPr>
    </w:lvl>
    <w:lvl w:ilvl="7" w:tplc="140C0019" w:tentative="1">
      <w:start w:val="1"/>
      <w:numFmt w:val="lowerLetter"/>
      <w:lvlText w:val="%8."/>
      <w:lvlJc w:val="left"/>
      <w:pPr>
        <w:ind w:left="6108" w:hanging="360"/>
      </w:pPr>
    </w:lvl>
    <w:lvl w:ilvl="8" w:tplc="140C001B" w:tentative="1">
      <w:start w:val="1"/>
      <w:numFmt w:val="lowerRoman"/>
      <w:lvlText w:val="%9."/>
      <w:lvlJc w:val="right"/>
      <w:pPr>
        <w:ind w:left="6828" w:hanging="180"/>
      </w:pPr>
    </w:lvl>
  </w:abstractNum>
  <w:abstractNum w:abstractNumId="1" w15:restartNumberingAfterBreak="0">
    <w:nsid w:val="442757B3"/>
    <w:multiLevelType w:val="hybridMultilevel"/>
    <w:tmpl w:val="C9EC20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875241789">
    <w:abstractNumId w:val="0"/>
  </w:num>
  <w:num w:numId="2" w16cid:durableId="190513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25"/>
    <w:rsid w:val="00001806"/>
    <w:rsid w:val="00007471"/>
    <w:rsid w:val="000076E5"/>
    <w:rsid w:val="000164BC"/>
    <w:rsid w:val="00025B91"/>
    <w:rsid w:val="00025BAD"/>
    <w:rsid w:val="00027644"/>
    <w:rsid w:val="00034F31"/>
    <w:rsid w:val="000364FC"/>
    <w:rsid w:val="00037E2C"/>
    <w:rsid w:val="00044853"/>
    <w:rsid w:val="00047850"/>
    <w:rsid w:val="00055A65"/>
    <w:rsid w:val="00055D97"/>
    <w:rsid w:val="00062834"/>
    <w:rsid w:val="000D4B41"/>
    <w:rsid w:val="000E7C4C"/>
    <w:rsid w:val="000F2010"/>
    <w:rsid w:val="0011183B"/>
    <w:rsid w:val="00113025"/>
    <w:rsid w:val="001225FD"/>
    <w:rsid w:val="0012427B"/>
    <w:rsid w:val="001254EE"/>
    <w:rsid w:val="00126B64"/>
    <w:rsid w:val="00132777"/>
    <w:rsid w:val="0015215C"/>
    <w:rsid w:val="0016370E"/>
    <w:rsid w:val="0016394D"/>
    <w:rsid w:val="0016463E"/>
    <w:rsid w:val="0017614A"/>
    <w:rsid w:val="00182A32"/>
    <w:rsid w:val="00182A81"/>
    <w:rsid w:val="001B14F5"/>
    <w:rsid w:val="001C24AD"/>
    <w:rsid w:val="001C3197"/>
    <w:rsid w:val="001C4725"/>
    <w:rsid w:val="001C67F3"/>
    <w:rsid w:val="001C7579"/>
    <w:rsid w:val="001D5950"/>
    <w:rsid w:val="001D6504"/>
    <w:rsid w:val="001F0439"/>
    <w:rsid w:val="002074A8"/>
    <w:rsid w:val="00211116"/>
    <w:rsid w:val="00215E29"/>
    <w:rsid w:val="002246A5"/>
    <w:rsid w:val="002247FD"/>
    <w:rsid w:val="00231B2A"/>
    <w:rsid w:val="00240CA3"/>
    <w:rsid w:val="002446E8"/>
    <w:rsid w:val="00245906"/>
    <w:rsid w:val="00250BA4"/>
    <w:rsid w:val="00252623"/>
    <w:rsid w:val="00263905"/>
    <w:rsid w:val="002673AC"/>
    <w:rsid w:val="002855CE"/>
    <w:rsid w:val="002929AC"/>
    <w:rsid w:val="0029394E"/>
    <w:rsid w:val="002A6F70"/>
    <w:rsid w:val="002B0F08"/>
    <w:rsid w:val="002B571A"/>
    <w:rsid w:val="002B63C7"/>
    <w:rsid w:val="002D60F7"/>
    <w:rsid w:val="002F2D06"/>
    <w:rsid w:val="002F6CF2"/>
    <w:rsid w:val="0030529B"/>
    <w:rsid w:val="003111E8"/>
    <w:rsid w:val="00314338"/>
    <w:rsid w:val="003226AC"/>
    <w:rsid w:val="00327790"/>
    <w:rsid w:val="003404AB"/>
    <w:rsid w:val="00345BC5"/>
    <w:rsid w:val="0035037D"/>
    <w:rsid w:val="00353009"/>
    <w:rsid w:val="00355D26"/>
    <w:rsid w:val="003561B9"/>
    <w:rsid w:val="003651E5"/>
    <w:rsid w:val="0036641D"/>
    <w:rsid w:val="00372C8F"/>
    <w:rsid w:val="0037659F"/>
    <w:rsid w:val="00383991"/>
    <w:rsid w:val="00386868"/>
    <w:rsid w:val="0039265D"/>
    <w:rsid w:val="00393A70"/>
    <w:rsid w:val="003A49A5"/>
    <w:rsid w:val="003A5110"/>
    <w:rsid w:val="003B5AB8"/>
    <w:rsid w:val="003C040E"/>
    <w:rsid w:val="003C551C"/>
    <w:rsid w:val="003F0F94"/>
    <w:rsid w:val="004016AD"/>
    <w:rsid w:val="004026DE"/>
    <w:rsid w:val="00413D9C"/>
    <w:rsid w:val="00417CBE"/>
    <w:rsid w:val="00425AF7"/>
    <w:rsid w:val="00427513"/>
    <w:rsid w:val="00430600"/>
    <w:rsid w:val="00432B2C"/>
    <w:rsid w:val="00436EE8"/>
    <w:rsid w:val="00442E34"/>
    <w:rsid w:val="00463067"/>
    <w:rsid w:val="00471839"/>
    <w:rsid w:val="00477F2D"/>
    <w:rsid w:val="0048026C"/>
    <w:rsid w:val="0048145F"/>
    <w:rsid w:val="00481B5E"/>
    <w:rsid w:val="004918D0"/>
    <w:rsid w:val="00493B16"/>
    <w:rsid w:val="004A0398"/>
    <w:rsid w:val="004A6B3E"/>
    <w:rsid w:val="004C0802"/>
    <w:rsid w:val="004C346D"/>
    <w:rsid w:val="004C6934"/>
    <w:rsid w:val="004E1890"/>
    <w:rsid w:val="004F37DD"/>
    <w:rsid w:val="0050241D"/>
    <w:rsid w:val="00512593"/>
    <w:rsid w:val="00513AED"/>
    <w:rsid w:val="005371E9"/>
    <w:rsid w:val="00542192"/>
    <w:rsid w:val="0054673E"/>
    <w:rsid w:val="00547F3F"/>
    <w:rsid w:val="0055076B"/>
    <w:rsid w:val="0055636E"/>
    <w:rsid w:val="00557B1B"/>
    <w:rsid w:val="00557EB8"/>
    <w:rsid w:val="00561DF7"/>
    <w:rsid w:val="00562920"/>
    <w:rsid w:val="00564779"/>
    <w:rsid w:val="00565AE4"/>
    <w:rsid w:val="005702B6"/>
    <w:rsid w:val="00572662"/>
    <w:rsid w:val="00580813"/>
    <w:rsid w:val="00595D83"/>
    <w:rsid w:val="00596A92"/>
    <w:rsid w:val="005972A4"/>
    <w:rsid w:val="005A5AC3"/>
    <w:rsid w:val="005A7A5D"/>
    <w:rsid w:val="005C1EE3"/>
    <w:rsid w:val="005C24BE"/>
    <w:rsid w:val="005C3822"/>
    <w:rsid w:val="005C4228"/>
    <w:rsid w:val="005D2A59"/>
    <w:rsid w:val="005D48E3"/>
    <w:rsid w:val="005E2CF1"/>
    <w:rsid w:val="005F4008"/>
    <w:rsid w:val="00601D77"/>
    <w:rsid w:val="00602206"/>
    <w:rsid w:val="00602C28"/>
    <w:rsid w:val="006033E3"/>
    <w:rsid w:val="00603796"/>
    <w:rsid w:val="00612BC6"/>
    <w:rsid w:val="00613026"/>
    <w:rsid w:val="00635154"/>
    <w:rsid w:val="006352A3"/>
    <w:rsid w:val="00653816"/>
    <w:rsid w:val="006556ED"/>
    <w:rsid w:val="006568A0"/>
    <w:rsid w:val="00660228"/>
    <w:rsid w:val="0066061A"/>
    <w:rsid w:val="006765B6"/>
    <w:rsid w:val="00683953"/>
    <w:rsid w:val="006947FD"/>
    <w:rsid w:val="00694F8F"/>
    <w:rsid w:val="006B04B4"/>
    <w:rsid w:val="006B1844"/>
    <w:rsid w:val="006D36B6"/>
    <w:rsid w:val="006E6BAE"/>
    <w:rsid w:val="00704F63"/>
    <w:rsid w:val="00710DFE"/>
    <w:rsid w:val="00717E5E"/>
    <w:rsid w:val="007207CF"/>
    <w:rsid w:val="00722311"/>
    <w:rsid w:val="00725867"/>
    <w:rsid w:val="00731AFB"/>
    <w:rsid w:val="0075649E"/>
    <w:rsid w:val="00766B11"/>
    <w:rsid w:val="00782DAE"/>
    <w:rsid w:val="007845E4"/>
    <w:rsid w:val="007865B1"/>
    <w:rsid w:val="0079716B"/>
    <w:rsid w:val="007977E9"/>
    <w:rsid w:val="007A4326"/>
    <w:rsid w:val="007A4686"/>
    <w:rsid w:val="007A53C3"/>
    <w:rsid w:val="007B214E"/>
    <w:rsid w:val="007B231A"/>
    <w:rsid w:val="007B55D0"/>
    <w:rsid w:val="007C6BE3"/>
    <w:rsid w:val="007D167D"/>
    <w:rsid w:val="007D1CA1"/>
    <w:rsid w:val="007D24A9"/>
    <w:rsid w:val="007D385D"/>
    <w:rsid w:val="007F4BD8"/>
    <w:rsid w:val="007F50AB"/>
    <w:rsid w:val="007F7277"/>
    <w:rsid w:val="008049B2"/>
    <w:rsid w:val="008073C2"/>
    <w:rsid w:val="00810E8A"/>
    <w:rsid w:val="00817E80"/>
    <w:rsid w:val="00827899"/>
    <w:rsid w:val="00840C8E"/>
    <w:rsid w:val="00844784"/>
    <w:rsid w:val="0086732E"/>
    <w:rsid w:val="00874F89"/>
    <w:rsid w:val="00883D06"/>
    <w:rsid w:val="00887E45"/>
    <w:rsid w:val="0089696F"/>
    <w:rsid w:val="008A0D9F"/>
    <w:rsid w:val="008A2610"/>
    <w:rsid w:val="008B5EBD"/>
    <w:rsid w:val="008C4191"/>
    <w:rsid w:val="008C7BE4"/>
    <w:rsid w:val="008D41CA"/>
    <w:rsid w:val="008E06FB"/>
    <w:rsid w:val="008E5258"/>
    <w:rsid w:val="008F5AB4"/>
    <w:rsid w:val="008F674E"/>
    <w:rsid w:val="008F6B57"/>
    <w:rsid w:val="009002B8"/>
    <w:rsid w:val="00906C73"/>
    <w:rsid w:val="00906FF8"/>
    <w:rsid w:val="00911B1E"/>
    <w:rsid w:val="0091626E"/>
    <w:rsid w:val="009309D2"/>
    <w:rsid w:val="00943F6F"/>
    <w:rsid w:val="00944813"/>
    <w:rsid w:val="00947EA6"/>
    <w:rsid w:val="00952473"/>
    <w:rsid w:val="00953571"/>
    <w:rsid w:val="0095507C"/>
    <w:rsid w:val="009552C8"/>
    <w:rsid w:val="009766A7"/>
    <w:rsid w:val="009A3955"/>
    <w:rsid w:val="009A52C4"/>
    <w:rsid w:val="009B4475"/>
    <w:rsid w:val="009C7BA5"/>
    <w:rsid w:val="009C7F62"/>
    <w:rsid w:val="009D58EF"/>
    <w:rsid w:val="00A22DDB"/>
    <w:rsid w:val="00A2486F"/>
    <w:rsid w:val="00A3789B"/>
    <w:rsid w:val="00A4373E"/>
    <w:rsid w:val="00A44872"/>
    <w:rsid w:val="00A479F0"/>
    <w:rsid w:val="00A5168D"/>
    <w:rsid w:val="00A561D7"/>
    <w:rsid w:val="00A7032B"/>
    <w:rsid w:val="00A70D41"/>
    <w:rsid w:val="00A75B4D"/>
    <w:rsid w:val="00A7790A"/>
    <w:rsid w:val="00A81002"/>
    <w:rsid w:val="00A83815"/>
    <w:rsid w:val="00A85AC5"/>
    <w:rsid w:val="00A93B7E"/>
    <w:rsid w:val="00A95173"/>
    <w:rsid w:val="00AA04BC"/>
    <w:rsid w:val="00AA7DC6"/>
    <w:rsid w:val="00AB43FF"/>
    <w:rsid w:val="00AB495E"/>
    <w:rsid w:val="00AB5A3F"/>
    <w:rsid w:val="00AD1491"/>
    <w:rsid w:val="00AD77B4"/>
    <w:rsid w:val="00AE5AFE"/>
    <w:rsid w:val="00AF00C6"/>
    <w:rsid w:val="00AF465A"/>
    <w:rsid w:val="00B23C1A"/>
    <w:rsid w:val="00B25F37"/>
    <w:rsid w:val="00B42F0E"/>
    <w:rsid w:val="00B43E29"/>
    <w:rsid w:val="00B45E0D"/>
    <w:rsid w:val="00B51EA8"/>
    <w:rsid w:val="00B55DDD"/>
    <w:rsid w:val="00B55E11"/>
    <w:rsid w:val="00B56129"/>
    <w:rsid w:val="00B607F1"/>
    <w:rsid w:val="00B626E0"/>
    <w:rsid w:val="00B914E5"/>
    <w:rsid w:val="00B92E99"/>
    <w:rsid w:val="00B970AD"/>
    <w:rsid w:val="00BB6E43"/>
    <w:rsid w:val="00BC7482"/>
    <w:rsid w:val="00BF30B5"/>
    <w:rsid w:val="00C11F70"/>
    <w:rsid w:val="00C240B9"/>
    <w:rsid w:val="00C2733A"/>
    <w:rsid w:val="00C27AB1"/>
    <w:rsid w:val="00C33234"/>
    <w:rsid w:val="00C377EC"/>
    <w:rsid w:val="00C37C6D"/>
    <w:rsid w:val="00C40BBD"/>
    <w:rsid w:val="00C51A53"/>
    <w:rsid w:val="00C61330"/>
    <w:rsid w:val="00C718E2"/>
    <w:rsid w:val="00C8201E"/>
    <w:rsid w:val="00CA156E"/>
    <w:rsid w:val="00CA4F47"/>
    <w:rsid w:val="00CA76A5"/>
    <w:rsid w:val="00CB37A4"/>
    <w:rsid w:val="00CB493B"/>
    <w:rsid w:val="00CC48F3"/>
    <w:rsid w:val="00CC4AA8"/>
    <w:rsid w:val="00CE4FDA"/>
    <w:rsid w:val="00CF00CE"/>
    <w:rsid w:val="00CF2A19"/>
    <w:rsid w:val="00CF730A"/>
    <w:rsid w:val="00D14314"/>
    <w:rsid w:val="00D20145"/>
    <w:rsid w:val="00D21B4A"/>
    <w:rsid w:val="00D3184C"/>
    <w:rsid w:val="00D41B65"/>
    <w:rsid w:val="00D42A94"/>
    <w:rsid w:val="00D4428F"/>
    <w:rsid w:val="00D50CBE"/>
    <w:rsid w:val="00D50FD3"/>
    <w:rsid w:val="00D84D21"/>
    <w:rsid w:val="00D946EF"/>
    <w:rsid w:val="00DA1D55"/>
    <w:rsid w:val="00DA5E1C"/>
    <w:rsid w:val="00DA7E66"/>
    <w:rsid w:val="00DB0B86"/>
    <w:rsid w:val="00DB0BBE"/>
    <w:rsid w:val="00DB6F36"/>
    <w:rsid w:val="00DB7452"/>
    <w:rsid w:val="00DC31BF"/>
    <w:rsid w:val="00DD07F9"/>
    <w:rsid w:val="00DD7054"/>
    <w:rsid w:val="00DE24BB"/>
    <w:rsid w:val="00DE75AF"/>
    <w:rsid w:val="00E00A4A"/>
    <w:rsid w:val="00E01141"/>
    <w:rsid w:val="00E0119A"/>
    <w:rsid w:val="00E038F1"/>
    <w:rsid w:val="00E053E1"/>
    <w:rsid w:val="00E119F9"/>
    <w:rsid w:val="00E23E86"/>
    <w:rsid w:val="00E32D75"/>
    <w:rsid w:val="00E32E94"/>
    <w:rsid w:val="00E43938"/>
    <w:rsid w:val="00E56DF5"/>
    <w:rsid w:val="00E61FD1"/>
    <w:rsid w:val="00E625B2"/>
    <w:rsid w:val="00E6721E"/>
    <w:rsid w:val="00E736AF"/>
    <w:rsid w:val="00E749DD"/>
    <w:rsid w:val="00E809D9"/>
    <w:rsid w:val="00E811E0"/>
    <w:rsid w:val="00E850B9"/>
    <w:rsid w:val="00E874A1"/>
    <w:rsid w:val="00E947B8"/>
    <w:rsid w:val="00E94F69"/>
    <w:rsid w:val="00EA2553"/>
    <w:rsid w:val="00EA3EE6"/>
    <w:rsid w:val="00EA4EBB"/>
    <w:rsid w:val="00EA7B5F"/>
    <w:rsid w:val="00EC264A"/>
    <w:rsid w:val="00ED657B"/>
    <w:rsid w:val="00EE4B91"/>
    <w:rsid w:val="00EE4E2A"/>
    <w:rsid w:val="00F22616"/>
    <w:rsid w:val="00F24A3C"/>
    <w:rsid w:val="00F35205"/>
    <w:rsid w:val="00F4578C"/>
    <w:rsid w:val="00F5230C"/>
    <w:rsid w:val="00F61F03"/>
    <w:rsid w:val="00F63235"/>
    <w:rsid w:val="00F76C50"/>
    <w:rsid w:val="00F823A9"/>
    <w:rsid w:val="00F8278B"/>
    <w:rsid w:val="00F84E85"/>
    <w:rsid w:val="00F9052A"/>
    <w:rsid w:val="00F94E48"/>
    <w:rsid w:val="00FA4CF2"/>
    <w:rsid w:val="00FB0495"/>
    <w:rsid w:val="00FC530C"/>
    <w:rsid w:val="00FD2A67"/>
    <w:rsid w:val="00FD410D"/>
    <w:rsid w:val="00FD53A2"/>
    <w:rsid w:val="00FE09DB"/>
    <w:rsid w:val="00FE6735"/>
    <w:rsid w:val="00FE6973"/>
    <w:rsid w:val="00FF6CC3"/>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2DB6"/>
  <w15:chartTrackingRefBased/>
  <w15:docId w15:val="{310D2723-AE20-4763-9AE1-306CA761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6AC"/>
    <w:pPr>
      <w:jc w:val="both"/>
    </w:pPr>
    <w:rPr>
      <w:rFonts w:ascii="Garamond" w:hAnsi="Garamond"/>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1C4725"/>
    <w:pPr>
      <w:spacing w:after="0" w:line="240" w:lineRule="auto"/>
    </w:pPr>
    <w:rPr>
      <w:sz w:val="20"/>
      <w:szCs w:val="20"/>
    </w:rPr>
  </w:style>
  <w:style w:type="character" w:customStyle="1" w:styleId="NotedebasdepageCar">
    <w:name w:val="Note de bas de page Car"/>
    <w:basedOn w:val="Policepardfaut"/>
    <w:link w:val="Notedebasdepage"/>
    <w:rsid w:val="001C4725"/>
    <w:rPr>
      <w:rFonts w:ascii="Times New Roman" w:hAnsi="Times New Roman"/>
      <w:sz w:val="20"/>
      <w:szCs w:val="20"/>
      <w:lang w:val="fr-FR"/>
    </w:rPr>
  </w:style>
  <w:style w:type="character" w:styleId="Appelnotedebasdep">
    <w:name w:val="footnote reference"/>
    <w:basedOn w:val="Policepardfaut"/>
    <w:uiPriority w:val="99"/>
    <w:unhideWhenUsed/>
    <w:rsid w:val="001C4725"/>
    <w:rPr>
      <w:vertAlign w:val="superscript"/>
    </w:rPr>
  </w:style>
  <w:style w:type="paragraph" w:styleId="Citation">
    <w:name w:val="Quote"/>
    <w:basedOn w:val="Normal"/>
    <w:next w:val="Normal"/>
    <w:link w:val="CitationCar"/>
    <w:uiPriority w:val="29"/>
    <w:qFormat/>
    <w:rsid w:val="001C4725"/>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1C4725"/>
    <w:rPr>
      <w:rFonts w:ascii="Times New Roman" w:hAnsi="Times New Roman"/>
      <w:i/>
      <w:iCs/>
      <w:color w:val="404040" w:themeColor="text1" w:themeTint="BF"/>
      <w:sz w:val="24"/>
      <w:lang w:val="fr-FR"/>
    </w:rPr>
  </w:style>
  <w:style w:type="paragraph" w:styleId="Paragraphedeliste">
    <w:name w:val="List Paragraph"/>
    <w:basedOn w:val="Normal"/>
    <w:uiPriority w:val="34"/>
    <w:qFormat/>
    <w:rsid w:val="00BB6E43"/>
    <w:pPr>
      <w:ind w:left="720"/>
      <w:contextualSpacing/>
    </w:pPr>
  </w:style>
  <w:style w:type="paragraph" w:styleId="En-tte">
    <w:name w:val="header"/>
    <w:basedOn w:val="Normal"/>
    <w:link w:val="En-tteCar"/>
    <w:uiPriority w:val="99"/>
    <w:unhideWhenUsed/>
    <w:rsid w:val="00FE6973"/>
    <w:pPr>
      <w:tabs>
        <w:tab w:val="center" w:pos="4513"/>
        <w:tab w:val="right" w:pos="9026"/>
      </w:tabs>
      <w:spacing w:after="0" w:line="240" w:lineRule="auto"/>
    </w:pPr>
  </w:style>
  <w:style w:type="character" w:customStyle="1" w:styleId="En-tteCar">
    <w:name w:val="En-tête Car"/>
    <w:basedOn w:val="Policepardfaut"/>
    <w:link w:val="En-tte"/>
    <w:uiPriority w:val="99"/>
    <w:rsid w:val="00FE6973"/>
    <w:rPr>
      <w:rFonts w:ascii="Times New Roman" w:hAnsi="Times New Roman"/>
      <w:sz w:val="24"/>
      <w:lang w:val="fr-FR"/>
    </w:rPr>
  </w:style>
  <w:style w:type="paragraph" w:styleId="Pieddepage">
    <w:name w:val="footer"/>
    <w:basedOn w:val="Normal"/>
    <w:link w:val="PieddepageCar"/>
    <w:uiPriority w:val="99"/>
    <w:unhideWhenUsed/>
    <w:rsid w:val="00FE697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E6973"/>
    <w:rPr>
      <w:rFonts w:ascii="Times New Roman" w:hAnsi="Times New Roman"/>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0634-B127-40BA-B354-6716342D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4641</Words>
  <Characters>25529</Characters>
  <Application>Microsoft Office Word</Application>
  <DocSecurity>0</DocSecurity>
  <Lines>212</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SAINTES</dc:creator>
  <cp:keywords/>
  <dc:description/>
  <cp:lastModifiedBy>Laetitia SAINTES</cp:lastModifiedBy>
  <cp:revision>174</cp:revision>
  <dcterms:created xsi:type="dcterms:W3CDTF">2022-02-08T15:02:00Z</dcterms:created>
  <dcterms:modified xsi:type="dcterms:W3CDTF">2022-05-10T11:57:00Z</dcterms:modified>
</cp:coreProperties>
</file>