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976CD" w14:textId="52502DC4"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bCs/>
          <w:sz w:val="20"/>
          <w:szCs w:val="20"/>
          <w:lang w:val="fr-FR" w:eastAsia="en-GB"/>
        </w:rPr>
      </w:pPr>
      <w:r w:rsidRPr="003D580E">
        <w:rPr>
          <w:rFonts w:ascii="Nobel-Regular" w:eastAsia="Times New Roman" w:hAnsi="Nobel-Regular" w:cs="Nobel-Regular"/>
          <w:noProof/>
          <w:sz w:val="24"/>
          <w:szCs w:val="24"/>
          <w:lang w:val="fr-FR"/>
        </w:rPr>
        <w:drawing>
          <wp:inline distT="0" distB="0" distL="0" distR="0" wp14:anchorId="48309431" wp14:editId="4CD2E962">
            <wp:extent cx="958850" cy="85090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58850" cy="850900"/>
                    </a:xfrm>
                    <a:prstGeom prst="rect">
                      <a:avLst/>
                    </a:prstGeom>
                    <a:noFill/>
                    <a:ln>
                      <a:noFill/>
                    </a:ln>
                  </pic:spPr>
                </pic:pic>
              </a:graphicData>
            </a:graphic>
          </wp:inline>
        </w:drawing>
      </w:r>
    </w:p>
    <w:p w14:paraId="740F8CA2"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color w:val="000000"/>
          <w:sz w:val="20"/>
          <w:szCs w:val="20"/>
          <w:lang w:val="fr-FR" w:eastAsia="en-GB"/>
        </w:rPr>
      </w:pPr>
    </w:p>
    <w:p w14:paraId="13930DDA" w14:textId="77777777"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sz w:val="20"/>
          <w:szCs w:val="20"/>
          <w:lang w:eastAsia="en-GB"/>
        </w:rPr>
      </w:pPr>
      <w:r w:rsidRPr="003D580E">
        <w:rPr>
          <w:rFonts w:ascii="Nobel-Regular" w:eastAsia="Times New Roman" w:hAnsi="Nobel-Regular" w:cs="Times New Roman"/>
          <w:sz w:val="20"/>
          <w:szCs w:val="20"/>
        </w:rPr>
        <w:t>PhD-FSTM-2023-044</w:t>
      </w:r>
    </w:p>
    <w:p w14:paraId="0B87265C" w14:textId="2AF35564"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0"/>
          <w:szCs w:val="20"/>
          <w:lang w:eastAsia="en-GB"/>
        </w:rPr>
      </w:pPr>
      <w:r w:rsidRPr="003D580E">
        <w:rPr>
          <w:rFonts w:ascii="Nobel-Regular" w:eastAsia="Times New Roman" w:hAnsi="Nobel-Regular" w:cs="Times New Roman"/>
          <w:sz w:val="20"/>
          <w:szCs w:val="20"/>
        </w:rPr>
        <w:t>The Faculty of Science, Technology and Medicine</w:t>
      </w:r>
    </w:p>
    <w:p w14:paraId="5AD759CF"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40"/>
          <w:szCs w:val="40"/>
          <w:lang w:eastAsia="en-GB"/>
        </w:rPr>
      </w:pPr>
    </w:p>
    <w:p w14:paraId="129D317E" w14:textId="77777777"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bCs/>
          <w:sz w:val="36"/>
          <w:szCs w:val="36"/>
          <w:lang w:eastAsia="en-GB"/>
        </w:rPr>
      </w:pPr>
      <w:r w:rsidRPr="003D580E">
        <w:rPr>
          <w:rFonts w:ascii="Nobel-Regular" w:eastAsia="Times New Roman" w:hAnsi="Nobel-Regular" w:cs="Nobel-Regular"/>
          <w:bCs/>
          <w:sz w:val="36"/>
          <w:szCs w:val="36"/>
          <w:lang w:eastAsia="en-GB"/>
        </w:rPr>
        <w:t>DISSERTATION</w:t>
      </w:r>
    </w:p>
    <w:p w14:paraId="338079B4" w14:textId="77777777"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bCs/>
          <w:sz w:val="32"/>
          <w:szCs w:val="32"/>
          <w:lang w:eastAsia="en-GB"/>
        </w:rPr>
      </w:pPr>
    </w:p>
    <w:p w14:paraId="62C9BA71"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4"/>
          <w:szCs w:val="24"/>
          <w:lang w:eastAsia="en-GB"/>
        </w:rPr>
      </w:pPr>
      <w:proofErr w:type="spellStart"/>
      <w:r w:rsidRPr="003D580E">
        <w:rPr>
          <w:rFonts w:ascii="Nobel-Regular" w:eastAsia="Times New Roman" w:hAnsi="Nobel-Regular" w:cs="Nobel-Regular"/>
          <w:bCs/>
          <w:sz w:val="24"/>
          <w:szCs w:val="24"/>
          <w:lang w:eastAsia="en-GB"/>
        </w:rPr>
        <w:t>Defence</w:t>
      </w:r>
      <w:proofErr w:type="spellEnd"/>
      <w:r w:rsidRPr="003D580E">
        <w:rPr>
          <w:rFonts w:ascii="Nobel-Regular" w:eastAsia="Times New Roman" w:hAnsi="Nobel-Regular" w:cs="Nobel-Regular"/>
          <w:bCs/>
          <w:sz w:val="24"/>
          <w:szCs w:val="24"/>
          <w:lang w:eastAsia="en-GB"/>
        </w:rPr>
        <w:t xml:space="preserve"> held on 15/05/2023 in Esch-sur-Alzette</w:t>
      </w:r>
    </w:p>
    <w:p w14:paraId="700268E6"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0"/>
          <w:szCs w:val="20"/>
          <w:lang w:eastAsia="en-GB"/>
        </w:rPr>
      </w:pPr>
    </w:p>
    <w:p w14:paraId="56539784" w14:textId="08C3B8BF" w:rsidR="003D580E" w:rsidRDefault="003D580E" w:rsidP="003D580E">
      <w:pPr>
        <w:autoSpaceDE w:val="0"/>
        <w:autoSpaceDN w:val="0"/>
        <w:adjustRightInd w:val="0"/>
        <w:spacing w:after="0" w:line="240" w:lineRule="auto"/>
        <w:ind w:firstLine="0"/>
        <w:jc w:val="center"/>
        <w:rPr>
          <w:rFonts w:ascii="Nobel-Regular" w:eastAsia="Times New Roman" w:hAnsi="Nobel-Regular" w:cs="Nobel-Regular"/>
          <w:sz w:val="24"/>
          <w:szCs w:val="24"/>
          <w:lang w:eastAsia="en-GB"/>
        </w:rPr>
      </w:pPr>
      <w:r w:rsidRPr="003D580E">
        <w:rPr>
          <w:rFonts w:ascii="Nobel-Regular" w:eastAsia="Times New Roman" w:hAnsi="Nobel-Regular" w:cs="Nobel-Regular"/>
          <w:sz w:val="24"/>
          <w:szCs w:val="24"/>
          <w:lang w:eastAsia="en-GB"/>
        </w:rPr>
        <w:t>to obtain the degree of</w:t>
      </w:r>
      <w:r w:rsidRPr="003D580E">
        <w:rPr>
          <w:rFonts w:ascii="Nobel-Regular" w:eastAsia="Times New Roman" w:hAnsi="Nobel-Regular" w:cs="Nobel-Regular"/>
          <w:sz w:val="24"/>
          <w:szCs w:val="24"/>
          <w:lang w:eastAsia="en-GB"/>
        </w:rPr>
        <w:br/>
      </w:r>
      <w:r w:rsidRPr="003D580E">
        <w:rPr>
          <w:rFonts w:ascii="Nobel-Regular" w:eastAsia="Times New Roman" w:hAnsi="Nobel-Regular" w:cs="Nobel-Regular"/>
          <w:sz w:val="24"/>
          <w:szCs w:val="24"/>
          <w:highlight w:val="yellow"/>
          <w:lang w:eastAsia="en-GB"/>
        </w:rPr>
        <w:t xml:space="preserve"> </w:t>
      </w:r>
    </w:p>
    <w:p w14:paraId="57932491"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sz w:val="20"/>
          <w:szCs w:val="20"/>
          <w:lang w:eastAsia="en-GB"/>
        </w:rPr>
      </w:pPr>
    </w:p>
    <w:p w14:paraId="5FE897D7"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36"/>
          <w:szCs w:val="36"/>
          <w:lang w:val="fr-FR" w:eastAsia="en-GB"/>
        </w:rPr>
      </w:pPr>
      <w:r w:rsidRPr="003D580E">
        <w:rPr>
          <w:rFonts w:ascii="Nobel-Regular" w:eastAsia="Times New Roman" w:hAnsi="Nobel-Regular" w:cs="Nobel-Regular"/>
          <w:bCs/>
          <w:sz w:val="36"/>
          <w:szCs w:val="36"/>
          <w:lang w:val="fr-FR" w:eastAsia="en-GB"/>
        </w:rPr>
        <w:t>DOCTEUR DE L’UNIVERSITÉ DU LUXEMBOURG</w:t>
      </w:r>
    </w:p>
    <w:p w14:paraId="7915FABA"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4"/>
          <w:szCs w:val="24"/>
          <w:lang w:val="fr-FR" w:eastAsia="en-GB"/>
        </w:rPr>
      </w:pPr>
    </w:p>
    <w:p w14:paraId="5B40B9CA" w14:textId="77777777"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bCs/>
          <w:sz w:val="36"/>
          <w:szCs w:val="36"/>
          <w:lang w:eastAsia="en-GB"/>
        </w:rPr>
      </w:pPr>
      <w:r w:rsidRPr="003D580E">
        <w:rPr>
          <w:rFonts w:ascii="Nobel-Regular" w:eastAsia="Times New Roman" w:hAnsi="Nobel-Regular" w:cs="Nobel-Regular"/>
          <w:bCs/>
          <w:sz w:val="36"/>
          <w:szCs w:val="36"/>
          <w:lang w:eastAsia="en-GB"/>
        </w:rPr>
        <w:t>EN BIOLOGIE</w:t>
      </w:r>
    </w:p>
    <w:p w14:paraId="5D245CE9"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0"/>
          <w:szCs w:val="20"/>
          <w:lang w:eastAsia="en-GB"/>
        </w:rPr>
      </w:pPr>
    </w:p>
    <w:p w14:paraId="570D5160"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8"/>
          <w:szCs w:val="28"/>
          <w:lang w:eastAsia="en-GB"/>
        </w:rPr>
      </w:pPr>
      <w:r w:rsidRPr="003D580E">
        <w:rPr>
          <w:rFonts w:ascii="Nobel-Regular" w:eastAsia="Times New Roman" w:hAnsi="Nobel-Regular" w:cs="Nobel-Regular"/>
          <w:bCs/>
          <w:sz w:val="28"/>
          <w:szCs w:val="28"/>
          <w:lang w:eastAsia="en-GB"/>
        </w:rPr>
        <w:t>by</w:t>
      </w:r>
    </w:p>
    <w:p w14:paraId="34F7BDF2"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0"/>
          <w:szCs w:val="20"/>
          <w:lang w:eastAsia="en-GB"/>
        </w:rPr>
      </w:pPr>
    </w:p>
    <w:p w14:paraId="1F3EC03D" w14:textId="77777777" w:rsidR="003D580E" w:rsidRPr="003D580E" w:rsidRDefault="003D580E" w:rsidP="003D580E">
      <w:pPr>
        <w:autoSpaceDE w:val="0"/>
        <w:autoSpaceDN w:val="0"/>
        <w:adjustRightInd w:val="0"/>
        <w:spacing w:after="0" w:line="240" w:lineRule="auto"/>
        <w:ind w:firstLine="0"/>
        <w:jc w:val="center"/>
        <w:outlineLvl w:val="0"/>
        <w:rPr>
          <w:rFonts w:ascii="Nobel-Regular" w:eastAsia="Times New Roman" w:hAnsi="Nobel-Regular" w:cs="Nobel-Regular"/>
          <w:bCs/>
          <w:sz w:val="36"/>
          <w:szCs w:val="36"/>
          <w:lang w:eastAsia="en-GB"/>
        </w:rPr>
      </w:pPr>
      <w:r w:rsidRPr="003D580E">
        <w:rPr>
          <w:rFonts w:ascii="Nobel-Regular" w:eastAsia="Times New Roman" w:hAnsi="Nobel-Regular" w:cs="Nobel-Regular"/>
          <w:bCs/>
          <w:sz w:val="36"/>
          <w:szCs w:val="36"/>
          <w:lang w:eastAsia="en-GB"/>
        </w:rPr>
        <w:t xml:space="preserve">Alessia </w:t>
      </w:r>
      <w:r w:rsidRPr="003D580E">
        <w:rPr>
          <w:rFonts w:ascii="Nobel-Regular" w:eastAsia="Times New Roman" w:hAnsi="Nobel-Regular" w:cs="Nobel-Regular"/>
          <w:bCs/>
          <w:smallCaps/>
          <w:sz w:val="36"/>
          <w:szCs w:val="36"/>
          <w:lang w:eastAsia="en-GB"/>
        </w:rPr>
        <w:t>SCIORTINO</w:t>
      </w:r>
    </w:p>
    <w:p w14:paraId="45619709"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z w:val="20"/>
          <w:szCs w:val="20"/>
          <w:lang w:eastAsia="en-GB"/>
        </w:rPr>
      </w:pPr>
      <w:r w:rsidRPr="003D580E">
        <w:rPr>
          <w:rFonts w:ascii="Nobel-Regular" w:eastAsia="Times New Roman" w:hAnsi="Nobel-Regular" w:cs="Nobel-Regular"/>
          <w:bCs/>
          <w:sz w:val="20"/>
          <w:szCs w:val="20"/>
          <w:lang w:eastAsia="en-GB"/>
        </w:rPr>
        <w:t>Born on 4 February 1994 in Palermo (Italy)</w:t>
      </w:r>
    </w:p>
    <w:p w14:paraId="4BEC1AEC"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bCs/>
          <w:sz w:val="40"/>
          <w:szCs w:val="40"/>
          <w:lang w:val="en-GB" w:eastAsia="en-GB"/>
        </w:rPr>
      </w:pPr>
    </w:p>
    <w:p w14:paraId="3BD1A3BB"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mallCaps/>
          <w:sz w:val="40"/>
          <w:szCs w:val="40"/>
          <w:lang w:val="en-GB" w:eastAsia="en-GB"/>
        </w:rPr>
      </w:pPr>
      <w:r w:rsidRPr="003D580E">
        <w:rPr>
          <w:rFonts w:ascii="Nobel-Regular" w:eastAsia="Times New Roman" w:hAnsi="Nobel-Regular" w:cs="Nobel-Regular"/>
          <w:bCs/>
          <w:smallCaps/>
          <w:sz w:val="40"/>
          <w:szCs w:val="40"/>
          <w:lang w:val="en-GB" w:eastAsia="en-GB"/>
        </w:rPr>
        <w:t>Unravelling the Early Pathological Mechanisms in Parkinson’s Disease:</w:t>
      </w:r>
    </w:p>
    <w:p w14:paraId="74830829" w14:textId="77777777" w:rsidR="003D580E" w:rsidRPr="003D580E" w:rsidRDefault="003D580E" w:rsidP="003D580E">
      <w:pPr>
        <w:autoSpaceDE w:val="0"/>
        <w:autoSpaceDN w:val="0"/>
        <w:adjustRightInd w:val="0"/>
        <w:spacing w:after="0" w:line="240" w:lineRule="auto"/>
        <w:ind w:firstLine="0"/>
        <w:jc w:val="center"/>
        <w:rPr>
          <w:rFonts w:ascii="Nobel-Regular" w:eastAsia="Times New Roman" w:hAnsi="Nobel-Regular" w:cs="Nobel-Regular"/>
          <w:bCs/>
          <w:smallCaps/>
          <w:color w:val="3366FF"/>
          <w:sz w:val="40"/>
          <w:szCs w:val="40"/>
          <w:lang w:val="fr-FR" w:eastAsia="en-GB"/>
        </w:rPr>
      </w:pPr>
      <w:r w:rsidRPr="003D580E">
        <w:rPr>
          <w:rFonts w:ascii="Nobel-Regular" w:eastAsia="Times New Roman" w:hAnsi="Nobel-Regular" w:cs="Nobel-Regular"/>
          <w:bCs/>
          <w:smallCaps/>
          <w:sz w:val="40"/>
          <w:szCs w:val="40"/>
          <w:lang w:val="en-GB" w:eastAsia="en-GB"/>
        </w:rPr>
        <w:t>Insights from Alpha-Synuclein Dependent and Independent Models</w:t>
      </w:r>
    </w:p>
    <w:p w14:paraId="61DCF4D1"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Cs/>
          <w:color w:val="3366FF"/>
          <w:sz w:val="40"/>
          <w:szCs w:val="40"/>
          <w:lang w:val="en-GB" w:eastAsia="en-GB"/>
        </w:rPr>
      </w:pPr>
    </w:p>
    <w:p w14:paraId="74A8F3BA"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bCs/>
          <w:color w:val="000000"/>
          <w:sz w:val="24"/>
          <w:szCs w:val="24"/>
          <w:lang w:eastAsia="en-GB"/>
        </w:rPr>
      </w:pPr>
      <w:r w:rsidRPr="003D580E">
        <w:rPr>
          <w:rFonts w:ascii="Nobel-Regular" w:eastAsia="Times New Roman" w:hAnsi="Nobel-Regular" w:cs="Nobel-Regular"/>
          <w:bCs/>
          <w:color w:val="000000"/>
          <w:sz w:val="36"/>
          <w:szCs w:val="36"/>
          <w:lang w:eastAsia="en-GB"/>
        </w:rPr>
        <w:t xml:space="preserve">Dissertation </w:t>
      </w:r>
      <w:proofErr w:type="spellStart"/>
      <w:r w:rsidRPr="003D580E">
        <w:rPr>
          <w:rFonts w:ascii="Nobel-Regular" w:eastAsia="Times New Roman" w:hAnsi="Nobel-Regular" w:cs="Nobel-Regular"/>
          <w:bCs/>
          <w:color w:val="000000"/>
          <w:sz w:val="36"/>
          <w:szCs w:val="36"/>
          <w:lang w:eastAsia="en-GB"/>
        </w:rPr>
        <w:t>defence</w:t>
      </w:r>
      <w:proofErr w:type="spellEnd"/>
      <w:r w:rsidRPr="003D580E">
        <w:rPr>
          <w:rFonts w:ascii="Nobel-Regular" w:eastAsia="Times New Roman" w:hAnsi="Nobel-Regular" w:cs="Nobel-Regular"/>
          <w:bCs/>
          <w:color w:val="000000"/>
          <w:sz w:val="36"/>
          <w:szCs w:val="36"/>
          <w:lang w:eastAsia="en-GB"/>
        </w:rPr>
        <w:t xml:space="preserve"> committee</w:t>
      </w:r>
    </w:p>
    <w:p w14:paraId="109B25CD" w14:textId="77777777" w:rsidR="003D580E" w:rsidRPr="003D580E" w:rsidRDefault="003D580E" w:rsidP="003D580E">
      <w:pPr>
        <w:autoSpaceDE w:val="0"/>
        <w:autoSpaceDN w:val="0"/>
        <w:adjustRightInd w:val="0"/>
        <w:spacing w:after="0" w:line="240" w:lineRule="auto"/>
        <w:ind w:firstLine="0"/>
        <w:outlineLvl w:val="0"/>
        <w:rPr>
          <w:rFonts w:ascii="Nobel-Regular" w:eastAsia="Times New Roman" w:hAnsi="Nobel-Regular" w:cs="Nobel-Regular"/>
          <w:bCs/>
          <w:color w:val="000000"/>
          <w:sz w:val="24"/>
          <w:szCs w:val="24"/>
          <w:lang w:eastAsia="en-GB"/>
        </w:rPr>
      </w:pPr>
      <w:r w:rsidRPr="003D580E">
        <w:rPr>
          <w:rFonts w:ascii="Nobel-Regular" w:eastAsia="Times New Roman" w:hAnsi="Nobel-Regular" w:cs="Nobel-Regular"/>
          <w:bCs/>
          <w:color w:val="000000"/>
          <w:sz w:val="24"/>
          <w:szCs w:val="24"/>
          <w:lang w:eastAsia="en-GB"/>
        </w:rPr>
        <w:t xml:space="preserve">Dr </w:t>
      </w:r>
      <w:r w:rsidRPr="003D580E">
        <w:rPr>
          <w:rFonts w:ascii="Nobel-Regular" w:eastAsia="Times New Roman" w:hAnsi="Nobel-Regular" w:cs="Nobel-Regular"/>
          <w:color w:val="000000"/>
          <w:sz w:val="24"/>
          <w:szCs w:val="24"/>
          <w:lang w:eastAsia="en-GB"/>
        </w:rPr>
        <w:t>Michel Mittelbronn</w:t>
      </w:r>
      <w:r w:rsidRPr="003D580E">
        <w:rPr>
          <w:rFonts w:ascii="Nobel-Regular" w:eastAsia="Times New Roman" w:hAnsi="Nobel-Regular" w:cs="Nobel-Regular"/>
          <w:bCs/>
          <w:smallCaps/>
          <w:color w:val="000000"/>
          <w:sz w:val="24"/>
          <w:szCs w:val="24"/>
          <w:lang w:eastAsia="en-GB"/>
        </w:rPr>
        <w:t xml:space="preserve">, </w:t>
      </w:r>
      <w:r w:rsidRPr="003D580E">
        <w:rPr>
          <w:rFonts w:ascii="Nobel-Regular" w:eastAsia="Times New Roman" w:hAnsi="Nobel-Regular" w:cs="Nobel-Regular"/>
          <w:bCs/>
          <w:color w:val="000000"/>
          <w:sz w:val="24"/>
          <w:szCs w:val="24"/>
          <w:lang w:eastAsia="en-GB"/>
        </w:rPr>
        <w:t>dissertation supervisor</w:t>
      </w:r>
    </w:p>
    <w:p w14:paraId="2B05ED6F"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fr-FR" w:eastAsia="en-GB"/>
        </w:rPr>
      </w:pPr>
      <w:r w:rsidRPr="003D580E">
        <w:rPr>
          <w:rFonts w:ascii="Nobel-Regular" w:eastAsia="Times New Roman" w:hAnsi="Nobel-Regular" w:cs="Nobel-Regular"/>
          <w:i/>
          <w:iCs/>
          <w:color w:val="000000"/>
          <w:sz w:val="20"/>
          <w:szCs w:val="20"/>
          <w:lang w:val="fr-FR" w:eastAsia="en-GB"/>
        </w:rPr>
        <w:t>Professor, Université du Luxembourg</w:t>
      </w:r>
    </w:p>
    <w:p w14:paraId="1D728B80"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fr-FR" w:eastAsia="en-GB"/>
        </w:rPr>
      </w:pPr>
    </w:p>
    <w:p w14:paraId="4E5E6E9D" w14:textId="77777777" w:rsidR="003D580E" w:rsidRPr="003D580E" w:rsidRDefault="003D580E" w:rsidP="003D580E">
      <w:pPr>
        <w:autoSpaceDE w:val="0"/>
        <w:autoSpaceDN w:val="0"/>
        <w:adjustRightInd w:val="0"/>
        <w:spacing w:after="0" w:line="240" w:lineRule="auto"/>
        <w:ind w:firstLine="0"/>
        <w:outlineLvl w:val="0"/>
        <w:rPr>
          <w:rFonts w:ascii="Nobel-Regular" w:eastAsia="Times New Roman" w:hAnsi="Nobel-Regular" w:cs="Nobel-Regular"/>
          <w:color w:val="000000"/>
          <w:sz w:val="24"/>
          <w:szCs w:val="24"/>
          <w:lang w:val="de-DE" w:eastAsia="en-GB"/>
        </w:rPr>
      </w:pPr>
      <w:r w:rsidRPr="003D580E">
        <w:rPr>
          <w:rFonts w:ascii="Nobel-Regular" w:eastAsia="Times New Roman" w:hAnsi="Nobel-Regular" w:cs="Nobel-Regular"/>
          <w:color w:val="000000"/>
          <w:sz w:val="24"/>
          <w:szCs w:val="24"/>
          <w:lang w:val="de-DE" w:eastAsia="en-GB"/>
        </w:rPr>
        <w:t>Dr Julia Schulze-Hentrich</w:t>
      </w:r>
    </w:p>
    <w:p w14:paraId="17C650F5"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de-DE" w:eastAsia="en-GB"/>
        </w:rPr>
      </w:pPr>
      <w:r w:rsidRPr="003D580E">
        <w:rPr>
          <w:rFonts w:ascii="Nobel-Regular" w:eastAsia="Times New Roman" w:hAnsi="Nobel-Regular" w:cs="Nobel-Regular"/>
          <w:i/>
          <w:iCs/>
          <w:color w:val="000000"/>
          <w:sz w:val="20"/>
          <w:szCs w:val="20"/>
          <w:lang w:val="de-DE" w:eastAsia="en-GB"/>
        </w:rPr>
        <w:t>Professor, Universität des Saarlandes</w:t>
      </w:r>
    </w:p>
    <w:p w14:paraId="2E1C8B44"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color w:val="000000"/>
          <w:sz w:val="24"/>
          <w:szCs w:val="24"/>
          <w:lang w:val="de-DE" w:eastAsia="en-GB"/>
        </w:rPr>
      </w:pPr>
    </w:p>
    <w:p w14:paraId="18177564" w14:textId="77777777" w:rsidR="003D580E" w:rsidRPr="003D580E" w:rsidRDefault="003D580E" w:rsidP="003D580E">
      <w:pPr>
        <w:autoSpaceDE w:val="0"/>
        <w:autoSpaceDN w:val="0"/>
        <w:adjustRightInd w:val="0"/>
        <w:spacing w:after="0" w:line="240" w:lineRule="auto"/>
        <w:ind w:firstLine="0"/>
        <w:outlineLvl w:val="0"/>
        <w:rPr>
          <w:rFonts w:ascii="Nobel-Regular" w:eastAsia="Times New Roman" w:hAnsi="Nobel-Regular" w:cs="Nobel-Regular"/>
          <w:color w:val="000000"/>
          <w:sz w:val="24"/>
          <w:szCs w:val="24"/>
          <w:lang w:val="de-DE" w:eastAsia="en-GB"/>
        </w:rPr>
      </w:pPr>
      <w:r w:rsidRPr="003D580E">
        <w:rPr>
          <w:rFonts w:ascii="Nobel-Regular" w:eastAsia="Times New Roman" w:hAnsi="Nobel-Regular" w:cs="Nobel-Regular"/>
          <w:color w:val="000000"/>
          <w:sz w:val="24"/>
          <w:szCs w:val="24"/>
          <w:lang w:val="de-DE" w:eastAsia="en-GB"/>
        </w:rPr>
        <w:t>Dr Iris Behrmann</w:t>
      </w:r>
      <w:r w:rsidRPr="003D580E">
        <w:rPr>
          <w:rFonts w:ascii="Nobel-Regular" w:eastAsia="Times New Roman" w:hAnsi="Nobel-Regular" w:cs="Nobel-Regular"/>
          <w:bCs/>
          <w:smallCaps/>
          <w:color w:val="000000"/>
          <w:sz w:val="24"/>
          <w:szCs w:val="24"/>
          <w:lang w:val="de-DE" w:eastAsia="en-GB"/>
        </w:rPr>
        <w:t>,</w:t>
      </w:r>
      <w:r w:rsidRPr="003D580E">
        <w:rPr>
          <w:rFonts w:ascii="Nobel-Regular" w:eastAsia="Times New Roman" w:hAnsi="Nobel-Regular" w:cs="Nobel-Regular"/>
          <w:bCs/>
          <w:color w:val="000000"/>
          <w:sz w:val="24"/>
          <w:szCs w:val="24"/>
          <w:lang w:val="de-DE" w:eastAsia="en-GB"/>
        </w:rPr>
        <w:t xml:space="preserve"> Chairman</w:t>
      </w:r>
    </w:p>
    <w:p w14:paraId="56FF2DF5"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fr-FR" w:eastAsia="en-GB"/>
        </w:rPr>
      </w:pPr>
      <w:r w:rsidRPr="003D580E">
        <w:rPr>
          <w:rFonts w:ascii="Nobel-Regular" w:eastAsia="Times New Roman" w:hAnsi="Nobel-Regular" w:cs="Nobel-Regular"/>
          <w:i/>
          <w:iCs/>
          <w:color w:val="000000"/>
          <w:sz w:val="20"/>
          <w:szCs w:val="20"/>
          <w:lang w:val="fr-FR" w:eastAsia="en-GB"/>
        </w:rPr>
        <w:t>Professor, Université du Luxembourg</w:t>
      </w:r>
    </w:p>
    <w:p w14:paraId="1692E56D"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color w:val="000000"/>
          <w:sz w:val="24"/>
          <w:szCs w:val="24"/>
          <w:lang w:val="fr-FR" w:eastAsia="en-GB"/>
        </w:rPr>
      </w:pPr>
    </w:p>
    <w:p w14:paraId="1C783CC6" w14:textId="77777777" w:rsidR="003D580E" w:rsidRPr="003D580E" w:rsidRDefault="003D580E" w:rsidP="003D580E">
      <w:pPr>
        <w:autoSpaceDE w:val="0"/>
        <w:autoSpaceDN w:val="0"/>
        <w:adjustRightInd w:val="0"/>
        <w:spacing w:after="0" w:line="240" w:lineRule="auto"/>
        <w:ind w:firstLine="0"/>
        <w:outlineLvl w:val="0"/>
        <w:rPr>
          <w:rFonts w:ascii="Nobel-Regular" w:eastAsia="Times New Roman" w:hAnsi="Nobel-Regular" w:cs="Nobel-Regular"/>
          <w:color w:val="000000"/>
          <w:sz w:val="24"/>
          <w:szCs w:val="24"/>
          <w:lang w:val="fr-FR" w:eastAsia="en-GB"/>
        </w:rPr>
      </w:pPr>
      <w:r w:rsidRPr="003D580E">
        <w:rPr>
          <w:rFonts w:ascii="Nobel-Regular" w:eastAsia="Times New Roman" w:hAnsi="Nobel-Regular" w:cs="Nobel-Regular"/>
          <w:color w:val="000000"/>
          <w:sz w:val="24"/>
          <w:szCs w:val="24"/>
          <w:lang w:val="fr-FR" w:eastAsia="en-GB"/>
        </w:rPr>
        <w:t>Dr Jennifer Johnston</w:t>
      </w:r>
    </w:p>
    <w:p w14:paraId="4BC037EB"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fr-FR" w:eastAsia="en-GB"/>
        </w:rPr>
      </w:pPr>
      <w:r w:rsidRPr="003D580E">
        <w:rPr>
          <w:rFonts w:ascii="Nobel-Regular" w:eastAsia="Times New Roman" w:hAnsi="Nobel-Regular" w:cs="Nobel-Regular"/>
          <w:i/>
          <w:iCs/>
          <w:color w:val="000000"/>
          <w:sz w:val="20"/>
          <w:szCs w:val="20"/>
          <w:lang w:val="fr-FR" w:eastAsia="en-GB"/>
        </w:rPr>
        <w:t xml:space="preserve">CEO, </w:t>
      </w:r>
      <w:proofErr w:type="spellStart"/>
      <w:r w:rsidRPr="003D580E">
        <w:rPr>
          <w:rFonts w:ascii="Nobel-Regular" w:eastAsia="Times New Roman" w:hAnsi="Nobel-Regular" w:cs="Nobel-Regular"/>
          <w:i/>
          <w:iCs/>
          <w:color w:val="000000"/>
          <w:sz w:val="20"/>
          <w:szCs w:val="20"/>
          <w:lang w:val="fr-FR" w:eastAsia="en-GB"/>
        </w:rPr>
        <w:t>Nysnobio</w:t>
      </w:r>
      <w:proofErr w:type="spellEnd"/>
    </w:p>
    <w:p w14:paraId="282E10DC"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color w:val="000000"/>
          <w:sz w:val="24"/>
          <w:szCs w:val="24"/>
          <w:lang w:val="fr-FR" w:eastAsia="en-GB"/>
        </w:rPr>
      </w:pPr>
    </w:p>
    <w:p w14:paraId="0A497D46" w14:textId="77777777" w:rsidR="003D580E" w:rsidRPr="003D580E" w:rsidRDefault="003D580E" w:rsidP="003D580E">
      <w:pPr>
        <w:autoSpaceDE w:val="0"/>
        <w:autoSpaceDN w:val="0"/>
        <w:adjustRightInd w:val="0"/>
        <w:spacing w:after="0" w:line="240" w:lineRule="auto"/>
        <w:ind w:firstLine="0"/>
        <w:outlineLvl w:val="0"/>
        <w:rPr>
          <w:rFonts w:ascii="Nobel-Regular" w:eastAsia="Times New Roman" w:hAnsi="Nobel-Regular" w:cs="Nobel-Regular"/>
          <w:bCs/>
          <w:smallCaps/>
          <w:color w:val="000000"/>
          <w:sz w:val="24"/>
          <w:szCs w:val="24"/>
          <w:lang w:val="fr-FR" w:eastAsia="en-GB"/>
        </w:rPr>
      </w:pPr>
      <w:r w:rsidRPr="003D580E">
        <w:rPr>
          <w:rFonts w:ascii="Nobel-Regular" w:eastAsia="Times New Roman" w:hAnsi="Nobel-Regular" w:cs="Nobel-Regular"/>
          <w:color w:val="000000"/>
          <w:sz w:val="24"/>
          <w:szCs w:val="24"/>
          <w:lang w:val="fr-FR" w:eastAsia="en-GB"/>
        </w:rPr>
        <w:t xml:space="preserve">Dr Djalil </w:t>
      </w:r>
      <w:proofErr w:type="spellStart"/>
      <w:r w:rsidRPr="003D580E">
        <w:rPr>
          <w:rFonts w:ascii="Nobel-Regular" w:eastAsia="Times New Roman" w:hAnsi="Nobel-Regular" w:cs="Nobel-Regular"/>
          <w:color w:val="000000"/>
          <w:sz w:val="24"/>
          <w:szCs w:val="24"/>
          <w:lang w:val="fr-FR" w:eastAsia="en-GB"/>
        </w:rPr>
        <w:t>Coowar</w:t>
      </w:r>
      <w:proofErr w:type="spellEnd"/>
      <w:r w:rsidRPr="003D580E">
        <w:rPr>
          <w:rFonts w:ascii="Nobel-Regular" w:eastAsia="Times New Roman" w:hAnsi="Nobel-Regular" w:cs="Nobel-Regular"/>
          <w:bCs/>
          <w:smallCaps/>
          <w:color w:val="000000"/>
          <w:sz w:val="24"/>
          <w:szCs w:val="24"/>
          <w:lang w:val="fr-FR" w:eastAsia="en-GB"/>
        </w:rPr>
        <w:t xml:space="preserve">, </w:t>
      </w:r>
      <w:proofErr w:type="gramStart"/>
      <w:r w:rsidRPr="003D580E">
        <w:rPr>
          <w:rFonts w:ascii="Nobel-Regular" w:eastAsia="Times New Roman" w:hAnsi="Nobel-Regular" w:cs="Nobel-Regular"/>
          <w:bCs/>
          <w:color w:val="000000"/>
          <w:sz w:val="24"/>
          <w:szCs w:val="24"/>
          <w:lang w:val="fr-FR" w:eastAsia="en-GB"/>
        </w:rPr>
        <w:t>Vice Chairman</w:t>
      </w:r>
      <w:proofErr w:type="gramEnd"/>
    </w:p>
    <w:p w14:paraId="4057A67E" w14:textId="77777777" w:rsidR="003D580E" w:rsidRPr="003D580E" w:rsidRDefault="003D580E" w:rsidP="003D580E">
      <w:pPr>
        <w:autoSpaceDE w:val="0"/>
        <w:autoSpaceDN w:val="0"/>
        <w:adjustRightInd w:val="0"/>
        <w:spacing w:after="0" w:line="240" w:lineRule="auto"/>
        <w:ind w:firstLine="0"/>
        <w:rPr>
          <w:rFonts w:ascii="Nobel-Regular" w:eastAsia="Times New Roman" w:hAnsi="Nobel-Regular" w:cs="Nobel-Regular"/>
          <w:i/>
          <w:iCs/>
          <w:color w:val="000000"/>
          <w:sz w:val="20"/>
          <w:szCs w:val="20"/>
          <w:lang w:val="fr-FR" w:eastAsia="en-GB"/>
        </w:rPr>
      </w:pPr>
      <w:proofErr w:type="spellStart"/>
      <w:r w:rsidRPr="003D580E">
        <w:rPr>
          <w:rFonts w:ascii="Nobel-Regular" w:eastAsia="Times New Roman" w:hAnsi="Nobel-Regular" w:cs="Nobel-Regular"/>
          <w:i/>
          <w:iCs/>
          <w:color w:val="000000"/>
          <w:sz w:val="20"/>
          <w:szCs w:val="20"/>
          <w:lang w:val="fr-FR" w:eastAsia="en-GB"/>
        </w:rPr>
        <w:t>Research</w:t>
      </w:r>
      <w:proofErr w:type="spellEnd"/>
      <w:r w:rsidRPr="003D580E">
        <w:rPr>
          <w:rFonts w:ascii="Nobel-Regular" w:eastAsia="Times New Roman" w:hAnsi="Nobel-Regular" w:cs="Nobel-Regular"/>
          <w:i/>
          <w:iCs/>
          <w:color w:val="000000"/>
          <w:sz w:val="20"/>
          <w:szCs w:val="20"/>
          <w:lang w:val="fr-FR" w:eastAsia="en-GB"/>
        </w:rPr>
        <w:t xml:space="preserve"> </w:t>
      </w:r>
      <w:proofErr w:type="spellStart"/>
      <w:r w:rsidRPr="003D580E">
        <w:rPr>
          <w:rFonts w:ascii="Nobel-Regular" w:eastAsia="Times New Roman" w:hAnsi="Nobel-Regular" w:cs="Nobel-Regular"/>
          <w:i/>
          <w:iCs/>
          <w:color w:val="000000"/>
          <w:sz w:val="20"/>
          <w:szCs w:val="20"/>
          <w:lang w:val="fr-FR" w:eastAsia="en-GB"/>
        </w:rPr>
        <w:t>scientist</w:t>
      </w:r>
      <w:proofErr w:type="spellEnd"/>
      <w:r w:rsidRPr="003D580E">
        <w:rPr>
          <w:rFonts w:ascii="Nobel-Regular" w:eastAsia="Times New Roman" w:hAnsi="Nobel-Regular" w:cs="Nobel-Regular"/>
          <w:i/>
          <w:iCs/>
          <w:color w:val="000000"/>
          <w:sz w:val="20"/>
          <w:szCs w:val="20"/>
          <w:lang w:val="fr-FR" w:eastAsia="en-GB"/>
        </w:rPr>
        <w:t>, Université du Luxembourg</w:t>
      </w:r>
    </w:p>
    <w:p w14:paraId="7D9B1539" w14:textId="77777777" w:rsidR="003D580E" w:rsidRPr="003D580E" w:rsidRDefault="003D580E" w:rsidP="003D580E">
      <w:pPr>
        <w:spacing w:after="0" w:line="240" w:lineRule="auto"/>
        <w:ind w:firstLine="0"/>
        <w:rPr>
          <w:rFonts w:ascii="Times New Roman" w:eastAsia="Times New Roman" w:hAnsi="Times New Roman" w:cs="Times New Roman"/>
          <w:sz w:val="24"/>
          <w:szCs w:val="24"/>
          <w:lang w:val="fr-FR"/>
        </w:rPr>
      </w:pPr>
    </w:p>
    <w:p w14:paraId="2D984B7D" w14:textId="77777777" w:rsidR="003D580E" w:rsidRDefault="003D580E">
      <w:pPr>
        <w:ind w:firstLine="0"/>
        <w:rPr>
          <w:rFonts w:ascii="Verdana" w:hAnsi="Verdana"/>
          <w:sz w:val="44"/>
          <w:szCs w:val="44"/>
          <w:lang w:val="en-GB"/>
        </w:rPr>
      </w:pPr>
      <w:r>
        <w:rPr>
          <w:rFonts w:ascii="Verdana" w:hAnsi="Verdana"/>
          <w:sz w:val="44"/>
          <w:szCs w:val="44"/>
          <w:lang w:val="en-GB"/>
        </w:rPr>
        <w:br w:type="page"/>
      </w:r>
    </w:p>
    <w:p w14:paraId="77112F68" w14:textId="14EB9AA4" w:rsidR="00847993" w:rsidRDefault="00847993">
      <w:pPr>
        <w:ind w:firstLine="0"/>
        <w:rPr>
          <w:rFonts w:ascii="Verdana" w:hAnsi="Verdana"/>
          <w:sz w:val="44"/>
          <w:szCs w:val="44"/>
          <w:lang w:val="en-GB"/>
        </w:rPr>
      </w:pPr>
      <w:r>
        <w:rPr>
          <w:rFonts w:ascii="Verdana" w:hAnsi="Verdana"/>
          <w:noProof/>
          <w:sz w:val="44"/>
          <w:szCs w:val="44"/>
          <w:lang w:val="en-GB"/>
        </w:rPr>
        <w:lastRenderedPageBreak/>
        <w:drawing>
          <wp:anchor distT="0" distB="0" distL="114300" distR="114300" simplePos="0" relativeHeight="251993088" behindDoc="0" locked="0" layoutInCell="1" allowOverlap="1" wp14:anchorId="330B662D" wp14:editId="46D74FB3">
            <wp:simplePos x="0" y="0"/>
            <wp:positionH relativeFrom="column">
              <wp:posOffset>311150</wp:posOffset>
            </wp:positionH>
            <wp:positionV relativeFrom="paragraph">
              <wp:posOffset>0</wp:posOffset>
            </wp:positionV>
            <wp:extent cx="679450" cy="683895"/>
            <wp:effectExtent l="0" t="0" r="6350" b="1905"/>
            <wp:wrapTopAndBottom/>
            <wp:docPr id="54" name="Picture 54" descr="A picture containing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electronics, keyboar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79450" cy="683895"/>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noProof/>
          <w:sz w:val="44"/>
          <w:szCs w:val="44"/>
          <w:lang w:val="en-GB"/>
        </w:rPr>
        <w:drawing>
          <wp:anchor distT="0" distB="0" distL="114300" distR="114300" simplePos="0" relativeHeight="251994112" behindDoc="0" locked="0" layoutInCell="1" allowOverlap="1" wp14:anchorId="7DB04BFD" wp14:editId="4EA90FFE">
            <wp:simplePos x="0" y="0"/>
            <wp:positionH relativeFrom="margin">
              <wp:posOffset>3179445</wp:posOffset>
            </wp:positionH>
            <wp:positionV relativeFrom="paragraph">
              <wp:posOffset>0</wp:posOffset>
            </wp:positionV>
            <wp:extent cx="683895" cy="683895"/>
            <wp:effectExtent l="0" t="0" r="1905" b="1905"/>
            <wp:wrapTopAndBottom/>
            <wp:docPr id="55" name="Picture 5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3895" cy="683895"/>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noProof/>
          <w:sz w:val="44"/>
          <w:szCs w:val="44"/>
          <w:lang w:val="en-GB"/>
        </w:rPr>
        <w:drawing>
          <wp:anchor distT="0" distB="0" distL="114300" distR="114300" simplePos="0" relativeHeight="251992064" behindDoc="0" locked="0" layoutInCell="1" allowOverlap="1" wp14:anchorId="0C909543" wp14:editId="5F0E9CFA">
            <wp:simplePos x="0" y="0"/>
            <wp:positionH relativeFrom="margin">
              <wp:posOffset>1654810</wp:posOffset>
            </wp:positionH>
            <wp:positionV relativeFrom="paragraph">
              <wp:posOffset>0</wp:posOffset>
            </wp:positionV>
            <wp:extent cx="814705" cy="683895"/>
            <wp:effectExtent l="0" t="0" r="4445" b="1905"/>
            <wp:wrapTopAndBottom/>
            <wp:docPr id="53" name="Picture 5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814705" cy="683895"/>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noProof/>
          <w:sz w:val="44"/>
          <w:szCs w:val="44"/>
          <w:lang w:val="en-GB"/>
        </w:rPr>
        <w:drawing>
          <wp:anchor distT="0" distB="0" distL="114300" distR="114300" simplePos="0" relativeHeight="251996160" behindDoc="0" locked="0" layoutInCell="1" allowOverlap="1" wp14:anchorId="2B96644F" wp14:editId="5AF75F44">
            <wp:simplePos x="0" y="0"/>
            <wp:positionH relativeFrom="margin">
              <wp:posOffset>4302153</wp:posOffset>
            </wp:positionH>
            <wp:positionV relativeFrom="paragraph">
              <wp:posOffset>138</wp:posOffset>
            </wp:positionV>
            <wp:extent cx="674111" cy="684000"/>
            <wp:effectExtent l="0" t="0" r="0" b="1905"/>
            <wp:wrapTopAndBottom/>
            <wp:docPr id="57" name="Picture 5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clip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4111" cy="684000"/>
                    </a:xfrm>
                    <a:prstGeom prst="rect">
                      <a:avLst/>
                    </a:prstGeom>
                  </pic:spPr>
                </pic:pic>
              </a:graphicData>
            </a:graphic>
            <wp14:sizeRelH relativeFrom="margin">
              <wp14:pctWidth>0</wp14:pctWidth>
            </wp14:sizeRelH>
            <wp14:sizeRelV relativeFrom="margin">
              <wp14:pctHeight>0</wp14:pctHeight>
            </wp14:sizeRelV>
          </wp:anchor>
        </w:drawing>
      </w:r>
    </w:p>
    <w:p w14:paraId="192495F9" w14:textId="77777777" w:rsidR="00B7365D" w:rsidRDefault="00B7365D">
      <w:pPr>
        <w:ind w:firstLine="0"/>
        <w:rPr>
          <w:rFonts w:ascii="Verdana" w:hAnsi="Verdana"/>
          <w:sz w:val="44"/>
          <w:szCs w:val="44"/>
          <w:lang w:val="en-GB"/>
        </w:rPr>
      </w:pPr>
    </w:p>
    <w:p w14:paraId="4853BAB7" w14:textId="77777777" w:rsidR="00265C13" w:rsidRDefault="00376364" w:rsidP="00265C13">
      <w:pPr>
        <w:pStyle w:val="Default"/>
        <w:spacing w:line="360" w:lineRule="auto"/>
        <w:jc w:val="center"/>
        <w:rPr>
          <w:rFonts w:ascii="Verdana" w:hAnsi="Verdana" w:cs="Times New Roman"/>
          <w:sz w:val="32"/>
          <w:szCs w:val="32"/>
        </w:rPr>
      </w:pPr>
      <w:r w:rsidRPr="00B07016">
        <w:rPr>
          <w:rFonts w:ascii="Verdana" w:hAnsi="Verdana" w:cs="Times New Roman"/>
          <w:sz w:val="32"/>
          <w:szCs w:val="32"/>
        </w:rPr>
        <w:t>UNRAVELING THE EARLY PATHOLOGICAL MECHANISMS IN PARKINSON’S DISEASE:</w:t>
      </w:r>
    </w:p>
    <w:p w14:paraId="26136717" w14:textId="77777777" w:rsidR="00265C13" w:rsidRDefault="00376364" w:rsidP="00265C13">
      <w:pPr>
        <w:pStyle w:val="Default"/>
        <w:spacing w:line="360" w:lineRule="auto"/>
        <w:jc w:val="center"/>
        <w:rPr>
          <w:rFonts w:ascii="Verdana" w:hAnsi="Verdana" w:cs="Times New Roman"/>
          <w:sz w:val="32"/>
          <w:szCs w:val="32"/>
        </w:rPr>
      </w:pPr>
      <w:r w:rsidRPr="00B07016">
        <w:rPr>
          <w:rFonts w:ascii="Verdana" w:hAnsi="Verdana" w:cs="Times New Roman"/>
          <w:sz w:val="32"/>
          <w:szCs w:val="32"/>
        </w:rPr>
        <w:t>INSIGHTS FROM ALPHA-SYNUCLEIN DEPENDENT</w:t>
      </w:r>
    </w:p>
    <w:p w14:paraId="3A1283C3" w14:textId="5438E76F" w:rsidR="00376364" w:rsidRPr="00265C13" w:rsidRDefault="00376364" w:rsidP="00265C13">
      <w:pPr>
        <w:pStyle w:val="Default"/>
        <w:spacing w:line="360" w:lineRule="auto"/>
        <w:jc w:val="center"/>
        <w:rPr>
          <w:rFonts w:ascii="Verdana" w:hAnsi="Verdana" w:cs="Times New Roman"/>
          <w:sz w:val="32"/>
          <w:szCs w:val="32"/>
        </w:rPr>
      </w:pPr>
      <w:r w:rsidRPr="00B07016">
        <w:rPr>
          <w:rFonts w:ascii="Verdana" w:hAnsi="Verdana" w:cs="Times New Roman"/>
          <w:sz w:val="32"/>
          <w:szCs w:val="32"/>
        </w:rPr>
        <w:t>AND INDEPENDENT MODELS</w:t>
      </w:r>
    </w:p>
    <w:p w14:paraId="400D2207" w14:textId="5166A80F" w:rsidR="002C43B3" w:rsidRDefault="002C43B3">
      <w:pPr>
        <w:ind w:firstLine="0"/>
        <w:rPr>
          <w:rFonts w:ascii="Verdana" w:hAnsi="Verdana"/>
          <w:sz w:val="44"/>
          <w:szCs w:val="44"/>
          <w:lang w:val="en-GB"/>
        </w:rPr>
      </w:pPr>
    </w:p>
    <w:p w14:paraId="6A4A24F5" w14:textId="77777777" w:rsidR="00265C13" w:rsidRDefault="00265C13">
      <w:pPr>
        <w:ind w:firstLine="0"/>
        <w:rPr>
          <w:rFonts w:ascii="Verdana" w:hAnsi="Verdana"/>
          <w:sz w:val="44"/>
          <w:szCs w:val="44"/>
          <w:lang w:val="en-GB"/>
        </w:rPr>
      </w:pPr>
    </w:p>
    <w:p w14:paraId="16CEC556" w14:textId="55ED45A6" w:rsidR="00B07016" w:rsidRPr="006907D6" w:rsidRDefault="00B07016" w:rsidP="00F86F6C">
      <w:pPr>
        <w:ind w:firstLine="0"/>
        <w:jc w:val="center"/>
        <w:rPr>
          <w:rFonts w:ascii="Verdana" w:hAnsi="Verdana"/>
          <w:sz w:val="24"/>
          <w:szCs w:val="24"/>
          <w:lang w:val="en-GB"/>
        </w:rPr>
      </w:pPr>
      <w:r w:rsidRPr="006907D6">
        <w:rPr>
          <w:rFonts w:ascii="Verdana" w:hAnsi="Verdana"/>
          <w:sz w:val="24"/>
          <w:szCs w:val="24"/>
          <w:lang w:val="en-GB"/>
        </w:rPr>
        <w:t>Dissertation by</w:t>
      </w:r>
    </w:p>
    <w:p w14:paraId="5914C884" w14:textId="77777777" w:rsidR="002C43B3" w:rsidRPr="006907D6" w:rsidRDefault="002607AD" w:rsidP="00F86F6C">
      <w:pPr>
        <w:ind w:firstLine="0"/>
        <w:jc w:val="center"/>
        <w:rPr>
          <w:rFonts w:ascii="Verdana" w:hAnsi="Verdana"/>
          <w:sz w:val="28"/>
          <w:szCs w:val="28"/>
          <w:lang w:val="en-GB"/>
        </w:rPr>
      </w:pPr>
      <w:r w:rsidRPr="006907D6">
        <w:rPr>
          <w:rFonts w:ascii="Verdana" w:hAnsi="Verdana"/>
          <w:sz w:val="28"/>
          <w:szCs w:val="28"/>
          <w:lang w:val="en-GB"/>
        </w:rPr>
        <w:t>Alessia SCIORTINO</w:t>
      </w:r>
    </w:p>
    <w:p w14:paraId="4EEA8229" w14:textId="77777777" w:rsidR="002C43B3" w:rsidRDefault="002C43B3" w:rsidP="00F86F6C">
      <w:pPr>
        <w:ind w:firstLine="0"/>
        <w:jc w:val="center"/>
        <w:rPr>
          <w:rFonts w:ascii="Verdana" w:hAnsi="Verdana"/>
          <w:sz w:val="24"/>
          <w:szCs w:val="24"/>
          <w:lang w:val="en-GB"/>
        </w:rPr>
      </w:pPr>
    </w:p>
    <w:p w14:paraId="3AFC39E8" w14:textId="5D9F3040" w:rsidR="002C43B3" w:rsidRPr="006907D6" w:rsidRDefault="002C43B3" w:rsidP="002C43B3">
      <w:pPr>
        <w:autoSpaceDE w:val="0"/>
        <w:autoSpaceDN w:val="0"/>
        <w:adjustRightInd w:val="0"/>
        <w:spacing w:after="0" w:line="360" w:lineRule="auto"/>
        <w:ind w:firstLine="0"/>
        <w:jc w:val="center"/>
        <w:rPr>
          <w:rFonts w:ascii="Verdana" w:hAnsi="Verdana" w:cs="NimbusRomNo9L-Regu"/>
          <w:sz w:val="28"/>
          <w:szCs w:val="26"/>
          <w:lang w:val="en-GB"/>
        </w:rPr>
      </w:pPr>
      <w:r w:rsidRPr="006907D6">
        <w:rPr>
          <w:rFonts w:ascii="Verdana" w:hAnsi="Verdana" w:cs="NimbusRomNo9L-Regu"/>
          <w:sz w:val="28"/>
          <w:szCs w:val="26"/>
          <w:lang w:val="en-GB"/>
        </w:rPr>
        <w:t xml:space="preserve">DOCTOR </w:t>
      </w:r>
      <w:r w:rsidRPr="006907D6">
        <w:rPr>
          <w:rFonts w:ascii="Verdana" w:hAnsi="Verdana" w:cs="NimbusRomNo9L-Regu"/>
          <w:sz w:val="20"/>
          <w:szCs w:val="21"/>
          <w:lang w:val="en-GB"/>
        </w:rPr>
        <w:t xml:space="preserve">OF </w:t>
      </w:r>
      <w:r w:rsidRPr="006907D6">
        <w:rPr>
          <w:rFonts w:ascii="Verdana" w:hAnsi="Verdana" w:cs="NimbusRomNo9L-Regu"/>
          <w:sz w:val="28"/>
          <w:szCs w:val="26"/>
          <w:lang w:val="en-GB"/>
        </w:rPr>
        <w:t>PHILOSOPHY</w:t>
      </w:r>
    </w:p>
    <w:p w14:paraId="3F0ADFBE" w14:textId="77777777" w:rsidR="006907D6" w:rsidRPr="006907D6" w:rsidRDefault="006907D6" w:rsidP="002C43B3">
      <w:pPr>
        <w:autoSpaceDE w:val="0"/>
        <w:autoSpaceDN w:val="0"/>
        <w:adjustRightInd w:val="0"/>
        <w:spacing w:after="0" w:line="360" w:lineRule="auto"/>
        <w:ind w:firstLine="0"/>
        <w:jc w:val="center"/>
        <w:rPr>
          <w:rFonts w:ascii="Verdana" w:hAnsi="Verdana" w:cs="NimbusRomNo9L-Regu"/>
          <w:sz w:val="28"/>
          <w:szCs w:val="26"/>
          <w:lang w:val="en-GB"/>
        </w:rPr>
      </w:pPr>
    </w:p>
    <w:p w14:paraId="794657B0" w14:textId="77777777" w:rsidR="002C43B3" w:rsidRPr="006907D6" w:rsidRDefault="002C43B3" w:rsidP="002C43B3">
      <w:pPr>
        <w:autoSpaceDE w:val="0"/>
        <w:autoSpaceDN w:val="0"/>
        <w:adjustRightInd w:val="0"/>
        <w:spacing w:after="0" w:line="360" w:lineRule="auto"/>
        <w:ind w:firstLine="0"/>
        <w:jc w:val="center"/>
        <w:rPr>
          <w:rFonts w:ascii="Verdana" w:hAnsi="Verdana" w:cs="NimbusRomNo9L-Regu"/>
          <w:sz w:val="28"/>
          <w:szCs w:val="26"/>
          <w:lang w:val="en-GB"/>
        </w:rPr>
      </w:pPr>
      <w:r w:rsidRPr="006907D6">
        <w:rPr>
          <w:rFonts w:ascii="Verdana" w:hAnsi="Verdana" w:cs="NimbusRomNo9L-Regu"/>
          <w:sz w:val="28"/>
          <w:szCs w:val="26"/>
          <w:lang w:val="en-GB"/>
        </w:rPr>
        <w:t>University of Luxembourg</w:t>
      </w:r>
    </w:p>
    <w:p w14:paraId="1A9EF60C" w14:textId="21358617" w:rsidR="002C43B3" w:rsidRPr="0090127D" w:rsidRDefault="002C43B3" w:rsidP="006907D6">
      <w:pPr>
        <w:autoSpaceDE w:val="0"/>
        <w:autoSpaceDN w:val="0"/>
        <w:adjustRightInd w:val="0"/>
        <w:spacing w:after="0" w:line="240" w:lineRule="auto"/>
        <w:ind w:firstLine="0"/>
        <w:jc w:val="center"/>
        <w:rPr>
          <w:rFonts w:ascii="Verdana" w:hAnsi="Verdana" w:cs="NimbusRomNo9L-Regu"/>
          <w:sz w:val="20"/>
          <w:szCs w:val="20"/>
          <w:lang w:val="en-GB"/>
        </w:rPr>
      </w:pPr>
      <w:r w:rsidRPr="0090127D">
        <w:rPr>
          <w:rFonts w:ascii="Verdana" w:hAnsi="Verdana" w:cs="NimbusRomNo9L-Regu"/>
          <w:sz w:val="20"/>
          <w:szCs w:val="20"/>
          <w:lang w:val="en-GB"/>
        </w:rPr>
        <w:t xml:space="preserve">Doctoral School in </w:t>
      </w:r>
      <w:r w:rsidR="005E2E38" w:rsidRPr="0090127D">
        <w:rPr>
          <w:rFonts w:ascii="Verdana" w:hAnsi="Verdana" w:cs="NimbusRomNo9L-Regu"/>
          <w:sz w:val="20"/>
          <w:szCs w:val="20"/>
          <w:lang w:val="en-GB"/>
        </w:rPr>
        <w:t>Science and Engineering (DSSE)</w:t>
      </w:r>
    </w:p>
    <w:p w14:paraId="744A1585" w14:textId="067ECFF5" w:rsidR="008E0B92" w:rsidRDefault="008E0B92" w:rsidP="00B7365D">
      <w:pPr>
        <w:autoSpaceDE w:val="0"/>
        <w:autoSpaceDN w:val="0"/>
        <w:adjustRightInd w:val="0"/>
        <w:spacing w:after="0" w:line="240" w:lineRule="auto"/>
        <w:ind w:firstLine="0"/>
        <w:jc w:val="center"/>
        <w:rPr>
          <w:rFonts w:ascii="Verdana" w:hAnsi="Verdana" w:cs="NimbusRomNo9L-Regu"/>
          <w:sz w:val="20"/>
          <w:szCs w:val="20"/>
          <w:lang w:val="en-GB"/>
        </w:rPr>
      </w:pPr>
      <w:r w:rsidRPr="0090127D">
        <w:rPr>
          <w:rFonts w:ascii="Verdana" w:hAnsi="Verdana"/>
          <w:i/>
          <w:iCs/>
          <w:sz w:val="20"/>
          <w:szCs w:val="20"/>
        </w:rPr>
        <w:t xml:space="preserve">Doctoral </w:t>
      </w:r>
      <w:proofErr w:type="spellStart"/>
      <w:r w:rsidRPr="0090127D">
        <w:rPr>
          <w:rFonts w:ascii="Verdana" w:hAnsi="Verdana"/>
          <w:i/>
          <w:iCs/>
          <w:sz w:val="20"/>
          <w:szCs w:val="20"/>
        </w:rPr>
        <w:t>Programme</w:t>
      </w:r>
      <w:proofErr w:type="spellEnd"/>
      <w:r w:rsidRPr="0090127D">
        <w:rPr>
          <w:rFonts w:ascii="Verdana" w:hAnsi="Verdana"/>
          <w:i/>
          <w:iCs/>
          <w:sz w:val="20"/>
          <w:szCs w:val="20"/>
        </w:rPr>
        <w:t xml:space="preserve"> in Systems and Molecular Biomedicine</w:t>
      </w:r>
    </w:p>
    <w:p w14:paraId="49FCAFC3" w14:textId="77777777" w:rsidR="00B7365D" w:rsidRPr="00B7365D" w:rsidRDefault="00B7365D" w:rsidP="00B7365D">
      <w:pPr>
        <w:autoSpaceDE w:val="0"/>
        <w:autoSpaceDN w:val="0"/>
        <w:adjustRightInd w:val="0"/>
        <w:spacing w:after="0" w:line="240" w:lineRule="auto"/>
        <w:ind w:firstLine="0"/>
        <w:jc w:val="center"/>
        <w:rPr>
          <w:rFonts w:ascii="Verdana" w:hAnsi="Verdana" w:cs="NimbusRomNo9L-Regu"/>
          <w:sz w:val="20"/>
          <w:szCs w:val="20"/>
          <w:lang w:val="en-GB"/>
        </w:rPr>
      </w:pPr>
    </w:p>
    <w:p w14:paraId="2D6D5085" w14:textId="77777777" w:rsidR="0090127D" w:rsidRDefault="002C43B3" w:rsidP="002C43B3">
      <w:pPr>
        <w:spacing w:line="360" w:lineRule="auto"/>
        <w:ind w:firstLine="0"/>
        <w:jc w:val="center"/>
        <w:rPr>
          <w:rFonts w:ascii="Verdana" w:hAnsi="Verdana" w:cs="NimbusRomNo9L-Regu"/>
          <w:lang w:val="en-GB"/>
        </w:rPr>
      </w:pPr>
      <w:r w:rsidRPr="002C43B3">
        <w:rPr>
          <w:rFonts w:ascii="Verdana" w:hAnsi="Verdana" w:cs="NimbusRomNo9L-Regu"/>
          <w:lang w:val="en-GB"/>
        </w:rPr>
        <w:t>Luxembourg 201</w:t>
      </w:r>
      <w:r w:rsidR="008E0B92">
        <w:rPr>
          <w:rFonts w:ascii="Verdana" w:hAnsi="Verdana" w:cs="NimbusRomNo9L-Regu"/>
          <w:lang w:val="en-GB"/>
        </w:rPr>
        <w:t>8</w:t>
      </w:r>
      <w:r w:rsidRPr="002C43B3">
        <w:rPr>
          <w:rFonts w:ascii="Verdana" w:hAnsi="Verdana" w:cs="NimbusRomNo9L-Regu"/>
          <w:lang w:val="en-GB"/>
        </w:rPr>
        <w:t>-202</w:t>
      </w:r>
      <w:r w:rsidR="008E0B92">
        <w:rPr>
          <w:rFonts w:ascii="Verdana" w:hAnsi="Verdana" w:cs="NimbusRomNo9L-Regu"/>
          <w:lang w:val="en-GB"/>
        </w:rPr>
        <w:t>3</w:t>
      </w:r>
    </w:p>
    <w:p w14:paraId="5E6D8ECC" w14:textId="77777777" w:rsidR="0090127D" w:rsidRDefault="0090127D" w:rsidP="002C43B3">
      <w:pPr>
        <w:spacing w:line="360" w:lineRule="auto"/>
        <w:ind w:firstLine="0"/>
        <w:jc w:val="center"/>
        <w:rPr>
          <w:rFonts w:ascii="Verdana" w:hAnsi="Verdana" w:cs="NimbusRomNo9L-Regu"/>
          <w:lang w:val="en-GB"/>
        </w:rPr>
      </w:pPr>
    </w:p>
    <w:p w14:paraId="65546632" w14:textId="77777777" w:rsidR="0090127D" w:rsidRDefault="0090127D" w:rsidP="002C43B3">
      <w:pPr>
        <w:spacing w:line="360" w:lineRule="auto"/>
        <w:ind w:firstLine="0"/>
        <w:jc w:val="center"/>
        <w:rPr>
          <w:rFonts w:ascii="Verdana" w:hAnsi="Verdana" w:cs="NimbusRomNo9L-Regu"/>
          <w:lang w:val="en-GB"/>
        </w:rPr>
      </w:pPr>
    </w:p>
    <w:p w14:paraId="5D9D7294" w14:textId="5709FFD4" w:rsidR="00E31F76" w:rsidRPr="0090127D" w:rsidRDefault="0090127D" w:rsidP="0090127D">
      <w:pPr>
        <w:spacing w:line="360" w:lineRule="auto"/>
        <w:ind w:firstLine="0"/>
        <w:jc w:val="center"/>
        <w:rPr>
          <w:rFonts w:ascii="Verdana" w:hAnsi="Verdana" w:cs="NimbusRomNo9L-Regu"/>
          <w:lang w:val="en-GB"/>
        </w:rPr>
      </w:pPr>
      <w:r w:rsidRPr="0090127D">
        <w:rPr>
          <w:rFonts w:ascii="Verdana" w:hAnsi="Verdana"/>
          <w:noProof/>
          <w:lang w:val="en-GB"/>
        </w:rPr>
        <w:drawing>
          <wp:anchor distT="0" distB="0" distL="114300" distR="114300" simplePos="0" relativeHeight="251995136" behindDoc="0" locked="0" layoutInCell="1" allowOverlap="1" wp14:anchorId="4E85E8DB" wp14:editId="2D79921F">
            <wp:simplePos x="0" y="0"/>
            <wp:positionH relativeFrom="margin">
              <wp:posOffset>2123964</wp:posOffset>
            </wp:positionH>
            <wp:positionV relativeFrom="paragraph">
              <wp:posOffset>299057</wp:posOffset>
            </wp:positionV>
            <wp:extent cx="1570990" cy="377825"/>
            <wp:effectExtent l="0" t="0" r="0" b="3175"/>
            <wp:wrapTopAndBottom/>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570990" cy="377825"/>
                    </a:xfrm>
                    <a:prstGeom prst="rect">
                      <a:avLst/>
                    </a:prstGeom>
                  </pic:spPr>
                </pic:pic>
              </a:graphicData>
            </a:graphic>
          </wp:anchor>
        </w:drawing>
      </w:r>
      <w:r w:rsidRPr="0090127D">
        <w:rPr>
          <w:rFonts w:ascii="Verdana" w:hAnsi="Verdana" w:cs="NimbusRomNo9L-Regu"/>
          <w:sz w:val="20"/>
          <w:szCs w:val="20"/>
          <w:lang w:val="en-GB"/>
        </w:rPr>
        <w:t>Funded by</w:t>
      </w:r>
      <w:r w:rsidR="00E31F76">
        <w:rPr>
          <w:rFonts w:ascii="Verdana" w:hAnsi="Verdana"/>
          <w:sz w:val="44"/>
          <w:szCs w:val="44"/>
          <w:lang w:val="en-GB"/>
        </w:rPr>
        <w:br w:type="page"/>
      </w:r>
    </w:p>
    <w:p w14:paraId="0B9FCDD1" w14:textId="5841D88D" w:rsidR="00B7365D" w:rsidRDefault="00B7365D">
      <w:pPr>
        <w:ind w:firstLine="0"/>
        <w:rPr>
          <w:rFonts w:ascii="Verdana" w:hAnsi="Verdana"/>
          <w:sz w:val="44"/>
          <w:szCs w:val="44"/>
          <w:lang w:val="en-GB"/>
        </w:rPr>
      </w:pPr>
    </w:p>
    <w:p w14:paraId="711D8318" w14:textId="77777777" w:rsidR="00B7365D" w:rsidRDefault="00B7365D">
      <w:pPr>
        <w:ind w:firstLine="0"/>
        <w:rPr>
          <w:rFonts w:ascii="Verdana" w:hAnsi="Verdana"/>
          <w:sz w:val="44"/>
          <w:szCs w:val="44"/>
          <w:lang w:val="en-GB"/>
        </w:rPr>
      </w:pPr>
      <w:r>
        <w:rPr>
          <w:rFonts w:ascii="Verdana" w:hAnsi="Verdana"/>
          <w:sz w:val="44"/>
          <w:szCs w:val="44"/>
          <w:lang w:val="en-GB"/>
        </w:rPr>
        <w:br w:type="page"/>
      </w:r>
    </w:p>
    <w:p w14:paraId="5B1E81E2" w14:textId="77777777" w:rsidR="00A156F6" w:rsidRPr="001B1897" w:rsidRDefault="00A156F6" w:rsidP="00A156F6">
      <w:pPr>
        <w:autoSpaceDE w:val="0"/>
        <w:autoSpaceDN w:val="0"/>
        <w:adjustRightInd w:val="0"/>
        <w:spacing w:after="0" w:line="240" w:lineRule="auto"/>
        <w:ind w:firstLine="0"/>
        <w:rPr>
          <w:rFonts w:ascii="Verdana" w:hAnsi="Verdana" w:cs="NimbusRomNo9L-Regu"/>
          <w:sz w:val="56"/>
          <w:szCs w:val="54"/>
          <w:lang w:val="en-GB"/>
        </w:rPr>
      </w:pPr>
      <w:r w:rsidRPr="001B1897">
        <w:rPr>
          <w:rFonts w:ascii="Verdana" w:hAnsi="Verdana" w:cs="NimbusRomNo9L-Regu"/>
          <w:sz w:val="56"/>
          <w:szCs w:val="54"/>
          <w:lang w:val="en-GB"/>
        </w:rPr>
        <w:lastRenderedPageBreak/>
        <w:t>Affidavit</w:t>
      </w:r>
    </w:p>
    <w:p w14:paraId="544914D1"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19545A7E"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78E0CB4F"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77D2FF97"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5CC565EB"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0AFD6A89"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332AAB4D"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522BC63C" w14:textId="77777777" w:rsidR="001B1897" w:rsidRDefault="001B1897" w:rsidP="00A156F6">
      <w:pPr>
        <w:autoSpaceDE w:val="0"/>
        <w:autoSpaceDN w:val="0"/>
        <w:adjustRightInd w:val="0"/>
        <w:spacing w:after="0" w:line="240" w:lineRule="auto"/>
        <w:ind w:firstLine="0"/>
        <w:rPr>
          <w:rFonts w:ascii="Verdana" w:hAnsi="Verdana" w:cs="NimbusRomNo9L-Regu"/>
          <w:lang w:val="en-GB"/>
        </w:rPr>
      </w:pPr>
    </w:p>
    <w:p w14:paraId="2BA85AC3" w14:textId="2F2CC39A" w:rsidR="00A156F6" w:rsidRDefault="00A156F6" w:rsidP="00D55A6D">
      <w:pPr>
        <w:autoSpaceDE w:val="0"/>
        <w:autoSpaceDN w:val="0"/>
        <w:adjustRightInd w:val="0"/>
        <w:spacing w:after="0" w:line="360" w:lineRule="auto"/>
        <w:jc w:val="both"/>
        <w:rPr>
          <w:rFonts w:ascii="Verdana" w:hAnsi="Verdana" w:cs="NimbusRomNo9L-Regu"/>
          <w:sz w:val="24"/>
          <w:szCs w:val="24"/>
          <w:lang w:val="en-GB"/>
        </w:rPr>
      </w:pPr>
      <w:r w:rsidRPr="001B1897">
        <w:rPr>
          <w:rFonts w:ascii="Verdana" w:hAnsi="Verdana" w:cs="NimbusRomNo9L-Regu"/>
          <w:sz w:val="24"/>
          <w:szCs w:val="24"/>
          <w:lang w:val="en-GB"/>
        </w:rPr>
        <w:t>I hereby confirm that the PhD thesis entitled “</w:t>
      </w:r>
      <w:r w:rsidR="009E52F5">
        <w:rPr>
          <w:rFonts w:ascii="Verdana" w:hAnsi="Verdana" w:cs="NimbusRomNo9L-ReguItal"/>
          <w:sz w:val="24"/>
          <w:szCs w:val="24"/>
          <w:lang w:val="en-GB"/>
        </w:rPr>
        <w:t>Unravelling the early pathological mechanisms in Parkinson’s Disease: Insights from alpha-synuclein dependent and independent models”</w:t>
      </w:r>
      <w:r w:rsidRPr="001B1897">
        <w:rPr>
          <w:rFonts w:ascii="Verdana" w:hAnsi="Verdana" w:cs="NimbusRomNo9L-Regu"/>
          <w:sz w:val="24"/>
          <w:szCs w:val="24"/>
          <w:lang w:val="en-GB"/>
        </w:rPr>
        <w:t xml:space="preserve"> has been written independently and</w:t>
      </w:r>
      <w:r w:rsidR="00D55A6D">
        <w:rPr>
          <w:rFonts w:ascii="Verdana" w:hAnsi="Verdana" w:cs="NimbusRomNo9L-Regu"/>
          <w:sz w:val="24"/>
          <w:szCs w:val="24"/>
          <w:lang w:val="en-GB"/>
        </w:rPr>
        <w:t xml:space="preserve"> </w:t>
      </w:r>
      <w:r w:rsidRPr="001B1897">
        <w:rPr>
          <w:rFonts w:ascii="Verdana" w:hAnsi="Verdana" w:cs="NimbusRomNo9L-Regu"/>
          <w:sz w:val="24"/>
          <w:szCs w:val="24"/>
          <w:lang w:val="en-GB"/>
        </w:rPr>
        <w:t>without any other sources than cited.</w:t>
      </w:r>
      <w:r w:rsidR="00D55A6D">
        <w:rPr>
          <w:rFonts w:ascii="Verdana" w:hAnsi="Verdana" w:cs="NimbusRomNo9L-Regu"/>
          <w:sz w:val="24"/>
          <w:szCs w:val="24"/>
          <w:lang w:val="en-GB"/>
        </w:rPr>
        <w:t xml:space="preserve"> </w:t>
      </w:r>
      <w:r w:rsidR="00962687">
        <w:rPr>
          <w:rFonts w:ascii="Verdana" w:hAnsi="Verdana" w:cs="NimbusRomNo9L-Regu"/>
          <w:sz w:val="24"/>
          <w:szCs w:val="24"/>
          <w:lang w:val="en-GB"/>
        </w:rPr>
        <w:t>E</w:t>
      </w:r>
      <w:r w:rsidR="00D55A6D" w:rsidRPr="00D55A6D">
        <w:rPr>
          <w:rFonts w:ascii="Verdana" w:hAnsi="Verdana" w:cs="NimbusRomNo9L-Regu"/>
          <w:sz w:val="24"/>
          <w:szCs w:val="24"/>
          <w:lang w:val="en-GB"/>
        </w:rPr>
        <w:t xml:space="preserve">thical approvals </w:t>
      </w:r>
      <w:r w:rsidR="00962687">
        <w:rPr>
          <w:rFonts w:ascii="Verdana" w:hAnsi="Verdana" w:cs="NimbusRomNo9L-Regu"/>
          <w:sz w:val="24"/>
          <w:szCs w:val="24"/>
          <w:lang w:val="en-GB"/>
        </w:rPr>
        <w:t xml:space="preserve">for mouse experimentation </w:t>
      </w:r>
      <w:r w:rsidR="00D55A6D" w:rsidRPr="00D55A6D">
        <w:rPr>
          <w:rFonts w:ascii="Verdana" w:hAnsi="Verdana" w:cs="NimbusRomNo9L-Regu"/>
          <w:sz w:val="24"/>
          <w:szCs w:val="24"/>
          <w:lang w:val="en-GB"/>
        </w:rPr>
        <w:t>have been obtained in accordance with the “</w:t>
      </w:r>
      <w:proofErr w:type="spellStart"/>
      <w:r w:rsidR="00D55A6D" w:rsidRPr="00D55A6D">
        <w:rPr>
          <w:rFonts w:ascii="Verdana" w:hAnsi="Verdana" w:cs="NimbusRomNo9L-Regu"/>
          <w:sz w:val="24"/>
          <w:szCs w:val="24"/>
          <w:lang w:val="en-GB"/>
        </w:rPr>
        <w:t>Règlement</w:t>
      </w:r>
      <w:proofErr w:type="spellEnd"/>
      <w:r w:rsidR="00D55A6D" w:rsidRPr="00D55A6D">
        <w:rPr>
          <w:rFonts w:ascii="Verdana" w:hAnsi="Verdana" w:cs="NimbusRomNo9L-Regu"/>
          <w:sz w:val="24"/>
          <w:szCs w:val="24"/>
          <w:lang w:val="en-GB"/>
        </w:rPr>
        <w:t xml:space="preserve"> grand-ducal du 11 </w:t>
      </w:r>
      <w:proofErr w:type="spellStart"/>
      <w:r w:rsidR="00D55A6D" w:rsidRPr="00D55A6D">
        <w:rPr>
          <w:rFonts w:ascii="Verdana" w:hAnsi="Verdana" w:cs="NimbusRomNo9L-Regu"/>
          <w:sz w:val="24"/>
          <w:szCs w:val="24"/>
          <w:lang w:val="en-GB"/>
        </w:rPr>
        <w:t>janvier</w:t>
      </w:r>
      <w:proofErr w:type="spellEnd"/>
      <w:r w:rsidR="00D55A6D" w:rsidRPr="00D55A6D">
        <w:rPr>
          <w:rFonts w:ascii="Verdana" w:hAnsi="Verdana" w:cs="NimbusRomNo9L-Regu"/>
          <w:sz w:val="24"/>
          <w:szCs w:val="24"/>
          <w:lang w:val="en-GB"/>
        </w:rPr>
        <w:t xml:space="preserve"> 2013 </w:t>
      </w:r>
      <w:proofErr w:type="spellStart"/>
      <w:r w:rsidR="00D55A6D" w:rsidRPr="00D55A6D">
        <w:rPr>
          <w:rFonts w:ascii="Verdana" w:hAnsi="Verdana" w:cs="NimbusRomNo9L-Regu"/>
          <w:sz w:val="24"/>
          <w:szCs w:val="24"/>
          <w:lang w:val="en-GB"/>
        </w:rPr>
        <w:t>relatif</w:t>
      </w:r>
      <w:proofErr w:type="spellEnd"/>
      <w:r w:rsidR="00D55A6D" w:rsidRPr="00D55A6D">
        <w:rPr>
          <w:rFonts w:ascii="Verdana" w:hAnsi="Verdana" w:cs="NimbusRomNo9L-Regu"/>
          <w:sz w:val="24"/>
          <w:szCs w:val="24"/>
          <w:lang w:val="en-GB"/>
        </w:rPr>
        <w:t xml:space="preserve"> à la protection des </w:t>
      </w:r>
      <w:proofErr w:type="spellStart"/>
      <w:r w:rsidR="00D55A6D" w:rsidRPr="00D55A6D">
        <w:rPr>
          <w:rFonts w:ascii="Verdana" w:hAnsi="Verdana" w:cs="NimbusRomNo9L-Regu"/>
          <w:sz w:val="24"/>
          <w:szCs w:val="24"/>
          <w:lang w:val="en-GB"/>
        </w:rPr>
        <w:t>animaux</w:t>
      </w:r>
      <w:proofErr w:type="spellEnd"/>
      <w:r w:rsidR="00D55A6D" w:rsidRPr="00D55A6D">
        <w:rPr>
          <w:rFonts w:ascii="Verdana" w:hAnsi="Verdana" w:cs="NimbusRomNo9L-Regu"/>
          <w:sz w:val="24"/>
          <w:szCs w:val="24"/>
          <w:lang w:val="en-GB"/>
        </w:rPr>
        <w:t xml:space="preserve"> </w:t>
      </w:r>
      <w:proofErr w:type="spellStart"/>
      <w:r w:rsidR="00D55A6D" w:rsidRPr="00D55A6D">
        <w:rPr>
          <w:rFonts w:ascii="Verdana" w:hAnsi="Verdana" w:cs="NimbusRomNo9L-Regu"/>
          <w:sz w:val="24"/>
          <w:szCs w:val="24"/>
          <w:lang w:val="en-GB"/>
        </w:rPr>
        <w:t>utilisés</w:t>
      </w:r>
      <w:proofErr w:type="spellEnd"/>
      <w:r w:rsidR="00D55A6D" w:rsidRPr="00D55A6D">
        <w:rPr>
          <w:rFonts w:ascii="Verdana" w:hAnsi="Verdana" w:cs="NimbusRomNo9L-Regu"/>
          <w:sz w:val="24"/>
          <w:szCs w:val="24"/>
          <w:lang w:val="en-GB"/>
        </w:rPr>
        <w:t xml:space="preserve"> à des fins </w:t>
      </w:r>
      <w:proofErr w:type="spellStart"/>
      <w:r w:rsidR="00D55A6D" w:rsidRPr="00D55A6D">
        <w:rPr>
          <w:rFonts w:ascii="Verdana" w:hAnsi="Verdana" w:cs="NimbusRomNo9L-Regu"/>
          <w:sz w:val="24"/>
          <w:szCs w:val="24"/>
          <w:lang w:val="en-GB"/>
        </w:rPr>
        <w:t>scientifiques</w:t>
      </w:r>
      <w:proofErr w:type="spellEnd"/>
      <w:r w:rsidR="00D55A6D" w:rsidRPr="00D55A6D">
        <w:rPr>
          <w:rFonts w:ascii="Verdana" w:hAnsi="Verdana" w:cs="NimbusRomNo9L-Regu"/>
          <w:sz w:val="24"/>
          <w:szCs w:val="24"/>
          <w:lang w:val="en-GB"/>
        </w:rPr>
        <w:t>” adapted from and in line with the European Directive 2010/63/EU.</w:t>
      </w:r>
    </w:p>
    <w:p w14:paraId="045A9B7D" w14:textId="77777777" w:rsidR="00D55A6D" w:rsidRPr="001B1897" w:rsidRDefault="00D55A6D" w:rsidP="001B1897">
      <w:pPr>
        <w:autoSpaceDE w:val="0"/>
        <w:autoSpaceDN w:val="0"/>
        <w:adjustRightInd w:val="0"/>
        <w:spacing w:after="0" w:line="240" w:lineRule="auto"/>
        <w:ind w:firstLine="0"/>
        <w:jc w:val="both"/>
        <w:rPr>
          <w:rFonts w:ascii="Verdana" w:hAnsi="Verdana" w:cs="NimbusRomNo9L-Regu"/>
          <w:sz w:val="24"/>
          <w:szCs w:val="24"/>
          <w:lang w:val="en-GB"/>
        </w:rPr>
      </w:pPr>
    </w:p>
    <w:p w14:paraId="38DD40C8" w14:textId="57D8DA03" w:rsidR="008B2575" w:rsidRDefault="00A156F6" w:rsidP="001B1897">
      <w:pPr>
        <w:ind w:firstLine="0"/>
        <w:jc w:val="both"/>
        <w:rPr>
          <w:rFonts w:ascii="Verdana" w:hAnsi="Verdana" w:cs="NimbusRomNo9L-Regu"/>
          <w:sz w:val="24"/>
          <w:szCs w:val="24"/>
          <w:lang w:val="en-GB"/>
        </w:rPr>
      </w:pPr>
      <w:r w:rsidRPr="001B1897">
        <w:rPr>
          <w:rFonts w:ascii="Verdana" w:hAnsi="Verdana" w:cs="NimbusRomNo9L-Regu"/>
          <w:sz w:val="24"/>
          <w:szCs w:val="24"/>
          <w:lang w:val="en-GB"/>
        </w:rPr>
        <w:t xml:space="preserve">Luxembourg, </w:t>
      </w:r>
      <w:r w:rsidR="0087634C">
        <w:rPr>
          <w:rFonts w:ascii="Verdana" w:hAnsi="Verdana" w:cs="NimbusRomNo9L-Regu"/>
          <w:sz w:val="24"/>
          <w:szCs w:val="24"/>
          <w:lang w:val="en-GB"/>
        </w:rPr>
        <w:t>15</w:t>
      </w:r>
      <w:r w:rsidR="004829A5">
        <w:rPr>
          <w:rFonts w:ascii="Verdana" w:hAnsi="Verdana" w:cs="NimbusRomNo9L-Regu"/>
          <w:sz w:val="24"/>
          <w:szCs w:val="24"/>
          <w:lang w:val="en-GB"/>
        </w:rPr>
        <w:t xml:space="preserve"> </w:t>
      </w:r>
      <w:r w:rsidR="0087634C">
        <w:rPr>
          <w:rFonts w:ascii="Verdana" w:hAnsi="Verdana" w:cs="NimbusRomNo9L-Regu"/>
          <w:sz w:val="24"/>
          <w:szCs w:val="24"/>
          <w:lang w:val="en-GB"/>
        </w:rPr>
        <w:t>May</w:t>
      </w:r>
      <w:r w:rsidRPr="001B1897">
        <w:rPr>
          <w:rFonts w:ascii="Verdana" w:hAnsi="Verdana" w:cs="NimbusRomNo9L-Regu"/>
          <w:sz w:val="24"/>
          <w:szCs w:val="24"/>
          <w:lang w:val="en-GB"/>
        </w:rPr>
        <w:t xml:space="preserve"> 202</w:t>
      </w:r>
      <w:r w:rsidR="008B2575">
        <w:rPr>
          <w:rFonts w:ascii="Verdana" w:hAnsi="Verdana" w:cs="NimbusRomNo9L-Regu"/>
          <w:sz w:val="24"/>
          <w:szCs w:val="24"/>
          <w:lang w:val="en-GB"/>
        </w:rPr>
        <w:t>3</w:t>
      </w:r>
    </w:p>
    <w:p w14:paraId="53F1DF01" w14:textId="77777777" w:rsidR="008B2575" w:rsidRDefault="008B2575" w:rsidP="008B2575">
      <w:pPr>
        <w:ind w:firstLine="0"/>
        <w:jc w:val="right"/>
        <w:rPr>
          <w:rFonts w:ascii="Verdana" w:hAnsi="Verdana" w:cs="NimbusRomNo9L-Regu"/>
          <w:sz w:val="24"/>
          <w:szCs w:val="24"/>
          <w:lang w:val="en-GB"/>
        </w:rPr>
      </w:pPr>
    </w:p>
    <w:p w14:paraId="39DFA1FA" w14:textId="77777777" w:rsidR="008B2575" w:rsidRDefault="008B2575" w:rsidP="008B2575">
      <w:pPr>
        <w:ind w:firstLine="0"/>
        <w:jc w:val="right"/>
        <w:rPr>
          <w:rFonts w:ascii="Verdana" w:hAnsi="Verdana" w:cs="NimbusRomNo9L-Regu"/>
          <w:sz w:val="24"/>
          <w:szCs w:val="24"/>
          <w:lang w:val="en-GB"/>
        </w:rPr>
      </w:pPr>
    </w:p>
    <w:p w14:paraId="6CAF3EF3" w14:textId="77777777" w:rsidR="00085B9D" w:rsidRDefault="008B2575" w:rsidP="008B2575">
      <w:pPr>
        <w:ind w:firstLine="0"/>
        <w:jc w:val="right"/>
        <w:rPr>
          <w:rFonts w:ascii="Verdana" w:hAnsi="Verdana" w:cs="NimbusRomNo9L-Regu"/>
          <w:sz w:val="24"/>
          <w:szCs w:val="24"/>
          <w:lang w:val="en-GB"/>
        </w:rPr>
      </w:pPr>
      <w:r>
        <w:rPr>
          <w:rFonts w:ascii="Verdana" w:hAnsi="Verdana" w:cs="NimbusRomNo9L-Regu"/>
          <w:sz w:val="24"/>
          <w:szCs w:val="24"/>
          <w:lang w:val="en-GB"/>
        </w:rPr>
        <w:t>Alessia Sciortino</w:t>
      </w:r>
    </w:p>
    <w:p w14:paraId="4996F728" w14:textId="77777777" w:rsidR="00085B9D" w:rsidRDefault="00085B9D">
      <w:pPr>
        <w:ind w:firstLine="0"/>
        <w:rPr>
          <w:rFonts w:ascii="Verdana" w:hAnsi="Verdana" w:cs="NimbusRomNo9L-Regu"/>
          <w:sz w:val="24"/>
          <w:szCs w:val="24"/>
          <w:lang w:val="en-GB"/>
        </w:rPr>
      </w:pPr>
      <w:r>
        <w:rPr>
          <w:rFonts w:ascii="Verdana" w:hAnsi="Verdana" w:cs="NimbusRomNo9L-Regu"/>
          <w:sz w:val="24"/>
          <w:szCs w:val="24"/>
          <w:lang w:val="en-GB"/>
        </w:rPr>
        <w:br w:type="page"/>
      </w:r>
    </w:p>
    <w:p w14:paraId="407F2559" w14:textId="77777777" w:rsidR="00085B9D" w:rsidRDefault="00085B9D" w:rsidP="00085B9D">
      <w:pPr>
        <w:ind w:firstLine="0"/>
        <w:rPr>
          <w:rFonts w:ascii="Verdana" w:hAnsi="Verdana"/>
          <w:sz w:val="44"/>
          <w:szCs w:val="44"/>
          <w:lang w:val="en-GB"/>
        </w:rPr>
      </w:pPr>
    </w:p>
    <w:p w14:paraId="76402B1B" w14:textId="77777777" w:rsidR="00085B9D" w:rsidRDefault="00085B9D">
      <w:pPr>
        <w:ind w:firstLine="0"/>
        <w:rPr>
          <w:rFonts w:ascii="Verdana" w:hAnsi="Verdana"/>
          <w:sz w:val="44"/>
          <w:szCs w:val="44"/>
          <w:lang w:val="en-GB"/>
        </w:rPr>
      </w:pPr>
      <w:r>
        <w:rPr>
          <w:rFonts w:ascii="Verdana" w:hAnsi="Verdana"/>
          <w:sz w:val="44"/>
          <w:szCs w:val="44"/>
          <w:lang w:val="en-GB"/>
        </w:rPr>
        <w:br w:type="page"/>
      </w:r>
    </w:p>
    <w:p w14:paraId="26052898" w14:textId="77777777" w:rsidR="00D21817" w:rsidRDefault="009367B4" w:rsidP="00085B9D">
      <w:pPr>
        <w:ind w:firstLine="0"/>
        <w:rPr>
          <w:rFonts w:ascii="Verdana" w:hAnsi="Verdana"/>
          <w:sz w:val="56"/>
          <w:szCs w:val="56"/>
          <w:lang w:val="en-GB"/>
        </w:rPr>
      </w:pPr>
      <w:r>
        <w:rPr>
          <w:rFonts w:ascii="Verdana" w:hAnsi="Verdana"/>
          <w:sz w:val="56"/>
          <w:szCs w:val="56"/>
          <w:lang w:val="en-GB"/>
        </w:rPr>
        <w:lastRenderedPageBreak/>
        <w:t>Acknowledge</w:t>
      </w:r>
      <w:r w:rsidR="00D21817">
        <w:rPr>
          <w:rFonts w:ascii="Verdana" w:hAnsi="Verdana"/>
          <w:sz w:val="56"/>
          <w:szCs w:val="56"/>
          <w:lang w:val="en-GB"/>
        </w:rPr>
        <w:t>ments</w:t>
      </w:r>
    </w:p>
    <w:p w14:paraId="3E0B5DB2" w14:textId="77777777" w:rsidR="00D21817" w:rsidRDefault="00D21817" w:rsidP="00085B9D">
      <w:pPr>
        <w:ind w:firstLine="0"/>
        <w:rPr>
          <w:rFonts w:ascii="Verdana" w:hAnsi="Verdana"/>
          <w:sz w:val="56"/>
          <w:szCs w:val="56"/>
          <w:lang w:val="en-GB"/>
        </w:rPr>
      </w:pPr>
    </w:p>
    <w:p w14:paraId="5325E2D9" w14:textId="77777777" w:rsidR="00D21817" w:rsidRDefault="00D21817" w:rsidP="00085B9D">
      <w:pPr>
        <w:ind w:firstLine="0"/>
        <w:rPr>
          <w:rFonts w:ascii="Verdana" w:hAnsi="Verdana"/>
          <w:sz w:val="56"/>
          <w:szCs w:val="56"/>
          <w:lang w:val="en-GB"/>
        </w:rPr>
      </w:pPr>
    </w:p>
    <w:p w14:paraId="4A321076" w14:textId="77777777" w:rsidR="00241FF6" w:rsidRDefault="00BD26B1" w:rsidP="00A41E68">
      <w:pPr>
        <w:spacing w:line="360" w:lineRule="auto"/>
        <w:jc w:val="both"/>
        <w:rPr>
          <w:rFonts w:ascii="Verdana" w:hAnsi="Verdana"/>
          <w:lang w:val="en-GB"/>
        </w:rPr>
      </w:pPr>
      <w:r>
        <w:rPr>
          <w:rFonts w:ascii="Verdana" w:hAnsi="Verdana"/>
          <w:lang w:val="en-GB"/>
        </w:rPr>
        <w:t xml:space="preserve">I would like to thank the </w:t>
      </w:r>
      <w:r w:rsidR="00806A13">
        <w:rPr>
          <w:rFonts w:ascii="Verdana" w:hAnsi="Verdana"/>
          <w:lang w:val="en-GB"/>
        </w:rPr>
        <w:t>Luxembourg National Research Fund</w:t>
      </w:r>
      <w:r w:rsidR="00922452">
        <w:rPr>
          <w:rFonts w:ascii="Verdana" w:hAnsi="Verdana"/>
          <w:lang w:val="en-GB"/>
        </w:rPr>
        <w:t xml:space="preserve"> (FNR), the Quality Control in Parkinson’s Disease (PARK-QC) Doctoral Training Unit,</w:t>
      </w:r>
      <w:r w:rsidR="00806A13">
        <w:rPr>
          <w:rFonts w:ascii="Verdana" w:hAnsi="Verdana"/>
          <w:lang w:val="en-GB"/>
        </w:rPr>
        <w:t xml:space="preserve"> and the University of Luxembourg</w:t>
      </w:r>
      <w:r w:rsidR="00922452">
        <w:rPr>
          <w:rFonts w:ascii="Verdana" w:hAnsi="Verdana"/>
          <w:lang w:val="en-GB"/>
        </w:rPr>
        <w:t xml:space="preserve"> for making this </w:t>
      </w:r>
      <w:r w:rsidR="00241FF6">
        <w:rPr>
          <w:rFonts w:ascii="Verdana" w:hAnsi="Verdana"/>
          <w:lang w:val="en-GB"/>
        </w:rPr>
        <w:t>study possible.</w:t>
      </w:r>
    </w:p>
    <w:p w14:paraId="72FDCC82" w14:textId="6EB4DB70" w:rsidR="00326EF8" w:rsidRDefault="00241FF6" w:rsidP="00A41E68">
      <w:pPr>
        <w:spacing w:line="360" w:lineRule="auto"/>
        <w:jc w:val="both"/>
        <w:rPr>
          <w:rFonts w:ascii="Verdana" w:hAnsi="Verdana"/>
          <w:lang w:val="en-GB"/>
        </w:rPr>
      </w:pPr>
      <w:r>
        <w:rPr>
          <w:rFonts w:ascii="Verdana" w:hAnsi="Verdana"/>
          <w:lang w:val="en-GB"/>
        </w:rPr>
        <w:t>To Manuel</w:t>
      </w:r>
      <w:r w:rsidR="00080E33">
        <w:rPr>
          <w:rFonts w:ascii="Verdana" w:hAnsi="Verdana"/>
          <w:lang w:val="en-GB"/>
        </w:rPr>
        <w:t>. T</w:t>
      </w:r>
      <w:r>
        <w:rPr>
          <w:rFonts w:ascii="Verdana" w:hAnsi="Verdana"/>
          <w:lang w:val="en-GB"/>
        </w:rPr>
        <w:t xml:space="preserve">hank you </w:t>
      </w:r>
      <w:r w:rsidR="00096F74">
        <w:rPr>
          <w:rFonts w:ascii="Verdana" w:hAnsi="Verdana"/>
          <w:lang w:val="en-GB"/>
        </w:rPr>
        <w:t xml:space="preserve">for helping me through </w:t>
      </w:r>
      <w:r w:rsidR="00AE2281">
        <w:rPr>
          <w:rFonts w:ascii="Verdana" w:hAnsi="Verdana"/>
          <w:lang w:val="en-GB"/>
        </w:rPr>
        <w:t xml:space="preserve">these difficult </w:t>
      </w:r>
      <w:r w:rsidR="00326EF8">
        <w:rPr>
          <w:rFonts w:ascii="Verdana" w:hAnsi="Verdana"/>
          <w:lang w:val="en-GB"/>
        </w:rPr>
        <w:t>four</w:t>
      </w:r>
      <w:r w:rsidR="00AE2281">
        <w:rPr>
          <w:rFonts w:ascii="Verdana" w:hAnsi="Verdana"/>
          <w:lang w:val="en-GB"/>
        </w:rPr>
        <w:t xml:space="preserve"> years</w:t>
      </w:r>
      <w:r w:rsidR="00326EF8">
        <w:rPr>
          <w:rFonts w:ascii="Verdana" w:hAnsi="Verdana"/>
          <w:lang w:val="en-GB"/>
        </w:rPr>
        <w:t>.</w:t>
      </w:r>
      <w:r w:rsidR="00485239">
        <w:rPr>
          <w:rFonts w:ascii="Verdana" w:hAnsi="Verdana"/>
          <w:lang w:val="en-GB"/>
        </w:rPr>
        <w:t xml:space="preserve"> </w:t>
      </w:r>
      <w:r w:rsidR="00BA00BF">
        <w:rPr>
          <w:rFonts w:ascii="Verdana" w:hAnsi="Verdana"/>
          <w:lang w:val="en-GB"/>
        </w:rPr>
        <w:t xml:space="preserve">Thank you for the </w:t>
      </w:r>
      <w:r w:rsidR="00666D83">
        <w:rPr>
          <w:rFonts w:ascii="Verdana" w:hAnsi="Verdana"/>
          <w:lang w:val="en-GB"/>
        </w:rPr>
        <w:t xml:space="preserve">scientific and moral support, </w:t>
      </w:r>
      <w:r w:rsidR="00CE3E06">
        <w:rPr>
          <w:rFonts w:ascii="Verdana" w:hAnsi="Verdana"/>
          <w:lang w:val="en-GB"/>
        </w:rPr>
        <w:t>for your mentoring, and for not letting me give up.</w:t>
      </w:r>
    </w:p>
    <w:p w14:paraId="031C815B" w14:textId="7D5114B3" w:rsidR="00CE3E06" w:rsidRDefault="00022293" w:rsidP="00A41E68">
      <w:pPr>
        <w:spacing w:line="360" w:lineRule="auto"/>
        <w:jc w:val="both"/>
        <w:rPr>
          <w:rFonts w:ascii="Verdana" w:hAnsi="Verdana"/>
          <w:lang w:val="en-GB"/>
        </w:rPr>
      </w:pPr>
      <w:r>
        <w:rPr>
          <w:rFonts w:ascii="Verdana" w:hAnsi="Verdana"/>
          <w:lang w:val="en-GB"/>
        </w:rPr>
        <w:t>To Miche</w:t>
      </w:r>
      <w:r w:rsidR="00080E33">
        <w:rPr>
          <w:rFonts w:ascii="Verdana" w:hAnsi="Verdana"/>
          <w:lang w:val="en-GB"/>
        </w:rPr>
        <w:t>l. T</w:t>
      </w:r>
      <w:r w:rsidR="00DE2967">
        <w:rPr>
          <w:rFonts w:ascii="Verdana" w:hAnsi="Verdana"/>
          <w:lang w:val="en-GB"/>
        </w:rPr>
        <w:t>hank you for believing in me</w:t>
      </w:r>
      <w:r w:rsidR="0032035B">
        <w:rPr>
          <w:rFonts w:ascii="Verdana" w:hAnsi="Verdana"/>
          <w:lang w:val="en-GB"/>
        </w:rPr>
        <w:t>,</w:t>
      </w:r>
      <w:r w:rsidR="00177F57">
        <w:rPr>
          <w:rFonts w:ascii="Verdana" w:hAnsi="Verdana"/>
          <w:lang w:val="en-GB"/>
        </w:rPr>
        <w:t xml:space="preserve"> for your supervision</w:t>
      </w:r>
      <w:r w:rsidR="00E938E7">
        <w:rPr>
          <w:rFonts w:ascii="Verdana" w:hAnsi="Verdana"/>
          <w:lang w:val="en-GB"/>
        </w:rPr>
        <w:t xml:space="preserve"> and your constructive criticism.</w:t>
      </w:r>
    </w:p>
    <w:p w14:paraId="57C475AF" w14:textId="558454B5" w:rsidR="00A7459C" w:rsidRDefault="00A7459C" w:rsidP="00A41E68">
      <w:pPr>
        <w:spacing w:line="360" w:lineRule="auto"/>
        <w:jc w:val="both"/>
        <w:rPr>
          <w:rFonts w:ascii="Verdana" w:hAnsi="Verdana"/>
          <w:lang w:val="en-GB"/>
        </w:rPr>
      </w:pPr>
      <w:r>
        <w:rPr>
          <w:rFonts w:ascii="Verdana" w:hAnsi="Verdana"/>
          <w:lang w:val="en-GB"/>
        </w:rPr>
        <w:t xml:space="preserve">To Djalil, thank you for accepting to be </w:t>
      </w:r>
      <w:r w:rsidR="0029065F">
        <w:rPr>
          <w:rFonts w:ascii="Verdana" w:hAnsi="Verdana"/>
          <w:lang w:val="en-GB"/>
        </w:rPr>
        <w:t xml:space="preserve">part of my CET. Thank you for </w:t>
      </w:r>
      <w:r w:rsidR="00E90448">
        <w:rPr>
          <w:rFonts w:ascii="Verdana" w:hAnsi="Verdana"/>
          <w:lang w:val="en-GB"/>
        </w:rPr>
        <w:t xml:space="preserve">offering your point of view, </w:t>
      </w:r>
      <w:r w:rsidR="00C111D0">
        <w:rPr>
          <w:rFonts w:ascii="Verdana" w:hAnsi="Verdana"/>
          <w:lang w:val="en-GB"/>
        </w:rPr>
        <w:t>for listening and for encouraging me.</w:t>
      </w:r>
    </w:p>
    <w:p w14:paraId="2A2D4034" w14:textId="12483ECD" w:rsidR="00C9548D" w:rsidRDefault="00A7459C" w:rsidP="00A41E68">
      <w:pPr>
        <w:spacing w:line="360" w:lineRule="auto"/>
        <w:jc w:val="both"/>
        <w:rPr>
          <w:rFonts w:ascii="Verdana" w:hAnsi="Verdana"/>
          <w:lang w:val="en-GB"/>
        </w:rPr>
      </w:pPr>
      <w:r w:rsidRPr="00A7459C">
        <w:rPr>
          <w:rFonts w:ascii="Verdana" w:hAnsi="Verdana"/>
          <w:lang w:val="en-GB"/>
        </w:rPr>
        <w:t xml:space="preserve">To Dr </w:t>
      </w:r>
      <w:r w:rsidR="00C111D0">
        <w:rPr>
          <w:rFonts w:ascii="Verdana" w:hAnsi="Verdana"/>
          <w:lang w:val="en-GB"/>
        </w:rPr>
        <w:t xml:space="preserve">Julia Schulze-Hentrich and </w:t>
      </w:r>
      <w:r w:rsidR="00AA7913">
        <w:rPr>
          <w:rFonts w:ascii="Verdana" w:hAnsi="Verdana"/>
          <w:lang w:val="en-GB"/>
        </w:rPr>
        <w:t>Dr Jennifer Johnston</w:t>
      </w:r>
      <w:r w:rsidRPr="00A7459C">
        <w:rPr>
          <w:rFonts w:ascii="Verdana" w:hAnsi="Verdana"/>
          <w:lang w:val="en-GB"/>
        </w:rPr>
        <w:t xml:space="preserve">. </w:t>
      </w:r>
      <w:r w:rsidR="00C9548D">
        <w:rPr>
          <w:rFonts w:ascii="Verdana" w:hAnsi="Verdana"/>
          <w:lang w:val="en-GB"/>
        </w:rPr>
        <w:t>I am glad you accepted to</w:t>
      </w:r>
      <w:r w:rsidR="00013BAE">
        <w:rPr>
          <w:rFonts w:ascii="Verdana" w:hAnsi="Verdana"/>
          <w:lang w:val="en-GB"/>
        </w:rPr>
        <w:t xml:space="preserve"> be part of my jury</w:t>
      </w:r>
      <w:r w:rsidR="00C9548D">
        <w:rPr>
          <w:rFonts w:ascii="Verdana" w:hAnsi="Verdana"/>
          <w:lang w:val="en-GB"/>
        </w:rPr>
        <w:t xml:space="preserve">. </w:t>
      </w:r>
      <w:r w:rsidR="00BD0C68">
        <w:rPr>
          <w:rFonts w:ascii="Verdana" w:hAnsi="Verdana"/>
          <w:lang w:val="en-GB"/>
        </w:rPr>
        <w:t>You</w:t>
      </w:r>
      <w:r w:rsidR="0099100F">
        <w:rPr>
          <w:rFonts w:ascii="Verdana" w:hAnsi="Verdana"/>
          <w:lang w:val="en-GB"/>
        </w:rPr>
        <w:t>r work and vision</w:t>
      </w:r>
      <w:r w:rsidR="00BD0C68">
        <w:rPr>
          <w:rFonts w:ascii="Verdana" w:hAnsi="Verdana"/>
          <w:lang w:val="en-GB"/>
        </w:rPr>
        <w:t xml:space="preserve"> are truly </w:t>
      </w:r>
      <w:r w:rsidR="0099100F">
        <w:rPr>
          <w:rFonts w:ascii="Verdana" w:hAnsi="Verdana"/>
          <w:lang w:val="en-GB"/>
        </w:rPr>
        <w:t xml:space="preserve">inspiring </w:t>
      </w:r>
      <w:r w:rsidR="0090005E">
        <w:rPr>
          <w:rFonts w:ascii="Verdana" w:hAnsi="Verdana"/>
          <w:lang w:val="en-GB"/>
        </w:rPr>
        <w:t>for me</w:t>
      </w:r>
      <w:r w:rsidR="00F24DD7">
        <w:rPr>
          <w:rFonts w:ascii="Verdana" w:hAnsi="Verdana"/>
          <w:lang w:val="en-GB"/>
        </w:rPr>
        <w:t>, and you will forever be role models I will be looking at in the</w:t>
      </w:r>
      <w:r w:rsidR="00375B18">
        <w:rPr>
          <w:rFonts w:ascii="Verdana" w:hAnsi="Verdana"/>
          <w:lang w:val="en-GB"/>
        </w:rPr>
        <w:t xml:space="preserve"> future</w:t>
      </w:r>
      <w:r w:rsidR="0090005E">
        <w:rPr>
          <w:rFonts w:ascii="Verdana" w:hAnsi="Verdana"/>
          <w:lang w:val="en-GB"/>
        </w:rPr>
        <w:t>.</w:t>
      </w:r>
    </w:p>
    <w:p w14:paraId="6D5A3C19" w14:textId="3E114D7E" w:rsidR="0090005E" w:rsidRDefault="00375B18" w:rsidP="00A41E68">
      <w:pPr>
        <w:spacing w:line="360" w:lineRule="auto"/>
        <w:jc w:val="both"/>
        <w:rPr>
          <w:rFonts w:ascii="Verdana" w:hAnsi="Verdana"/>
          <w:lang w:val="en-GB"/>
        </w:rPr>
      </w:pPr>
      <w:r>
        <w:rPr>
          <w:rFonts w:ascii="Verdana" w:hAnsi="Verdana"/>
          <w:lang w:val="en-GB"/>
        </w:rPr>
        <w:t>To Lasse</w:t>
      </w:r>
      <w:r w:rsidR="00073138">
        <w:rPr>
          <w:rFonts w:ascii="Verdana" w:hAnsi="Verdana"/>
          <w:lang w:val="en-GB"/>
        </w:rPr>
        <w:t xml:space="preserve">. Thank you for your insights, especially in the early </w:t>
      </w:r>
      <w:r w:rsidR="000A0D71">
        <w:rPr>
          <w:rFonts w:ascii="Verdana" w:hAnsi="Verdana"/>
          <w:lang w:val="en-GB"/>
        </w:rPr>
        <w:t>months of this PhD</w:t>
      </w:r>
      <w:r w:rsidR="00613575">
        <w:rPr>
          <w:rFonts w:ascii="Verdana" w:hAnsi="Verdana"/>
          <w:lang w:val="en-GB"/>
        </w:rPr>
        <w:t>, and t</w:t>
      </w:r>
      <w:r w:rsidR="007A5102">
        <w:rPr>
          <w:rFonts w:ascii="Verdana" w:hAnsi="Verdana"/>
          <w:lang w:val="en-GB"/>
        </w:rPr>
        <w:t xml:space="preserve">hank you for </w:t>
      </w:r>
      <w:r w:rsidR="00914FB8">
        <w:rPr>
          <w:rFonts w:ascii="Verdana" w:hAnsi="Verdana"/>
          <w:lang w:val="en-GB"/>
        </w:rPr>
        <w:t xml:space="preserve">helping </w:t>
      </w:r>
      <w:r w:rsidR="00485708">
        <w:rPr>
          <w:rFonts w:ascii="Verdana" w:hAnsi="Verdana"/>
          <w:lang w:val="en-GB"/>
        </w:rPr>
        <w:t>to shape</w:t>
      </w:r>
      <w:r w:rsidR="00914FB8">
        <w:rPr>
          <w:rFonts w:ascii="Verdana" w:hAnsi="Verdana"/>
          <w:lang w:val="en-GB"/>
        </w:rPr>
        <w:t xml:space="preserve"> this thesis as we see it today</w:t>
      </w:r>
      <w:r w:rsidR="00E60B01">
        <w:rPr>
          <w:rFonts w:ascii="Verdana" w:hAnsi="Verdana"/>
          <w:lang w:val="en-GB"/>
        </w:rPr>
        <w:t>.</w:t>
      </w:r>
    </w:p>
    <w:p w14:paraId="10D4BC93" w14:textId="77777777" w:rsidR="00B44727" w:rsidRDefault="0032035B" w:rsidP="00B44727">
      <w:pPr>
        <w:spacing w:line="360" w:lineRule="auto"/>
        <w:jc w:val="both"/>
        <w:rPr>
          <w:rFonts w:ascii="Verdana" w:hAnsi="Verdana"/>
          <w:lang w:val="en-GB"/>
        </w:rPr>
      </w:pPr>
      <w:r>
        <w:rPr>
          <w:rFonts w:ascii="Verdana" w:hAnsi="Verdana"/>
          <w:lang w:val="en-GB"/>
        </w:rPr>
        <w:t>To Oihane, Kris, Mélanie and Pierre. Thank you for teaching me</w:t>
      </w:r>
      <w:r w:rsidR="00AD51F8">
        <w:rPr>
          <w:rFonts w:ascii="Verdana" w:hAnsi="Verdana"/>
          <w:lang w:val="en-GB"/>
        </w:rPr>
        <w:t xml:space="preserve">, helping me, and be there for me. Thank you for making </w:t>
      </w:r>
      <w:r w:rsidR="001004A8">
        <w:rPr>
          <w:rFonts w:ascii="Verdana" w:hAnsi="Verdana"/>
          <w:lang w:val="en-GB"/>
        </w:rPr>
        <w:t>the long rainy days a little less grey.</w:t>
      </w:r>
    </w:p>
    <w:p w14:paraId="38B2D284" w14:textId="7F127843" w:rsidR="00B44727" w:rsidRDefault="00B44727" w:rsidP="00B44727">
      <w:pPr>
        <w:spacing w:line="360" w:lineRule="auto"/>
        <w:jc w:val="both"/>
        <w:rPr>
          <w:rFonts w:ascii="Verdana" w:hAnsi="Verdana"/>
          <w:lang w:val="en-GB"/>
        </w:rPr>
      </w:pPr>
      <w:r w:rsidRPr="003C6982">
        <w:rPr>
          <w:rFonts w:ascii="Verdana" w:hAnsi="Verdana"/>
          <w:lang w:val="en-GB"/>
        </w:rPr>
        <w:t xml:space="preserve">To </w:t>
      </w:r>
      <w:r>
        <w:rPr>
          <w:rFonts w:ascii="Verdana" w:hAnsi="Verdana"/>
          <w:lang w:val="en-GB"/>
        </w:rPr>
        <w:t>B</w:t>
      </w:r>
      <w:r w:rsidR="00BC3CD1">
        <w:rPr>
          <w:rFonts w:ascii="Verdana" w:hAnsi="Verdana"/>
          <w:lang w:val="en-GB"/>
        </w:rPr>
        <w:t>e</w:t>
      </w:r>
      <w:r>
        <w:rPr>
          <w:rFonts w:ascii="Verdana" w:hAnsi="Verdana"/>
          <w:lang w:val="en-GB"/>
        </w:rPr>
        <w:t>atriz, Irati, Antonia, Laetitia. Thank you for enriching the Neuropath group with your presence.</w:t>
      </w:r>
    </w:p>
    <w:p w14:paraId="3F42EE7D" w14:textId="77777777" w:rsidR="00B44727" w:rsidRPr="003C6982" w:rsidRDefault="00B44727" w:rsidP="00B44727">
      <w:pPr>
        <w:spacing w:line="360" w:lineRule="auto"/>
        <w:jc w:val="both"/>
        <w:rPr>
          <w:rFonts w:ascii="Verdana" w:hAnsi="Verdana"/>
          <w:lang w:val="en-GB"/>
        </w:rPr>
      </w:pPr>
      <w:r>
        <w:rPr>
          <w:rFonts w:ascii="Verdana" w:hAnsi="Verdana"/>
          <w:lang w:val="en-GB"/>
        </w:rPr>
        <w:t>To all the colleagues from the LCNP. Thank you for the scientific discussions, the honest feedback, and your support.</w:t>
      </w:r>
    </w:p>
    <w:p w14:paraId="297234A1" w14:textId="05C417C4" w:rsidR="0032035B" w:rsidRDefault="0032035B" w:rsidP="00A41E68">
      <w:pPr>
        <w:spacing w:line="360" w:lineRule="auto"/>
        <w:jc w:val="both"/>
        <w:rPr>
          <w:rFonts w:ascii="Verdana" w:hAnsi="Verdana"/>
          <w:lang w:val="en-GB"/>
        </w:rPr>
      </w:pPr>
    </w:p>
    <w:p w14:paraId="4C464365" w14:textId="69C71CE5" w:rsidR="001004A8" w:rsidRDefault="001004A8" w:rsidP="00A41E68">
      <w:pPr>
        <w:spacing w:line="360" w:lineRule="auto"/>
        <w:jc w:val="both"/>
        <w:rPr>
          <w:rFonts w:ascii="Verdana" w:hAnsi="Verdana"/>
          <w:lang w:val="en-GB"/>
        </w:rPr>
      </w:pPr>
      <w:r>
        <w:rPr>
          <w:rFonts w:ascii="Verdana" w:hAnsi="Verdana"/>
          <w:lang w:val="en-GB"/>
        </w:rPr>
        <w:lastRenderedPageBreak/>
        <w:t>To Ser</w:t>
      </w:r>
      <w:r w:rsidR="0006618A">
        <w:rPr>
          <w:rFonts w:ascii="Verdana" w:hAnsi="Verdana"/>
          <w:lang w:val="en-GB"/>
        </w:rPr>
        <w:t>gio, thank you for sharing with me the pain</w:t>
      </w:r>
      <w:r w:rsidR="00874E2A">
        <w:rPr>
          <w:rFonts w:ascii="Verdana" w:hAnsi="Verdana"/>
          <w:lang w:val="en-GB"/>
        </w:rPr>
        <w:t>s</w:t>
      </w:r>
      <w:r w:rsidR="0006618A">
        <w:rPr>
          <w:rFonts w:ascii="Verdana" w:hAnsi="Verdana"/>
          <w:lang w:val="en-GB"/>
        </w:rPr>
        <w:t xml:space="preserve"> and satisfactions of this journey.</w:t>
      </w:r>
    </w:p>
    <w:p w14:paraId="452D3308" w14:textId="353096C2" w:rsidR="0006618A" w:rsidRDefault="00874E2A" w:rsidP="00A41E68">
      <w:pPr>
        <w:spacing w:line="360" w:lineRule="auto"/>
        <w:jc w:val="both"/>
        <w:rPr>
          <w:rFonts w:ascii="Verdana" w:hAnsi="Verdana"/>
          <w:lang w:val="en-GB"/>
        </w:rPr>
      </w:pPr>
      <w:r>
        <w:rPr>
          <w:rFonts w:ascii="Verdana" w:hAnsi="Verdana"/>
          <w:lang w:val="en-GB"/>
        </w:rPr>
        <w:t>To Mina, Nathasia, Nikki,</w:t>
      </w:r>
      <w:r w:rsidR="00392C70">
        <w:rPr>
          <w:rFonts w:ascii="Verdana" w:hAnsi="Verdana"/>
          <w:lang w:val="en-GB"/>
        </w:rPr>
        <w:t xml:space="preserve"> and</w:t>
      </w:r>
      <w:r>
        <w:rPr>
          <w:rFonts w:ascii="Verdana" w:hAnsi="Verdana"/>
          <w:lang w:val="en-GB"/>
        </w:rPr>
        <w:t xml:space="preserve"> Raquel</w:t>
      </w:r>
      <w:r w:rsidR="00DB55B5">
        <w:rPr>
          <w:rFonts w:ascii="Verdana" w:hAnsi="Verdana"/>
          <w:lang w:val="en-GB"/>
        </w:rPr>
        <w:t>. Thank you for your friendship</w:t>
      </w:r>
      <w:r w:rsidR="000E598B">
        <w:rPr>
          <w:rFonts w:ascii="Verdana" w:hAnsi="Verdana"/>
          <w:lang w:val="en-GB"/>
        </w:rPr>
        <w:t>. Thank you for being inspiring, silly, supportive</w:t>
      </w:r>
      <w:r w:rsidR="00CE7370">
        <w:rPr>
          <w:rFonts w:ascii="Verdana" w:hAnsi="Verdana"/>
          <w:lang w:val="en-GB"/>
        </w:rPr>
        <w:t>,</w:t>
      </w:r>
      <w:r w:rsidR="000E598B">
        <w:rPr>
          <w:rFonts w:ascii="Verdana" w:hAnsi="Verdana"/>
          <w:lang w:val="en-GB"/>
        </w:rPr>
        <w:t xml:space="preserve"> and </w:t>
      </w:r>
      <w:r w:rsidR="00A164E3">
        <w:rPr>
          <w:rFonts w:ascii="Verdana" w:hAnsi="Verdana"/>
          <w:lang w:val="en-GB"/>
        </w:rPr>
        <w:t>most importantly, always yourself.</w:t>
      </w:r>
      <w:r w:rsidR="00053957">
        <w:rPr>
          <w:rFonts w:ascii="Verdana" w:hAnsi="Verdana"/>
          <w:lang w:val="en-GB"/>
        </w:rPr>
        <w:t xml:space="preserve"> I am not the same person I was 5 years ago, and this is also thanks to you.</w:t>
      </w:r>
    </w:p>
    <w:p w14:paraId="24145902" w14:textId="2E118D11" w:rsidR="0087634C" w:rsidRDefault="0087634C" w:rsidP="00A41E68">
      <w:pPr>
        <w:spacing w:line="360" w:lineRule="auto"/>
        <w:jc w:val="both"/>
        <w:rPr>
          <w:rFonts w:ascii="Verdana" w:hAnsi="Verdana"/>
          <w:lang w:val="en-GB"/>
        </w:rPr>
      </w:pPr>
      <w:r>
        <w:rPr>
          <w:rFonts w:ascii="Verdana" w:hAnsi="Verdana"/>
          <w:lang w:val="en-GB"/>
        </w:rPr>
        <w:t>To Pierre P</w:t>
      </w:r>
      <w:r w:rsidR="000B35F0">
        <w:rPr>
          <w:rFonts w:ascii="Verdana" w:hAnsi="Verdana"/>
          <w:lang w:val="en-GB"/>
        </w:rPr>
        <w:t xml:space="preserve"> and Azure</w:t>
      </w:r>
      <w:r>
        <w:rPr>
          <w:rFonts w:ascii="Verdana" w:hAnsi="Verdana"/>
          <w:lang w:val="en-GB"/>
        </w:rPr>
        <w:t xml:space="preserve">. Thank you for sharing </w:t>
      </w:r>
      <w:r w:rsidR="00714704">
        <w:rPr>
          <w:rFonts w:ascii="Verdana" w:hAnsi="Verdana"/>
          <w:lang w:val="en-GB"/>
        </w:rPr>
        <w:t>2+</w:t>
      </w:r>
      <w:r>
        <w:rPr>
          <w:rFonts w:ascii="Verdana" w:hAnsi="Verdana"/>
          <w:lang w:val="en-GB"/>
        </w:rPr>
        <w:t xml:space="preserve"> years with me, despite the ups and (many) downs</w:t>
      </w:r>
      <w:r w:rsidR="000B35F0">
        <w:rPr>
          <w:rFonts w:ascii="Verdana" w:hAnsi="Verdana"/>
          <w:lang w:val="en-GB"/>
        </w:rPr>
        <w:t xml:space="preserve">, and for </w:t>
      </w:r>
      <w:r>
        <w:rPr>
          <w:rFonts w:ascii="Verdana" w:hAnsi="Verdana"/>
          <w:lang w:val="en-GB"/>
        </w:rPr>
        <w:t>support</w:t>
      </w:r>
      <w:r w:rsidR="000B35F0">
        <w:rPr>
          <w:rFonts w:ascii="Verdana" w:hAnsi="Verdana"/>
          <w:lang w:val="en-GB"/>
        </w:rPr>
        <w:t>ing me</w:t>
      </w:r>
      <w:r>
        <w:rPr>
          <w:rFonts w:ascii="Verdana" w:hAnsi="Verdana"/>
          <w:lang w:val="en-GB"/>
        </w:rPr>
        <w:t xml:space="preserve"> to this day.</w:t>
      </w:r>
    </w:p>
    <w:p w14:paraId="25F7FD8E" w14:textId="77777777" w:rsidR="00396E76" w:rsidRDefault="00396E76" w:rsidP="00A41E68">
      <w:pPr>
        <w:spacing w:line="360" w:lineRule="auto"/>
        <w:jc w:val="both"/>
        <w:rPr>
          <w:rFonts w:ascii="Verdana" w:hAnsi="Verdana"/>
          <w:lang w:val="it-IT"/>
        </w:rPr>
      </w:pPr>
      <w:r>
        <w:rPr>
          <w:rFonts w:ascii="Verdana" w:hAnsi="Verdana"/>
          <w:lang w:val="it-IT"/>
        </w:rPr>
        <w:t>A mio fratello. Grazie per esserci, sempre. Grazie per esserci sempre stato. Non hai potuto scegliere di avere una sorella disastrosa come me, ma hai scelto di rimanere al mio fianco in tutti questi anni, e spero in quelli a venire.</w:t>
      </w:r>
    </w:p>
    <w:p w14:paraId="69BE8EF6" w14:textId="0D6F59A7" w:rsidR="0058437E" w:rsidRDefault="00577618" w:rsidP="00A41E68">
      <w:pPr>
        <w:spacing w:line="360" w:lineRule="auto"/>
        <w:jc w:val="both"/>
        <w:rPr>
          <w:rFonts w:ascii="Verdana" w:hAnsi="Verdana"/>
          <w:lang w:val="it-IT"/>
        </w:rPr>
      </w:pPr>
      <w:r w:rsidRPr="00E168A5">
        <w:rPr>
          <w:rFonts w:ascii="Verdana" w:hAnsi="Verdana"/>
          <w:lang w:val="it-IT"/>
        </w:rPr>
        <w:t>A</w:t>
      </w:r>
      <w:r w:rsidR="00D501CD">
        <w:rPr>
          <w:rFonts w:ascii="Verdana" w:hAnsi="Verdana"/>
          <w:lang w:val="it-IT"/>
        </w:rPr>
        <w:t>i miei genitori</w:t>
      </w:r>
      <w:r w:rsidRPr="00E168A5">
        <w:rPr>
          <w:rFonts w:ascii="Verdana" w:hAnsi="Verdana"/>
          <w:lang w:val="it-IT"/>
        </w:rPr>
        <w:t>. Grazie per aver creduto in me</w:t>
      </w:r>
      <w:r w:rsidR="00347F78">
        <w:rPr>
          <w:rFonts w:ascii="Verdana" w:hAnsi="Verdana"/>
          <w:lang w:val="it-IT"/>
        </w:rPr>
        <w:t>, per aver</w:t>
      </w:r>
      <w:r w:rsidR="00D6553D">
        <w:rPr>
          <w:rFonts w:ascii="Verdana" w:hAnsi="Verdana"/>
          <w:lang w:val="it-IT"/>
        </w:rPr>
        <w:t>mi sostenut</w:t>
      </w:r>
      <w:r w:rsidR="00D501CD">
        <w:rPr>
          <w:rFonts w:ascii="Verdana" w:hAnsi="Verdana"/>
          <w:lang w:val="it-IT"/>
        </w:rPr>
        <w:t>a</w:t>
      </w:r>
      <w:r w:rsidR="00D6553D">
        <w:rPr>
          <w:rFonts w:ascii="Verdana" w:hAnsi="Verdana"/>
          <w:lang w:val="it-IT"/>
        </w:rPr>
        <w:t xml:space="preserve"> nelle mie scelte, anche e nonostante la consapevolezza che mi avrebbero portat</w:t>
      </w:r>
      <w:r w:rsidR="00A749E7">
        <w:rPr>
          <w:rFonts w:ascii="Verdana" w:hAnsi="Verdana"/>
          <w:lang w:val="it-IT"/>
        </w:rPr>
        <w:t>a</w:t>
      </w:r>
      <w:r w:rsidR="00D6553D">
        <w:rPr>
          <w:rFonts w:ascii="Verdana" w:hAnsi="Verdana"/>
          <w:lang w:val="it-IT"/>
        </w:rPr>
        <w:t xml:space="preserve"> sempre pi</w:t>
      </w:r>
      <w:r w:rsidR="00D501CD">
        <w:rPr>
          <w:rFonts w:ascii="Verdana" w:hAnsi="Verdana"/>
          <w:lang w:val="it-IT"/>
        </w:rPr>
        <w:t>ù lontana da voi.</w:t>
      </w:r>
    </w:p>
    <w:p w14:paraId="78E46E7A" w14:textId="5CC75534" w:rsidR="009B2115" w:rsidRDefault="009B2115" w:rsidP="00A41E68">
      <w:pPr>
        <w:spacing w:line="360" w:lineRule="auto"/>
        <w:jc w:val="both"/>
        <w:rPr>
          <w:rFonts w:ascii="Verdana" w:hAnsi="Verdana"/>
          <w:lang w:val="it-IT"/>
        </w:rPr>
      </w:pPr>
      <w:r>
        <w:rPr>
          <w:rFonts w:ascii="Verdana" w:hAnsi="Verdana"/>
          <w:lang w:val="it-IT"/>
        </w:rPr>
        <w:t xml:space="preserve">Alla mia famiglia. Grazie per </w:t>
      </w:r>
      <w:r w:rsidR="00CA20F0">
        <w:rPr>
          <w:rFonts w:ascii="Verdana" w:hAnsi="Verdana"/>
          <w:lang w:val="it-IT"/>
        </w:rPr>
        <w:t xml:space="preserve">l’affetto incondizionato. Grazie per le risate, gli abbracci, i pranzi di Natale e le </w:t>
      </w:r>
      <w:r w:rsidR="001556E0">
        <w:rPr>
          <w:rFonts w:ascii="Verdana" w:hAnsi="Verdana"/>
          <w:lang w:val="it-IT"/>
        </w:rPr>
        <w:t xml:space="preserve">serate pizza in campagna. </w:t>
      </w:r>
      <w:r w:rsidR="00BC7FD1">
        <w:rPr>
          <w:rFonts w:ascii="Verdana" w:hAnsi="Verdana"/>
          <w:lang w:val="it-IT"/>
        </w:rPr>
        <w:t>Ma soprattutto, grazie per la vostra presenza, nonostante la distanza.</w:t>
      </w:r>
    </w:p>
    <w:p w14:paraId="32825AA8" w14:textId="77777777" w:rsidR="00402AC2" w:rsidRPr="00E168A5" w:rsidRDefault="00402AC2" w:rsidP="00085B9D">
      <w:pPr>
        <w:ind w:firstLine="0"/>
        <w:rPr>
          <w:rFonts w:ascii="Verdana" w:hAnsi="Verdana"/>
          <w:lang w:val="it-IT"/>
        </w:rPr>
      </w:pPr>
    </w:p>
    <w:p w14:paraId="77D0791B" w14:textId="13C2EE5B" w:rsidR="00137B63" w:rsidRDefault="00137B63" w:rsidP="00085B9D">
      <w:pPr>
        <w:ind w:firstLine="0"/>
        <w:rPr>
          <w:rFonts w:ascii="Verdana" w:hAnsi="Verdana"/>
          <w:lang w:val="en-GB"/>
        </w:rPr>
      </w:pPr>
    </w:p>
    <w:p w14:paraId="383EE21D" w14:textId="77777777" w:rsidR="00137B63" w:rsidRDefault="00137B63" w:rsidP="00085B9D">
      <w:pPr>
        <w:ind w:firstLine="0"/>
        <w:rPr>
          <w:rFonts w:ascii="Verdana" w:hAnsi="Verdana"/>
          <w:lang w:val="en-GB"/>
        </w:rPr>
      </w:pPr>
    </w:p>
    <w:p w14:paraId="213614F0" w14:textId="77777777" w:rsidR="00326EF8" w:rsidRDefault="00326EF8" w:rsidP="00085B9D">
      <w:pPr>
        <w:ind w:firstLine="0"/>
        <w:rPr>
          <w:rFonts w:ascii="Verdana" w:hAnsi="Verdana"/>
          <w:lang w:val="en-GB"/>
        </w:rPr>
      </w:pPr>
    </w:p>
    <w:p w14:paraId="6E51EEC4" w14:textId="2691AD8F" w:rsidR="0091541A" w:rsidRDefault="00B7365D" w:rsidP="00085B9D">
      <w:pPr>
        <w:ind w:firstLine="0"/>
        <w:rPr>
          <w:rFonts w:ascii="Verdana" w:hAnsi="Verdana"/>
          <w:sz w:val="44"/>
          <w:szCs w:val="44"/>
          <w:lang w:val="en-GB"/>
        </w:rPr>
      </w:pPr>
      <w:r>
        <w:rPr>
          <w:rFonts w:ascii="Verdana" w:hAnsi="Verdana"/>
          <w:sz w:val="44"/>
          <w:szCs w:val="44"/>
          <w:lang w:val="en-GB"/>
        </w:rPr>
        <w:br w:type="page"/>
      </w:r>
    </w:p>
    <w:p w14:paraId="3DBC08D0" w14:textId="007B8FC5" w:rsidR="00DB0973" w:rsidRDefault="0091541A">
      <w:pPr>
        <w:ind w:firstLine="0"/>
        <w:rPr>
          <w:rFonts w:ascii="Verdana" w:hAnsi="Verdana"/>
          <w:sz w:val="44"/>
          <w:szCs w:val="44"/>
          <w:lang w:val="en-GB"/>
        </w:rPr>
      </w:pPr>
      <w:r>
        <w:rPr>
          <w:rFonts w:ascii="Verdana" w:hAnsi="Verdana"/>
          <w:sz w:val="44"/>
          <w:szCs w:val="44"/>
          <w:lang w:val="en-GB"/>
        </w:rPr>
        <w:lastRenderedPageBreak/>
        <w:br w:type="page"/>
      </w:r>
    </w:p>
    <w:p w14:paraId="1F472081" w14:textId="77777777" w:rsidR="00DB0973" w:rsidRDefault="00DB0973">
      <w:pPr>
        <w:ind w:firstLine="0"/>
        <w:rPr>
          <w:rFonts w:ascii="Verdana" w:hAnsi="Verdana"/>
          <w:sz w:val="44"/>
          <w:szCs w:val="44"/>
          <w:lang w:val="en-GB"/>
        </w:rPr>
      </w:pPr>
      <w:r>
        <w:rPr>
          <w:rFonts w:ascii="Verdana" w:hAnsi="Verdana"/>
          <w:sz w:val="44"/>
          <w:szCs w:val="44"/>
          <w:lang w:val="en-GB"/>
        </w:rPr>
        <w:lastRenderedPageBreak/>
        <w:br w:type="page"/>
      </w:r>
    </w:p>
    <w:sdt>
      <w:sdtPr>
        <w:rPr>
          <w:rFonts w:asciiTheme="minorHAnsi" w:eastAsiaTheme="minorHAnsi" w:hAnsiTheme="minorHAnsi" w:cstheme="minorBidi"/>
          <w:sz w:val="22"/>
          <w:szCs w:val="22"/>
        </w:rPr>
        <w:id w:val="-1009210561"/>
        <w:docPartObj>
          <w:docPartGallery w:val="Table of Contents"/>
          <w:docPartUnique/>
        </w:docPartObj>
      </w:sdtPr>
      <w:sdtEndPr>
        <w:rPr>
          <w:noProof/>
        </w:rPr>
      </w:sdtEndPr>
      <w:sdtContent>
        <w:p w14:paraId="49FA81BB" w14:textId="68934C9E" w:rsidR="00712399" w:rsidRPr="009D5A6A" w:rsidRDefault="00712399" w:rsidP="00A53824">
          <w:pPr>
            <w:pStyle w:val="TOCHeading"/>
            <w:tabs>
              <w:tab w:val="left" w:pos="5717"/>
            </w:tabs>
            <w:rPr>
              <w:sz w:val="22"/>
              <w:szCs w:val="22"/>
            </w:rPr>
          </w:pPr>
          <w:r w:rsidRPr="009D5A6A">
            <w:rPr>
              <w:szCs w:val="56"/>
            </w:rPr>
            <w:t>Contents</w:t>
          </w:r>
          <w:r w:rsidR="00A53824" w:rsidRPr="009D5A6A">
            <w:rPr>
              <w:sz w:val="22"/>
              <w:szCs w:val="22"/>
            </w:rPr>
            <w:tab/>
          </w:r>
        </w:p>
        <w:p w14:paraId="1FF452FA" w14:textId="1FD580E2" w:rsidR="00A83E11" w:rsidRPr="004E6C02" w:rsidRDefault="00712399">
          <w:pPr>
            <w:pStyle w:val="TOC1"/>
            <w:rPr>
              <w:rFonts w:eastAsiaTheme="minorEastAsia"/>
              <w:sz w:val="22"/>
              <w:szCs w:val="22"/>
              <w:lang w:eastAsia="en-GB"/>
            </w:rPr>
          </w:pPr>
          <w:r w:rsidRPr="004E6C02">
            <w:rPr>
              <w:noProof w:val="0"/>
              <w:sz w:val="22"/>
              <w:szCs w:val="22"/>
            </w:rPr>
            <w:fldChar w:fldCharType="begin"/>
          </w:r>
          <w:r w:rsidRPr="004E6C02">
            <w:rPr>
              <w:sz w:val="22"/>
              <w:szCs w:val="22"/>
            </w:rPr>
            <w:instrText xml:space="preserve"> TOC \o "1-3" \h \z \u </w:instrText>
          </w:r>
          <w:r w:rsidRPr="004E6C02">
            <w:rPr>
              <w:noProof w:val="0"/>
              <w:sz w:val="22"/>
              <w:szCs w:val="22"/>
            </w:rPr>
            <w:fldChar w:fldCharType="separate"/>
          </w:r>
          <w:hyperlink w:anchor="_Toc130223378" w:history="1">
            <w:r w:rsidR="00A83E11" w:rsidRPr="004E6C02">
              <w:rPr>
                <w:rStyle w:val="Hyperlink"/>
                <w:sz w:val="22"/>
                <w:szCs w:val="22"/>
              </w:rPr>
              <w:t>Abstract</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_Toc130223378 \h </w:instrText>
            </w:r>
            <w:r w:rsidR="00A83E11" w:rsidRPr="004E6C02">
              <w:rPr>
                <w:webHidden/>
                <w:sz w:val="22"/>
                <w:szCs w:val="22"/>
              </w:rPr>
            </w:r>
            <w:r w:rsidR="00A83E11" w:rsidRPr="004E6C02">
              <w:rPr>
                <w:webHidden/>
                <w:sz w:val="22"/>
                <w:szCs w:val="22"/>
              </w:rPr>
              <w:fldChar w:fldCharType="separate"/>
            </w:r>
            <w:r w:rsidR="001D505F">
              <w:rPr>
                <w:webHidden/>
                <w:sz w:val="22"/>
                <w:szCs w:val="22"/>
              </w:rPr>
              <w:t>1</w:t>
            </w:r>
            <w:r w:rsidR="00A83E11" w:rsidRPr="004E6C02">
              <w:rPr>
                <w:webHidden/>
                <w:sz w:val="22"/>
                <w:szCs w:val="22"/>
              </w:rPr>
              <w:fldChar w:fldCharType="end"/>
            </w:r>
          </w:hyperlink>
        </w:p>
        <w:p w14:paraId="7B2000E1" w14:textId="0A9C2711" w:rsidR="00A83E11" w:rsidRPr="004E6C02" w:rsidRDefault="006277BA">
          <w:pPr>
            <w:pStyle w:val="TOC1"/>
            <w:rPr>
              <w:rFonts w:eastAsiaTheme="minorEastAsia"/>
              <w:sz w:val="22"/>
              <w:szCs w:val="22"/>
              <w:lang w:eastAsia="en-GB"/>
            </w:rPr>
          </w:pPr>
          <w:hyperlink w:anchor="_Toc130223379" w:history="1">
            <w:r w:rsidR="00A83E11" w:rsidRPr="004E6C02">
              <w:rPr>
                <w:rStyle w:val="Hyperlink"/>
                <w:sz w:val="22"/>
                <w:szCs w:val="22"/>
              </w:rPr>
              <w:t>Introduction</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_Toc130223379 \h </w:instrText>
            </w:r>
            <w:r w:rsidR="00A83E11" w:rsidRPr="004E6C02">
              <w:rPr>
                <w:webHidden/>
                <w:sz w:val="22"/>
                <w:szCs w:val="22"/>
              </w:rPr>
            </w:r>
            <w:r w:rsidR="00A83E11" w:rsidRPr="004E6C02">
              <w:rPr>
                <w:webHidden/>
                <w:sz w:val="22"/>
                <w:szCs w:val="22"/>
              </w:rPr>
              <w:fldChar w:fldCharType="separate"/>
            </w:r>
            <w:r w:rsidR="001D505F">
              <w:rPr>
                <w:webHidden/>
                <w:sz w:val="22"/>
                <w:szCs w:val="22"/>
              </w:rPr>
              <w:t>5</w:t>
            </w:r>
            <w:r w:rsidR="00A83E11" w:rsidRPr="004E6C02">
              <w:rPr>
                <w:webHidden/>
                <w:sz w:val="22"/>
                <w:szCs w:val="22"/>
              </w:rPr>
              <w:fldChar w:fldCharType="end"/>
            </w:r>
          </w:hyperlink>
        </w:p>
        <w:p w14:paraId="15CEC38F" w14:textId="6C241B2B" w:rsidR="00A83E11" w:rsidRPr="004E6C02" w:rsidRDefault="006277BA">
          <w:pPr>
            <w:pStyle w:val="TOC1"/>
            <w:rPr>
              <w:rFonts w:eastAsiaTheme="minorEastAsia"/>
              <w:sz w:val="22"/>
              <w:szCs w:val="22"/>
              <w:lang w:eastAsia="en-GB"/>
            </w:rPr>
          </w:pPr>
          <w:hyperlink w:anchor="_Toc130223380" w:history="1">
            <w:r w:rsidR="00A83E11" w:rsidRPr="004E6C02">
              <w:rPr>
                <w:rStyle w:val="Hyperlink"/>
                <w:sz w:val="22"/>
                <w:szCs w:val="22"/>
              </w:rPr>
              <w:t>1</w:t>
            </w:r>
            <w:r w:rsidR="00A83E11" w:rsidRPr="004E6C02">
              <w:rPr>
                <w:rFonts w:eastAsiaTheme="minorEastAsia"/>
                <w:sz w:val="22"/>
                <w:szCs w:val="22"/>
                <w:lang w:eastAsia="en-GB"/>
              </w:rPr>
              <w:tab/>
            </w:r>
            <w:r w:rsidR="00A83E11" w:rsidRPr="004E6C02">
              <w:rPr>
                <w:rStyle w:val="Hyperlink"/>
                <w:sz w:val="22"/>
                <w:szCs w:val="22"/>
              </w:rPr>
              <w:t xml:space="preserve">  Parkinson’s Disease</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_Toc130223380 \h </w:instrText>
            </w:r>
            <w:r w:rsidR="00A83E11" w:rsidRPr="004E6C02">
              <w:rPr>
                <w:webHidden/>
                <w:sz w:val="22"/>
                <w:szCs w:val="22"/>
              </w:rPr>
            </w:r>
            <w:r w:rsidR="00A83E11" w:rsidRPr="004E6C02">
              <w:rPr>
                <w:webHidden/>
                <w:sz w:val="22"/>
                <w:szCs w:val="22"/>
              </w:rPr>
              <w:fldChar w:fldCharType="separate"/>
            </w:r>
            <w:r w:rsidR="001D505F">
              <w:rPr>
                <w:webHidden/>
                <w:sz w:val="22"/>
                <w:szCs w:val="22"/>
              </w:rPr>
              <w:t>7</w:t>
            </w:r>
            <w:r w:rsidR="00A83E11" w:rsidRPr="004E6C02">
              <w:rPr>
                <w:webHidden/>
                <w:sz w:val="22"/>
                <w:szCs w:val="22"/>
              </w:rPr>
              <w:fldChar w:fldCharType="end"/>
            </w:r>
          </w:hyperlink>
        </w:p>
        <w:p w14:paraId="3830F654" w14:textId="09DD49E2"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81" w:history="1">
            <w:r w:rsidR="00A83E11" w:rsidRPr="004E6C02">
              <w:rPr>
                <w:rStyle w:val="Hyperlink"/>
                <w:rFonts w:ascii="Verdana" w:hAnsi="Verdana"/>
                <w:noProof/>
                <w:lang w:val="en-GB"/>
              </w:rPr>
              <w:t>1.1</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Brief history of Parkinson’s disease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_Toc130223381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7</w:t>
            </w:r>
            <w:r w:rsidR="00A83E11" w:rsidRPr="004E6C02">
              <w:rPr>
                <w:rFonts w:ascii="Verdana" w:hAnsi="Verdana"/>
                <w:noProof/>
                <w:webHidden/>
              </w:rPr>
              <w:fldChar w:fldCharType="end"/>
            </w:r>
          </w:hyperlink>
        </w:p>
        <w:p w14:paraId="4966C2E4" w14:textId="787C25D7"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82" w:history="1">
            <w:r w:rsidR="00A83E11" w:rsidRPr="004E6C02">
              <w:rPr>
                <w:rStyle w:val="Hyperlink"/>
                <w:rFonts w:ascii="Verdana" w:hAnsi="Verdana"/>
                <w:noProof/>
                <w:lang w:val="en-GB"/>
              </w:rPr>
              <w:t>1.2</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Incidence, Diagnosis and Treatment</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_Toc130223382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8</w:t>
            </w:r>
            <w:r w:rsidR="00A83E11" w:rsidRPr="004E6C02">
              <w:rPr>
                <w:rFonts w:ascii="Verdana" w:hAnsi="Verdana"/>
                <w:noProof/>
                <w:webHidden/>
              </w:rPr>
              <w:fldChar w:fldCharType="end"/>
            </w:r>
          </w:hyperlink>
        </w:p>
        <w:p w14:paraId="064F7E85" w14:textId="0C74EF50"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83" w:history="1">
            <w:r w:rsidR="00A83E11" w:rsidRPr="004E6C02">
              <w:rPr>
                <w:rStyle w:val="Hyperlink"/>
                <w:rFonts w:ascii="Verdana" w:hAnsi="Verdana"/>
                <w:noProof/>
                <w:lang w:val="en-GB"/>
              </w:rPr>
              <w:t>1.3</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Neurodegeneration and neuropathology</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_Toc130223383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w:t>
            </w:r>
            <w:r w:rsidR="00A83E11" w:rsidRPr="004E6C02">
              <w:rPr>
                <w:rFonts w:ascii="Verdana" w:hAnsi="Verdana"/>
                <w:noProof/>
                <w:webHidden/>
              </w:rPr>
              <w:fldChar w:fldCharType="end"/>
            </w:r>
          </w:hyperlink>
        </w:p>
        <w:p w14:paraId="32B5780D" w14:textId="0DEE8F1B" w:rsidR="00A83E11" w:rsidRPr="004E6C02" w:rsidRDefault="006277BA">
          <w:pPr>
            <w:pStyle w:val="TOC3"/>
            <w:rPr>
              <w:rFonts w:ascii="Verdana" w:eastAsiaTheme="minorEastAsia" w:hAnsi="Verdana"/>
              <w:lang w:val="en-GB" w:eastAsia="en-GB"/>
            </w:rPr>
          </w:pPr>
          <w:hyperlink w:anchor="_Toc130223384" w:history="1">
            <w:r w:rsidR="00A83E11" w:rsidRPr="004E6C02">
              <w:rPr>
                <w:rStyle w:val="Hyperlink"/>
                <w:rFonts w:ascii="Verdana" w:hAnsi="Verdana"/>
                <w:lang w:val="en-GB"/>
              </w:rPr>
              <w:t>1.3.1</w:t>
            </w:r>
            <w:r w:rsidR="00A83E11" w:rsidRPr="004E6C02">
              <w:rPr>
                <w:rFonts w:ascii="Verdana" w:eastAsiaTheme="minorEastAsia" w:hAnsi="Verdana"/>
                <w:lang w:val="en-GB" w:eastAsia="en-GB"/>
              </w:rPr>
              <w:tab/>
            </w:r>
            <w:r w:rsidR="00A83E11" w:rsidRPr="004E6C02">
              <w:rPr>
                <w:rStyle w:val="Hyperlink"/>
                <w:rFonts w:ascii="Verdana" w:hAnsi="Verdana"/>
                <w:lang w:val="en-GB"/>
              </w:rPr>
              <w:t>Nigrostriatal degeneration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_Toc130223384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11</w:t>
            </w:r>
            <w:r w:rsidR="00A83E11" w:rsidRPr="004E6C02">
              <w:rPr>
                <w:rFonts w:ascii="Verdana" w:hAnsi="Verdana"/>
                <w:webHidden/>
              </w:rPr>
              <w:fldChar w:fldCharType="end"/>
            </w:r>
          </w:hyperlink>
        </w:p>
        <w:p w14:paraId="76CB6C5A" w14:textId="2D79AB6B" w:rsidR="00A83E11" w:rsidRPr="004E6C02" w:rsidRDefault="006277BA">
          <w:pPr>
            <w:pStyle w:val="TOC3"/>
            <w:rPr>
              <w:rFonts w:ascii="Verdana" w:eastAsiaTheme="minorEastAsia" w:hAnsi="Verdana"/>
              <w:lang w:val="en-GB" w:eastAsia="en-GB"/>
            </w:rPr>
          </w:pPr>
          <w:hyperlink w:anchor="_Toc130223385" w:history="1">
            <w:r w:rsidR="00FD733C" w:rsidRPr="004E6C02">
              <w:rPr>
                <w:rStyle w:val="Hyperlink"/>
                <w:rFonts w:ascii="Verdana" w:hAnsi="Verdana"/>
              </w:rPr>
              <w:t>1</w:t>
            </w:r>
            <w:r w:rsidR="00A83E11" w:rsidRPr="004E6C02">
              <w:rPr>
                <w:rStyle w:val="Hyperlink"/>
                <w:rFonts w:ascii="Verdana" w:hAnsi="Verdana"/>
              </w:rPr>
              <w:t>.3.2</w:t>
            </w:r>
            <w:r w:rsidR="00A83E11" w:rsidRPr="004E6C02">
              <w:rPr>
                <w:rFonts w:ascii="Verdana" w:eastAsiaTheme="minorEastAsia" w:hAnsi="Verdana"/>
                <w:lang w:val="en-GB" w:eastAsia="en-GB"/>
              </w:rPr>
              <w:tab/>
            </w:r>
            <w:r w:rsidR="00A83E11" w:rsidRPr="004E6C02">
              <w:rPr>
                <w:rStyle w:val="Hyperlink"/>
                <w:rFonts w:ascii="Verdana" w:hAnsi="Verdana"/>
              </w:rPr>
              <w:t>Alpha-synuclein pathology</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_Toc130223385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12</w:t>
            </w:r>
            <w:r w:rsidR="00A83E11" w:rsidRPr="004E6C02">
              <w:rPr>
                <w:rFonts w:ascii="Verdana" w:hAnsi="Verdana"/>
                <w:webHidden/>
              </w:rPr>
              <w:fldChar w:fldCharType="end"/>
            </w:r>
          </w:hyperlink>
        </w:p>
        <w:p w14:paraId="7508AC88" w14:textId="5732A03E"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86" w:history="1">
            <w:r w:rsidR="00A83E11" w:rsidRPr="004E6C02">
              <w:rPr>
                <w:rStyle w:val="Hyperlink"/>
                <w:rFonts w:ascii="Verdana" w:hAnsi="Verdana"/>
                <w:noProof/>
              </w:rPr>
              <w:t>1.4</w:t>
            </w:r>
            <w:r w:rsidR="00A83E11" w:rsidRPr="004E6C02">
              <w:rPr>
                <w:rFonts w:ascii="Verdana" w:eastAsiaTheme="minorEastAsia" w:hAnsi="Verdana"/>
                <w:noProof/>
                <w:lang w:val="en-GB" w:eastAsia="en-GB"/>
              </w:rPr>
              <w:tab/>
            </w:r>
            <w:r w:rsidR="00A83E11" w:rsidRPr="004E6C02">
              <w:rPr>
                <w:rStyle w:val="Hyperlink"/>
                <w:rFonts w:ascii="Verdana" w:hAnsi="Verdana"/>
                <w:noProof/>
              </w:rPr>
              <w:t>Glial cells dysfunction</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_Toc130223386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14</w:t>
            </w:r>
            <w:r w:rsidR="00A83E11" w:rsidRPr="004E6C02">
              <w:rPr>
                <w:rFonts w:ascii="Verdana" w:hAnsi="Verdana"/>
                <w:noProof/>
                <w:webHidden/>
              </w:rPr>
              <w:fldChar w:fldCharType="end"/>
            </w:r>
          </w:hyperlink>
        </w:p>
        <w:p w14:paraId="68CFD6B7" w14:textId="72D63006" w:rsidR="00A83E11" w:rsidRPr="004E6C02" w:rsidRDefault="006277BA">
          <w:pPr>
            <w:pStyle w:val="TOC3"/>
            <w:rPr>
              <w:rFonts w:ascii="Verdana" w:eastAsiaTheme="minorEastAsia" w:hAnsi="Verdana"/>
              <w:lang w:val="en-GB" w:eastAsia="en-GB"/>
            </w:rPr>
          </w:pPr>
          <w:hyperlink w:anchor="_Toc130223387" w:history="1">
            <w:r w:rsidR="00A83E11" w:rsidRPr="004E6C02">
              <w:rPr>
                <w:rStyle w:val="Hyperlink"/>
                <w:rFonts w:ascii="Verdana" w:hAnsi="Verdana"/>
              </w:rPr>
              <w:t>1.4.1</w:t>
            </w:r>
            <w:r w:rsidR="00A83E11" w:rsidRPr="004E6C02">
              <w:rPr>
                <w:rFonts w:ascii="Verdana" w:eastAsiaTheme="minorEastAsia" w:hAnsi="Verdana"/>
                <w:lang w:val="en-GB" w:eastAsia="en-GB"/>
              </w:rPr>
              <w:tab/>
            </w:r>
            <w:r w:rsidR="00A83E11" w:rsidRPr="004E6C02">
              <w:rPr>
                <w:rStyle w:val="Hyperlink"/>
                <w:rFonts w:ascii="Verdana" w:hAnsi="Verdana"/>
              </w:rPr>
              <w:t>Astrocytes</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_Toc130223387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14</w:t>
            </w:r>
            <w:r w:rsidR="00A83E11" w:rsidRPr="004E6C02">
              <w:rPr>
                <w:rFonts w:ascii="Verdana" w:hAnsi="Verdana"/>
                <w:webHidden/>
              </w:rPr>
              <w:fldChar w:fldCharType="end"/>
            </w:r>
          </w:hyperlink>
        </w:p>
        <w:p w14:paraId="086D0752" w14:textId="17E56203"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88" w:history="1">
            <w:r w:rsidR="00A83E11" w:rsidRPr="004E6C02">
              <w:rPr>
                <w:rStyle w:val="Hyperlink"/>
                <w:rFonts w:ascii="Verdana" w:hAnsi="Verdana"/>
                <w:noProof/>
                <w:lang w:val="en-GB"/>
              </w:rPr>
              <w:t>1.5</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Genetic component</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_Toc130223388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15</w:t>
            </w:r>
            <w:r w:rsidR="00A83E11" w:rsidRPr="004E6C02">
              <w:rPr>
                <w:rFonts w:ascii="Verdana" w:hAnsi="Verdana"/>
                <w:noProof/>
                <w:webHidden/>
              </w:rPr>
              <w:fldChar w:fldCharType="end"/>
            </w:r>
          </w:hyperlink>
        </w:p>
        <w:p w14:paraId="59BE8A49" w14:textId="1CC4EF11" w:rsidR="00A83E11" w:rsidRPr="004E6C02" w:rsidRDefault="006277BA">
          <w:pPr>
            <w:pStyle w:val="TOC3"/>
            <w:rPr>
              <w:rFonts w:ascii="Verdana" w:eastAsiaTheme="minorEastAsia" w:hAnsi="Verdana"/>
              <w:lang w:val="en-GB" w:eastAsia="en-GB"/>
            </w:rPr>
          </w:pPr>
          <w:hyperlink w:anchor="_Toc130223389" w:history="1">
            <w:r w:rsidR="00A83E11" w:rsidRPr="004E6C02">
              <w:rPr>
                <w:rStyle w:val="Hyperlink"/>
                <w:rFonts w:ascii="Verdana" w:hAnsi="Verdana"/>
                <w:lang w:val="en-GB"/>
              </w:rPr>
              <w:t>1.5.1</w:t>
            </w:r>
            <w:r w:rsidR="00A83E11" w:rsidRPr="004E6C02">
              <w:rPr>
                <w:rFonts w:ascii="Verdana" w:eastAsiaTheme="minorEastAsia" w:hAnsi="Verdana"/>
                <w:lang w:val="en-GB" w:eastAsia="en-GB"/>
              </w:rPr>
              <w:tab/>
            </w:r>
            <w:r w:rsidR="00A83E11" w:rsidRPr="004E6C02">
              <w:rPr>
                <w:rStyle w:val="Hyperlink"/>
                <w:rFonts w:ascii="Verdana" w:hAnsi="Verdana"/>
                <w:lang w:val="en-GB"/>
              </w:rPr>
              <w:t>SNCA</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_Toc130223389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16</w:t>
            </w:r>
            <w:r w:rsidR="00A83E11" w:rsidRPr="004E6C02">
              <w:rPr>
                <w:rFonts w:ascii="Verdana" w:hAnsi="Verdana"/>
                <w:webHidden/>
              </w:rPr>
              <w:fldChar w:fldCharType="end"/>
            </w:r>
          </w:hyperlink>
        </w:p>
        <w:p w14:paraId="7DCC06E1" w14:textId="0083B22E" w:rsidR="00A83E11" w:rsidRPr="004E6C02" w:rsidRDefault="006277BA">
          <w:pPr>
            <w:pStyle w:val="TOC3"/>
            <w:rPr>
              <w:rFonts w:ascii="Verdana" w:eastAsiaTheme="minorEastAsia" w:hAnsi="Verdana"/>
              <w:lang w:val="en-GB" w:eastAsia="en-GB"/>
            </w:rPr>
          </w:pPr>
          <w:hyperlink w:anchor="_Toc130223390" w:history="1">
            <w:r w:rsidR="00A83E11" w:rsidRPr="004E6C02">
              <w:rPr>
                <w:rStyle w:val="Hyperlink"/>
                <w:rFonts w:ascii="Verdana" w:hAnsi="Verdana"/>
                <w:lang w:val="en-GB"/>
              </w:rPr>
              <w:t>1.5.2</w:t>
            </w:r>
            <w:r w:rsidR="00A83E11" w:rsidRPr="004E6C02">
              <w:rPr>
                <w:rFonts w:ascii="Verdana" w:eastAsiaTheme="minorEastAsia" w:hAnsi="Verdana"/>
                <w:lang w:val="en-GB" w:eastAsia="en-GB"/>
              </w:rPr>
              <w:tab/>
            </w:r>
            <w:r w:rsidR="00A83E11" w:rsidRPr="004E6C02">
              <w:rPr>
                <w:rStyle w:val="Hyperlink"/>
                <w:rFonts w:ascii="Verdana" w:hAnsi="Verdana"/>
                <w:lang w:val="en-GB"/>
              </w:rPr>
              <w:t>DJ-1</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_Toc130223390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17</w:t>
            </w:r>
            <w:r w:rsidR="00A83E11" w:rsidRPr="004E6C02">
              <w:rPr>
                <w:rFonts w:ascii="Verdana" w:hAnsi="Verdana"/>
                <w:webHidden/>
              </w:rPr>
              <w:fldChar w:fldCharType="end"/>
            </w:r>
          </w:hyperlink>
        </w:p>
        <w:p w14:paraId="1730E951" w14:textId="470C3A35" w:rsidR="00A83E11" w:rsidRPr="004E6C02" w:rsidRDefault="006277BA">
          <w:pPr>
            <w:pStyle w:val="TOC2"/>
            <w:tabs>
              <w:tab w:val="right" w:leader="dot" w:pos="8778"/>
            </w:tabs>
            <w:rPr>
              <w:rFonts w:ascii="Verdana" w:eastAsiaTheme="minorEastAsia" w:hAnsi="Verdana"/>
              <w:noProof/>
              <w:lang w:val="en-GB" w:eastAsia="en-GB"/>
            </w:rPr>
          </w:pPr>
          <w:hyperlink w:anchor="_Toc130223391" w:history="1">
            <w:r w:rsidR="00A83E11" w:rsidRPr="004E6C02">
              <w:rPr>
                <w:rStyle w:val="Hyperlink"/>
                <w:rFonts w:ascii="Verdana" w:hAnsi="Verdana"/>
                <w:noProof/>
                <w:lang w:val="en-GB"/>
              </w:rPr>
              <w:t>1.6 The gut and PD</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_Toc130223391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18</w:t>
            </w:r>
            <w:r w:rsidR="00A83E11" w:rsidRPr="004E6C02">
              <w:rPr>
                <w:rFonts w:ascii="Verdana" w:hAnsi="Verdana"/>
                <w:noProof/>
                <w:webHidden/>
              </w:rPr>
              <w:fldChar w:fldCharType="end"/>
            </w:r>
          </w:hyperlink>
        </w:p>
        <w:p w14:paraId="4A737A67" w14:textId="1FCC5521" w:rsidR="00A83E11" w:rsidRPr="004E6C02" w:rsidRDefault="006277BA">
          <w:pPr>
            <w:pStyle w:val="TOC1"/>
            <w:rPr>
              <w:rFonts w:eastAsiaTheme="minorEastAsia"/>
              <w:sz w:val="22"/>
              <w:szCs w:val="22"/>
              <w:lang w:eastAsia="en-GB"/>
            </w:rPr>
          </w:pPr>
          <w:hyperlink w:anchor="_Toc130223392" w:history="1">
            <w:r w:rsidR="00A83E11" w:rsidRPr="004E6C02">
              <w:rPr>
                <w:rStyle w:val="Hyperlink"/>
                <w:sz w:val="22"/>
                <w:szCs w:val="22"/>
              </w:rPr>
              <w:t>2</w:t>
            </w:r>
            <w:r w:rsidR="00A83E11" w:rsidRPr="004E6C02">
              <w:rPr>
                <w:rFonts w:eastAsiaTheme="minorEastAsia"/>
                <w:sz w:val="22"/>
                <w:szCs w:val="22"/>
                <w:lang w:eastAsia="en-GB"/>
              </w:rPr>
              <w:tab/>
            </w:r>
            <w:r w:rsidR="00A83E11" w:rsidRPr="004E6C02">
              <w:rPr>
                <w:rStyle w:val="Hyperlink"/>
                <w:sz w:val="22"/>
                <w:szCs w:val="22"/>
              </w:rPr>
              <w:t xml:space="preserve">   Dementia in PD</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_Toc130223392 \h </w:instrText>
            </w:r>
            <w:r w:rsidR="00A83E11" w:rsidRPr="004E6C02">
              <w:rPr>
                <w:webHidden/>
                <w:sz w:val="22"/>
                <w:szCs w:val="22"/>
              </w:rPr>
            </w:r>
            <w:r w:rsidR="00A83E11" w:rsidRPr="004E6C02">
              <w:rPr>
                <w:webHidden/>
                <w:sz w:val="22"/>
                <w:szCs w:val="22"/>
              </w:rPr>
              <w:fldChar w:fldCharType="separate"/>
            </w:r>
            <w:r w:rsidR="001D505F">
              <w:rPr>
                <w:webHidden/>
                <w:sz w:val="22"/>
                <w:szCs w:val="22"/>
              </w:rPr>
              <w:t>19</w:t>
            </w:r>
            <w:r w:rsidR="00A83E11" w:rsidRPr="004E6C02">
              <w:rPr>
                <w:webHidden/>
                <w:sz w:val="22"/>
                <w:szCs w:val="22"/>
              </w:rPr>
              <w:fldChar w:fldCharType="end"/>
            </w:r>
          </w:hyperlink>
        </w:p>
        <w:p w14:paraId="4B2BA12D" w14:textId="511A9C84"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93" w:history="1">
            <w:r w:rsidR="00A83E11" w:rsidRPr="004E6C02">
              <w:rPr>
                <w:rStyle w:val="Hyperlink"/>
                <w:rFonts w:ascii="Verdana" w:hAnsi="Verdana"/>
                <w:noProof/>
                <w:lang w:val="en-GB"/>
              </w:rPr>
              <w:t>2.1</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Prevalence and clinical manifestation of dementia</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19</w:t>
            </w:r>
            <w:r w:rsidR="00A83E11" w:rsidRPr="004E6C02">
              <w:rPr>
                <w:rFonts w:ascii="Verdana" w:hAnsi="Verdana"/>
                <w:noProof/>
                <w:webHidden/>
              </w:rPr>
              <w:fldChar w:fldCharType="end"/>
            </w:r>
          </w:hyperlink>
        </w:p>
        <w:p w14:paraId="63D31A6E" w14:textId="05E22C13"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94" w:history="1">
            <w:r w:rsidR="00A83E11" w:rsidRPr="004E6C02">
              <w:rPr>
                <w:rStyle w:val="Hyperlink"/>
                <w:rFonts w:ascii="Verdana" w:hAnsi="Verdana"/>
                <w:noProof/>
                <w:lang w:val="en-GB"/>
              </w:rPr>
              <w:t>2.2</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Diagnosis and Treatment</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_Toc130223394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20</w:t>
            </w:r>
            <w:r w:rsidR="00A83E11" w:rsidRPr="004E6C02">
              <w:rPr>
                <w:rFonts w:ascii="Verdana" w:hAnsi="Verdana"/>
                <w:noProof/>
                <w:webHidden/>
              </w:rPr>
              <w:fldChar w:fldCharType="end"/>
            </w:r>
          </w:hyperlink>
        </w:p>
        <w:p w14:paraId="34A9DB0F" w14:textId="2DDE68CA"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95" w:history="1">
            <w:r w:rsidR="00A83E11" w:rsidRPr="004E6C02">
              <w:rPr>
                <w:rStyle w:val="Hyperlink"/>
                <w:rFonts w:ascii="Verdana" w:hAnsi="Verdana"/>
                <w:noProof/>
                <w:lang w:val="en-GB"/>
              </w:rPr>
              <w:t>2.3</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Neurodegeneration</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_Toc130223395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21</w:t>
            </w:r>
            <w:r w:rsidR="00A83E11" w:rsidRPr="004E6C02">
              <w:rPr>
                <w:rFonts w:ascii="Verdana" w:hAnsi="Verdana"/>
                <w:noProof/>
                <w:webHidden/>
              </w:rPr>
              <w:fldChar w:fldCharType="end"/>
            </w:r>
          </w:hyperlink>
        </w:p>
        <w:p w14:paraId="734593E8" w14:textId="2AAAF675" w:rsidR="00A83E11" w:rsidRPr="004E6C02" w:rsidRDefault="006277BA">
          <w:pPr>
            <w:pStyle w:val="TOC3"/>
            <w:rPr>
              <w:rFonts w:ascii="Verdana" w:eastAsiaTheme="minorEastAsia" w:hAnsi="Verdana"/>
              <w:lang w:val="en-GB" w:eastAsia="en-GB"/>
            </w:rPr>
          </w:pPr>
          <w:hyperlink w:anchor="_Toc130223396" w:history="1">
            <w:r w:rsidR="00A83E11" w:rsidRPr="004E6C02">
              <w:rPr>
                <w:rStyle w:val="Hyperlink"/>
                <w:rFonts w:ascii="Verdana" w:hAnsi="Verdana"/>
                <w:lang w:val="en-GB"/>
              </w:rPr>
              <w:t>2.3.1</w:t>
            </w:r>
            <w:r w:rsidR="00A83E11" w:rsidRPr="004E6C02">
              <w:rPr>
                <w:rFonts w:ascii="Verdana" w:eastAsiaTheme="minorEastAsia" w:hAnsi="Verdana"/>
                <w:lang w:val="en-GB" w:eastAsia="en-GB"/>
              </w:rPr>
              <w:tab/>
            </w:r>
            <w:r w:rsidR="00A83E11" w:rsidRPr="004E6C02">
              <w:rPr>
                <w:rStyle w:val="Hyperlink"/>
                <w:rFonts w:ascii="Verdana" w:hAnsi="Verdana"/>
                <w:lang w:val="en-GB"/>
              </w:rPr>
              <w:t>Neurotransmitter systems</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_Toc130223396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21</w:t>
            </w:r>
            <w:r w:rsidR="00A83E11" w:rsidRPr="004E6C02">
              <w:rPr>
                <w:rFonts w:ascii="Verdana" w:hAnsi="Verdana"/>
                <w:webHidden/>
              </w:rPr>
              <w:fldChar w:fldCharType="end"/>
            </w:r>
          </w:hyperlink>
        </w:p>
        <w:p w14:paraId="4F4813BB" w14:textId="344D3DE8" w:rsidR="00A83E11" w:rsidRPr="004E6C02" w:rsidRDefault="006277BA">
          <w:pPr>
            <w:pStyle w:val="TOC3"/>
            <w:rPr>
              <w:rFonts w:ascii="Verdana" w:eastAsiaTheme="minorEastAsia" w:hAnsi="Verdana"/>
              <w:lang w:val="en-GB" w:eastAsia="en-GB"/>
            </w:rPr>
          </w:pPr>
          <w:hyperlink w:anchor="_Toc130223397" w:history="1">
            <w:r w:rsidR="00A83E11" w:rsidRPr="004E6C02">
              <w:rPr>
                <w:rStyle w:val="Hyperlink"/>
                <w:rFonts w:ascii="Verdana" w:hAnsi="Verdana"/>
              </w:rPr>
              <w:t>2.3.2</w:t>
            </w:r>
            <w:r w:rsidR="00A83E11" w:rsidRPr="004E6C02">
              <w:rPr>
                <w:rFonts w:ascii="Verdana" w:eastAsiaTheme="minorEastAsia" w:hAnsi="Verdana"/>
                <w:lang w:val="en-GB" w:eastAsia="en-GB"/>
              </w:rPr>
              <w:tab/>
            </w:r>
            <w:r w:rsidR="00A83E11" w:rsidRPr="004E6C02">
              <w:rPr>
                <w:rStyle w:val="Hyperlink"/>
                <w:rFonts w:ascii="Verdana" w:hAnsi="Verdana"/>
              </w:rPr>
              <w:t>Brain atrophy</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_Toc130223397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23</w:t>
            </w:r>
            <w:r w:rsidR="00A83E11" w:rsidRPr="004E6C02">
              <w:rPr>
                <w:rFonts w:ascii="Verdana" w:hAnsi="Verdana"/>
                <w:webHidden/>
              </w:rPr>
              <w:fldChar w:fldCharType="end"/>
            </w:r>
          </w:hyperlink>
        </w:p>
        <w:p w14:paraId="1B29CEDE" w14:textId="26C4BED5"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98" w:history="1">
            <w:r w:rsidR="00A83E11" w:rsidRPr="004E6C02">
              <w:rPr>
                <w:rStyle w:val="Hyperlink"/>
                <w:rFonts w:ascii="Verdana" w:hAnsi="Verdana"/>
                <w:noProof/>
                <w:lang w:val="en-GB"/>
              </w:rPr>
              <w:t>2.4</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Neuropathology</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25</w:t>
            </w:r>
            <w:r w:rsidR="00A83E11" w:rsidRPr="004E6C02">
              <w:rPr>
                <w:rFonts w:ascii="Verdana" w:hAnsi="Verdana"/>
                <w:noProof/>
                <w:webHidden/>
              </w:rPr>
              <w:fldChar w:fldCharType="end"/>
            </w:r>
          </w:hyperlink>
        </w:p>
        <w:p w14:paraId="2DF1DDA3" w14:textId="0EF1DC13"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399" w:history="1">
            <w:r w:rsidR="00A83E11" w:rsidRPr="004E6C02">
              <w:rPr>
                <w:rStyle w:val="Hyperlink"/>
                <w:rFonts w:ascii="Verdana" w:hAnsi="Verdana"/>
                <w:noProof/>
                <w:lang w:val="en-GB"/>
              </w:rPr>
              <w:t>2.5</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Genetic factors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_Toc130223399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26</w:t>
            </w:r>
            <w:r w:rsidR="00A83E11" w:rsidRPr="004E6C02">
              <w:rPr>
                <w:rFonts w:ascii="Verdana" w:hAnsi="Verdana"/>
                <w:noProof/>
                <w:webHidden/>
              </w:rPr>
              <w:fldChar w:fldCharType="end"/>
            </w:r>
          </w:hyperlink>
        </w:p>
        <w:p w14:paraId="32D07887" w14:textId="30535676" w:rsidR="00A83E11" w:rsidRPr="004E6C02" w:rsidRDefault="006277BA">
          <w:pPr>
            <w:pStyle w:val="TOC1"/>
            <w:rPr>
              <w:rFonts w:eastAsiaTheme="minorEastAsia"/>
              <w:sz w:val="22"/>
              <w:szCs w:val="22"/>
              <w:lang w:eastAsia="en-GB"/>
            </w:rPr>
          </w:pPr>
          <w:hyperlink w:anchor="_Toc130223400" w:history="1">
            <w:r w:rsidR="00A83E11" w:rsidRPr="004E6C02">
              <w:rPr>
                <w:rStyle w:val="Hyperlink"/>
                <w:sz w:val="22"/>
                <w:szCs w:val="22"/>
              </w:rPr>
              <w:t>Scope and Aims</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_Toc130223400 \h </w:instrText>
            </w:r>
            <w:r w:rsidR="00A83E11" w:rsidRPr="004E6C02">
              <w:rPr>
                <w:webHidden/>
                <w:sz w:val="22"/>
                <w:szCs w:val="22"/>
              </w:rPr>
            </w:r>
            <w:r w:rsidR="00A83E11" w:rsidRPr="004E6C02">
              <w:rPr>
                <w:webHidden/>
                <w:sz w:val="22"/>
                <w:szCs w:val="22"/>
              </w:rPr>
              <w:fldChar w:fldCharType="separate"/>
            </w:r>
            <w:r w:rsidR="001D505F">
              <w:rPr>
                <w:webHidden/>
                <w:sz w:val="22"/>
                <w:szCs w:val="22"/>
              </w:rPr>
              <w:t>29</w:t>
            </w:r>
            <w:r w:rsidR="00A83E11" w:rsidRPr="004E6C02">
              <w:rPr>
                <w:webHidden/>
                <w:sz w:val="22"/>
                <w:szCs w:val="22"/>
              </w:rPr>
              <w:fldChar w:fldCharType="end"/>
            </w:r>
          </w:hyperlink>
        </w:p>
        <w:p w14:paraId="02ACA35F" w14:textId="1BAD09D9" w:rsidR="00A83E11" w:rsidRPr="004E6C02" w:rsidRDefault="006277BA">
          <w:pPr>
            <w:pStyle w:val="TOC1"/>
            <w:rPr>
              <w:rFonts w:eastAsiaTheme="minorEastAsia"/>
              <w:sz w:val="22"/>
              <w:szCs w:val="22"/>
              <w:lang w:eastAsia="en-GB"/>
            </w:rPr>
          </w:pPr>
          <w:hyperlink w:anchor="_Toc130223401" w:history="1">
            <w:r w:rsidR="00A83E11" w:rsidRPr="004E6C02">
              <w:rPr>
                <w:rStyle w:val="Hyperlink"/>
                <w:sz w:val="22"/>
                <w:szCs w:val="22"/>
              </w:rPr>
              <w:t>Materials and Methods</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_Toc130223401 \h </w:instrText>
            </w:r>
            <w:r w:rsidR="00A83E11" w:rsidRPr="004E6C02">
              <w:rPr>
                <w:webHidden/>
                <w:sz w:val="22"/>
                <w:szCs w:val="22"/>
              </w:rPr>
            </w:r>
            <w:r w:rsidR="00A83E11" w:rsidRPr="004E6C02">
              <w:rPr>
                <w:webHidden/>
                <w:sz w:val="22"/>
                <w:szCs w:val="22"/>
              </w:rPr>
              <w:fldChar w:fldCharType="separate"/>
            </w:r>
            <w:r w:rsidR="001D505F">
              <w:rPr>
                <w:webHidden/>
                <w:sz w:val="22"/>
                <w:szCs w:val="22"/>
              </w:rPr>
              <w:t>37</w:t>
            </w:r>
            <w:r w:rsidR="00A83E11" w:rsidRPr="004E6C02">
              <w:rPr>
                <w:webHidden/>
                <w:sz w:val="22"/>
                <w:szCs w:val="22"/>
              </w:rPr>
              <w:fldChar w:fldCharType="end"/>
            </w:r>
          </w:hyperlink>
        </w:p>
        <w:p w14:paraId="34041C33" w14:textId="639EC2A0" w:rsidR="00A83E11" w:rsidRPr="004E6C02" w:rsidRDefault="006277BA">
          <w:pPr>
            <w:pStyle w:val="TOC2"/>
            <w:tabs>
              <w:tab w:val="right" w:leader="dot" w:pos="8778"/>
            </w:tabs>
            <w:rPr>
              <w:rFonts w:ascii="Verdana" w:eastAsiaTheme="minorEastAsia" w:hAnsi="Verdana"/>
              <w:noProof/>
              <w:lang w:val="en-GB" w:eastAsia="en-GB"/>
            </w:rPr>
          </w:pPr>
          <w:hyperlink w:anchor="_Toc130223402" w:history="1">
            <w:r w:rsidR="00A83E11" w:rsidRPr="004E6C02">
              <w:rPr>
                <w:rStyle w:val="Hyperlink"/>
                <w:rFonts w:ascii="Verdana" w:hAnsi="Verdana"/>
                <w:noProof/>
                <w:lang w:val="en-GB"/>
              </w:rPr>
              <w:t>Animals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_Toc130223402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39</w:t>
            </w:r>
            <w:r w:rsidR="00A83E11" w:rsidRPr="004E6C02">
              <w:rPr>
                <w:rFonts w:ascii="Verdana" w:hAnsi="Verdana"/>
                <w:noProof/>
                <w:webHidden/>
              </w:rPr>
              <w:fldChar w:fldCharType="end"/>
            </w:r>
          </w:hyperlink>
        </w:p>
        <w:p w14:paraId="1CBA9C36" w14:textId="1E091D43" w:rsidR="00A83E11" w:rsidRPr="004E6C02" w:rsidRDefault="006277BA">
          <w:pPr>
            <w:pStyle w:val="TOC3"/>
            <w:rPr>
              <w:rFonts w:ascii="Verdana" w:eastAsiaTheme="minorEastAsia" w:hAnsi="Verdana"/>
              <w:lang w:val="en-GB" w:eastAsia="en-GB"/>
            </w:rPr>
          </w:pPr>
          <w:hyperlink w:anchor="_Toc130223403" w:history="1">
            <w:r w:rsidR="00A83E11" w:rsidRPr="004E6C02">
              <w:rPr>
                <w:rStyle w:val="Hyperlink"/>
                <w:rFonts w:ascii="Verdana" w:hAnsi="Verdana"/>
                <w:lang w:val="en-GB"/>
              </w:rPr>
              <w:t>Mouse colony management</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_Toc130223403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39</w:t>
            </w:r>
            <w:r w:rsidR="00A83E11" w:rsidRPr="004E6C02">
              <w:rPr>
                <w:rFonts w:ascii="Verdana" w:hAnsi="Verdana"/>
                <w:webHidden/>
              </w:rPr>
              <w:fldChar w:fldCharType="end"/>
            </w:r>
          </w:hyperlink>
        </w:p>
        <w:p w14:paraId="3E077944" w14:textId="4604C67A" w:rsidR="00A83E11" w:rsidRPr="004E6C02" w:rsidRDefault="006277BA">
          <w:pPr>
            <w:pStyle w:val="TOC3"/>
            <w:rPr>
              <w:rFonts w:ascii="Verdana" w:eastAsiaTheme="minorEastAsia" w:hAnsi="Verdana"/>
              <w:lang w:val="en-GB" w:eastAsia="en-GB"/>
            </w:rPr>
          </w:pPr>
          <w:hyperlink w:anchor="_Toc130223404" w:history="1">
            <w:r w:rsidR="00A83E11" w:rsidRPr="004E6C02">
              <w:rPr>
                <w:rStyle w:val="Hyperlink"/>
                <w:rFonts w:ascii="Verdana" w:hAnsi="Verdana"/>
                <w:lang w:val="en-GB"/>
              </w:rPr>
              <w:t>Genotyping</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_Toc130223404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40</w:t>
            </w:r>
            <w:r w:rsidR="00A83E11" w:rsidRPr="004E6C02">
              <w:rPr>
                <w:rFonts w:ascii="Verdana" w:hAnsi="Verdana"/>
                <w:webHidden/>
              </w:rPr>
              <w:fldChar w:fldCharType="end"/>
            </w:r>
          </w:hyperlink>
        </w:p>
        <w:p w14:paraId="3FC401A4" w14:textId="4CEBD71F" w:rsidR="00A83E11" w:rsidRPr="004E6C02" w:rsidRDefault="006277BA">
          <w:pPr>
            <w:pStyle w:val="TOC3"/>
            <w:rPr>
              <w:rFonts w:ascii="Verdana" w:eastAsiaTheme="minorEastAsia" w:hAnsi="Verdana"/>
              <w:lang w:val="en-GB" w:eastAsia="en-GB"/>
            </w:rPr>
          </w:pPr>
          <w:hyperlink w:anchor="_Toc130223405" w:history="1">
            <w:r w:rsidR="00A83E11" w:rsidRPr="004E6C02">
              <w:rPr>
                <w:rStyle w:val="Hyperlink"/>
                <w:rFonts w:ascii="Verdana" w:hAnsi="Verdana"/>
                <w:lang w:val="en-GB"/>
              </w:rPr>
              <w:t>Behavioural testing</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_Toc130223405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41</w:t>
            </w:r>
            <w:r w:rsidR="00A83E11" w:rsidRPr="004E6C02">
              <w:rPr>
                <w:rFonts w:ascii="Verdana" w:hAnsi="Verdana"/>
                <w:webHidden/>
              </w:rPr>
              <w:fldChar w:fldCharType="end"/>
            </w:r>
          </w:hyperlink>
        </w:p>
        <w:p w14:paraId="5D7FC58C" w14:textId="73AB7A72" w:rsidR="00A83E11" w:rsidRPr="004E6C02" w:rsidRDefault="006277BA">
          <w:pPr>
            <w:pStyle w:val="TOC3"/>
            <w:rPr>
              <w:rFonts w:ascii="Verdana" w:eastAsiaTheme="minorEastAsia" w:hAnsi="Verdana"/>
              <w:lang w:val="en-GB" w:eastAsia="en-GB"/>
            </w:rPr>
          </w:pPr>
          <w:hyperlink w:anchor="_Toc130223406" w:history="1">
            <w:r w:rsidR="00A83E11" w:rsidRPr="004E6C02">
              <w:rPr>
                <w:rStyle w:val="Hyperlink"/>
                <w:rFonts w:ascii="Verdana" w:hAnsi="Verdana"/>
              </w:rPr>
              <w:t>Bacterial solution preparation and gavage</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_Toc130223406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43</w:t>
            </w:r>
            <w:r w:rsidR="00A83E11" w:rsidRPr="004E6C02">
              <w:rPr>
                <w:rFonts w:ascii="Verdana" w:hAnsi="Verdana"/>
                <w:webHidden/>
              </w:rPr>
              <w:fldChar w:fldCharType="end"/>
            </w:r>
          </w:hyperlink>
        </w:p>
        <w:p w14:paraId="09CA64F4" w14:textId="59589303" w:rsidR="00A83E11" w:rsidRPr="004E6C02" w:rsidRDefault="006277BA">
          <w:pPr>
            <w:pStyle w:val="TOC3"/>
            <w:rPr>
              <w:rFonts w:ascii="Verdana" w:eastAsiaTheme="minorEastAsia" w:hAnsi="Verdana"/>
              <w:lang w:val="en-GB" w:eastAsia="en-GB"/>
            </w:rPr>
          </w:pPr>
          <w:hyperlink w:anchor="_Toc130223407" w:history="1">
            <w:r w:rsidR="00A83E11" w:rsidRPr="004E6C02">
              <w:rPr>
                <w:rStyle w:val="Hyperlink"/>
                <w:rFonts w:ascii="Verdana" w:hAnsi="Verdana"/>
                <w:lang w:val="en-GB"/>
              </w:rPr>
              <w:t>Euthanasia and tissue collection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_Toc130223407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43</w:t>
            </w:r>
            <w:r w:rsidR="00A83E11" w:rsidRPr="004E6C02">
              <w:rPr>
                <w:rFonts w:ascii="Verdana" w:hAnsi="Verdana"/>
                <w:webHidden/>
              </w:rPr>
              <w:fldChar w:fldCharType="end"/>
            </w:r>
          </w:hyperlink>
        </w:p>
        <w:p w14:paraId="348F96FE" w14:textId="21091B81" w:rsidR="00A83E11" w:rsidRPr="004E6C02" w:rsidRDefault="006277BA">
          <w:pPr>
            <w:pStyle w:val="TOC2"/>
            <w:tabs>
              <w:tab w:val="right" w:leader="dot" w:pos="8778"/>
            </w:tabs>
            <w:rPr>
              <w:rFonts w:ascii="Verdana" w:eastAsiaTheme="minorEastAsia" w:hAnsi="Verdana"/>
              <w:noProof/>
              <w:lang w:val="en-GB" w:eastAsia="en-GB"/>
            </w:rPr>
          </w:pPr>
          <w:hyperlink w:anchor="_Toc130223408" w:history="1">
            <w:r w:rsidR="00A83E11" w:rsidRPr="004E6C02">
              <w:rPr>
                <w:rStyle w:val="Hyperlink"/>
                <w:rFonts w:ascii="Verdana" w:hAnsi="Verdana"/>
                <w:noProof/>
                <w:lang w:val="en-GB"/>
              </w:rPr>
              <w:t>LUHMES cells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_Toc130223408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45</w:t>
            </w:r>
            <w:r w:rsidR="00A83E11" w:rsidRPr="004E6C02">
              <w:rPr>
                <w:rFonts w:ascii="Verdana" w:hAnsi="Verdana"/>
                <w:noProof/>
                <w:webHidden/>
              </w:rPr>
              <w:fldChar w:fldCharType="end"/>
            </w:r>
          </w:hyperlink>
        </w:p>
        <w:p w14:paraId="03A06A84" w14:textId="08BF2B37" w:rsidR="00A83E11" w:rsidRPr="004E6C02" w:rsidRDefault="006277BA">
          <w:pPr>
            <w:pStyle w:val="TOC3"/>
            <w:rPr>
              <w:rFonts w:ascii="Verdana" w:eastAsiaTheme="minorEastAsia" w:hAnsi="Verdana"/>
              <w:lang w:val="en-GB" w:eastAsia="en-GB"/>
            </w:rPr>
          </w:pPr>
          <w:hyperlink w:anchor="_Toc130223409" w:history="1">
            <w:r w:rsidR="00A83E11" w:rsidRPr="004E6C02">
              <w:rPr>
                <w:rStyle w:val="Hyperlink"/>
                <w:rFonts w:ascii="Verdana" w:hAnsi="Verdana"/>
                <w:lang w:val="en-GB"/>
              </w:rPr>
              <w:t>Cell culture</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_Toc130223409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45</w:t>
            </w:r>
            <w:r w:rsidR="00A83E11" w:rsidRPr="004E6C02">
              <w:rPr>
                <w:rFonts w:ascii="Verdana" w:hAnsi="Verdana"/>
                <w:webHidden/>
              </w:rPr>
              <w:fldChar w:fldCharType="end"/>
            </w:r>
          </w:hyperlink>
        </w:p>
        <w:p w14:paraId="3C22EE12" w14:textId="24999BB1" w:rsidR="00A83E11" w:rsidRPr="004E6C02" w:rsidRDefault="006277BA">
          <w:pPr>
            <w:pStyle w:val="TOC3"/>
            <w:rPr>
              <w:rFonts w:ascii="Verdana" w:eastAsiaTheme="minorEastAsia" w:hAnsi="Verdana"/>
              <w:lang w:val="en-GB" w:eastAsia="en-GB"/>
            </w:rPr>
          </w:pPr>
          <w:hyperlink w:anchor="_Toc130223410" w:history="1">
            <w:r w:rsidR="00A83E11" w:rsidRPr="004E6C02">
              <w:rPr>
                <w:rStyle w:val="Hyperlink"/>
                <w:rFonts w:ascii="Verdana" w:hAnsi="Verdana"/>
                <w:lang w:val="da-DK"/>
              </w:rPr>
              <w:t>MTT test</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_Toc130223410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46</w:t>
            </w:r>
            <w:r w:rsidR="00A83E11" w:rsidRPr="004E6C02">
              <w:rPr>
                <w:rFonts w:ascii="Verdana" w:hAnsi="Verdana"/>
                <w:webHidden/>
              </w:rPr>
              <w:fldChar w:fldCharType="end"/>
            </w:r>
          </w:hyperlink>
        </w:p>
        <w:p w14:paraId="2313F126" w14:textId="196A8C99" w:rsidR="00A83E11" w:rsidRPr="004E6C02" w:rsidRDefault="006277BA">
          <w:pPr>
            <w:pStyle w:val="TOC3"/>
            <w:rPr>
              <w:rFonts w:ascii="Verdana" w:eastAsiaTheme="minorEastAsia" w:hAnsi="Verdana"/>
              <w:lang w:val="en-GB" w:eastAsia="en-GB"/>
            </w:rPr>
          </w:pPr>
          <w:hyperlink w:anchor="_Toc130223411" w:history="1">
            <w:r w:rsidR="00A83E11" w:rsidRPr="004E6C02">
              <w:rPr>
                <w:rStyle w:val="Hyperlink"/>
                <w:rFonts w:ascii="Verdana" w:hAnsi="Verdana"/>
                <w:lang w:val="en-GB"/>
              </w:rPr>
              <w:t>Immunofluorescence staining</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_Toc130223411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47</w:t>
            </w:r>
            <w:r w:rsidR="00A83E11" w:rsidRPr="004E6C02">
              <w:rPr>
                <w:rFonts w:ascii="Verdana" w:hAnsi="Verdana"/>
                <w:webHidden/>
              </w:rPr>
              <w:fldChar w:fldCharType="end"/>
            </w:r>
          </w:hyperlink>
        </w:p>
        <w:p w14:paraId="4F16F2A8" w14:textId="54EFE2D7" w:rsidR="00A83E11" w:rsidRPr="004E6C02" w:rsidRDefault="006277BA">
          <w:pPr>
            <w:pStyle w:val="TOC3"/>
            <w:rPr>
              <w:rFonts w:ascii="Verdana" w:eastAsiaTheme="minorEastAsia" w:hAnsi="Verdana"/>
              <w:lang w:val="en-GB" w:eastAsia="en-GB"/>
            </w:rPr>
          </w:pPr>
          <w:hyperlink w:anchor="_Toc130223412" w:history="1">
            <w:r w:rsidR="00A83E11" w:rsidRPr="004E6C02">
              <w:rPr>
                <w:rStyle w:val="Hyperlink"/>
                <w:rFonts w:ascii="Verdana" w:hAnsi="Verdana"/>
                <w:lang w:val="da-DK"/>
              </w:rPr>
              <w:t>Electron Microscopy</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_Toc130223412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47</w:t>
            </w:r>
            <w:r w:rsidR="00A83E11" w:rsidRPr="004E6C02">
              <w:rPr>
                <w:rFonts w:ascii="Verdana" w:hAnsi="Verdana"/>
                <w:webHidden/>
              </w:rPr>
              <w:fldChar w:fldCharType="end"/>
            </w:r>
          </w:hyperlink>
        </w:p>
        <w:p w14:paraId="3E67E52F" w14:textId="1708C965" w:rsidR="00A83E11" w:rsidRPr="004E6C02" w:rsidRDefault="006277BA">
          <w:pPr>
            <w:pStyle w:val="TOC2"/>
            <w:tabs>
              <w:tab w:val="right" w:leader="dot" w:pos="8778"/>
            </w:tabs>
            <w:rPr>
              <w:rFonts w:ascii="Verdana" w:eastAsiaTheme="minorEastAsia" w:hAnsi="Verdana"/>
              <w:noProof/>
              <w:lang w:val="en-GB" w:eastAsia="en-GB"/>
            </w:rPr>
          </w:pPr>
          <w:hyperlink w:anchor="_Toc130223413" w:history="1">
            <w:r w:rsidR="00A83E11" w:rsidRPr="004E6C02">
              <w:rPr>
                <w:rStyle w:val="Hyperlink"/>
                <w:rFonts w:ascii="Verdana" w:hAnsi="Verdana"/>
                <w:noProof/>
                <w:lang w:val="en-GB"/>
              </w:rPr>
              <w:t>RNA analysis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_Toc130223413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49</w:t>
            </w:r>
            <w:r w:rsidR="00A83E11" w:rsidRPr="004E6C02">
              <w:rPr>
                <w:rFonts w:ascii="Verdana" w:hAnsi="Verdana"/>
                <w:noProof/>
                <w:webHidden/>
              </w:rPr>
              <w:fldChar w:fldCharType="end"/>
            </w:r>
          </w:hyperlink>
        </w:p>
        <w:p w14:paraId="32D000DC" w14:textId="1FDFCB0E" w:rsidR="00A83E11" w:rsidRPr="004E6C02" w:rsidRDefault="006277BA">
          <w:pPr>
            <w:pStyle w:val="TOC3"/>
            <w:rPr>
              <w:rFonts w:ascii="Verdana" w:eastAsiaTheme="minorEastAsia" w:hAnsi="Verdana"/>
              <w:lang w:val="en-GB" w:eastAsia="en-GB"/>
            </w:rPr>
          </w:pPr>
          <w:hyperlink w:anchor="_Toc130223414" w:history="1">
            <w:r w:rsidR="00A83E11" w:rsidRPr="004E6C02">
              <w:rPr>
                <w:rStyle w:val="Hyperlink"/>
                <w:rFonts w:ascii="Verdana" w:hAnsi="Verdana"/>
                <w:lang w:val="en-GB"/>
              </w:rPr>
              <w:t>RNA extraction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_Toc130223414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49</w:t>
            </w:r>
            <w:r w:rsidR="00A83E11" w:rsidRPr="004E6C02">
              <w:rPr>
                <w:rFonts w:ascii="Verdana" w:hAnsi="Verdana"/>
                <w:webHidden/>
              </w:rPr>
              <w:fldChar w:fldCharType="end"/>
            </w:r>
          </w:hyperlink>
        </w:p>
        <w:p w14:paraId="70BDC804" w14:textId="5637A6CB" w:rsidR="00A83E11" w:rsidRPr="004E6C02" w:rsidRDefault="006277BA">
          <w:pPr>
            <w:pStyle w:val="TOC3"/>
            <w:rPr>
              <w:rFonts w:ascii="Verdana" w:eastAsiaTheme="minorEastAsia" w:hAnsi="Verdana"/>
              <w:lang w:val="en-GB" w:eastAsia="en-GB"/>
            </w:rPr>
          </w:pPr>
          <w:hyperlink w:anchor="_Toc130223415" w:history="1">
            <w:r w:rsidR="00A83E11" w:rsidRPr="004E6C02">
              <w:rPr>
                <w:rStyle w:val="Hyperlink"/>
                <w:rFonts w:ascii="Verdana" w:hAnsi="Verdana"/>
                <w:lang w:val="en-GB"/>
              </w:rPr>
              <w:t>RT-qPCR</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_Toc130223415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50</w:t>
            </w:r>
            <w:r w:rsidR="00A83E11" w:rsidRPr="004E6C02">
              <w:rPr>
                <w:rFonts w:ascii="Verdana" w:hAnsi="Verdana"/>
                <w:webHidden/>
              </w:rPr>
              <w:fldChar w:fldCharType="end"/>
            </w:r>
          </w:hyperlink>
        </w:p>
        <w:p w14:paraId="3BAF4853" w14:textId="0A2D1294" w:rsidR="00A83E11" w:rsidRPr="004E6C02" w:rsidRDefault="006277BA">
          <w:pPr>
            <w:pStyle w:val="TOC3"/>
            <w:rPr>
              <w:rFonts w:ascii="Verdana" w:eastAsiaTheme="minorEastAsia" w:hAnsi="Verdana"/>
              <w:lang w:val="en-GB" w:eastAsia="en-GB"/>
            </w:rPr>
          </w:pPr>
          <w:hyperlink w:anchor="_Toc130223416" w:history="1">
            <w:r w:rsidR="00A83E11" w:rsidRPr="004E6C02">
              <w:rPr>
                <w:rStyle w:val="Hyperlink"/>
                <w:rFonts w:ascii="Verdana" w:hAnsi="Verdana"/>
                <w:lang w:val="en-GB"/>
              </w:rPr>
              <w:t>Microarray Analysis</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_Toc130223416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51</w:t>
            </w:r>
            <w:r w:rsidR="00A83E11" w:rsidRPr="004E6C02">
              <w:rPr>
                <w:rFonts w:ascii="Verdana" w:hAnsi="Verdana"/>
                <w:webHidden/>
              </w:rPr>
              <w:fldChar w:fldCharType="end"/>
            </w:r>
          </w:hyperlink>
        </w:p>
        <w:p w14:paraId="4E767031" w14:textId="555C40A0" w:rsidR="00A83E11" w:rsidRPr="004E6C02" w:rsidRDefault="006277BA">
          <w:pPr>
            <w:pStyle w:val="TOC3"/>
            <w:rPr>
              <w:rFonts w:ascii="Verdana" w:eastAsiaTheme="minorEastAsia" w:hAnsi="Verdana"/>
              <w:lang w:val="en-GB" w:eastAsia="en-GB"/>
            </w:rPr>
          </w:pPr>
          <w:hyperlink w:anchor="_Toc130223417" w:history="1">
            <w:r w:rsidR="00A83E11" w:rsidRPr="004E6C02">
              <w:rPr>
                <w:rStyle w:val="Hyperlink"/>
                <w:rFonts w:ascii="Verdana" w:hAnsi="Verdana"/>
                <w:lang w:val="en-GB"/>
              </w:rPr>
              <w:t>RNA sequencing</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_Toc130223417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51</w:t>
            </w:r>
            <w:r w:rsidR="00A83E11" w:rsidRPr="004E6C02">
              <w:rPr>
                <w:rFonts w:ascii="Verdana" w:hAnsi="Verdana"/>
                <w:webHidden/>
              </w:rPr>
              <w:fldChar w:fldCharType="end"/>
            </w:r>
          </w:hyperlink>
        </w:p>
        <w:p w14:paraId="30BAF20D" w14:textId="52729B4B" w:rsidR="00A83E11" w:rsidRPr="004E6C02" w:rsidRDefault="006277BA">
          <w:pPr>
            <w:pStyle w:val="TOC2"/>
            <w:tabs>
              <w:tab w:val="right" w:leader="dot" w:pos="8778"/>
            </w:tabs>
            <w:rPr>
              <w:rFonts w:ascii="Verdana" w:eastAsiaTheme="minorEastAsia" w:hAnsi="Verdana"/>
              <w:noProof/>
              <w:lang w:val="en-GB" w:eastAsia="en-GB"/>
            </w:rPr>
          </w:pPr>
          <w:hyperlink w:anchor="_Toc130223418" w:history="1">
            <w:r w:rsidR="00A83E11" w:rsidRPr="004E6C02">
              <w:rPr>
                <w:rStyle w:val="Hyperlink"/>
                <w:rFonts w:ascii="Verdana" w:hAnsi="Verdana"/>
                <w:noProof/>
                <w:lang w:val="en-GB"/>
              </w:rPr>
              <w:t>Protein analysis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_Toc130223418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53</w:t>
            </w:r>
            <w:r w:rsidR="00A83E11" w:rsidRPr="004E6C02">
              <w:rPr>
                <w:rFonts w:ascii="Verdana" w:hAnsi="Verdana"/>
                <w:noProof/>
                <w:webHidden/>
              </w:rPr>
              <w:fldChar w:fldCharType="end"/>
            </w:r>
          </w:hyperlink>
        </w:p>
        <w:p w14:paraId="0EE4A5EE" w14:textId="0673CB56" w:rsidR="00A83E11" w:rsidRPr="004E6C02" w:rsidRDefault="006277BA">
          <w:pPr>
            <w:pStyle w:val="TOC3"/>
            <w:rPr>
              <w:rFonts w:ascii="Verdana" w:eastAsiaTheme="minorEastAsia" w:hAnsi="Verdana"/>
              <w:lang w:val="en-GB" w:eastAsia="en-GB"/>
            </w:rPr>
          </w:pPr>
          <w:hyperlink w:anchor="_Toc130223419" w:history="1">
            <w:r w:rsidR="00A83E11" w:rsidRPr="004E6C02">
              <w:rPr>
                <w:rStyle w:val="Hyperlink"/>
                <w:rFonts w:ascii="Verdana" w:hAnsi="Verdana"/>
                <w:lang w:val="en-GB"/>
              </w:rPr>
              <w:t>Protein extraction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_Toc130223419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53</w:t>
            </w:r>
            <w:r w:rsidR="00A83E11" w:rsidRPr="004E6C02">
              <w:rPr>
                <w:rFonts w:ascii="Verdana" w:hAnsi="Verdana"/>
                <w:webHidden/>
              </w:rPr>
              <w:fldChar w:fldCharType="end"/>
            </w:r>
          </w:hyperlink>
        </w:p>
        <w:p w14:paraId="74BE60B1" w14:textId="4344BCB9" w:rsidR="00A83E11" w:rsidRPr="004E6C02" w:rsidRDefault="006277BA">
          <w:pPr>
            <w:pStyle w:val="TOC3"/>
            <w:rPr>
              <w:rFonts w:ascii="Verdana" w:eastAsiaTheme="minorEastAsia" w:hAnsi="Verdana"/>
              <w:lang w:val="en-GB" w:eastAsia="en-GB"/>
            </w:rPr>
          </w:pPr>
          <w:hyperlink w:anchor="_Toc130223420" w:history="1">
            <w:r w:rsidR="00A83E11" w:rsidRPr="004E6C02">
              <w:rPr>
                <w:rStyle w:val="Hyperlink"/>
                <w:rFonts w:ascii="Verdana" w:hAnsi="Verdana"/>
                <w:lang w:val="en-GB"/>
              </w:rPr>
              <w:t>Western Blot</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_Toc130223420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53</w:t>
            </w:r>
            <w:r w:rsidR="00A83E11" w:rsidRPr="004E6C02">
              <w:rPr>
                <w:rFonts w:ascii="Verdana" w:hAnsi="Verdana"/>
                <w:webHidden/>
              </w:rPr>
              <w:fldChar w:fldCharType="end"/>
            </w:r>
          </w:hyperlink>
        </w:p>
        <w:p w14:paraId="46906036" w14:textId="508FF5FB" w:rsidR="00A83E11" w:rsidRPr="004E6C02" w:rsidRDefault="006277BA">
          <w:pPr>
            <w:pStyle w:val="TOC3"/>
            <w:rPr>
              <w:rFonts w:ascii="Verdana" w:eastAsiaTheme="minorEastAsia" w:hAnsi="Verdana"/>
              <w:lang w:val="en-GB" w:eastAsia="en-GB"/>
            </w:rPr>
          </w:pPr>
          <w:hyperlink w:anchor="_Toc130223421" w:history="1">
            <w:r w:rsidR="00A83E11" w:rsidRPr="004E6C02">
              <w:rPr>
                <w:rStyle w:val="Hyperlink"/>
                <w:rFonts w:ascii="Verdana" w:hAnsi="Verdana"/>
                <w:lang w:val="en-GB"/>
              </w:rPr>
              <w:t>Immunofluorescence staining on free-floating brain sections</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_Toc130223421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54</w:t>
            </w:r>
            <w:r w:rsidR="00A83E11" w:rsidRPr="004E6C02">
              <w:rPr>
                <w:rFonts w:ascii="Verdana" w:hAnsi="Verdana"/>
                <w:webHidden/>
              </w:rPr>
              <w:fldChar w:fldCharType="end"/>
            </w:r>
          </w:hyperlink>
        </w:p>
        <w:p w14:paraId="2BC7BF7A" w14:textId="503435FC" w:rsidR="00A83E11" w:rsidRPr="004E6C02" w:rsidRDefault="006277BA">
          <w:pPr>
            <w:pStyle w:val="TOC3"/>
            <w:rPr>
              <w:rFonts w:ascii="Verdana" w:eastAsiaTheme="minorEastAsia" w:hAnsi="Verdana"/>
              <w:lang w:val="en-GB" w:eastAsia="en-GB"/>
            </w:rPr>
          </w:pPr>
          <w:hyperlink w:anchor="_Toc130223422" w:history="1">
            <w:r w:rsidR="00A83E11" w:rsidRPr="004E6C02">
              <w:rPr>
                <w:rStyle w:val="Hyperlink"/>
                <w:rFonts w:ascii="Verdana" w:hAnsi="Verdana"/>
                <w:lang w:val="en-GB"/>
              </w:rPr>
              <w:t>Quantification of neurodegeneration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_Toc130223422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55</w:t>
            </w:r>
            <w:r w:rsidR="00A83E11" w:rsidRPr="004E6C02">
              <w:rPr>
                <w:rFonts w:ascii="Verdana" w:hAnsi="Verdana"/>
                <w:webHidden/>
              </w:rPr>
              <w:fldChar w:fldCharType="end"/>
            </w:r>
          </w:hyperlink>
        </w:p>
        <w:p w14:paraId="29096637" w14:textId="11D0EC46" w:rsidR="00A83E11" w:rsidRPr="004E6C02" w:rsidRDefault="006277BA" w:rsidP="00CE3A33">
          <w:pPr>
            <w:pStyle w:val="TOC3"/>
            <w:ind w:left="1160" w:firstLine="0"/>
            <w:rPr>
              <w:rFonts w:ascii="Verdana" w:eastAsiaTheme="minorEastAsia" w:hAnsi="Verdana"/>
              <w:lang w:val="en-GB" w:eastAsia="en-GB"/>
            </w:rPr>
          </w:pPr>
          <w:hyperlink w:anchor="_Toc130223423" w:history="1">
            <w:r w:rsidR="00A83E11" w:rsidRPr="004E6C02">
              <w:rPr>
                <w:rStyle w:val="Hyperlink"/>
                <w:rFonts w:ascii="Verdana" w:hAnsi="Verdana"/>
                <w:lang w:val="en-GB"/>
              </w:rPr>
              <w:t>Immunofluorescence-staining on free-floating mouse brain sections with antigen retrieval</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_Toc130223423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56</w:t>
            </w:r>
            <w:r w:rsidR="00A83E11" w:rsidRPr="004E6C02">
              <w:rPr>
                <w:rFonts w:ascii="Verdana" w:hAnsi="Verdana"/>
                <w:webHidden/>
              </w:rPr>
              <w:fldChar w:fldCharType="end"/>
            </w:r>
          </w:hyperlink>
        </w:p>
        <w:p w14:paraId="68A31CFA" w14:textId="3493BFD9" w:rsidR="00A83E11" w:rsidRPr="004E6C02" w:rsidRDefault="006277BA">
          <w:pPr>
            <w:pStyle w:val="TOC3"/>
            <w:rPr>
              <w:rFonts w:ascii="Verdana" w:eastAsiaTheme="minorEastAsia" w:hAnsi="Verdana"/>
              <w:lang w:val="en-GB" w:eastAsia="en-GB"/>
            </w:rPr>
          </w:pPr>
          <w:hyperlink w:anchor="_Toc130223424" w:history="1">
            <w:r w:rsidR="00A83E11" w:rsidRPr="004E6C02">
              <w:rPr>
                <w:rStyle w:val="Hyperlink"/>
                <w:rFonts w:ascii="Verdana" w:hAnsi="Verdana"/>
              </w:rPr>
              <w:t>Immunofluorescent staining of colon sections</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_Toc130223424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57</w:t>
            </w:r>
            <w:r w:rsidR="00A83E11" w:rsidRPr="004E6C02">
              <w:rPr>
                <w:rFonts w:ascii="Verdana" w:hAnsi="Verdana"/>
                <w:webHidden/>
              </w:rPr>
              <w:fldChar w:fldCharType="end"/>
            </w:r>
          </w:hyperlink>
        </w:p>
        <w:p w14:paraId="549B8A38" w14:textId="134EF886" w:rsidR="00A83E11" w:rsidRPr="004E6C02" w:rsidRDefault="006277BA" w:rsidP="00CE3A33">
          <w:pPr>
            <w:pStyle w:val="TOC3"/>
            <w:ind w:left="1160" w:firstLine="0"/>
            <w:rPr>
              <w:rFonts w:ascii="Verdana" w:eastAsiaTheme="minorEastAsia" w:hAnsi="Verdana"/>
              <w:lang w:val="en-GB" w:eastAsia="en-GB"/>
            </w:rPr>
          </w:pPr>
          <w:hyperlink w:anchor="_Toc130223425" w:history="1">
            <w:r w:rsidR="00A83E11" w:rsidRPr="004E6C02">
              <w:rPr>
                <w:rStyle w:val="Hyperlink"/>
                <w:rFonts w:ascii="Verdana" w:hAnsi="Verdana"/>
                <w:lang w:val="en-GB"/>
              </w:rPr>
              <w:t>Immunohistochemistry staining on free-floating mouse brain section</w:t>
            </w:r>
            <w:r w:rsidR="00CE3A33">
              <w:rPr>
                <w:rStyle w:val="Hyperlink"/>
                <w:rFonts w:ascii="Verdana" w:hAnsi="Verdana"/>
                <w:lang w:val="en-GB"/>
              </w:rPr>
              <w:t>s</w:t>
            </w:r>
            <w:r w:rsidR="00CE3A33">
              <w:rPr>
                <w:rStyle w:val="Hyperlink"/>
                <w:rFonts w:ascii="Verdana" w:hAnsi="Verdana"/>
                <w:lang w:val="en-GB"/>
              </w:rPr>
              <w:tab/>
              <w:t>..</w:t>
            </w:r>
            <w:r w:rsidR="00A83E11" w:rsidRPr="004E6C02">
              <w:rPr>
                <w:rFonts w:ascii="Verdana" w:hAnsi="Verdana"/>
                <w:webHidden/>
              </w:rPr>
              <w:fldChar w:fldCharType="begin"/>
            </w:r>
            <w:r w:rsidR="00A83E11" w:rsidRPr="004E6C02">
              <w:rPr>
                <w:rFonts w:ascii="Verdana" w:hAnsi="Verdana"/>
                <w:webHidden/>
              </w:rPr>
              <w:instrText xml:space="preserve"> PAGEREF _Toc130223425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58</w:t>
            </w:r>
            <w:r w:rsidR="00A83E11" w:rsidRPr="004E6C02">
              <w:rPr>
                <w:rFonts w:ascii="Verdana" w:hAnsi="Verdana"/>
                <w:webHidden/>
              </w:rPr>
              <w:fldChar w:fldCharType="end"/>
            </w:r>
          </w:hyperlink>
        </w:p>
        <w:p w14:paraId="6E1279A8" w14:textId="50823EB0" w:rsidR="00A83E11" w:rsidRPr="004E6C02" w:rsidRDefault="006277BA">
          <w:pPr>
            <w:pStyle w:val="TOC1"/>
            <w:rPr>
              <w:rFonts w:eastAsiaTheme="minorEastAsia"/>
              <w:sz w:val="22"/>
              <w:szCs w:val="22"/>
              <w:lang w:eastAsia="en-GB"/>
            </w:rPr>
          </w:pPr>
          <w:hyperlink w:anchor="_Toc130223426" w:history="1">
            <w:r w:rsidR="00A83E11" w:rsidRPr="004E6C02">
              <w:rPr>
                <w:rStyle w:val="Hyperlink"/>
                <w:sz w:val="22"/>
                <w:szCs w:val="22"/>
              </w:rPr>
              <w:t>Results</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_Toc130223426 \h </w:instrText>
            </w:r>
            <w:r w:rsidR="00A83E11" w:rsidRPr="004E6C02">
              <w:rPr>
                <w:webHidden/>
                <w:sz w:val="22"/>
                <w:szCs w:val="22"/>
              </w:rPr>
            </w:r>
            <w:r w:rsidR="00A83E11" w:rsidRPr="004E6C02">
              <w:rPr>
                <w:webHidden/>
                <w:sz w:val="22"/>
                <w:szCs w:val="22"/>
              </w:rPr>
              <w:fldChar w:fldCharType="separate"/>
            </w:r>
            <w:r w:rsidR="001D505F">
              <w:rPr>
                <w:webHidden/>
                <w:sz w:val="22"/>
                <w:szCs w:val="22"/>
              </w:rPr>
              <w:t>61</w:t>
            </w:r>
            <w:r w:rsidR="00A83E11" w:rsidRPr="004E6C02">
              <w:rPr>
                <w:webHidden/>
                <w:sz w:val="22"/>
                <w:szCs w:val="22"/>
              </w:rPr>
              <w:fldChar w:fldCharType="end"/>
            </w:r>
          </w:hyperlink>
        </w:p>
        <w:p w14:paraId="55D210C6" w14:textId="6B05C5AB" w:rsidR="00A83E11" w:rsidRPr="004E6C02" w:rsidRDefault="006277BA" w:rsidP="00CE3A33">
          <w:pPr>
            <w:pStyle w:val="TOC1"/>
            <w:ind w:left="940" w:hanging="220"/>
            <w:rPr>
              <w:rFonts w:eastAsiaTheme="minorEastAsia"/>
              <w:sz w:val="22"/>
              <w:szCs w:val="22"/>
              <w:lang w:eastAsia="en-GB"/>
            </w:rPr>
          </w:pPr>
          <w:hyperlink w:anchor="_Toc130223427" w:history="1">
            <w:r w:rsidR="00A83E11" w:rsidRPr="004E6C02">
              <w:rPr>
                <w:rStyle w:val="Hyperlink"/>
                <w:sz w:val="22"/>
                <w:szCs w:val="22"/>
              </w:rPr>
              <w:t>3</w:t>
            </w:r>
            <w:r w:rsidR="00A83E11" w:rsidRPr="004E6C02">
              <w:rPr>
                <w:rFonts w:eastAsiaTheme="minorEastAsia"/>
                <w:sz w:val="22"/>
                <w:szCs w:val="22"/>
                <w:lang w:eastAsia="en-GB"/>
              </w:rPr>
              <w:tab/>
            </w:r>
            <w:r w:rsidR="00A83E11" w:rsidRPr="004E6C02">
              <w:rPr>
                <w:rStyle w:val="Hyperlink"/>
                <w:sz w:val="22"/>
                <w:szCs w:val="22"/>
              </w:rPr>
              <w:t xml:space="preserve">    Modelling the early pathogenic events of Parkinson’s Disease in the</w:t>
            </w:r>
            <w:r w:rsidR="00CE3A33">
              <w:rPr>
                <w:rStyle w:val="Hyperlink"/>
                <w:sz w:val="22"/>
                <w:szCs w:val="22"/>
              </w:rPr>
              <w:t xml:space="preserve"> </w:t>
            </w:r>
            <w:r w:rsidR="00A83E11" w:rsidRPr="004E6C02">
              <w:rPr>
                <w:rStyle w:val="Hyperlink"/>
                <w:sz w:val="22"/>
                <w:szCs w:val="22"/>
              </w:rPr>
              <w:t>SNCA*E46K mouse model</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_Toc130223427 \h </w:instrText>
            </w:r>
            <w:r w:rsidR="00A83E11" w:rsidRPr="004E6C02">
              <w:rPr>
                <w:webHidden/>
                <w:sz w:val="22"/>
                <w:szCs w:val="22"/>
              </w:rPr>
            </w:r>
            <w:r w:rsidR="00A83E11" w:rsidRPr="004E6C02">
              <w:rPr>
                <w:webHidden/>
                <w:sz w:val="22"/>
                <w:szCs w:val="22"/>
              </w:rPr>
              <w:fldChar w:fldCharType="separate"/>
            </w:r>
            <w:r w:rsidR="001D505F">
              <w:rPr>
                <w:webHidden/>
                <w:sz w:val="22"/>
                <w:szCs w:val="22"/>
              </w:rPr>
              <w:t>63</w:t>
            </w:r>
            <w:r w:rsidR="00A83E11" w:rsidRPr="004E6C02">
              <w:rPr>
                <w:webHidden/>
                <w:sz w:val="22"/>
                <w:szCs w:val="22"/>
              </w:rPr>
              <w:fldChar w:fldCharType="end"/>
            </w:r>
          </w:hyperlink>
        </w:p>
        <w:p w14:paraId="76DA67C0" w14:textId="785B9496" w:rsidR="00A83E11" w:rsidRPr="004E6C02" w:rsidRDefault="006277BA">
          <w:pPr>
            <w:pStyle w:val="TOC2"/>
            <w:tabs>
              <w:tab w:val="right" w:leader="dot" w:pos="8778"/>
            </w:tabs>
            <w:rPr>
              <w:rFonts w:ascii="Verdana" w:eastAsiaTheme="minorEastAsia" w:hAnsi="Verdana"/>
              <w:noProof/>
              <w:lang w:val="en-GB" w:eastAsia="en-GB"/>
            </w:rPr>
          </w:pPr>
          <w:hyperlink w:anchor="_Toc130223428"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_Toc130223428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63</w:t>
            </w:r>
            <w:r w:rsidR="00A83E11" w:rsidRPr="004E6C02">
              <w:rPr>
                <w:rFonts w:ascii="Verdana" w:hAnsi="Verdana"/>
                <w:noProof/>
                <w:webHidden/>
              </w:rPr>
              <w:fldChar w:fldCharType="end"/>
            </w:r>
          </w:hyperlink>
        </w:p>
        <w:p w14:paraId="33CB1933" w14:textId="42B9AB57" w:rsidR="00A83E11" w:rsidRPr="004E6C02" w:rsidRDefault="006277BA" w:rsidP="00CE3A33">
          <w:pPr>
            <w:pStyle w:val="TOC3"/>
            <w:ind w:left="1160" w:firstLine="0"/>
            <w:rPr>
              <w:rFonts w:ascii="Verdana" w:eastAsiaTheme="minorEastAsia" w:hAnsi="Verdana"/>
              <w:lang w:val="en-GB" w:eastAsia="en-GB"/>
            </w:rPr>
          </w:pPr>
          <w:hyperlink w:anchor="_Toc130223429" w:history="1">
            <w:r w:rsidR="00A83E11" w:rsidRPr="004E6C02">
              <w:rPr>
                <w:rStyle w:val="Hyperlink"/>
                <w:rFonts w:ascii="Verdana" w:hAnsi="Verdana"/>
                <w:lang w:val="en-GB"/>
              </w:rPr>
              <w:t>3.1</w:t>
            </w:r>
            <w:r w:rsidR="00A83E11" w:rsidRPr="004E6C02">
              <w:rPr>
                <w:rFonts w:ascii="Verdana" w:eastAsiaTheme="minorEastAsia" w:hAnsi="Verdana"/>
                <w:lang w:val="en-GB" w:eastAsia="en-GB"/>
              </w:rPr>
              <w:tab/>
            </w:r>
            <w:r w:rsidR="00A83E11" w:rsidRPr="004E6C02">
              <w:rPr>
                <w:rStyle w:val="Hyperlink"/>
                <w:rFonts w:ascii="Verdana" w:hAnsi="Verdana"/>
                <w:lang w:val="en-GB"/>
              </w:rPr>
              <w:t>Transgenic animals overexpress alpha-synuclein by 1.8-fold in the ventral midbrain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_Toc130223429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65</w:t>
            </w:r>
            <w:r w:rsidR="00A83E11" w:rsidRPr="004E6C02">
              <w:rPr>
                <w:rFonts w:ascii="Verdana" w:hAnsi="Verdana"/>
                <w:webHidden/>
              </w:rPr>
              <w:fldChar w:fldCharType="end"/>
            </w:r>
          </w:hyperlink>
        </w:p>
        <w:p w14:paraId="11929B76" w14:textId="57829DFB" w:rsidR="00A83E11" w:rsidRPr="004E6C02" w:rsidRDefault="006277BA" w:rsidP="00CE3A33">
          <w:pPr>
            <w:pStyle w:val="TOC3"/>
            <w:ind w:left="1160" w:firstLine="0"/>
            <w:rPr>
              <w:rFonts w:ascii="Verdana" w:eastAsiaTheme="minorEastAsia" w:hAnsi="Verdana"/>
              <w:lang w:val="en-GB" w:eastAsia="en-GB"/>
            </w:rPr>
          </w:pPr>
          <w:hyperlink w:anchor="_Toc130223430" w:history="1">
            <w:r w:rsidR="00A83E11" w:rsidRPr="004E6C02">
              <w:rPr>
                <w:rStyle w:val="Hyperlink"/>
                <w:rFonts w:ascii="Verdana" w:hAnsi="Verdana"/>
                <w:lang w:val="en-GB"/>
              </w:rPr>
              <w:t xml:space="preserve">3.2 </w:t>
            </w:r>
            <w:r w:rsidR="00A83E11" w:rsidRPr="004E6C02">
              <w:rPr>
                <w:rFonts w:ascii="Verdana" w:eastAsiaTheme="minorEastAsia" w:hAnsi="Verdana"/>
                <w:lang w:val="en-GB" w:eastAsia="en-GB"/>
              </w:rPr>
              <w:tab/>
            </w:r>
            <w:r w:rsidR="00A83E11" w:rsidRPr="004E6C02">
              <w:rPr>
                <w:rStyle w:val="Hyperlink"/>
                <w:rFonts w:ascii="Verdana" w:hAnsi="Verdana"/>
                <w:lang w:val="en-GB"/>
              </w:rPr>
              <w:t>HET mice show striatal age-dependent neurodegeneration in absence of dopaminergic cell loss in the Substantia Nigra</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_Toc130223430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67</w:t>
            </w:r>
            <w:r w:rsidR="00A83E11" w:rsidRPr="004E6C02">
              <w:rPr>
                <w:rFonts w:ascii="Verdana" w:hAnsi="Verdana"/>
                <w:webHidden/>
              </w:rPr>
              <w:fldChar w:fldCharType="end"/>
            </w:r>
          </w:hyperlink>
        </w:p>
        <w:p w14:paraId="4062C0DA" w14:textId="42DEDCB1" w:rsidR="00A83E11" w:rsidRPr="004E6C02" w:rsidRDefault="006277BA" w:rsidP="00CE3A33">
          <w:pPr>
            <w:pStyle w:val="TOC3"/>
            <w:ind w:left="1160" w:firstLine="0"/>
            <w:rPr>
              <w:rFonts w:ascii="Verdana" w:eastAsiaTheme="minorEastAsia" w:hAnsi="Verdana"/>
              <w:lang w:val="en-GB" w:eastAsia="en-GB"/>
            </w:rPr>
          </w:pPr>
          <w:hyperlink w:anchor="_Toc130223431" w:history="1">
            <w:r w:rsidR="00A83E11" w:rsidRPr="004E6C02">
              <w:rPr>
                <w:rStyle w:val="Hyperlink"/>
                <w:rFonts w:ascii="Verdana" w:hAnsi="Verdana"/>
                <w:lang w:val="en-GB"/>
              </w:rPr>
              <w:t>3.3</w:t>
            </w:r>
            <w:r w:rsidR="00A83E11" w:rsidRPr="004E6C02">
              <w:rPr>
                <w:rFonts w:ascii="Verdana" w:eastAsiaTheme="minorEastAsia" w:hAnsi="Verdana"/>
                <w:lang w:val="en-GB" w:eastAsia="en-GB"/>
              </w:rPr>
              <w:tab/>
            </w:r>
            <w:r w:rsidR="00A83E11" w:rsidRPr="004E6C02">
              <w:rPr>
                <w:rStyle w:val="Hyperlink"/>
                <w:rFonts w:ascii="Verdana" w:hAnsi="Verdana"/>
                <w:lang w:val="en-GB"/>
              </w:rPr>
              <w:t>Gene expression deregulation in the midbrain largely precedes striatal neurodegeneration in SNCA*E46K heterozygous mice</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_Toc130223431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70</w:t>
            </w:r>
            <w:r w:rsidR="00A83E11" w:rsidRPr="004E6C02">
              <w:rPr>
                <w:rFonts w:ascii="Verdana" w:hAnsi="Verdana"/>
                <w:webHidden/>
              </w:rPr>
              <w:fldChar w:fldCharType="end"/>
            </w:r>
          </w:hyperlink>
        </w:p>
        <w:p w14:paraId="278D53DF" w14:textId="007F364D" w:rsidR="00A83E11" w:rsidRPr="004E6C02" w:rsidRDefault="006277BA" w:rsidP="00CE3A33">
          <w:pPr>
            <w:pStyle w:val="TOC3"/>
            <w:ind w:left="1160" w:firstLine="0"/>
            <w:rPr>
              <w:rFonts w:ascii="Verdana" w:eastAsiaTheme="minorEastAsia" w:hAnsi="Verdana"/>
              <w:lang w:val="en-GB" w:eastAsia="en-GB"/>
            </w:rPr>
          </w:pPr>
          <w:hyperlink w:anchor="_Toc130223432" w:history="1">
            <w:r w:rsidR="00A83E11" w:rsidRPr="004E6C02">
              <w:rPr>
                <w:rStyle w:val="Hyperlink"/>
                <w:rFonts w:ascii="Verdana" w:hAnsi="Verdana"/>
                <w:lang w:val="en-GB"/>
              </w:rPr>
              <w:t>3.4</w:t>
            </w:r>
            <w:r w:rsidR="00A83E11" w:rsidRPr="004E6C02">
              <w:rPr>
                <w:rFonts w:ascii="Verdana" w:eastAsiaTheme="minorEastAsia" w:hAnsi="Verdana"/>
                <w:lang w:val="en-GB" w:eastAsia="en-GB"/>
              </w:rPr>
              <w:tab/>
            </w:r>
            <w:r w:rsidR="00A83E11" w:rsidRPr="004E6C02">
              <w:rPr>
                <w:rStyle w:val="Hyperlink"/>
                <w:rFonts w:ascii="Verdana" w:hAnsi="Verdana"/>
                <w:lang w:val="en-GB"/>
              </w:rPr>
              <w:t>Age-dependent gene expression deregulation in SNCA*E46K heterozygous mice</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_Toc130223432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71</w:t>
            </w:r>
            <w:r w:rsidR="00A83E11" w:rsidRPr="004E6C02">
              <w:rPr>
                <w:rFonts w:ascii="Verdana" w:hAnsi="Verdana"/>
                <w:webHidden/>
              </w:rPr>
              <w:fldChar w:fldCharType="end"/>
            </w:r>
          </w:hyperlink>
        </w:p>
        <w:p w14:paraId="73D76255" w14:textId="26CA84A8" w:rsidR="00A83E11" w:rsidRPr="004E6C02" w:rsidRDefault="006277BA" w:rsidP="00CE3A33">
          <w:pPr>
            <w:pStyle w:val="TOC3"/>
            <w:ind w:left="1160" w:firstLine="0"/>
            <w:rPr>
              <w:rFonts w:ascii="Verdana" w:eastAsiaTheme="minorEastAsia" w:hAnsi="Verdana"/>
              <w:lang w:val="en-GB" w:eastAsia="en-GB"/>
            </w:rPr>
          </w:pPr>
          <w:hyperlink w:anchor="_Toc130223433" w:history="1">
            <w:r w:rsidR="00A83E11" w:rsidRPr="004E6C02">
              <w:rPr>
                <w:rStyle w:val="Hyperlink"/>
                <w:rFonts w:ascii="Verdana" w:hAnsi="Verdana"/>
                <w:lang w:val="en-GB"/>
              </w:rPr>
              <w:t>3.5</w:t>
            </w:r>
            <w:r w:rsidR="00A83E11" w:rsidRPr="004E6C02">
              <w:rPr>
                <w:rFonts w:ascii="Verdana" w:eastAsiaTheme="minorEastAsia" w:hAnsi="Verdana"/>
                <w:lang w:val="en-GB" w:eastAsia="en-GB"/>
              </w:rPr>
              <w:tab/>
            </w:r>
            <w:r w:rsidR="00A83E11" w:rsidRPr="004E6C02">
              <w:rPr>
                <w:rStyle w:val="Hyperlink"/>
                <w:rFonts w:ascii="Verdana" w:hAnsi="Verdana"/>
                <w:lang w:val="en-GB"/>
              </w:rPr>
              <w:t>Males but not female SNCA*E46K heterozygous mice show sensory-motor impairments in the Adhesive Removal test</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_Toc130223433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73</w:t>
            </w:r>
            <w:r w:rsidR="00A83E11" w:rsidRPr="004E6C02">
              <w:rPr>
                <w:rFonts w:ascii="Verdana" w:hAnsi="Verdana"/>
                <w:webHidden/>
              </w:rPr>
              <w:fldChar w:fldCharType="end"/>
            </w:r>
          </w:hyperlink>
        </w:p>
        <w:p w14:paraId="28E44C4B" w14:textId="0E993E4F" w:rsidR="00A83E11" w:rsidRPr="004E6C02" w:rsidRDefault="006277BA" w:rsidP="00CE3A33">
          <w:pPr>
            <w:pStyle w:val="TOC1"/>
            <w:ind w:left="720" w:firstLine="0"/>
            <w:rPr>
              <w:rFonts w:eastAsiaTheme="minorEastAsia"/>
              <w:sz w:val="22"/>
              <w:szCs w:val="22"/>
              <w:lang w:eastAsia="en-GB"/>
            </w:rPr>
          </w:pPr>
          <w:hyperlink w:anchor="_Toc130223434" w:history="1">
            <w:r w:rsidR="00A83E11" w:rsidRPr="004E6C02">
              <w:rPr>
                <w:rStyle w:val="Hyperlink"/>
                <w:sz w:val="22"/>
                <w:szCs w:val="22"/>
              </w:rPr>
              <w:t>4   Characterisation of the SNCA*E46K transgenic mouse as a model for cognitive impairment in PD</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_Toc130223434 \h </w:instrText>
            </w:r>
            <w:r w:rsidR="00A83E11" w:rsidRPr="004E6C02">
              <w:rPr>
                <w:webHidden/>
                <w:sz w:val="22"/>
                <w:szCs w:val="22"/>
              </w:rPr>
            </w:r>
            <w:r w:rsidR="00A83E11" w:rsidRPr="004E6C02">
              <w:rPr>
                <w:webHidden/>
                <w:sz w:val="22"/>
                <w:szCs w:val="22"/>
              </w:rPr>
              <w:fldChar w:fldCharType="separate"/>
            </w:r>
            <w:r w:rsidR="001D505F">
              <w:rPr>
                <w:webHidden/>
                <w:sz w:val="22"/>
                <w:szCs w:val="22"/>
              </w:rPr>
              <w:t>75</w:t>
            </w:r>
            <w:r w:rsidR="00A83E11" w:rsidRPr="004E6C02">
              <w:rPr>
                <w:webHidden/>
                <w:sz w:val="22"/>
                <w:szCs w:val="22"/>
              </w:rPr>
              <w:fldChar w:fldCharType="end"/>
            </w:r>
          </w:hyperlink>
        </w:p>
        <w:p w14:paraId="594FA4FF" w14:textId="71245071" w:rsidR="00A83E11" w:rsidRPr="004E6C02" w:rsidRDefault="006277BA">
          <w:pPr>
            <w:pStyle w:val="TOC2"/>
            <w:tabs>
              <w:tab w:val="right" w:leader="dot" w:pos="8778"/>
            </w:tabs>
            <w:rPr>
              <w:rFonts w:ascii="Verdana" w:eastAsiaTheme="minorEastAsia" w:hAnsi="Verdana"/>
              <w:noProof/>
              <w:lang w:val="en-GB" w:eastAsia="en-GB"/>
            </w:rPr>
          </w:pPr>
          <w:hyperlink w:anchor="_Toc130223435"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_Toc130223435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75</w:t>
            </w:r>
            <w:r w:rsidR="00A83E11" w:rsidRPr="004E6C02">
              <w:rPr>
                <w:rFonts w:ascii="Verdana" w:hAnsi="Verdana"/>
                <w:noProof/>
                <w:webHidden/>
              </w:rPr>
              <w:fldChar w:fldCharType="end"/>
            </w:r>
          </w:hyperlink>
        </w:p>
        <w:p w14:paraId="5F79BCFA" w14:textId="38E3EAE1" w:rsidR="00A83E11" w:rsidRPr="004E6C02" w:rsidRDefault="006277BA" w:rsidP="00CE3A33">
          <w:pPr>
            <w:pStyle w:val="TOC3"/>
            <w:ind w:left="1160" w:firstLine="0"/>
            <w:rPr>
              <w:rFonts w:ascii="Verdana" w:eastAsiaTheme="minorEastAsia" w:hAnsi="Verdana"/>
              <w:lang w:val="en-GB" w:eastAsia="en-GB"/>
            </w:rPr>
          </w:pPr>
          <w:hyperlink w:anchor="_Toc130223436" w:history="1">
            <w:r w:rsidR="00A83E11" w:rsidRPr="004E6C02">
              <w:rPr>
                <w:rStyle w:val="Hyperlink"/>
                <w:rFonts w:ascii="Verdana" w:hAnsi="Verdana"/>
                <w:lang w:val="en-GB"/>
              </w:rPr>
              <w:t>4.1</w:t>
            </w:r>
            <w:r w:rsidR="00A83E11" w:rsidRPr="004E6C02">
              <w:rPr>
                <w:rFonts w:ascii="Verdana" w:eastAsiaTheme="minorEastAsia" w:hAnsi="Verdana"/>
                <w:lang w:val="en-GB" w:eastAsia="en-GB"/>
              </w:rPr>
              <w:tab/>
            </w:r>
            <w:r w:rsidR="00A83E11" w:rsidRPr="004E6C02">
              <w:rPr>
                <w:rStyle w:val="Hyperlink"/>
                <w:rFonts w:ascii="Verdana" w:hAnsi="Verdana"/>
                <w:lang w:val="en-GB"/>
              </w:rPr>
              <w:t>Transgenic alpha-synuclein overexpression in the hippocampus of SNCA*E46K HET mice increases by age</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_Toc130223436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77</w:t>
            </w:r>
            <w:r w:rsidR="00A83E11" w:rsidRPr="004E6C02">
              <w:rPr>
                <w:rFonts w:ascii="Verdana" w:hAnsi="Verdana"/>
                <w:webHidden/>
              </w:rPr>
              <w:fldChar w:fldCharType="end"/>
            </w:r>
          </w:hyperlink>
        </w:p>
        <w:p w14:paraId="5C53A3B4" w14:textId="674B9D53" w:rsidR="00A83E11" w:rsidRPr="004E6C02" w:rsidRDefault="006277BA" w:rsidP="00CE3A33">
          <w:pPr>
            <w:pStyle w:val="TOC3"/>
            <w:ind w:left="1160" w:firstLine="0"/>
            <w:rPr>
              <w:rFonts w:ascii="Verdana" w:eastAsiaTheme="minorEastAsia" w:hAnsi="Verdana"/>
              <w:lang w:val="en-GB" w:eastAsia="en-GB"/>
            </w:rPr>
          </w:pPr>
          <w:hyperlink w:anchor="_Toc130223437" w:history="1">
            <w:r w:rsidR="00A83E11" w:rsidRPr="004E6C02">
              <w:rPr>
                <w:rStyle w:val="Hyperlink"/>
                <w:rFonts w:ascii="Verdana" w:hAnsi="Verdana"/>
                <w:lang w:val="en-GB"/>
              </w:rPr>
              <w:t>4.2</w:t>
            </w:r>
            <w:r w:rsidR="00A83E11" w:rsidRPr="004E6C02">
              <w:rPr>
                <w:rFonts w:ascii="Verdana" w:eastAsiaTheme="minorEastAsia" w:hAnsi="Verdana"/>
                <w:lang w:val="en-GB" w:eastAsia="en-GB"/>
              </w:rPr>
              <w:tab/>
            </w:r>
            <w:r w:rsidR="00A83E11" w:rsidRPr="004E6C02">
              <w:rPr>
                <w:rStyle w:val="Hyperlink"/>
                <w:rFonts w:ascii="Verdana" w:hAnsi="Verdana"/>
                <w:lang w:val="en-GB"/>
              </w:rPr>
              <w:t>Young male but not female SNCA*E46K transgenic mice show short memory impairments in the Y-maze test</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_Toc130223437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80</w:t>
            </w:r>
            <w:r w:rsidR="00A83E11" w:rsidRPr="004E6C02">
              <w:rPr>
                <w:rFonts w:ascii="Verdana" w:hAnsi="Verdana"/>
                <w:webHidden/>
              </w:rPr>
              <w:fldChar w:fldCharType="end"/>
            </w:r>
          </w:hyperlink>
        </w:p>
        <w:p w14:paraId="0FBC04EA" w14:textId="4A42499A" w:rsidR="00A83E11" w:rsidRPr="004E6C02" w:rsidRDefault="006277BA" w:rsidP="00CE3A33">
          <w:pPr>
            <w:pStyle w:val="TOC3"/>
            <w:ind w:left="1160" w:firstLine="0"/>
            <w:rPr>
              <w:rFonts w:ascii="Verdana" w:eastAsiaTheme="minorEastAsia" w:hAnsi="Verdana"/>
              <w:lang w:val="en-GB" w:eastAsia="en-GB"/>
            </w:rPr>
          </w:pPr>
          <w:hyperlink w:anchor="_Toc130223438" w:history="1">
            <w:r w:rsidR="00A83E11" w:rsidRPr="004E6C02">
              <w:rPr>
                <w:rStyle w:val="Hyperlink"/>
                <w:rFonts w:ascii="Verdana" w:hAnsi="Verdana"/>
                <w:lang w:val="en-GB"/>
              </w:rPr>
              <w:t>4.3</w:t>
            </w:r>
            <w:r w:rsidR="00A83E11" w:rsidRPr="004E6C02">
              <w:rPr>
                <w:rFonts w:ascii="Verdana" w:eastAsiaTheme="minorEastAsia" w:hAnsi="Verdana"/>
                <w:lang w:val="en-GB" w:eastAsia="en-GB"/>
              </w:rPr>
              <w:tab/>
            </w:r>
            <w:r w:rsidR="00A83E11" w:rsidRPr="004E6C02">
              <w:rPr>
                <w:rStyle w:val="Hyperlink"/>
                <w:rFonts w:ascii="Verdana" w:hAnsi="Verdana"/>
                <w:lang w:val="en-GB"/>
              </w:rPr>
              <w:t>Hippocampal gene expression changes are mostly driven by age</w:t>
            </w:r>
            <w:r w:rsidR="00CE3A33">
              <w:rPr>
                <w:rStyle w:val="Hyperlink"/>
                <w:rFonts w:ascii="Verdana" w:hAnsi="Verdana"/>
                <w:lang w:val="en-GB"/>
              </w:rPr>
              <w:tab/>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_Toc130223438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82</w:t>
            </w:r>
            <w:r w:rsidR="00A83E11" w:rsidRPr="004E6C02">
              <w:rPr>
                <w:rFonts w:ascii="Verdana" w:hAnsi="Verdana"/>
                <w:webHidden/>
              </w:rPr>
              <w:fldChar w:fldCharType="end"/>
            </w:r>
          </w:hyperlink>
        </w:p>
        <w:p w14:paraId="3B15344A" w14:textId="00A70296" w:rsidR="00A83E11" w:rsidRPr="004E6C02" w:rsidRDefault="006277BA" w:rsidP="00CE3A33">
          <w:pPr>
            <w:pStyle w:val="TOC3"/>
            <w:ind w:left="1160" w:firstLine="0"/>
            <w:rPr>
              <w:rFonts w:ascii="Verdana" w:eastAsiaTheme="minorEastAsia" w:hAnsi="Verdana"/>
              <w:lang w:val="en-GB" w:eastAsia="en-GB"/>
            </w:rPr>
          </w:pPr>
          <w:hyperlink w:anchor="_Toc130223439" w:history="1">
            <w:r w:rsidR="00A83E11" w:rsidRPr="004E6C02">
              <w:rPr>
                <w:rStyle w:val="Hyperlink"/>
                <w:rFonts w:ascii="Verdana" w:hAnsi="Verdana"/>
                <w:lang w:val="en-GB"/>
              </w:rPr>
              <w:t>4.4</w:t>
            </w:r>
            <w:r w:rsidR="00A83E11" w:rsidRPr="004E6C02">
              <w:rPr>
                <w:rFonts w:ascii="Verdana" w:eastAsiaTheme="minorEastAsia" w:hAnsi="Verdana"/>
                <w:lang w:val="en-GB" w:eastAsia="en-GB"/>
              </w:rPr>
              <w:tab/>
            </w:r>
            <w:r w:rsidR="00A83E11" w:rsidRPr="004E6C02">
              <w:rPr>
                <w:rStyle w:val="Hyperlink"/>
                <w:rFonts w:ascii="Verdana" w:hAnsi="Verdana"/>
                <w:lang w:val="en-GB"/>
              </w:rPr>
              <w:t xml:space="preserve"> Transcriptional changes in SNCA*E46K HET mice are indicative of glutamatergic synaptic dysfunction</w:t>
            </w:r>
            <w:r w:rsidR="00A83E11" w:rsidRPr="004E6C02">
              <w:rPr>
                <w:rFonts w:ascii="Verdana" w:hAnsi="Verdana"/>
                <w:webHidden/>
              </w:rPr>
              <w:tab/>
            </w:r>
            <w:r w:rsidR="00A83E11" w:rsidRPr="004E6C02">
              <w:rPr>
                <w:rFonts w:ascii="Verdana" w:hAnsi="Verdana"/>
                <w:webHidden/>
              </w:rPr>
              <w:fldChar w:fldCharType="begin"/>
            </w:r>
            <w:r w:rsidR="00A83E11" w:rsidRPr="004E6C02">
              <w:rPr>
                <w:rFonts w:ascii="Verdana" w:hAnsi="Verdana"/>
                <w:webHidden/>
              </w:rPr>
              <w:instrText xml:space="preserve"> PAGEREF _Toc130223439 \h </w:instrText>
            </w:r>
            <w:r w:rsidR="00A83E11" w:rsidRPr="004E6C02">
              <w:rPr>
                <w:rFonts w:ascii="Verdana" w:hAnsi="Verdana"/>
                <w:webHidden/>
              </w:rPr>
            </w:r>
            <w:r w:rsidR="00A83E11" w:rsidRPr="004E6C02">
              <w:rPr>
                <w:rFonts w:ascii="Verdana" w:hAnsi="Verdana"/>
                <w:webHidden/>
              </w:rPr>
              <w:fldChar w:fldCharType="separate"/>
            </w:r>
            <w:r w:rsidR="001D505F">
              <w:rPr>
                <w:rFonts w:ascii="Verdana" w:hAnsi="Verdana"/>
                <w:webHidden/>
              </w:rPr>
              <w:t>85</w:t>
            </w:r>
            <w:r w:rsidR="00A83E11" w:rsidRPr="004E6C02">
              <w:rPr>
                <w:rFonts w:ascii="Verdana" w:hAnsi="Verdana"/>
                <w:webHidden/>
              </w:rPr>
              <w:fldChar w:fldCharType="end"/>
            </w:r>
          </w:hyperlink>
        </w:p>
        <w:p w14:paraId="3783C5F6" w14:textId="7AA14507" w:rsidR="00A83E11" w:rsidRPr="004E6C02" w:rsidRDefault="006277BA" w:rsidP="00CE3A33">
          <w:pPr>
            <w:pStyle w:val="TOC1"/>
            <w:ind w:left="720" w:firstLine="0"/>
            <w:rPr>
              <w:rFonts w:eastAsiaTheme="minorEastAsia"/>
              <w:sz w:val="22"/>
              <w:szCs w:val="22"/>
              <w:lang w:eastAsia="en-GB"/>
            </w:rPr>
          </w:pPr>
          <w:hyperlink w:anchor="_Toc130223440" w:history="1">
            <w:r w:rsidR="00A83E11" w:rsidRPr="004E6C02">
              <w:rPr>
                <w:rStyle w:val="Hyperlink"/>
                <w:sz w:val="22"/>
                <w:szCs w:val="22"/>
              </w:rPr>
              <w:t>5   Age- and sex-dependent transcriptomic changes in the Park7</w:t>
            </w:r>
            <w:r w:rsidR="00A83E11" w:rsidRPr="004E6C02">
              <w:rPr>
                <w:rStyle w:val="Hyperlink"/>
                <w:sz w:val="22"/>
                <w:szCs w:val="22"/>
                <w:vertAlign w:val="superscript"/>
              </w:rPr>
              <w:t>-/-</w:t>
            </w:r>
            <w:r w:rsidR="00A83E11" w:rsidRPr="004E6C02">
              <w:rPr>
                <w:rStyle w:val="Hyperlink"/>
                <w:sz w:val="22"/>
                <w:szCs w:val="22"/>
              </w:rPr>
              <w:t xml:space="preserve"> mouse model of early Parkinson’s</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_Toc130223440 \h </w:instrText>
            </w:r>
            <w:r w:rsidR="00A83E11" w:rsidRPr="004E6C02">
              <w:rPr>
                <w:webHidden/>
                <w:sz w:val="22"/>
                <w:szCs w:val="22"/>
              </w:rPr>
            </w:r>
            <w:r w:rsidR="00A83E11" w:rsidRPr="004E6C02">
              <w:rPr>
                <w:webHidden/>
                <w:sz w:val="22"/>
                <w:szCs w:val="22"/>
              </w:rPr>
              <w:fldChar w:fldCharType="separate"/>
            </w:r>
            <w:r w:rsidR="001D505F">
              <w:rPr>
                <w:webHidden/>
                <w:sz w:val="22"/>
                <w:szCs w:val="22"/>
              </w:rPr>
              <w:t>93</w:t>
            </w:r>
            <w:r w:rsidR="00A83E11" w:rsidRPr="004E6C02">
              <w:rPr>
                <w:webHidden/>
                <w:sz w:val="22"/>
                <w:szCs w:val="22"/>
              </w:rPr>
              <w:fldChar w:fldCharType="end"/>
            </w:r>
          </w:hyperlink>
        </w:p>
        <w:p w14:paraId="554E485B" w14:textId="554D7042" w:rsidR="00A83E11" w:rsidRPr="004E6C02" w:rsidRDefault="006277BA">
          <w:pPr>
            <w:pStyle w:val="TOC2"/>
            <w:tabs>
              <w:tab w:val="right" w:leader="dot" w:pos="8778"/>
            </w:tabs>
            <w:rPr>
              <w:rFonts w:ascii="Verdana" w:eastAsiaTheme="minorEastAsia" w:hAnsi="Verdana"/>
              <w:noProof/>
              <w:lang w:val="en-GB" w:eastAsia="en-GB"/>
            </w:rPr>
          </w:pPr>
          <w:hyperlink w:anchor="_Toc130223441"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_Toc130223441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93</w:t>
            </w:r>
            <w:r w:rsidR="00A83E11" w:rsidRPr="004E6C02">
              <w:rPr>
                <w:rFonts w:ascii="Verdana" w:hAnsi="Verdana"/>
                <w:noProof/>
                <w:webHidden/>
              </w:rPr>
              <w:fldChar w:fldCharType="end"/>
            </w:r>
          </w:hyperlink>
        </w:p>
        <w:p w14:paraId="373AAAAB" w14:textId="07616375"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42" w:history="1">
            <w:r w:rsidR="00A83E11" w:rsidRPr="004E6C02">
              <w:rPr>
                <w:rStyle w:val="Hyperlink"/>
                <w:rFonts w:ascii="Verdana" w:hAnsi="Verdana"/>
                <w:noProof/>
                <w:lang w:val="en-GB"/>
              </w:rPr>
              <w:t>5.1</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8-months old DJ-1 KO males show extensive, sex-dependent deregulation in midbrain transcriptome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_Toc130223442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95</w:t>
            </w:r>
            <w:r w:rsidR="00A83E11" w:rsidRPr="004E6C02">
              <w:rPr>
                <w:rFonts w:ascii="Verdana" w:hAnsi="Verdana"/>
                <w:noProof/>
                <w:webHidden/>
              </w:rPr>
              <w:fldChar w:fldCharType="end"/>
            </w:r>
          </w:hyperlink>
        </w:p>
        <w:p w14:paraId="60B23344" w14:textId="7EA90DEF"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443" w:history="1">
            <w:r w:rsidR="00A83E11" w:rsidRPr="004E6C02">
              <w:rPr>
                <w:rStyle w:val="Hyperlink"/>
                <w:rFonts w:ascii="Verdana" w:hAnsi="Verdana"/>
                <w:noProof/>
                <w:lang w:val="en-GB"/>
              </w:rPr>
              <w:t>5.2</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CYP1B1 mediates males’ increased susceptibility to DJ-1 loss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98</w:t>
            </w:r>
            <w:r w:rsidR="00A83E11" w:rsidRPr="004E6C02">
              <w:rPr>
                <w:rFonts w:ascii="Verdana" w:hAnsi="Verdana"/>
                <w:noProof/>
                <w:webHidden/>
              </w:rPr>
              <w:fldChar w:fldCharType="end"/>
            </w:r>
          </w:hyperlink>
        </w:p>
        <w:p w14:paraId="2F65AD0B" w14:textId="2C41419A"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44" w:history="1">
            <w:r w:rsidR="00A83E11" w:rsidRPr="004E6C02">
              <w:rPr>
                <w:rStyle w:val="Hyperlink"/>
                <w:rFonts w:ascii="Verdana" w:hAnsi="Verdana"/>
                <w:noProof/>
                <w:lang w:val="en-GB"/>
              </w:rPr>
              <w:t>5.3</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Transcriptional response to loss of DJ-1 might be mediated by the Nrf2/CYP1B1 pathway in midbrain astrocytes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_Toc130223444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100</w:t>
            </w:r>
            <w:r w:rsidR="00A83E11" w:rsidRPr="004E6C02">
              <w:rPr>
                <w:rFonts w:ascii="Verdana" w:hAnsi="Verdana"/>
                <w:noProof/>
                <w:webHidden/>
              </w:rPr>
              <w:fldChar w:fldCharType="end"/>
            </w:r>
          </w:hyperlink>
        </w:p>
        <w:p w14:paraId="6AAC43B4" w14:textId="3762B568" w:rsidR="00A83E11" w:rsidRPr="004E6C02" w:rsidRDefault="006277BA" w:rsidP="00CE3A33">
          <w:pPr>
            <w:pStyle w:val="TOC1"/>
            <w:ind w:left="720" w:firstLine="0"/>
            <w:rPr>
              <w:rFonts w:eastAsiaTheme="minorEastAsia"/>
              <w:sz w:val="22"/>
              <w:szCs w:val="22"/>
              <w:lang w:eastAsia="en-GB"/>
            </w:rPr>
          </w:pPr>
          <w:hyperlink w:anchor="_Toc130223445" w:history="1">
            <w:r w:rsidR="00A83E11" w:rsidRPr="004E6C02">
              <w:rPr>
                <w:rStyle w:val="Hyperlink"/>
                <w:sz w:val="22"/>
                <w:szCs w:val="22"/>
              </w:rPr>
              <w:t>6   Characterisation of parkinsonian phenotypes in a mouse model overexpressing the human wild-type alpha-synuclein gene</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_Toc130223445 \h </w:instrText>
            </w:r>
            <w:r w:rsidR="00A83E11" w:rsidRPr="004E6C02">
              <w:rPr>
                <w:webHidden/>
                <w:sz w:val="22"/>
                <w:szCs w:val="22"/>
              </w:rPr>
            </w:r>
            <w:r w:rsidR="00A83E11" w:rsidRPr="004E6C02">
              <w:rPr>
                <w:webHidden/>
                <w:sz w:val="22"/>
                <w:szCs w:val="22"/>
              </w:rPr>
              <w:fldChar w:fldCharType="separate"/>
            </w:r>
            <w:r w:rsidR="001D505F">
              <w:rPr>
                <w:webHidden/>
                <w:sz w:val="22"/>
                <w:szCs w:val="22"/>
              </w:rPr>
              <w:t>103</w:t>
            </w:r>
            <w:r w:rsidR="00A83E11" w:rsidRPr="004E6C02">
              <w:rPr>
                <w:webHidden/>
                <w:sz w:val="22"/>
                <w:szCs w:val="22"/>
              </w:rPr>
              <w:fldChar w:fldCharType="end"/>
            </w:r>
          </w:hyperlink>
        </w:p>
        <w:p w14:paraId="6DAE3FE2" w14:textId="157B6545" w:rsidR="00A83E11" w:rsidRPr="004E6C02" w:rsidRDefault="006277BA">
          <w:pPr>
            <w:pStyle w:val="TOC2"/>
            <w:tabs>
              <w:tab w:val="right" w:leader="dot" w:pos="8778"/>
            </w:tabs>
            <w:rPr>
              <w:rFonts w:ascii="Verdana" w:eastAsiaTheme="minorEastAsia" w:hAnsi="Verdana"/>
              <w:noProof/>
              <w:lang w:val="en-GB" w:eastAsia="en-GB"/>
            </w:rPr>
          </w:pPr>
          <w:hyperlink w:anchor="_Toc130223446"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_Toc130223446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103</w:t>
            </w:r>
            <w:r w:rsidR="00A83E11" w:rsidRPr="004E6C02">
              <w:rPr>
                <w:rFonts w:ascii="Verdana" w:hAnsi="Verdana"/>
                <w:noProof/>
                <w:webHidden/>
              </w:rPr>
              <w:fldChar w:fldCharType="end"/>
            </w:r>
          </w:hyperlink>
        </w:p>
        <w:p w14:paraId="50D5A5BB" w14:textId="33A8900D"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47" w:history="1">
            <w:r w:rsidR="00A83E11" w:rsidRPr="004E6C02">
              <w:rPr>
                <w:rStyle w:val="Hyperlink"/>
                <w:rFonts w:ascii="Verdana" w:hAnsi="Verdana"/>
                <w:noProof/>
                <w:lang w:val="en-GB"/>
              </w:rPr>
              <w:t>6.1</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alpha-synuclein is widely expressed in the brain of Thy1-Syn14 mice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_Toc130223447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104</w:t>
            </w:r>
            <w:r w:rsidR="00A83E11" w:rsidRPr="004E6C02">
              <w:rPr>
                <w:rFonts w:ascii="Verdana" w:hAnsi="Verdana"/>
                <w:noProof/>
                <w:webHidden/>
              </w:rPr>
              <w:fldChar w:fldCharType="end"/>
            </w:r>
          </w:hyperlink>
        </w:p>
        <w:p w14:paraId="2F43CEAD" w14:textId="145C6783"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48" w:history="1">
            <w:r w:rsidR="00A83E11" w:rsidRPr="004E6C02">
              <w:rPr>
                <w:rStyle w:val="Hyperlink"/>
                <w:rFonts w:ascii="Verdana" w:hAnsi="Verdana"/>
                <w:noProof/>
                <w:lang w:val="en-GB"/>
              </w:rPr>
              <w:t>6.2</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Thy1-Syn14 mice show pronounced motor impairments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106</w:t>
            </w:r>
            <w:r w:rsidR="00A83E11" w:rsidRPr="004E6C02">
              <w:rPr>
                <w:rFonts w:ascii="Verdana" w:hAnsi="Verdana"/>
                <w:noProof/>
                <w:webHidden/>
              </w:rPr>
              <w:fldChar w:fldCharType="end"/>
            </w:r>
          </w:hyperlink>
        </w:p>
        <w:p w14:paraId="575C9139" w14:textId="51AAAAD6"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49" w:history="1">
            <w:r w:rsidR="00A83E11" w:rsidRPr="004E6C02">
              <w:rPr>
                <w:rStyle w:val="Hyperlink"/>
                <w:rFonts w:ascii="Verdana" w:hAnsi="Verdana"/>
                <w:noProof/>
                <w:lang w:val="en-GB"/>
              </w:rPr>
              <w:t>6.3</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Thy1-Syn14 transgenic mice do not show nigrostriatal degeneration</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_Toc130223449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108</w:t>
            </w:r>
            <w:r w:rsidR="00A83E11" w:rsidRPr="004E6C02">
              <w:rPr>
                <w:rFonts w:ascii="Verdana" w:hAnsi="Verdana"/>
                <w:noProof/>
                <w:webHidden/>
              </w:rPr>
              <w:fldChar w:fldCharType="end"/>
            </w:r>
          </w:hyperlink>
        </w:p>
        <w:p w14:paraId="153C1166" w14:textId="1AFA51BE"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0" w:history="1">
            <w:r w:rsidR="00A83E11" w:rsidRPr="004E6C02">
              <w:rPr>
                <w:rStyle w:val="Hyperlink"/>
                <w:rFonts w:ascii="Verdana" w:hAnsi="Verdana"/>
                <w:noProof/>
                <w:lang w:val="en-GB"/>
              </w:rPr>
              <w:t>6.4</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Thy1-Syn14 female mice do not show obvious microglial response to alpha-synuclein overexpression</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_Toc130223450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109</w:t>
            </w:r>
            <w:r w:rsidR="00A83E11" w:rsidRPr="004E6C02">
              <w:rPr>
                <w:rFonts w:ascii="Verdana" w:hAnsi="Verdana"/>
                <w:noProof/>
                <w:webHidden/>
              </w:rPr>
              <w:fldChar w:fldCharType="end"/>
            </w:r>
          </w:hyperlink>
        </w:p>
        <w:p w14:paraId="3C7439CA" w14:textId="01BFABFE"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1" w:history="1">
            <w:r w:rsidR="00A83E11" w:rsidRPr="004E6C02">
              <w:rPr>
                <w:rStyle w:val="Hyperlink"/>
                <w:rFonts w:ascii="Verdana" w:hAnsi="Verdana"/>
                <w:noProof/>
                <w:lang w:val="en-GB"/>
              </w:rPr>
              <w:t>6.5</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Thy1-Syn14 mice do not show midbrain transcriptional alterations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_Toc130223451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111</w:t>
            </w:r>
            <w:r w:rsidR="00A83E11" w:rsidRPr="004E6C02">
              <w:rPr>
                <w:rFonts w:ascii="Verdana" w:hAnsi="Verdana"/>
                <w:noProof/>
                <w:webHidden/>
              </w:rPr>
              <w:fldChar w:fldCharType="end"/>
            </w:r>
          </w:hyperlink>
        </w:p>
        <w:p w14:paraId="51D9DC03" w14:textId="7D5C797F" w:rsidR="00A83E11" w:rsidRPr="004E6C02" w:rsidRDefault="006277BA">
          <w:pPr>
            <w:pStyle w:val="TOC1"/>
            <w:rPr>
              <w:rFonts w:eastAsiaTheme="minorEastAsia"/>
              <w:sz w:val="22"/>
              <w:szCs w:val="22"/>
              <w:lang w:eastAsia="en-GB"/>
            </w:rPr>
          </w:pPr>
          <w:hyperlink w:anchor="_Toc130223452" w:history="1">
            <w:r w:rsidR="00A83E11" w:rsidRPr="004E6C02">
              <w:rPr>
                <w:rStyle w:val="Hyperlink"/>
                <w:sz w:val="22"/>
                <w:szCs w:val="22"/>
              </w:rPr>
              <w:t>7   Diet and bacterial exposure contribute to parkinsonian phenotypes</w:t>
            </w:r>
            <w:r w:rsidR="00A83E11" w:rsidRPr="004E6C02">
              <w:rPr>
                <w:webHidden/>
                <w:sz w:val="22"/>
                <w:szCs w:val="22"/>
              </w:rPr>
              <w:tab/>
            </w:r>
            <w:r w:rsidR="00CE3A33">
              <w:rPr>
                <w:webHidden/>
                <w:sz w:val="22"/>
                <w:szCs w:val="22"/>
              </w:rPr>
              <w:tab/>
            </w:r>
            <w:r w:rsidR="00CE3A33">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_Toc130223452 \h </w:instrText>
            </w:r>
            <w:r w:rsidR="00A83E11" w:rsidRPr="004E6C02">
              <w:rPr>
                <w:webHidden/>
                <w:sz w:val="22"/>
                <w:szCs w:val="22"/>
              </w:rPr>
            </w:r>
            <w:r w:rsidR="00A83E11" w:rsidRPr="004E6C02">
              <w:rPr>
                <w:webHidden/>
                <w:sz w:val="22"/>
                <w:szCs w:val="22"/>
              </w:rPr>
              <w:fldChar w:fldCharType="separate"/>
            </w:r>
            <w:r w:rsidR="001D505F">
              <w:rPr>
                <w:webHidden/>
                <w:sz w:val="22"/>
                <w:szCs w:val="22"/>
              </w:rPr>
              <w:t>113</w:t>
            </w:r>
            <w:r w:rsidR="00A83E11" w:rsidRPr="004E6C02">
              <w:rPr>
                <w:webHidden/>
                <w:sz w:val="22"/>
                <w:szCs w:val="22"/>
              </w:rPr>
              <w:fldChar w:fldCharType="end"/>
            </w:r>
          </w:hyperlink>
        </w:p>
        <w:p w14:paraId="2DDA52EE" w14:textId="2F39173C" w:rsidR="00A83E11" w:rsidRPr="004E6C02" w:rsidRDefault="006277BA">
          <w:pPr>
            <w:pStyle w:val="TOC2"/>
            <w:tabs>
              <w:tab w:val="right" w:leader="dot" w:pos="8778"/>
            </w:tabs>
            <w:rPr>
              <w:rFonts w:ascii="Verdana" w:eastAsiaTheme="minorEastAsia" w:hAnsi="Verdana"/>
              <w:noProof/>
              <w:lang w:val="en-GB" w:eastAsia="en-GB"/>
            </w:rPr>
          </w:pPr>
          <w:hyperlink w:anchor="_Toc130223453"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113</w:t>
            </w:r>
            <w:r w:rsidR="00A83E11" w:rsidRPr="004E6C02">
              <w:rPr>
                <w:rFonts w:ascii="Verdana" w:hAnsi="Verdana"/>
                <w:noProof/>
                <w:webHidden/>
              </w:rPr>
              <w:fldChar w:fldCharType="end"/>
            </w:r>
          </w:hyperlink>
        </w:p>
        <w:p w14:paraId="2BAC4742" w14:textId="11F4D297"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4" w:history="1">
            <w:r w:rsidR="00A83E11" w:rsidRPr="004E6C02">
              <w:rPr>
                <w:rStyle w:val="Hyperlink"/>
                <w:rFonts w:ascii="Verdana" w:hAnsi="Verdana"/>
                <w:noProof/>
                <w:lang w:val="en-GB"/>
              </w:rPr>
              <w:t>7.1</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alpha-synuclein is overexpressed with regional variance in brain and gut</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_Toc130223454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114</w:t>
            </w:r>
            <w:r w:rsidR="00A83E11" w:rsidRPr="004E6C02">
              <w:rPr>
                <w:rFonts w:ascii="Verdana" w:hAnsi="Verdana"/>
                <w:noProof/>
                <w:webHidden/>
              </w:rPr>
              <w:fldChar w:fldCharType="end"/>
            </w:r>
          </w:hyperlink>
        </w:p>
        <w:p w14:paraId="0B367DCE" w14:textId="3BEC1194"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5" w:history="1">
            <w:r w:rsidR="00A83E11" w:rsidRPr="004E6C02">
              <w:rPr>
                <w:rStyle w:val="Hyperlink"/>
                <w:rFonts w:ascii="Verdana" w:hAnsi="Verdana"/>
                <w:noProof/>
                <w:lang w:val="en-GB"/>
              </w:rPr>
              <w:t>7.2</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Transgenic Thy1-Syn14 mice present age-dependent motor dysfunction</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_Toc130223455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115</w:t>
            </w:r>
            <w:r w:rsidR="00A83E11" w:rsidRPr="004E6C02">
              <w:rPr>
                <w:rFonts w:ascii="Verdana" w:hAnsi="Verdana"/>
                <w:noProof/>
                <w:webHidden/>
              </w:rPr>
              <w:fldChar w:fldCharType="end"/>
            </w:r>
          </w:hyperlink>
        </w:p>
        <w:p w14:paraId="4484FE9C" w14:textId="2B0ACFCC"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6" w:history="1">
            <w:r w:rsidR="00A83E11" w:rsidRPr="004E6C02">
              <w:rPr>
                <w:rStyle w:val="Hyperlink"/>
                <w:rFonts w:ascii="Verdana" w:hAnsi="Verdana"/>
                <w:noProof/>
              </w:rPr>
              <w:t>7.3</w:t>
            </w:r>
            <w:r w:rsidR="00A83E11" w:rsidRPr="004E6C02">
              <w:rPr>
                <w:rFonts w:ascii="Verdana" w:eastAsiaTheme="minorEastAsia" w:hAnsi="Verdana"/>
                <w:noProof/>
                <w:lang w:val="en-GB" w:eastAsia="en-GB"/>
              </w:rPr>
              <w:tab/>
            </w:r>
            <w:r w:rsidR="00A83E11" w:rsidRPr="004E6C02">
              <w:rPr>
                <w:rStyle w:val="Hyperlink"/>
                <w:rFonts w:ascii="Verdana" w:hAnsi="Verdana"/>
                <w:i/>
                <w:iCs/>
                <w:noProof/>
              </w:rPr>
              <w:t>E. coli</w:t>
            </w:r>
            <w:r w:rsidR="00A83E11" w:rsidRPr="004E6C02">
              <w:rPr>
                <w:rStyle w:val="Hyperlink"/>
                <w:rFonts w:ascii="Verdana" w:hAnsi="Verdana"/>
                <w:noProof/>
              </w:rPr>
              <w:t xml:space="preserve"> born Curli drives alpha-synuclein aggregation in Substantia Nigra and Striatum</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_Toc130223456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117</w:t>
            </w:r>
            <w:r w:rsidR="00A83E11" w:rsidRPr="004E6C02">
              <w:rPr>
                <w:rFonts w:ascii="Verdana" w:hAnsi="Verdana"/>
                <w:noProof/>
                <w:webHidden/>
              </w:rPr>
              <w:fldChar w:fldCharType="end"/>
            </w:r>
          </w:hyperlink>
        </w:p>
        <w:p w14:paraId="3D28780B" w14:textId="1FCA48C0" w:rsidR="00A83E11" w:rsidRPr="004E6C02" w:rsidRDefault="006277BA" w:rsidP="00CE3A33">
          <w:pPr>
            <w:pStyle w:val="TOC2"/>
            <w:tabs>
              <w:tab w:val="right" w:leader="dot" w:pos="8778"/>
            </w:tabs>
            <w:ind w:left="940" w:firstLine="0"/>
            <w:rPr>
              <w:rFonts w:ascii="Verdana" w:eastAsiaTheme="minorEastAsia" w:hAnsi="Verdana"/>
              <w:noProof/>
              <w:lang w:val="en-GB" w:eastAsia="en-GB"/>
            </w:rPr>
          </w:pPr>
          <w:hyperlink w:anchor="_Toc130223457" w:history="1">
            <w:r w:rsidR="00A83E11" w:rsidRPr="004E6C02">
              <w:rPr>
                <w:rStyle w:val="Hyperlink"/>
                <w:rFonts w:ascii="Verdana" w:hAnsi="Verdana"/>
                <w:noProof/>
              </w:rPr>
              <w:t xml:space="preserve">7.4 The combination </w:t>
            </w:r>
            <w:r w:rsidR="00A83E11" w:rsidRPr="004E6C02">
              <w:rPr>
                <w:rStyle w:val="Hyperlink"/>
                <w:rFonts w:ascii="Verdana" w:hAnsi="Verdana"/>
                <w:noProof/>
                <w:lang w:val="en-GB"/>
              </w:rPr>
              <w:t>of fibre-</w:t>
            </w:r>
            <w:r w:rsidR="00A83E11" w:rsidRPr="004E6C02">
              <w:rPr>
                <w:rStyle w:val="Hyperlink"/>
                <w:rFonts w:ascii="Verdana" w:hAnsi="Verdana"/>
                <w:noProof/>
              </w:rPr>
              <w:t>deprivation and bacterial Curli drives neurodegeneration in Thy1-Syn14 mice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_Toc130223457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118</w:t>
            </w:r>
            <w:r w:rsidR="00A83E11" w:rsidRPr="004E6C02">
              <w:rPr>
                <w:rFonts w:ascii="Verdana" w:hAnsi="Verdana"/>
                <w:noProof/>
                <w:webHidden/>
              </w:rPr>
              <w:fldChar w:fldCharType="end"/>
            </w:r>
          </w:hyperlink>
        </w:p>
        <w:p w14:paraId="549221E0" w14:textId="27533185" w:rsidR="00A83E11" w:rsidRPr="004E6C02" w:rsidRDefault="006277BA" w:rsidP="00CE3A33">
          <w:pPr>
            <w:pStyle w:val="TOC2"/>
            <w:tabs>
              <w:tab w:val="right" w:leader="dot" w:pos="8778"/>
            </w:tabs>
            <w:ind w:left="940" w:firstLine="0"/>
            <w:rPr>
              <w:rFonts w:ascii="Verdana" w:eastAsiaTheme="minorEastAsia" w:hAnsi="Verdana"/>
              <w:noProof/>
              <w:lang w:val="en-GB" w:eastAsia="en-GB"/>
            </w:rPr>
          </w:pPr>
          <w:hyperlink w:anchor="_Toc130223458" w:history="1">
            <w:r w:rsidR="00A83E11" w:rsidRPr="004E6C02">
              <w:rPr>
                <w:rStyle w:val="Hyperlink"/>
                <w:rFonts w:ascii="Verdana" w:hAnsi="Verdana"/>
                <w:noProof/>
              </w:rPr>
              <w:t xml:space="preserve">7.5 The combination of fibre-deprived diet and exposure to </w:t>
            </w:r>
            <w:r w:rsidR="00A83E11" w:rsidRPr="004E6C02">
              <w:rPr>
                <w:rStyle w:val="Hyperlink"/>
                <w:rFonts w:ascii="Verdana" w:hAnsi="Verdana"/>
                <w:i/>
                <w:iCs/>
                <w:noProof/>
              </w:rPr>
              <w:t>E. coli</w:t>
            </w:r>
            <w:r w:rsidR="00A83E11" w:rsidRPr="004E6C02">
              <w:rPr>
                <w:rStyle w:val="Hyperlink"/>
                <w:rFonts w:ascii="Verdana" w:hAnsi="Verdana"/>
                <w:noProof/>
              </w:rPr>
              <w:t xml:space="preserve"> born Curli drives alpha-synuclein aggregation in the enteric nervous system</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_Toc130223458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120</w:t>
            </w:r>
            <w:r w:rsidR="00A83E11" w:rsidRPr="004E6C02">
              <w:rPr>
                <w:rFonts w:ascii="Verdana" w:hAnsi="Verdana"/>
                <w:noProof/>
                <w:webHidden/>
              </w:rPr>
              <w:fldChar w:fldCharType="end"/>
            </w:r>
          </w:hyperlink>
        </w:p>
        <w:p w14:paraId="052A6D17" w14:textId="2967280A"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59" w:history="1">
            <w:r w:rsidR="00A83E11" w:rsidRPr="004E6C02">
              <w:rPr>
                <w:rStyle w:val="Hyperlink"/>
                <w:rFonts w:ascii="Verdana" w:hAnsi="Verdana"/>
                <w:noProof/>
                <w:lang w:val="en-GB"/>
              </w:rPr>
              <w:t>7.6</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 xml:space="preserve"> Alpha-synuclein overexpression is the main driver of gross motor impairments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_Toc130223459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122</w:t>
            </w:r>
            <w:r w:rsidR="00A83E11" w:rsidRPr="004E6C02">
              <w:rPr>
                <w:rFonts w:ascii="Verdana" w:hAnsi="Verdana"/>
                <w:noProof/>
                <w:webHidden/>
              </w:rPr>
              <w:fldChar w:fldCharType="end"/>
            </w:r>
          </w:hyperlink>
        </w:p>
        <w:p w14:paraId="47A7AF3F" w14:textId="10658F69" w:rsidR="00A83E11" w:rsidRPr="004E6C02" w:rsidRDefault="006277BA">
          <w:pPr>
            <w:pStyle w:val="TOC1"/>
            <w:rPr>
              <w:rFonts w:eastAsiaTheme="minorEastAsia"/>
              <w:sz w:val="22"/>
              <w:szCs w:val="22"/>
              <w:lang w:eastAsia="en-GB"/>
            </w:rPr>
          </w:pPr>
          <w:hyperlink w:anchor="_Toc130223460" w:history="1">
            <w:r w:rsidR="00A83E11" w:rsidRPr="004E6C02">
              <w:rPr>
                <w:rStyle w:val="Hyperlink"/>
                <w:sz w:val="22"/>
                <w:szCs w:val="22"/>
              </w:rPr>
              <w:t xml:space="preserve">8   </w:t>
            </w:r>
            <w:r w:rsidR="00A83E11" w:rsidRPr="004E6C02">
              <w:rPr>
                <w:rStyle w:val="Hyperlink"/>
                <w:i/>
                <w:iCs/>
                <w:sz w:val="22"/>
                <w:szCs w:val="22"/>
              </w:rPr>
              <w:t xml:space="preserve">In vitro </w:t>
            </w:r>
            <w:r w:rsidR="00A83E11" w:rsidRPr="004E6C02">
              <w:rPr>
                <w:rStyle w:val="Hyperlink"/>
                <w:sz w:val="22"/>
                <w:szCs w:val="22"/>
              </w:rPr>
              <w:t>models of neuronal toxicity</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_Toc130223460 \h </w:instrText>
            </w:r>
            <w:r w:rsidR="00A83E11" w:rsidRPr="004E6C02">
              <w:rPr>
                <w:webHidden/>
                <w:sz w:val="22"/>
                <w:szCs w:val="22"/>
              </w:rPr>
            </w:r>
            <w:r w:rsidR="00A83E11" w:rsidRPr="004E6C02">
              <w:rPr>
                <w:webHidden/>
                <w:sz w:val="22"/>
                <w:szCs w:val="22"/>
              </w:rPr>
              <w:fldChar w:fldCharType="separate"/>
            </w:r>
            <w:r w:rsidR="001D505F">
              <w:rPr>
                <w:webHidden/>
                <w:sz w:val="22"/>
                <w:szCs w:val="22"/>
              </w:rPr>
              <w:t>125</w:t>
            </w:r>
            <w:r w:rsidR="00A83E11" w:rsidRPr="004E6C02">
              <w:rPr>
                <w:webHidden/>
                <w:sz w:val="22"/>
                <w:szCs w:val="22"/>
              </w:rPr>
              <w:fldChar w:fldCharType="end"/>
            </w:r>
          </w:hyperlink>
        </w:p>
        <w:p w14:paraId="06FADDF4" w14:textId="3B739AB5" w:rsidR="00A83E11" w:rsidRPr="004E6C02" w:rsidRDefault="006277BA">
          <w:pPr>
            <w:pStyle w:val="TOC2"/>
            <w:tabs>
              <w:tab w:val="right" w:leader="dot" w:pos="8778"/>
            </w:tabs>
            <w:rPr>
              <w:rFonts w:ascii="Verdana" w:eastAsiaTheme="minorEastAsia" w:hAnsi="Verdana"/>
              <w:noProof/>
              <w:lang w:val="en-GB" w:eastAsia="en-GB"/>
            </w:rPr>
          </w:pPr>
          <w:hyperlink w:anchor="_Toc130223461" w:history="1">
            <w:r w:rsidR="00A83E11" w:rsidRPr="004E6C02">
              <w:rPr>
                <w:rStyle w:val="Hyperlink"/>
                <w:rFonts w:ascii="Verdana" w:hAnsi="Verdana"/>
                <w:noProof/>
                <w:lang w:val="en-GB"/>
              </w:rPr>
              <w:t>Preface</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_Toc130223461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125</w:t>
            </w:r>
            <w:r w:rsidR="00A83E11" w:rsidRPr="004E6C02">
              <w:rPr>
                <w:rFonts w:ascii="Verdana" w:hAnsi="Verdana"/>
                <w:noProof/>
                <w:webHidden/>
              </w:rPr>
              <w:fldChar w:fldCharType="end"/>
            </w:r>
          </w:hyperlink>
        </w:p>
        <w:p w14:paraId="612199DA" w14:textId="51185A4A"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62" w:history="1">
            <w:r w:rsidR="00A83E11" w:rsidRPr="004E6C02">
              <w:rPr>
                <w:rStyle w:val="Hyperlink"/>
                <w:rFonts w:ascii="Verdana" w:hAnsi="Verdana"/>
                <w:noProof/>
                <w:lang w:val="en-GB"/>
              </w:rPr>
              <w:t xml:space="preserve">8.1 </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Characterisation of alpha-synuclein moieties by electron microscopy</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_Toc130223462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127</w:t>
            </w:r>
            <w:r w:rsidR="00A83E11" w:rsidRPr="004E6C02">
              <w:rPr>
                <w:rFonts w:ascii="Verdana" w:hAnsi="Verdana"/>
                <w:noProof/>
                <w:webHidden/>
              </w:rPr>
              <w:fldChar w:fldCharType="end"/>
            </w:r>
          </w:hyperlink>
        </w:p>
        <w:p w14:paraId="61183395" w14:textId="50473FA2" w:rsidR="00A83E11" w:rsidRPr="004E6C02" w:rsidRDefault="006277BA" w:rsidP="00CE3A33">
          <w:pPr>
            <w:pStyle w:val="TOC2"/>
            <w:tabs>
              <w:tab w:val="left" w:pos="1540"/>
              <w:tab w:val="right" w:leader="dot" w:pos="8778"/>
            </w:tabs>
            <w:ind w:left="940" w:firstLine="0"/>
            <w:rPr>
              <w:rFonts w:ascii="Verdana" w:eastAsiaTheme="minorEastAsia" w:hAnsi="Verdana"/>
              <w:noProof/>
              <w:lang w:val="en-GB" w:eastAsia="en-GB"/>
            </w:rPr>
          </w:pPr>
          <w:hyperlink w:anchor="_Toc130223463" w:history="1">
            <w:r w:rsidR="00A83E11" w:rsidRPr="004E6C02">
              <w:rPr>
                <w:rStyle w:val="Hyperlink"/>
                <w:rFonts w:ascii="Verdana" w:hAnsi="Verdana"/>
                <w:noProof/>
                <w:lang w:val="en-GB"/>
              </w:rPr>
              <w:t xml:space="preserve">8.2 </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Alpha-synuclein oligomers and PFFs cause a dose-dependent cytotoxicity in LUHMES cells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_Toc130223463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129</w:t>
            </w:r>
            <w:r w:rsidR="00A83E11" w:rsidRPr="004E6C02">
              <w:rPr>
                <w:rFonts w:ascii="Verdana" w:hAnsi="Verdana"/>
                <w:noProof/>
                <w:webHidden/>
              </w:rPr>
              <w:fldChar w:fldCharType="end"/>
            </w:r>
          </w:hyperlink>
        </w:p>
        <w:p w14:paraId="787FD0D7" w14:textId="1D222B9D" w:rsidR="00A83E11" w:rsidRPr="004E6C02" w:rsidRDefault="006277BA">
          <w:pPr>
            <w:pStyle w:val="TOC2"/>
            <w:tabs>
              <w:tab w:val="left" w:pos="1540"/>
              <w:tab w:val="right" w:leader="dot" w:pos="8778"/>
            </w:tabs>
            <w:rPr>
              <w:rFonts w:ascii="Verdana" w:eastAsiaTheme="minorEastAsia" w:hAnsi="Verdana"/>
              <w:noProof/>
              <w:lang w:val="en-GB" w:eastAsia="en-GB"/>
            </w:rPr>
          </w:pPr>
          <w:hyperlink w:anchor="_Toc130223464" w:history="1">
            <w:r w:rsidR="00A83E11" w:rsidRPr="004E6C02">
              <w:rPr>
                <w:rStyle w:val="Hyperlink"/>
                <w:rFonts w:ascii="Verdana" w:hAnsi="Verdana"/>
                <w:noProof/>
                <w:lang w:val="en-GB"/>
              </w:rPr>
              <w:t xml:space="preserve">8.3 </w:t>
            </w:r>
            <w:r w:rsidR="00A83E11" w:rsidRPr="004E6C02">
              <w:rPr>
                <w:rFonts w:ascii="Verdana" w:eastAsiaTheme="minorEastAsia" w:hAnsi="Verdana"/>
                <w:noProof/>
                <w:lang w:val="en-GB" w:eastAsia="en-GB"/>
              </w:rPr>
              <w:tab/>
            </w:r>
            <w:r w:rsidR="00A83E11" w:rsidRPr="004E6C02">
              <w:rPr>
                <w:rStyle w:val="Hyperlink"/>
                <w:rFonts w:ascii="Verdana" w:hAnsi="Verdana"/>
                <w:noProof/>
                <w:lang w:val="en-GB"/>
              </w:rPr>
              <w:t>Glutamate excitotoxicity on LUHMES WT and DJ-1 cells</w:t>
            </w:r>
            <w:r w:rsidR="00A83E11" w:rsidRPr="004E6C02">
              <w:rPr>
                <w:rFonts w:ascii="Verdana" w:hAnsi="Verdana"/>
                <w:noProof/>
                <w:webHidden/>
              </w:rPr>
              <w:tab/>
            </w:r>
            <w:r w:rsidR="00A83E11" w:rsidRPr="004E6C02">
              <w:rPr>
                <w:rFonts w:ascii="Verdana" w:hAnsi="Verdana"/>
                <w:noProof/>
                <w:webHidden/>
              </w:rPr>
              <w:fldChar w:fldCharType="begin"/>
            </w:r>
            <w:r w:rsidR="00A83E11" w:rsidRPr="004E6C02">
              <w:rPr>
                <w:rFonts w:ascii="Verdana" w:hAnsi="Verdana"/>
                <w:noProof/>
                <w:webHidden/>
              </w:rPr>
              <w:instrText xml:space="preserve"> PAGEREF _Toc130223464 \h </w:instrText>
            </w:r>
            <w:r w:rsidR="00A83E11" w:rsidRPr="004E6C02">
              <w:rPr>
                <w:rFonts w:ascii="Verdana" w:hAnsi="Verdana"/>
                <w:noProof/>
                <w:webHidden/>
              </w:rPr>
            </w:r>
            <w:r w:rsidR="00A83E11" w:rsidRPr="004E6C02">
              <w:rPr>
                <w:rFonts w:ascii="Verdana" w:hAnsi="Verdana"/>
                <w:noProof/>
                <w:webHidden/>
              </w:rPr>
              <w:fldChar w:fldCharType="separate"/>
            </w:r>
            <w:r w:rsidR="001D505F">
              <w:rPr>
                <w:rFonts w:ascii="Verdana" w:hAnsi="Verdana"/>
                <w:noProof/>
                <w:webHidden/>
              </w:rPr>
              <w:t>131</w:t>
            </w:r>
            <w:r w:rsidR="00A83E11" w:rsidRPr="004E6C02">
              <w:rPr>
                <w:rFonts w:ascii="Verdana" w:hAnsi="Verdana"/>
                <w:noProof/>
                <w:webHidden/>
              </w:rPr>
              <w:fldChar w:fldCharType="end"/>
            </w:r>
          </w:hyperlink>
        </w:p>
        <w:p w14:paraId="5A7BAFA8" w14:textId="0797BB55" w:rsidR="00A83E11" w:rsidRPr="004E6C02" w:rsidRDefault="006277BA">
          <w:pPr>
            <w:pStyle w:val="TOC1"/>
            <w:rPr>
              <w:rFonts w:eastAsiaTheme="minorEastAsia"/>
              <w:sz w:val="22"/>
              <w:szCs w:val="22"/>
              <w:lang w:eastAsia="en-GB"/>
            </w:rPr>
          </w:pPr>
          <w:hyperlink w:anchor="_Toc130223465" w:history="1">
            <w:r w:rsidR="00A83E11" w:rsidRPr="004E6C02">
              <w:rPr>
                <w:rStyle w:val="Hyperlink"/>
                <w:sz w:val="22"/>
                <w:szCs w:val="22"/>
              </w:rPr>
              <w:t>Discussion</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_Toc130223465 \h </w:instrText>
            </w:r>
            <w:r w:rsidR="00A83E11" w:rsidRPr="004E6C02">
              <w:rPr>
                <w:webHidden/>
                <w:sz w:val="22"/>
                <w:szCs w:val="22"/>
              </w:rPr>
            </w:r>
            <w:r w:rsidR="00A83E11" w:rsidRPr="004E6C02">
              <w:rPr>
                <w:webHidden/>
                <w:sz w:val="22"/>
                <w:szCs w:val="22"/>
              </w:rPr>
              <w:fldChar w:fldCharType="separate"/>
            </w:r>
            <w:r w:rsidR="001D505F">
              <w:rPr>
                <w:webHidden/>
                <w:sz w:val="22"/>
                <w:szCs w:val="22"/>
              </w:rPr>
              <w:t>133</w:t>
            </w:r>
            <w:r w:rsidR="00A83E11" w:rsidRPr="004E6C02">
              <w:rPr>
                <w:webHidden/>
                <w:sz w:val="22"/>
                <w:szCs w:val="22"/>
              </w:rPr>
              <w:fldChar w:fldCharType="end"/>
            </w:r>
          </w:hyperlink>
        </w:p>
        <w:p w14:paraId="560E9B11" w14:textId="3B932770" w:rsidR="00A83E11" w:rsidRPr="004E6C02" w:rsidRDefault="006277BA">
          <w:pPr>
            <w:pStyle w:val="TOC1"/>
            <w:rPr>
              <w:rFonts w:eastAsiaTheme="minorEastAsia"/>
              <w:sz w:val="22"/>
              <w:szCs w:val="22"/>
              <w:lang w:eastAsia="en-GB"/>
            </w:rPr>
          </w:pPr>
          <w:hyperlink w:anchor="_Toc130223466" w:history="1">
            <w:r w:rsidR="00A83E11" w:rsidRPr="004E6C02">
              <w:rPr>
                <w:rStyle w:val="Hyperlink"/>
                <w:sz w:val="22"/>
                <w:szCs w:val="22"/>
              </w:rPr>
              <w:t>Bibliography</w:t>
            </w:r>
            <w:r w:rsidR="00A83E11" w:rsidRPr="004E6C02">
              <w:rPr>
                <w:webHidden/>
                <w:sz w:val="22"/>
                <w:szCs w:val="22"/>
              </w:rPr>
              <w:tab/>
            </w:r>
            <w:r w:rsidR="00A83E11" w:rsidRPr="004E6C02">
              <w:rPr>
                <w:webHidden/>
                <w:sz w:val="22"/>
                <w:szCs w:val="22"/>
              </w:rPr>
              <w:fldChar w:fldCharType="begin"/>
            </w:r>
            <w:r w:rsidR="00A83E11" w:rsidRPr="004E6C02">
              <w:rPr>
                <w:webHidden/>
                <w:sz w:val="22"/>
                <w:szCs w:val="22"/>
              </w:rPr>
              <w:instrText xml:space="preserve"> PAGEREF _Toc130223466 \h </w:instrText>
            </w:r>
            <w:r w:rsidR="00A83E11" w:rsidRPr="004E6C02">
              <w:rPr>
                <w:webHidden/>
                <w:sz w:val="22"/>
                <w:szCs w:val="22"/>
              </w:rPr>
            </w:r>
            <w:r w:rsidR="00A83E11" w:rsidRPr="004E6C02">
              <w:rPr>
                <w:webHidden/>
                <w:sz w:val="22"/>
                <w:szCs w:val="22"/>
              </w:rPr>
              <w:fldChar w:fldCharType="separate"/>
            </w:r>
            <w:r w:rsidR="001D505F">
              <w:rPr>
                <w:webHidden/>
                <w:sz w:val="22"/>
                <w:szCs w:val="22"/>
              </w:rPr>
              <w:t>153</w:t>
            </w:r>
            <w:r w:rsidR="00A83E11" w:rsidRPr="004E6C02">
              <w:rPr>
                <w:webHidden/>
                <w:sz w:val="22"/>
                <w:szCs w:val="22"/>
              </w:rPr>
              <w:fldChar w:fldCharType="end"/>
            </w:r>
          </w:hyperlink>
        </w:p>
        <w:p w14:paraId="2A4FCA09" w14:textId="095FCF9E" w:rsidR="00712399" w:rsidRPr="004E6C02" w:rsidRDefault="00712399">
          <w:pPr>
            <w:rPr>
              <w:rFonts w:ascii="Verdana" w:hAnsi="Verdana"/>
            </w:rPr>
          </w:pPr>
          <w:r w:rsidRPr="004E6C02">
            <w:rPr>
              <w:rFonts w:ascii="Verdana" w:hAnsi="Verdana"/>
              <w:noProof/>
            </w:rPr>
            <w:fldChar w:fldCharType="end"/>
          </w:r>
        </w:p>
      </w:sdtContent>
    </w:sdt>
    <w:p w14:paraId="6BE840DC" w14:textId="77777777" w:rsidR="008A3C5F" w:rsidRDefault="008A3C5F">
      <w:pPr>
        <w:ind w:firstLine="0"/>
        <w:rPr>
          <w:rFonts w:ascii="Verdana" w:hAnsi="Verdana"/>
          <w:sz w:val="56"/>
          <w:szCs w:val="56"/>
          <w:lang w:val="en-GB"/>
        </w:rPr>
      </w:pPr>
    </w:p>
    <w:p w14:paraId="33EF5ACF" w14:textId="706A0BF7" w:rsidR="00DB0973" w:rsidRDefault="00DB0973">
      <w:pPr>
        <w:ind w:firstLine="0"/>
        <w:rPr>
          <w:rFonts w:ascii="Verdana" w:hAnsi="Verdana"/>
          <w:sz w:val="44"/>
          <w:szCs w:val="44"/>
          <w:lang w:val="en-GB"/>
        </w:rPr>
      </w:pPr>
      <w:r>
        <w:rPr>
          <w:rFonts w:ascii="Verdana" w:hAnsi="Verdana"/>
          <w:sz w:val="44"/>
          <w:szCs w:val="44"/>
          <w:lang w:val="en-GB"/>
        </w:rPr>
        <w:br w:type="page"/>
      </w:r>
    </w:p>
    <w:p w14:paraId="2D1398DA" w14:textId="1D39D67E" w:rsidR="0091541A" w:rsidRDefault="009D1403">
      <w:pPr>
        <w:ind w:firstLine="0"/>
        <w:rPr>
          <w:rFonts w:ascii="Verdana" w:hAnsi="Verdana"/>
          <w:sz w:val="44"/>
          <w:szCs w:val="44"/>
          <w:lang w:val="en-GB"/>
        </w:rPr>
      </w:pPr>
      <w:r>
        <w:rPr>
          <w:rFonts w:ascii="Verdana" w:hAnsi="Verdana"/>
          <w:sz w:val="44"/>
          <w:szCs w:val="44"/>
          <w:lang w:val="en-GB"/>
        </w:rPr>
        <w:lastRenderedPageBreak/>
        <w:t>List of Figures</w:t>
      </w:r>
    </w:p>
    <w:p w14:paraId="4EE66C59" w14:textId="77777777" w:rsidR="00425226" w:rsidRDefault="00425226">
      <w:pPr>
        <w:ind w:firstLine="0"/>
        <w:rPr>
          <w:rFonts w:ascii="Verdana" w:hAnsi="Verdana"/>
          <w:sz w:val="44"/>
          <w:szCs w:val="44"/>
          <w:lang w:val="en-GB"/>
        </w:rPr>
      </w:pPr>
    </w:p>
    <w:p w14:paraId="11761B32" w14:textId="6E1E312E" w:rsidR="008B66DC" w:rsidRDefault="009D1403" w:rsidP="008153FE">
      <w:pPr>
        <w:pStyle w:val="TableofFigures"/>
        <w:tabs>
          <w:tab w:val="right" w:leader="dot" w:pos="8778"/>
        </w:tabs>
        <w:ind w:firstLine="0"/>
        <w:rPr>
          <w:rFonts w:eastAsiaTheme="minorEastAsia"/>
          <w:noProof/>
          <w:lang w:val="en-GB" w:eastAsia="en-GB"/>
        </w:rPr>
      </w:pPr>
      <w:r w:rsidRPr="008E5BD5">
        <w:rPr>
          <w:rFonts w:ascii="Verdana" w:hAnsi="Verdana"/>
          <w:lang w:val="en-GB"/>
        </w:rPr>
        <w:fldChar w:fldCharType="begin"/>
      </w:r>
      <w:r w:rsidRPr="008E5BD5">
        <w:rPr>
          <w:rFonts w:ascii="Verdana" w:hAnsi="Verdana"/>
          <w:lang w:val="en-GB"/>
        </w:rPr>
        <w:instrText xml:space="preserve"> TOC \h \z \c "Figure" </w:instrText>
      </w:r>
      <w:r w:rsidRPr="008E5BD5">
        <w:rPr>
          <w:rFonts w:ascii="Verdana" w:hAnsi="Verdana"/>
          <w:lang w:val="en-GB"/>
        </w:rPr>
        <w:fldChar w:fldCharType="separate"/>
      </w:r>
      <w:hyperlink r:id="rId14" w:anchor="_Toc131412743" w:history="1">
        <w:r w:rsidR="008B66DC" w:rsidRPr="000A22BC">
          <w:rPr>
            <w:rStyle w:val="Hyperlink"/>
            <w:rFonts w:ascii="Verdana" w:hAnsi="Verdana"/>
            <w:b/>
            <w:bCs/>
            <w:noProof/>
          </w:rPr>
          <w:t>Figure 1</w:t>
        </w:r>
        <w:r w:rsidR="008B66DC" w:rsidRPr="000A22BC">
          <w:rPr>
            <w:rStyle w:val="Hyperlink"/>
            <w:rFonts w:ascii="Verdana" w:hAnsi="Verdana"/>
            <w:noProof/>
          </w:rPr>
          <w:t xml:space="preserve"> Motor and non-motor symptoms associated with Parkinson's disease progression (Poewe et al., 2017)</w:t>
        </w:r>
        <w:r w:rsidR="008B66DC">
          <w:rPr>
            <w:noProof/>
            <w:webHidden/>
          </w:rPr>
          <w:tab/>
        </w:r>
        <w:r w:rsidR="008B66DC">
          <w:rPr>
            <w:noProof/>
            <w:webHidden/>
          </w:rPr>
          <w:fldChar w:fldCharType="begin"/>
        </w:r>
        <w:r w:rsidR="008B66DC">
          <w:rPr>
            <w:noProof/>
            <w:webHidden/>
          </w:rPr>
          <w:instrText xml:space="preserve"> PAGEREF _Toc131412743 \h </w:instrText>
        </w:r>
        <w:r w:rsidR="008B66DC">
          <w:rPr>
            <w:noProof/>
            <w:webHidden/>
          </w:rPr>
        </w:r>
        <w:r w:rsidR="008B66DC">
          <w:rPr>
            <w:noProof/>
            <w:webHidden/>
          </w:rPr>
          <w:fldChar w:fldCharType="separate"/>
        </w:r>
        <w:r w:rsidR="001D505F">
          <w:rPr>
            <w:noProof/>
            <w:webHidden/>
          </w:rPr>
          <w:t>10</w:t>
        </w:r>
        <w:r w:rsidR="008B66DC">
          <w:rPr>
            <w:noProof/>
            <w:webHidden/>
          </w:rPr>
          <w:fldChar w:fldCharType="end"/>
        </w:r>
      </w:hyperlink>
    </w:p>
    <w:p w14:paraId="7AFE0AAD" w14:textId="31549016" w:rsidR="008B66DC" w:rsidRDefault="006277BA" w:rsidP="008153FE">
      <w:pPr>
        <w:pStyle w:val="TableofFigures"/>
        <w:tabs>
          <w:tab w:val="right" w:leader="dot" w:pos="8778"/>
        </w:tabs>
        <w:ind w:firstLine="0"/>
        <w:rPr>
          <w:rFonts w:eastAsiaTheme="minorEastAsia"/>
          <w:noProof/>
          <w:lang w:val="en-GB" w:eastAsia="en-GB"/>
        </w:rPr>
      </w:pPr>
      <w:hyperlink r:id="rId15" w:anchor="_Toc131412744" w:history="1">
        <w:r w:rsidR="008B66DC" w:rsidRPr="000A22BC">
          <w:rPr>
            <w:rStyle w:val="Hyperlink"/>
            <w:rFonts w:ascii="Verdana" w:hAnsi="Verdana"/>
            <w:b/>
            <w:bCs/>
            <w:noProof/>
          </w:rPr>
          <w:t>Figure 2</w:t>
        </w:r>
        <w:r w:rsidR="008B66DC" w:rsidRPr="000A22BC">
          <w:rPr>
            <w:rStyle w:val="Hyperlink"/>
            <w:rFonts w:ascii="Verdana" w:hAnsi="Verdana"/>
            <w:noProof/>
          </w:rPr>
          <w:t xml:space="preserve"> The nigrostriatal circuit in normal brain and Parkinson's disease (adapted from Subramaniam and Federoff, 2017)</w:t>
        </w:r>
        <w:r w:rsidR="008B66DC">
          <w:rPr>
            <w:noProof/>
            <w:webHidden/>
          </w:rPr>
          <w:tab/>
        </w:r>
        <w:r w:rsidR="008B66DC">
          <w:rPr>
            <w:noProof/>
            <w:webHidden/>
          </w:rPr>
          <w:fldChar w:fldCharType="begin"/>
        </w:r>
        <w:r w:rsidR="008B66DC">
          <w:rPr>
            <w:noProof/>
            <w:webHidden/>
          </w:rPr>
          <w:instrText xml:space="preserve"> PAGEREF _Toc131412744 \h </w:instrText>
        </w:r>
        <w:r w:rsidR="008B66DC">
          <w:rPr>
            <w:noProof/>
            <w:webHidden/>
          </w:rPr>
        </w:r>
        <w:r w:rsidR="008B66DC">
          <w:rPr>
            <w:noProof/>
            <w:webHidden/>
          </w:rPr>
          <w:fldChar w:fldCharType="separate"/>
        </w:r>
        <w:r w:rsidR="001D505F">
          <w:rPr>
            <w:noProof/>
            <w:webHidden/>
          </w:rPr>
          <w:t>12</w:t>
        </w:r>
        <w:r w:rsidR="008B66DC">
          <w:rPr>
            <w:noProof/>
            <w:webHidden/>
          </w:rPr>
          <w:fldChar w:fldCharType="end"/>
        </w:r>
      </w:hyperlink>
    </w:p>
    <w:p w14:paraId="7EEC93EB" w14:textId="6F629C5E" w:rsidR="008B66DC" w:rsidRDefault="006277BA" w:rsidP="008153FE">
      <w:pPr>
        <w:pStyle w:val="TableofFigures"/>
        <w:tabs>
          <w:tab w:val="right" w:leader="dot" w:pos="8778"/>
        </w:tabs>
        <w:ind w:firstLine="0"/>
        <w:rPr>
          <w:rFonts w:eastAsiaTheme="minorEastAsia"/>
          <w:noProof/>
          <w:lang w:val="en-GB" w:eastAsia="en-GB"/>
        </w:rPr>
      </w:pPr>
      <w:hyperlink r:id="rId16" w:anchor="_Toc131412745" w:history="1">
        <w:r w:rsidR="008B66DC" w:rsidRPr="000A22BC">
          <w:rPr>
            <w:rStyle w:val="Hyperlink"/>
            <w:rFonts w:ascii="Verdana" w:hAnsi="Verdana"/>
            <w:b/>
            <w:bCs/>
            <w:noProof/>
          </w:rPr>
          <w:t>Figure 3</w:t>
        </w:r>
        <w:r w:rsidR="008B66DC" w:rsidRPr="000A22BC">
          <w:rPr>
            <w:rStyle w:val="Hyperlink"/>
            <w:rFonts w:ascii="Verdana" w:hAnsi="Verdana"/>
            <w:noProof/>
          </w:rPr>
          <w:t xml:space="preserve"> Model of alpha-synuclein aggregation (Mehra et al., 2019)</w:t>
        </w:r>
        <w:r w:rsidR="008B66DC">
          <w:rPr>
            <w:noProof/>
            <w:webHidden/>
          </w:rPr>
          <w:tab/>
        </w:r>
        <w:r w:rsidR="008B66DC">
          <w:rPr>
            <w:noProof/>
            <w:webHidden/>
          </w:rPr>
          <w:fldChar w:fldCharType="begin"/>
        </w:r>
        <w:r w:rsidR="008B66DC">
          <w:rPr>
            <w:noProof/>
            <w:webHidden/>
          </w:rPr>
          <w:instrText xml:space="preserve"> PAGEREF _Toc131412745 \h </w:instrText>
        </w:r>
        <w:r w:rsidR="008B66DC">
          <w:rPr>
            <w:noProof/>
            <w:webHidden/>
          </w:rPr>
        </w:r>
        <w:r w:rsidR="008B66DC">
          <w:rPr>
            <w:noProof/>
            <w:webHidden/>
          </w:rPr>
          <w:fldChar w:fldCharType="separate"/>
        </w:r>
        <w:r w:rsidR="001D505F">
          <w:rPr>
            <w:noProof/>
            <w:webHidden/>
          </w:rPr>
          <w:t>14</w:t>
        </w:r>
        <w:r w:rsidR="008B66DC">
          <w:rPr>
            <w:noProof/>
            <w:webHidden/>
          </w:rPr>
          <w:fldChar w:fldCharType="end"/>
        </w:r>
      </w:hyperlink>
    </w:p>
    <w:p w14:paraId="54F38EFD" w14:textId="1C75038C" w:rsidR="008B66DC" w:rsidRDefault="006277BA" w:rsidP="008153FE">
      <w:pPr>
        <w:pStyle w:val="TableofFigures"/>
        <w:tabs>
          <w:tab w:val="right" w:leader="dot" w:pos="8778"/>
        </w:tabs>
        <w:ind w:firstLine="0"/>
        <w:rPr>
          <w:rFonts w:eastAsiaTheme="minorEastAsia"/>
          <w:noProof/>
          <w:lang w:val="en-GB" w:eastAsia="en-GB"/>
        </w:rPr>
      </w:pPr>
      <w:hyperlink r:id="rId17" w:anchor="_Toc131412746" w:history="1">
        <w:r w:rsidR="008B66DC" w:rsidRPr="000A22BC">
          <w:rPr>
            <w:rStyle w:val="Hyperlink"/>
            <w:rFonts w:ascii="Verdana" w:hAnsi="Verdana"/>
            <w:b/>
            <w:bCs/>
            <w:noProof/>
          </w:rPr>
          <w:t>Figure 4</w:t>
        </w:r>
        <w:r w:rsidR="008B66DC" w:rsidRPr="000A22BC">
          <w:rPr>
            <w:rStyle w:val="Hyperlink"/>
            <w:rFonts w:ascii="Verdana" w:hAnsi="Verdana"/>
            <w:noProof/>
          </w:rPr>
          <w:t xml:space="preserve"> Neurotransmitter deficits associated with cognitive decline (modified from Aarsland et al., 2021). NC, normal cognition; MCI, mild cognitive impairment, VTA, ventral tegmental area.</w:t>
        </w:r>
        <w:r w:rsidR="008B66DC">
          <w:rPr>
            <w:noProof/>
            <w:webHidden/>
          </w:rPr>
          <w:tab/>
        </w:r>
        <w:r w:rsidR="008B66DC">
          <w:rPr>
            <w:noProof/>
            <w:webHidden/>
          </w:rPr>
          <w:fldChar w:fldCharType="begin"/>
        </w:r>
        <w:r w:rsidR="008B66DC">
          <w:rPr>
            <w:noProof/>
            <w:webHidden/>
          </w:rPr>
          <w:instrText xml:space="preserve"> PAGEREF _Toc131412746 \h </w:instrText>
        </w:r>
        <w:r w:rsidR="008B66DC">
          <w:rPr>
            <w:noProof/>
            <w:webHidden/>
          </w:rPr>
        </w:r>
        <w:r w:rsidR="008B66DC">
          <w:rPr>
            <w:noProof/>
            <w:webHidden/>
          </w:rPr>
          <w:fldChar w:fldCharType="separate"/>
        </w:r>
        <w:r w:rsidR="001D505F">
          <w:rPr>
            <w:noProof/>
            <w:webHidden/>
          </w:rPr>
          <w:t>23</w:t>
        </w:r>
        <w:r w:rsidR="008B66DC">
          <w:rPr>
            <w:noProof/>
            <w:webHidden/>
          </w:rPr>
          <w:fldChar w:fldCharType="end"/>
        </w:r>
      </w:hyperlink>
    </w:p>
    <w:p w14:paraId="1EC15A0D" w14:textId="72DDB0C2" w:rsidR="008B66DC" w:rsidRDefault="006277BA" w:rsidP="008153FE">
      <w:pPr>
        <w:pStyle w:val="TableofFigures"/>
        <w:tabs>
          <w:tab w:val="right" w:leader="dot" w:pos="8778"/>
        </w:tabs>
        <w:ind w:firstLine="0"/>
        <w:rPr>
          <w:rFonts w:eastAsiaTheme="minorEastAsia"/>
          <w:noProof/>
          <w:lang w:val="en-GB" w:eastAsia="en-GB"/>
        </w:rPr>
      </w:pPr>
      <w:hyperlink r:id="rId18" w:anchor="_Toc131412747" w:history="1">
        <w:r w:rsidR="008B66DC" w:rsidRPr="000A22BC">
          <w:rPr>
            <w:rStyle w:val="Hyperlink"/>
            <w:rFonts w:ascii="Verdana" w:hAnsi="Verdana"/>
            <w:b/>
            <w:bCs/>
            <w:noProof/>
          </w:rPr>
          <w:t>Figure 5</w:t>
        </w:r>
        <w:r w:rsidR="008B66DC" w:rsidRPr="000A22BC">
          <w:rPr>
            <w:rStyle w:val="Hyperlink"/>
            <w:rFonts w:ascii="Verdana" w:hAnsi="Verdana"/>
            <w:noProof/>
          </w:rPr>
          <w:t xml:space="preserve"> Significant grey matter density differences between non-demented PD and PDD (Nagano-Saito et al., 2005). BA, Brodmann area.</w:t>
        </w:r>
        <w:r w:rsidR="008B66DC">
          <w:rPr>
            <w:noProof/>
            <w:webHidden/>
          </w:rPr>
          <w:tab/>
        </w:r>
        <w:r w:rsidR="008B66DC">
          <w:rPr>
            <w:noProof/>
            <w:webHidden/>
          </w:rPr>
          <w:fldChar w:fldCharType="begin"/>
        </w:r>
        <w:r w:rsidR="008B66DC">
          <w:rPr>
            <w:noProof/>
            <w:webHidden/>
          </w:rPr>
          <w:instrText xml:space="preserve"> PAGEREF _Toc131412747 \h </w:instrText>
        </w:r>
        <w:r w:rsidR="008B66DC">
          <w:rPr>
            <w:noProof/>
            <w:webHidden/>
          </w:rPr>
        </w:r>
        <w:r w:rsidR="008B66DC">
          <w:rPr>
            <w:noProof/>
            <w:webHidden/>
          </w:rPr>
          <w:fldChar w:fldCharType="separate"/>
        </w:r>
        <w:r w:rsidR="001D505F">
          <w:rPr>
            <w:noProof/>
            <w:webHidden/>
          </w:rPr>
          <w:t>25</w:t>
        </w:r>
        <w:r w:rsidR="008B66DC">
          <w:rPr>
            <w:noProof/>
            <w:webHidden/>
          </w:rPr>
          <w:fldChar w:fldCharType="end"/>
        </w:r>
      </w:hyperlink>
    </w:p>
    <w:p w14:paraId="7AA86BE7" w14:textId="622C099D" w:rsidR="008B66DC" w:rsidRDefault="006277BA" w:rsidP="008153FE">
      <w:pPr>
        <w:pStyle w:val="TableofFigures"/>
        <w:tabs>
          <w:tab w:val="right" w:leader="dot" w:pos="8778"/>
        </w:tabs>
        <w:ind w:firstLine="0"/>
        <w:rPr>
          <w:rFonts w:eastAsiaTheme="minorEastAsia"/>
          <w:noProof/>
          <w:lang w:val="en-GB" w:eastAsia="en-GB"/>
        </w:rPr>
      </w:pPr>
      <w:hyperlink r:id="rId19" w:anchor="_Toc131412748" w:history="1">
        <w:r w:rsidR="008B66DC" w:rsidRPr="000A22BC">
          <w:rPr>
            <w:rStyle w:val="Hyperlink"/>
            <w:rFonts w:ascii="Verdana" w:hAnsi="Verdana"/>
            <w:b/>
            <w:bCs/>
            <w:noProof/>
          </w:rPr>
          <w:t xml:space="preserve">Figure 6 </w:t>
        </w:r>
        <w:r w:rsidR="008B66DC" w:rsidRPr="000A22BC">
          <w:rPr>
            <w:rStyle w:val="Hyperlink"/>
            <w:rFonts w:ascii="Verdana" w:hAnsi="Verdana"/>
            <w:noProof/>
          </w:rPr>
          <w:t>Alpha-synuclein expression in SNCA*E46K mice.</w:t>
        </w:r>
        <w:r w:rsidR="008B66DC">
          <w:rPr>
            <w:noProof/>
            <w:webHidden/>
          </w:rPr>
          <w:tab/>
        </w:r>
        <w:r w:rsidR="008B66DC">
          <w:rPr>
            <w:noProof/>
            <w:webHidden/>
          </w:rPr>
          <w:fldChar w:fldCharType="begin"/>
        </w:r>
        <w:r w:rsidR="008B66DC">
          <w:rPr>
            <w:noProof/>
            <w:webHidden/>
          </w:rPr>
          <w:instrText xml:space="preserve"> PAGEREF _Toc131412748 \h </w:instrText>
        </w:r>
        <w:r w:rsidR="008B66DC">
          <w:rPr>
            <w:noProof/>
            <w:webHidden/>
          </w:rPr>
        </w:r>
        <w:r w:rsidR="008B66DC">
          <w:rPr>
            <w:noProof/>
            <w:webHidden/>
          </w:rPr>
          <w:fldChar w:fldCharType="separate"/>
        </w:r>
        <w:r w:rsidR="001D505F">
          <w:rPr>
            <w:noProof/>
            <w:webHidden/>
          </w:rPr>
          <w:t>66</w:t>
        </w:r>
        <w:r w:rsidR="008B66DC">
          <w:rPr>
            <w:noProof/>
            <w:webHidden/>
          </w:rPr>
          <w:fldChar w:fldCharType="end"/>
        </w:r>
      </w:hyperlink>
    </w:p>
    <w:p w14:paraId="2A406C30" w14:textId="3110382C" w:rsidR="008B66DC" w:rsidRDefault="006277BA" w:rsidP="008153FE">
      <w:pPr>
        <w:pStyle w:val="TableofFigures"/>
        <w:tabs>
          <w:tab w:val="right" w:leader="dot" w:pos="8778"/>
        </w:tabs>
        <w:ind w:firstLine="0"/>
        <w:rPr>
          <w:rFonts w:eastAsiaTheme="minorEastAsia"/>
          <w:noProof/>
          <w:lang w:val="en-GB" w:eastAsia="en-GB"/>
        </w:rPr>
      </w:pPr>
      <w:hyperlink r:id="rId20" w:anchor="_Toc131412749" w:history="1">
        <w:r w:rsidR="008B66DC" w:rsidRPr="000A22BC">
          <w:rPr>
            <w:rStyle w:val="Hyperlink"/>
            <w:rFonts w:ascii="Verdana" w:hAnsi="Verdana"/>
            <w:b/>
            <w:bCs/>
            <w:noProof/>
          </w:rPr>
          <w:t xml:space="preserve">Figure 7 </w:t>
        </w:r>
        <w:r w:rsidR="008B66DC" w:rsidRPr="000A22BC">
          <w:rPr>
            <w:rStyle w:val="Hyperlink"/>
            <w:rFonts w:ascii="Verdana" w:hAnsi="Verdana"/>
            <w:noProof/>
          </w:rPr>
          <w:t>Age-dependent degeneration in the dorsal striatum of HET SNCA*E46K mice but not the Substantia Nigra.</w:t>
        </w:r>
        <w:r w:rsidR="008B66DC">
          <w:rPr>
            <w:noProof/>
            <w:webHidden/>
          </w:rPr>
          <w:tab/>
        </w:r>
        <w:r w:rsidR="008B66DC">
          <w:rPr>
            <w:noProof/>
            <w:webHidden/>
          </w:rPr>
          <w:fldChar w:fldCharType="begin"/>
        </w:r>
        <w:r w:rsidR="008B66DC">
          <w:rPr>
            <w:noProof/>
            <w:webHidden/>
          </w:rPr>
          <w:instrText xml:space="preserve"> PAGEREF _Toc131412749 \h </w:instrText>
        </w:r>
        <w:r w:rsidR="008B66DC">
          <w:rPr>
            <w:noProof/>
            <w:webHidden/>
          </w:rPr>
        </w:r>
        <w:r w:rsidR="008B66DC">
          <w:rPr>
            <w:noProof/>
            <w:webHidden/>
          </w:rPr>
          <w:fldChar w:fldCharType="separate"/>
        </w:r>
        <w:r w:rsidR="001D505F">
          <w:rPr>
            <w:noProof/>
            <w:webHidden/>
          </w:rPr>
          <w:t>68</w:t>
        </w:r>
        <w:r w:rsidR="008B66DC">
          <w:rPr>
            <w:noProof/>
            <w:webHidden/>
          </w:rPr>
          <w:fldChar w:fldCharType="end"/>
        </w:r>
      </w:hyperlink>
    </w:p>
    <w:p w14:paraId="04833D3D" w14:textId="16C986DC" w:rsidR="008B66DC" w:rsidRDefault="006277BA" w:rsidP="008153FE">
      <w:pPr>
        <w:pStyle w:val="TableofFigures"/>
        <w:tabs>
          <w:tab w:val="right" w:leader="dot" w:pos="8778"/>
        </w:tabs>
        <w:ind w:firstLine="0"/>
        <w:rPr>
          <w:rFonts w:eastAsiaTheme="minorEastAsia"/>
          <w:noProof/>
          <w:lang w:val="en-GB" w:eastAsia="en-GB"/>
        </w:rPr>
      </w:pPr>
      <w:hyperlink r:id="rId21" w:anchor="_Toc131412750" w:history="1">
        <w:r w:rsidR="008B66DC" w:rsidRPr="000A22BC">
          <w:rPr>
            <w:rStyle w:val="Hyperlink"/>
            <w:rFonts w:ascii="Verdana" w:hAnsi="Verdana"/>
            <w:b/>
            <w:bCs/>
            <w:noProof/>
          </w:rPr>
          <w:t xml:space="preserve">Figure 8 </w:t>
        </w:r>
        <w:r w:rsidR="008B66DC" w:rsidRPr="000A22BC">
          <w:rPr>
            <w:rStyle w:val="Hyperlink"/>
            <w:rFonts w:ascii="Verdana" w:hAnsi="Verdana"/>
            <w:noProof/>
          </w:rPr>
          <w:t xml:space="preserve"> Transgenic alpha-synuclein levels directly correlate with striatal neurodegeneration.</w:t>
        </w:r>
        <w:r w:rsidR="008B66DC">
          <w:rPr>
            <w:noProof/>
            <w:webHidden/>
          </w:rPr>
          <w:tab/>
        </w:r>
        <w:r w:rsidR="008B66DC">
          <w:rPr>
            <w:noProof/>
            <w:webHidden/>
          </w:rPr>
          <w:fldChar w:fldCharType="begin"/>
        </w:r>
        <w:r w:rsidR="008B66DC">
          <w:rPr>
            <w:noProof/>
            <w:webHidden/>
          </w:rPr>
          <w:instrText xml:space="preserve"> PAGEREF _Toc131412750 \h </w:instrText>
        </w:r>
        <w:r w:rsidR="008B66DC">
          <w:rPr>
            <w:noProof/>
            <w:webHidden/>
          </w:rPr>
        </w:r>
        <w:r w:rsidR="008B66DC">
          <w:rPr>
            <w:noProof/>
            <w:webHidden/>
          </w:rPr>
          <w:fldChar w:fldCharType="separate"/>
        </w:r>
        <w:r w:rsidR="001D505F">
          <w:rPr>
            <w:noProof/>
            <w:webHidden/>
          </w:rPr>
          <w:t>69</w:t>
        </w:r>
        <w:r w:rsidR="008B66DC">
          <w:rPr>
            <w:noProof/>
            <w:webHidden/>
          </w:rPr>
          <w:fldChar w:fldCharType="end"/>
        </w:r>
      </w:hyperlink>
    </w:p>
    <w:p w14:paraId="39D111CC" w14:textId="68FE070F" w:rsidR="008B66DC" w:rsidRDefault="006277BA" w:rsidP="008153FE">
      <w:pPr>
        <w:pStyle w:val="TableofFigures"/>
        <w:tabs>
          <w:tab w:val="right" w:leader="dot" w:pos="8778"/>
        </w:tabs>
        <w:ind w:firstLine="0"/>
        <w:rPr>
          <w:rFonts w:eastAsiaTheme="minorEastAsia"/>
          <w:noProof/>
          <w:lang w:val="en-GB" w:eastAsia="en-GB"/>
        </w:rPr>
      </w:pPr>
      <w:hyperlink r:id="rId22" w:anchor="_Toc131412751" w:history="1">
        <w:r w:rsidR="008B66DC" w:rsidRPr="000A22BC">
          <w:rPr>
            <w:rStyle w:val="Hyperlink"/>
            <w:rFonts w:ascii="Verdana" w:hAnsi="Verdana"/>
            <w:b/>
            <w:bCs/>
            <w:noProof/>
          </w:rPr>
          <w:t xml:space="preserve">Figure 9 </w:t>
        </w:r>
        <w:r w:rsidR="008B66DC" w:rsidRPr="000A22BC">
          <w:rPr>
            <w:rStyle w:val="Hyperlink"/>
            <w:rFonts w:ascii="Verdana" w:hAnsi="Verdana"/>
            <w:noProof/>
          </w:rPr>
          <w:t>Genotype-dependent and age-dependent differentially expressed genes in SNCA*E46K mice</w:t>
        </w:r>
        <w:r w:rsidR="008B66DC">
          <w:rPr>
            <w:noProof/>
            <w:webHidden/>
          </w:rPr>
          <w:tab/>
        </w:r>
        <w:r w:rsidR="008B66DC">
          <w:rPr>
            <w:noProof/>
            <w:webHidden/>
          </w:rPr>
          <w:fldChar w:fldCharType="begin"/>
        </w:r>
        <w:r w:rsidR="008B66DC">
          <w:rPr>
            <w:noProof/>
            <w:webHidden/>
          </w:rPr>
          <w:instrText xml:space="preserve"> PAGEREF _Toc131412751 \h </w:instrText>
        </w:r>
        <w:r w:rsidR="008B66DC">
          <w:rPr>
            <w:noProof/>
            <w:webHidden/>
          </w:rPr>
        </w:r>
        <w:r w:rsidR="008B66DC">
          <w:rPr>
            <w:noProof/>
            <w:webHidden/>
          </w:rPr>
          <w:fldChar w:fldCharType="separate"/>
        </w:r>
        <w:r w:rsidR="001D505F">
          <w:rPr>
            <w:noProof/>
            <w:webHidden/>
          </w:rPr>
          <w:t>72</w:t>
        </w:r>
        <w:r w:rsidR="008B66DC">
          <w:rPr>
            <w:noProof/>
            <w:webHidden/>
          </w:rPr>
          <w:fldChar w:fldCharType="end"/>
        </w:r>
      </w:hyperlink>
    </w:p>
    <w:p w14:paraId="24A48146" w14:textId="6574A82D" w:rsidR="008B66DC" w:rsidRDefault="006277BA" w:rsidP="008153FE">
      <w:pPr>
        <w:pStyle w:val="TableofFigures"/>
        <w:tabs>
          <w:tab w:val="right" w:leader="dot" w:pos="8778"/>
        </w:tabs>
        <w:ind w:firstLine="0"/>
        <w:rPr>
          <w:rFonts w:eastAsiaTheme="minorEastAsia"/>
          <w:noProof/>
          <w:lang w:val="en-GB" w:eastAsia="en-GB"/>
        </w:rPr>
      </w:pPr>
      <w:hyperlink r:id="rId23" w:anchor="_Toc131412752" w:history="1">
        <w:r w:rsidR="008B66DC" w:rsidRPr="000A22BC">
          <w:rPr>
            <w:rStyle w:val="Hyperlink"/>
            <w:rFonts w:ascii="Verdana" w:hAnsi="Verdana"/>
            <w:b/>
            <w:bCs/>
            <w:noProof/>
          </w:rPr>
          <w:t xml:space="preserve">Figure 10 </w:t>
        </w:r>
        <w:r w:rsidR="008B66DC" w:rsidRPr="000A22BC">
          <w:rPr>
            <w:rStyle w:val="Hyperlink"/>
            <w:rFonts w:ascii="Verdana" w:hAnsi="Verdana"/>
            <w:noProof/>
          </w:rPr>
          <w:t>Male but not female SNCA*E46K heterozygous mice present sensory impairments at early age.</w:t>
        </w:r>
        <w:r w:rsidR="008B66DC">
          <w:rPr>
            <w:noProof/>
            <w:webHidden/>
          </w:rPr>
          <w:tab/>
        </w:r>
        <w:r w:rsidR="008B66DC">
          <w:rPr>
            <w:noProof/>
            <w:webHidden/>
          </w:rPr>
          <w:fldChar w:fldCharType="begin"/>
        </w:r>
        <w:r w:rsidR="008B66DC">
          <w:rPr>
            <w:noProof/>
            <w:webHidden/>
          </w:rPr>
          <w:instrText xml:space="preserve"> PAGEREF _Toc131412752 \h </w:instrText>
        </w:r>
        <w:r w:rsidR="008B66DC">
          <w:rPr>
            <w:noProof/>
            <w:webHidden/>
          </w:rPr>
        </w:r>
        <w:r w:rsidR="008B66DC">
          <w:rPr>
            <w:noProof/>
            <w:webHidden/>
          </w:rPr>
          <w:fldChar w:fldCharType="separate"/>
        </w:r>
        <w:r w:rsidR="001D505F">
          <w:rPr>
            <w:noProof/>
            <w:webHidden/>
          </w:rPr>
          <w:t>74</w:t>
        </w:r>
        <w:r w:rsidR="008B66DC">
          <w:rPr>
            <w:noProof/>
            <w:webHidden/>
          </w:rPr>
          <w:fldChar w:fldCharType="end"/>
        </w:r>
      </w:hyperlink>
    </w:p>
    <w:p w14:paraId="56001CD1" w14:textId="7D2B0308" w:rsidR="008B66DC" w:rsidRDefault="006277BA" w:rsidP="008153FE">
      <w:pPr>
        <w:pStyle w:val="TableofFigures"/>
        <w:tabs>
          <w:tab w:val="right" w:leader="dot" w:pos="8778"/>
        </w:tabs>
        <w:ind w:firstLine="0"/>
        <w:rPr>
          <w:rFonts w:eastAsiaTheme="minorEastAsia"/>
          <w:noProof/>
          <w:lang w:val="en-GB" w:eastAsia="en-GB"/>
        </w:rPr>
      </w:pPr>
      <w:hyperlink r:id="rId24" w:anchor="_Toc131412753" w:history="1">
        <w:r w:rsidR="008B66DC" w:rsidRPr="000A22BC">
          <w:rPr>
            <w:rStyle w:val="Hyperlink"/>
            <w:rFonts w:ascii="Verdana" w:hAnsi="Verdana"/>
            <w:b/>
            <w:bCs/>
            <w:noProof/>
          </w:rPr>
          <w:t>Figure 11</w:t>
        </w:r>
        <w:r w:rsidR="008B66DC" w:rsidRPr="000A22BC">
          <w:rPr>
            <w:rStyle w:val="Hyperlink"/>
            <w:rFonts w:ascii="Verdana" w:hAnsi="Verdana"/>
            <w:noProof/>
          </w:rPr>
          <w:t xml:space="preserve"> Profiling of alpha-synuclein mRNA and protein expression in the hippocampus of HET and WT mice.</w:t>
        </w:r>
        <w:r w:rsidR="008B66DC">
          <w:rPr>
            <w:noProof/>
            <w:webHidden/>
          </w:rPr>
          <w:tab/>
        </w:r>
        <w:r w:rsidR="008B66DC">
          <w:rPr>
            <w:noProof/>
            <w:webHidden/>
          </w:rPr>
          <w:fldChar w:fldCharType="begin"/>
        </w:r>
        <w:r w:rsidR="008B66DC">
          <w:rPr>
            <w:noProof/>
            <w:webHidden/>
          </w:rPr>
          <w:instrText xml:space="preserve"> PAGEREF _Toc131412753 \h </w:instrText>
        </w:r>
        <w:r w:rsidR="008B66DC">
          <w:rPr>
            <w:noProof/>
            <w:webHidden/>
          </w:rPr>
        </w:r>
        <w:r w:rsidR="008B66DC">
          <w:rPr>
            <w:noProof/>
            <w:webHidden/>
          </w:rPr>
          <w:fldChar w:fldCharType="separate"/>
        </w:r>
        <w:r w:rsidR="001D505F">
          <w:rPr>
            <w:noProof/>
            <w:webHidden/>
          </w:rPr>
          <w:t>79</w:t>
        </w:r>
        <w:r w:rsidR="008B66DC">
          <w:rPr>
            <w:noProof/>
            <w:webHidden/>
          </w:rPr>
          <w:fldChar w:fldCharType="end"/>
        </w:r>
      </w:hyperlink>
    </w:p>
    <w:p w14:paraId="5D5E5537" w14:textId="51C78EE6" w:rsidR="008B66DC" w:rsidRDefault="006277BA" w:rsidP="008153FE">
      <w:pPr>
        <w:pStyle w:val="TableofFigures"/>
        <w:tabs>
          <w:tab w:val="right" w:leader="dot" w:pos="8778"/>
        </w:tabs>
        <w:ind w:firstLine="0"/>
        <w:rPr>
          <w:rFonts w:eastAsiaTheme="minorEastAsia"/>
          <w:noProof/>
          <w:lang w:val="en-GB" w:eastAsia="en-GB"/>
        </w:rPr>
      </w:pPr>
      <w:hyperlink r:id="rId25" w:anchor="_Toc131412754" w:history="1">
        <w:r w:rsidR="008B66DC" w:rsidRPr="000A22BC">
          <w:rPr>
            <w:rStyle w:val="Hyperlink"/>
            <w:rFonts w:ascii="Verdana" w:hAnsi="Verdana"/>
            <w:b/>
            <w:bCs/>
            <w:noProof/>
          </w:rPr>
          <w:t>Figure 12</w:t>
        </w:r>
        <w:r w:rsidR="008B66DC" w:rsidRPr="000A22BC">
          <w:rPr>
            <w:rStyle w:val="Hyperlink"/>
            <w:rFonts w:ascii="Verdana" w:hAnsi="Verdana"/>
            <w:noProof/>
          </w:rPr>
          <w:t xml:space="preserve"> Young HET males but not females present short-term memory impairments in the Y-maze test</w:t>
        </w:r>
        <w:r w:rsidR="008B66DC">
          <w:rPr>
            <w:noProof/>
            <w:webHidden/>
          </w:rPr>
          <w:tab/>
        </w:r>
        <w:r w:rsidR="008B66DC">
          <w:rPr>
            <w:noProof/>
            <w:webHidden/>
          </w:rPr>
          <w:fldChar w:fldCharType="begin"/>
        </w:r>
        <w:r w:rsidR="008B66DC">
          <w:rPr>
            <w:noProof/>
            <w:webHidden/>
          </w:rPr>
          <w:instrText xml:space="preserve"> PAGEREF _Toc131412754 \h </w:instrText>
        </w:r>
        <w:r w:rsidR="008B66DC">
          <w:rPr>
            <w:noProof/>
            <w:webHidden/>
          </w:rPr>
        </w:r>
        <w:r w:rsidR="008B66DC">
          <w:rPr>
            <w:noProof/>
            <w:webHidden/>
          </w:rPr>
          <w:fldChar w:fldCharType="separate"/>
        </w:r>
        <w:r w:rsidR="001D505F">
          <w:rPr>
            <w:noProof/>
            <w:webHidden/>
          </w:rPr>
          <w:t>81</w:t>
        </w:r>
        <w:r w:rsidR="008B66DC">
          <w:rPr>
            <w:noProof/>
            <w:webHidden/>
          </w:rPr>
          <w:fldChar w:fldCharType="end"/>
        </w:r>
      </w:hyperlink>
    </w:p>
    <w:p w14:paraId="06F81047" w14:textId="7D219BFF" w:rsidR="008B66DC" w:rsidRDefault="006277BA" w:rsidP="008153FE">
      <w:pPr>
        <w:pStyle w:val="TableofFigures"/>
        <w:tabs>
          <w:tab w:val="right" w:leader="dot" w:pos="8778"/>
        </w:tabs>
        <w:ind w:firstLine="0"/>
        <w:rPr>
          <w:rFonts w:eastAsiaTheme="minorEastAsia"/>
          <w:noProof/>
          <w:lang w:val="en-GB" w:eastAsia="en-GB"/>
        </w:rPr>
      </w:pPr>
      <w:hyperlink r:id="rId26" w:anchor="_Toc131412755" w:history="1">
        <w:r w:rsidR="008B66DC" w:rsidRPr="000A22BC">
          <w:rPr>
            <w:rStyle w:val="Hyperlink"/>
            <w:rFonts w:ascii="Verdana" w:hAnsi="Verdana"/>
            <w:b/>
            <w:bCs/>
            <w:noProof/>
          </w:rPr>
          <w:t xml:space="preserve">Figure 13 </w:t>
        </w:r>
        <w:r w:rsidR="008B66DC" w:rsidRPr="000A22BC">
          <w:rPr>
            <w:rStyle w:val="Hyperlink"/>
            <w:rFonts w:ascii="Verdana" w:hAnsi="Verdana"/>
            <w:noProof/>
          </w:rPr>
          <w:t>Differential expression in the hippocampus of SNCA*E46K mice and WT littermates is mostly driven by age.</w:t>
        </w:r>
        <w:r w:rsidR="008B66DC">
          <w:rPr>
            <w:noProof/>
            <w:webHidden/>
          </w:rPr>
          <w:tab/>
        </w:r>
        <w:r w:rsidR="008B66DC">
          <w:rPr>
            <w:noProof/>
            <w:webHidden/>
          </w:rPr>
          <w:fldChar w:fldCharType="begin"/>
        </w:r>
        <w:r w:rsidR="008B66DC">
          <w:rPr>
            <w:noProof/>
            <w:webHidden/>
          </w:rPr>
          <w:instrText xml:space="preserve"> PAGEREF _Toc131412755 \h </w:instrText>
        </w:r>
        <w:r w:rsidR="008B66DC">
          <w:rPr>
            <w:noProof/>
            <w:webHidden/>
          </w:rPr>
        </w:r>
        <w:r w:rsidR="008B66DC">
          <w:rPr>
            <w:noProof/>
            <w:webHidden/>
          </w:rPr>
          <w:fldChar w:fldCharType="separate"/>
        </w:r>
        <w:r w:rsidR="001D505F">
          <w:rPr>
            <w:noProof/>
            <w:webHidden/>
          </w:rPr>
          <w:t>84</w:t>
        </w:r>
        <w:r w:rsidR="008B66DC">
          <w:rPr>
            <w:noProof/>
            <w:webHidden/>
          </w:rPr>
          <w:fldChar w:fldCharType="end"/>
        </w:r>
      </w:hyperlink>
    </w:p>
    <w:p w14:paraId="7595197B" w14:textId="4BBCCDEB" w:rsidR="008B66DC" w:rsidRDefault="006277BA" w:rsidP="008153FE">
      <w:pPr>
        <w:pStyle w:val="TableofFigures"/>
        <w:tabs>
          <w:tab w:val="right" w:leader="dot" w:pos="8778"/>
        </w:tabs>
        <w:ind w:firstLine="0"/>
        <w:rPr>
          <w:rFonts w:eastAsiaTheme="minorEastAsia"/>
          <w:noProof/>
          <w:lang w:val="en-GB" w:eastAsia="en-GB"/>
        </w:rPr>
      </w:pPr>
      <w:hyperlink r:id="rId27" w:anchor="_Toc131412756" w:history="1">
        <w:r w:rsidR="008B66DC" w:rsidRPr="000A22BC">
          <w:rPr>
            <w:rStyle w:val="Hyperlink"/>
            <w:rFonts w:ascii="Verdana" w:hAnsi="Verdana"/>
            <w:b/>
            <w:bCs/>
            <w:noProof/>
          </w:rPr>
          <w:t xml:space="preserve">Figure 14 </w:t>
        </w:r>
        <w:r w:rsidR="008B66DC" w:rsidRPr="000A22BC">
          <w:rPr>
            <w:rStyle w:val="Hyperlink"/>
            <w:rFonts w:ascii="Verdana" w:hAnsi="Verdana"/>
            <w:noProof/>
          </w:rPr>
          <w:t>Transcriptional changes in the hippocampus of young HET male mice.</w:t>
        </w:r>
        <w:r w:rsidR="008B66DC">
          <w:rPr>
            <w:noProof/>
            <w:webHidden/>
          </w:rPr>
          <w:tab/>
        </w:r>
        <w:r w:rsidR="008B66DC">
          <w:rPr>
            <w:noProof/>
            <w:webHidden/>
          </w:rPr>
          <w:fldChar w:fldCharType="begin"/>
        </w:r>
        <w:r w:rsidR="008B66DC">
          <w:rPr>
            <w:noProof/>
            <w:webHidden/>
          </w:rPr>
          <w:instrText xml:space="preserve"> PAGEREF _Toc131412756 \h </w:instrText>
        </w:r>
        <w:r w:rsidR="008B66DC">
          <w:rPr>
            <w:noProof/>
            <w:webHidden/>
          </w:rPr>
        </w:r>
        <w:r w:rsidR="008B66DC">
          <w:rPr>
            <w:noProof/>
            <w:webHidden/>
          </w:rPr>
          <w:fldChar w:fldCharType="separate"/>
        </w:r>
        <w:r w:rsidR="001D505F">
          <w:rPr>
            <w:noProof/>
            <w:webHidden/>
          </w:rPr>
          <w:t>86</w:t>
        </w:r>
        <w:r w:rsidR="008B66DC">
          <w:rPr>
            <w:noProof/>
            <w:webHidden/>
          </w:rPr>
          <w:fldChar w:fldCharType="end"/>
        </w:r>
      </w:hyperlink>
    </w:p>
    <w:p w14:paraId="73FF6B88" w14:textId="6E1C8EF7" w:rsidR="008B66DC" w:rsidRDefault="006277BA" w:rsidP="008153FE">
      <w:pPr>
        <w:pStyle w:val="TableofFigures"/>
        <w:tabs>
          <w:tab w:val="right" w:leader="dot" w:pos="8778"/>
        </w:tabs>
        <w:ind w:firstLine="0"/>
        <w:rPr>
          <w:rFonts w:eastAsiaTheme="minorEastAsia"/>
          <w:noProof/>
          <w:lang w:val="en-GB" w:eastAsia="en-GB"/>
        </w:rPr>
      </w:pPr>
      <w:hyperlink r:id="rId28" w:anchor="_Toc131412757" w:history="1">
        <w:r w:rsidR="008B66DC" w:rsidRPr="000A22BC">
          <w:rPr>
            <w:rStyle w:val="Hyperlink"/>
            <w:rFonts w:ascii="Verdana" w:hAnsi="Verdana"/>
            <w:b/>
            <w:bCs/>
            <w:noProof/>
          </w:rPr>
          <w:t xml:space="preserve">Figure 15 </w:t>
        </w:r>
        <w:r w:rsidR="008B66DC" w:rsidRPr="000A22BC">
          <w:rPr>
            <w:rStyle w:val="Hyperlink"/>
            <w:rFonts w:ascii="Verdana" w:hAnsi="Verdana"/>
            <w:noProof/>
          </w:rPr>
          <w:t>Transcriptional changes in the hippocampus of old WT female mice.</w:t>
        </w:r>
        <w:r w:rsidR="008B66DC">
          <w:rPr>
            <w:noProof/>
            <w:webHidden/>
          </w:rPr>
          <w:tab/>
        </w:r>
        <w:r w:rsidR="008B66DC">
          <w:rPr>
            <w:noProof/>
            <w:webHidden/>
          </w:rPr>
          <w:fldChar w:fldCharType="begin"/>
        </w:r>
        <w:r w:rsidR="008B66DC">
          <w:rPr>
            <w:noProof/>
            <w:webHidden/>
          </w:rPr>
          <w:instrText xml:space="preserve"> PAGEREF _Toc131412757 \h </w:instrText>
        </w:r>
        <w:r w:rsidR="008B66DC">
          <w:rPr>
            <w:noProof/>
            <w:webHidden/>
          </w:rPr>
        </w:r>
        <w:r w:rsidR="008B66DC">
          <w:rPr>
            <w:noProof/>
            <w:webHidden/>
          </w:rPr>
          <w:fldChar w:fldCharType="separate"/>
        </w:r>
        <w:r w:rsidR="001D505F">
          <w:rPr>
            <w:noProof/>
            <w:webHidden/>
          </w:rPr>
          <w:t>88</w:t>
        </w:r>
        <w:r w:rsidR="008B66DC">
          <w:rPr>
            <w:noProof/>
            <w:webHidden/>
          </w:rPr>
          <w:fldChar w:fldCharType="end"/>
        </w:r>
      </w:hyperlink>
    </w:p>
    <w:p w14:paraId="28CD3752" w14:textId="60F8BB0F" w:rsidR="008B66DC" w:rsidRDefault="006277BA" w:rsidP="008153FE">
      <w:pPr>
        <w:pStyle w:val="TableofFigures"/>
        <w:tabs>
          <w:tab w:val="right" w:leader="dot" w:pos="8778"/>
        </w:tabs>
        <w:ind w:firstLine="0"/>
        <w:rPr>
          <w:rFonts w:eastAsiaTheme="minorEastAsia"/>
          <w:noProof/>
          <w:lang w:val="en-GB" w:eastAsia="en-GB"/>
        </w:rPr>
      </w:pPr>
      <w:hyperlink r:id="rId29" w:anchor="_Toc131412758" w:history="1">
        <w:r w:rsidR="008B66DC" w:rsidRPr="000A22BC">
          <w:rPr>
            <w:rStyle w:val="Hyperlink"/>
            <w:rFonts w:ascii="Verdana" w:hAnsi="Verdana"/>
            <w:b/>
            <w:bCs/>
            <w:noProof/>
          </w:rPr>
          <w:t xml:space="preserve">Figure 16 </w:t>
        </w:r>
        <w:r w:rsidR="008B66DC" w:rsidRPr="000A22BC">
          <w:rPr>
            <w:rStyle w:val="Hyperlink"/>
            <w:rFonts w:ascii="Verdana" w:hAnsi="Verdana"/>
            <w:noProof/>
          </w:rPr>
          <w:t>Transcriptional changes in the hippocampus of middle-age HET female mice.</w:t>
        </w:r>
        <w:r w:rsidR="008B66DC">
          <w:rPr>
            <w:noProof/>
            <w:webHidden/>
          </w:rPr>
          <w:tab/>
        </w:r>
        <w:r w:rsidR="008B66DC">
          <w:rPr>
            <w:noProof/>
            <w:webHidden/>
          </w:rPr>
          <w:fldChar w:fldCharType="begin"/>
        </w:r>
        <w:r w:rsidR="008B66DC">
          <w:rPr>
            <w:noProof/>
            <w:webHidden/>
          </w:rPr>
          <w:instrText xml:space="preserve"> PAGEREF _Toc131412758 \h </w:instrText>
        </w:r>
        <w:r w:rsidR="008B66DC">
          <w:rPr>
            <w:noProof/>
            <w:webHidden/>
          </w:rPr>
        </w:r>
        <w:r w:rsidR="008B66DC">
          <w:rPr>
            <w:noProof/>
            <w:webHidden/>
          </w:rPr>
          <w:fldChar w:fldCharType="separate"/>
        </w:r>
        <w:r w:rsidR="001D505F">
          <w:rPr>
            <w:noProof/>
            <w:webHidden/>
          </w:rPr>
          <w:t>91</w:t>
        </w:r>
        <w:r w:rsidR="008B66DC">
          <w:rPr>
            <w:noProof/>
            <w:webHidden/>
          </w:rPr>
          <w:fldChar w:fldCharType="end"/>
        </w:r>
      </w:hyperlink>
    </w:p>
    <w:p w14:paraId="63D00274" w14:textId="7AAECD81" w:rsidR="008B66DC" w:rsidRDefault="006277BA" w:rsidP="008153FE">
      <w:pPr>
        <w:pStyle w:val="TableofFigures"/>
        <w:tabs>
          <w:tab w:val="right" w:leader="dot" w:pos="8778"/>
        </w:tabs>
        <w:ind w:firstLine="0"/>
        <w:rPr>
          <w:rFonts w:eastAsiaTheme="minorEastAsia"/>
          <w:noProof/>
          <w:lang w:val="en-GB" w:eastAsia="en-GB"/>
        </w:rPr>
      </w:pPr>
      <w:hyperlink r:id="rId30" w:anchor="_Toc131412759" w:history="1">
        <w:r w:rsidR="008B66DC" w:rsidRPr="000A22BC">
          <w:rPr>
            <w:rStyle w:val="Hyperlink"/>
            <w:rFonts w:ascii="Verdana" w:hAnsi="Verdana"/>
            <w:b/>
            <w:bCs/>
            <w:noProof/>
            <w:lang w:val="en-GB"/>
          </w:rPr>
          <w:t xml:space="preserve">Figure 17 </w:t>
        </w:r>
        <w:r w:rsidR="008B66DC" w:rsidRPr="000A22BC">
          <w:rPr>
            <w:rStyle w:val="Hyperlink"/>
            <w:rFonts w:ascii="Verdana" w:hAnsi="Verdana"/>
            <w:noProof/>
          </w:rPr>
          <w:t>Transcriptional changes in the hippocampus of old HET female mice.</w:t>
        </w:r>
        <w:r w:rsidR="008B66DC">
          <w:rPr>
            <w:noProof/>
            <w:webHidden/>
          </w:rPr>
          <w:tab/>
        </w:r>
        <w:r w:rsidR="008B66DC">
          <w:rPr>
            <w:noProof/>
            <w:webHidden/>
          </w:rPr>
          <w:fldChar w:fldCharType="begin"/>
        </w:r>
        <w:r w:rsidR="008B66DC">
          <w:rPr>
            <w:noProof/>
            <w:webHidden/>
          </w:rPr>
          <w:instrText xml:space="preserve"> PAGEREF _Toc131412759 \h </w:instrText>
        </w:r>
        <w:r w:rsidR="008B66DC">
          <w:rPr>
            <w:noProof/>
            <w:webHidden/>
          </w:rPr>
        </w:r>
        <w:r w:rsidR="008B66DC">
          <w:rPr>
            <w:noProof/>
            <w:webHidden/>
          </w:rPr>
          <w:fldChar w:fldCharType="separate"/>
        </w:r>
        <w:r w:rsidR="001D505F">
          <w:rPr>
            <w:noProof/>
            <w:webHidden/>
          </w:rPr>
          <w:t>92</w:t>
        </w:r>
        <w:r w:rsidR="008B66DC">
          <w:rPr>
            <w:noProof/>
            <w:webHidden/>
          </w:rPr>
          <w:fldChar w:fldCharType="end"/>
        </w:r>
      </w:hyperlink>
    </w:p>
    <w:p w14:paraId="3DFB08C9" w14:textId="154F1C00" w:rsidR="008B66DC" w:rsidRDefault="006277BA" w:rsidP="008153FE">
      <w:pPr>
        <w:pStyle w:val="TableofFigures"/>
        <w:tabs>
          <w:tab w:val="right" w:leader="dot" w:pos="8778"/>
        </w:tabs>
        <w:ind w:firstLine="0"/>
        <w:rPr>
          <w:rFonts w:eastAsiaTheme="minorEastAsia"/>
          <w:noProof/>
          <w:lang w:val="en-GB" w:eastAsia="en-GB"/>
        </w:rPr>
      </w:pPr>
      <w:hyperlink r:id="rId31" w:anchor="_Toc131412760" w:history="1">
        <w:r w:rsidR="008B66DC" w:rsidRPr="000A22BC">
          <w:rPr>
            <w:rStyle w:val="Hyperlink"/>
            <w:rFonts w:ascii="Verdana" w:hAnsi="Verdana"/>
            <w:b/>
            <w:bCs/>
            <w:noProof/>
          </w:rPr>
          <w:t xml:space="preserve">Figure 18 </w:t>
        </w:r>
        <w:r w:rsidR="008B66DC" w:rsidRPr="000A22BC">
          <w:rPr>
            <w:rStyle w:val="Hyperlink"/>
            <w:rFonts w:ascii="Verdana" w:hAnsi="Verdana"/>
            <w:noProof/>
          </w:rPr>
          <w:t>Male mice show a strong sex-specific transcriptomic response to DJ-1 knock-out at 8-months of age</w:t>
        </w:r>
        <w:r w:rsidR="008B66DC">
          <w:rPr>
            <w:noProof/>
            <w:webHidden/>
          </w:rPr>
          <w:tab/>
        </w:r>
        <w:r w:rsidR="008B66DC">
          <w:rPr>
            <w:noProof/>
            <w:webHidden/>
          </w:rPr>
          <w:fldChar w:fldCharType="begin"/>
        </w:r>
        <w:r w:rsidR="008B66DC">
          <w:rPr>
            <w:noProof/>
            <w:webHidden/>
          </w:rPr>
          <w:instrText xml:space="preserve"> PAGEREF _Toc131412760 \h </w:instrText>
        </w:r>
        <w:r w:rsidR="008B66DC">
          <w:rPr>
            <w:noProof/>
            <w:webHidden/>
          </w:rPr>
        </w:r>
        <w:r w:rsidR="008B66DC">
          <w:rPr>
            <w:noProof/>
            <w:webHidden/>
          </w:rPr>
          <w:fldChar w:fldCharType="separate"/>
        </w:r>
        <w:r w:rsidR="001D505F">
          <w:rPr>
            <w:noProof/>
            <w:webHidden/>
          </w:rPr>
          <w:t>97</w:t>
        </w:r>
        <w:r w:rsidR="008B66DC">
          <w:rPr>
            <w:noProof/>
            <w:webHidden/>
          </w:rPr>
          <w:fldChar w:fldCharType="end"/>
        </w:r>
      </w:hyperlink>
    </w:p>
    <w:p w14:paraId="628CEF65" w14:textId="56AFCD28" w:rsidR="008B66DC" w:rsidRDefault="006277BA" w:rsidP="008153FE">
      <w:pPr>
        <w:pStyle w:val="TableofFigures"/>
        <w:tabs>
          <w:tab w:val="right" w:leader="dot" w:pos="8778"/>
        </w:tabs>
        <w:ind w:firstLine="0"/>
        <w:rPr>
          <w:rFonts w:eastAsiaTheme="minorEastAsia"/>
          <w:noProof/>
          <w:lang w:val="en-GB" w:eastAsia="en-GB"/>
        </w:rPr>
      </w:pPr>
      <w:hyperlink r:id="rId32" w:anchor="_Toc131412761" w:history="1">
        <w:r w:rsidR="008B66DC" w:rsidRPr="000A22BC">
          <w:rPr>
            <w:rStyle w:val="Hyperlink"/>
            <w:rFonts w:ascii="Verdana" w:hAnsi="Verdana"/>
            <w:b/>
            <w:bCs/>
            <w:noProof/>
          </w:rPr>
          <w:t xml:space="preserve">Figure 19 </w:t>
        </w:r>
        <w:r w:rsidR="008B66DC" w:rsidRPr="000A22BC">
          <w:rPr>
            <w:rStyle w:val="Hyperlink"/>
            <w:rFonts w:ascii="Verdana" w:hAnsi="Verdana"/>
            <w:noProof/>
          </w:rPr>
          <w:t>Increased susceptibility to DJ-1 loss is mediated by CYP1B1 in 8-months old male mice</w:t>
        </w:r>
        <w:r w:rsidR="008B66DC">
          <w:rPr>
            <w:noProof/>
            <w:webHidden/>
          </w:rPr>
          <w:tab/>
        </w:r>
        <w:r w:rsidR="008B66DC">
          <w:rPr>
            <w:noProof/>
            <w:webHidden/>
          </w:rPr>
          <w:fldChar w:fldCharType="begin"/>
        </w:r>
        <w:r w:rsidR="008B66DC">
          <w:rPr>
            <w:noProof/>
            <w:webHidden/>
          </w:rPr>
          <w:instrText xml:space="preserve"> PAGEREF _Toc131412761 \h </w:instrText>
        </w:r>
        <w:r w:rsidR="008B66DC">
          <w:rPr>
            <w:noProof/>
            <w:webHidden/>
          </w:rPr>
        </w:r>
        <w:r w:rsidR="008B66DC">
          <w:rPr>
            <w:noProof/>
            <w:webHidden/>
          </w:rPr>
          <w:fldChar w:fldCharType="separate"/>
        </w:r>
        <w:r w:rsidR="001D505F">
          <w:rPr>
            <w:noProof/>
            <w:webHidden/>
          </w:rPr>
          <w:t>99</w:t>
        </w:r>
        <w:r w:rsidR="008B66DC">
          <w:rPr>
            <w:noProof/>
            <w:webHidden/>
          </w:rPr>
          <w:fldChar w:fldCharType="end"/>
        </w:r>
      </w:hyperlink>
    </w:p>
    <w:p w14:paraId="53C8D081" w14:textId="0CC8BFA4" w:rsidR="008B66DC" w:rsidRDefault="006277BA" w:rsidP="008153FE">
      <w:pPr>
        <w:pStyle w:val="TableofFigures"/>
        <w:tabs>
          <w:tab w:val="right" w:leader="dot" w:pos="8778"/>
        </w:tabs>
        <w:ind w:firstLine="0"/>
        <w:rPr>
          <w:rFonts w:eastAsiaTheme="minorEastAsia"/>
          <w:noProof/>
          <w:lang w:val="en-GB" w:eastAsia="en-GB"/>
        </w:rPr>
      </w:pPr>
      <w:hyperlink r:id="rId33" w:anchor="_Toc131412762" w:history="1">
        <w:r w:rsidR="008B66DC" w:rsidRPr="000A22BC">
          <w:rPr>
            <w:rStyle w:val="Hyperlink"/>
            <w:rFonts w:ascii="Verdana" w:hAnsi="Verdana"/>
            <w:b/>
            <w:bCs/>
            <w:noProof/>
          </w:rPr>
          <w:t xml:space="preserve">Figure 20  </w:t>
        </w:r>
        <w:r w:rsidR="008B66DC" w:rsidRPr="000A22BC">
          <w:rPr>
            <w:rStyle w:val="Hyperlink"/>
            <w:rFonts w:ascii="Verdana" w:hAnsi="Verdana"/>
            <w:noProof/>
          </w:rPr>
          <w:t>Nrf2 signal colocalizes with GFAP in the midbrain of DJ-1 mice.</w:t>
        </w:r>
        <w:r w:rsidR="008B66DC">
          <w:rPr>
            <w:noProof/>
            <w:webHidden/>
          </w:rPr>
          <w:tab/>
        </w:r>
        <w:r w:rsidR="008B66DC">
          <w:rPr>
            <w:noProof/>
            <w:webHidden/>
          </w:rPr>
          <w:fldChar w:fldCharType="begin"/>
        </w:r>
        <w:r w:rsidR="008B66DC">
          <w:rPr>
            <w:noProof/>
            <w:webHidden/>
          </w:rPr>
          <w:instrText xml:space="preserve"> PAGEREF _Toc131412762 \h </w:instrText>
        </w:r>
        <w:r w:rsidR="008B66DC">
          <w:rPr>
            <w:noProof/>
            <w:webHidden/>
          </w:rPr>
        </w:r>
        <w:r w:rsidR="008B66DC">
          <w:rPr>
            <w:noProof/>
            <w:webHidden/>
          </w:rPr>
          <w:fldChar w:fldCharType="separate"/>
        </w:r>
        <w:r w:rsidR="001D505F">
          <w:rPr>
            <w:noProof/>
            <w:webHidden/>
          </w:rPr>
          <w:t>101</w:t>
        </w:r>
        <w:r w:rsidR="008B66DC">
          <w:rPr>
            <w:noProof/>
            <w:webHidden/>
          </w:rPr>
          <w:fldChar w:fldCharType="end"/>
        </w:r>
      </w:hyperlink>
    </w:p>
    <w:p w14:paraId="59F3C465" w14:textId="4062C5A5" w:rsidR="008B66DC" w:rsidRDefault="006277BA" w:rsidP="008153FE">
      <w:pPr>
        <w:pStyle w:val="TableofFigures"/>
        <w:tabs>
          <w:tab w:val="right" w:leader="dot" w:pos="8778"/>
        </w:tabs>
        <w:ind w:firstLine="0"/>
        <w:rPr>
          <w:rFonts w:eastAsiaTheme="minorEastAsia"/>
          <w:noProof/>
          <w:lang w:val="en-GB" w:eastAsia="en-GB"/>
        </w:rPr>
      </w:pPr>
      <w:hyperlink r:id="rId34" w:anchor="_Toc131412763" w:history="1">
        <w:r w:rsidR="008B66DC" w:rsidRPr="000A22BC">
          <w:rPr>
            <w:rStyle w:val="Hyperlink"/>
            <w:rFonts w:ascii="Verdana" w:hAnsi="Verdana"/>
            <w:b/>
            <w:bCs/>
            <w:noProof/>
            <w:lang w:val="en-GB"/>
          </w:rPr>
          <w:t xml:space="preserve">Figure 21 </w:t>
        </w:r>
        <w:r w:rsidR="008B66DC" w:rsidRPr="000A22BC">
          <w:rPr>
            <w:rStyle w:val="Hyperlink"/>
            <w:rFonts w:ascii="Verdana" w:hAnsi="Verdana"/>
            <w:noProof/>
            <w:lang w:val="en-GB"/>
          </w:rPr>
          <w:t>Phosphorylated alpha-synuclein staining shows nuclear localisation in the brain of transgenic Thy1-Syn14 mice</w:t>
        </w:r>
        <w:r w:rsidR="008B66DC">
          <w:rPr>
            <w:noProof/>
            <w:webHidden/>
          </w:rPr>
          <w:tab/>
        </w:r>
        <w:r w:rsidR="008B66DC">
          <w:rPr>
            <w:noProof/>
            <w:webHidden/>
          </w:rPr>
          <w:fldChar w:fldCharType="begin"/>
        </w:r>
        <w:r w:rsidR="008B66DC">
          <w:rPr>
            <w:noProof/>
            <w:webHidden/>
          </w:rPr>
          <w:instrText xml:space="preserve"> PAGEREF _Toc131412763 \h </w:instrText>
        </w:r>
        <w:r w:rsidR="008B66DC">
          <w:rPr>
            <w:noProof/>
            <w:webHidden/>
          </w:rPr>
        </w:r>
        <w:r w:rsidR="008B66DC">
          <w:rPr>
            <w:noProof/>
            <w:webHidden/>
          </w:rPr>
          <w:fldChar w:fldCharType="separate"/>
        </w:r>
        <w:r w:rsidR="001D505F">
          <w:rPr>
            <w:noProof/>
            <w:webHidden/>
          </w:rPr>
          <w:t>105</w:t>
        </w:r>
        <w:r w:rsidR="008B66DC">
          <w:rPr>
            <w:noProof/>
            <w:webHidden/>
          </w:rPr>
          <w:fldChar w:fldCharType="end"/>
        </w:r>
      </w:hyperlink>
    </w:p>
    <w:p w14:paraId="77C2473B" w14:textId="0016B908" w:rsidR="008B66DC" w:rsidRDefault="006277BA" w:rsidP="008153FE">
      <w:pPr>
        <w:pStyle w:val="TableofFigures"/>
        <w:tabs>
          <w:tab w:val="right" w:leader="dot" w:pos="8778"/>
        </w:tabs>
        <w:ind w:firstLine="0"/>
        <w:rPr>
          <w:rFonts w:eastAsiaTheme="minorEastAsia"/>
          <w:noProof/>
          <w:lang w:val="en-GB" w:eastAsia="en-GB"/>
        </w:rPr>
      </w:pPr>
      <w:hyperlink r:id="rId35" w:anchor="_Toc131412764" w:history="1">
        <w:r w:rsidR="008B66DC" w:rsidRPr="000A22BC">
          <w:rPr>
            <w:rStyle w:val="Hyperlink"/>
            <w:rFonts w:ascii="Verdana" w:hAnsi="Verdana"/>
            <w:b/>
            <w:bCs/>
            <w:noProof/>
          </w:rPr>
          <w:t xml:space="preserve">Figure 22 </w:t>
        </w:r>
        <w:r w:rsidR="008B66DC" w:rsidRPr="000A22BC">
          <w:rPr>
            <w:rStyle w:val="Hyperlink"/>
            <w:rFonts w:ascii="Verdana" w:hAnsi="Verdana"/>
            <w:noProof/>
          </w:rPr>
          <w:t>6-months old Thy1-Syn14 transgenic mice display alpha-synuclein driven motor deficits</w:t>
        </w:r>
        <w:r w:rsidR="008B66DC">
          <w:rPr>
            <w:noProof/>
            <w:webHidden/>
          </w:rPr>
          <w:tab/>
        </w:r>
        <w:r w:rsidR="008B66DC">
          <w:rPr>
            <w:noProof/>
            <w:webHidden/>
          </w:rPr>
          <w:fldChar w:fldCharType="begin"/>
        </w:r>
        <w:r w:rsidR="008B66DC">
          <w:rPr>
            <w:noProof/>
            <w:webHidden/>
          </w:rPr>
          <w:instrText xml:space="preserve"> PAGEREF _Toc131412764 \h </w:instrText>
        </w:r>
        <w:r w:rsidR="008B66DC">
          <w:rPr>
            <w:noProof/>
            <w:webHidden/>
          </w:rPr>
        </w:r>
        <w:r w:rsidR="008B66DC">
          <w:rPr>
            <w:noProof/>
            <w:webHidden/>
          </w:rPr>
          <w:fldChar w:fldCharType="separate"/>
        </w:r>
        <w:r w:rsidR="001D505F">
          <w:rPr>
            <w:noProof/>
            <w:webHidden/>
          </w:rPr>
          <w:t>107</w:t>
        </w:r>
        <w:r w:rsidR="008B66DC">
          <w:rPr>
            <w:noProof/>
            <w:webHidden/>
          </w:rPr>
          <w:fldChar w:fldCharType="end"/>
        </w:r>
      </w:hyperlink>
    </w:p>
    <w:p w14:paraId="73339BE4" w14:textId="5C540BD2" w:rsidR="008B66DC" w:rsidRDefault="006277BA" w:rsidP="008153FE">
      <w:pPr>
        <w:pStyle w:val="TableofFigures"/>
        <w:tabs>
          <w:tab w:val="right" w:leader="dot" w:pos="8778"/>
        </w:tabs>
        <w:ind w:firstLine="0"/>
        <w:rPr>
          <w:rFonts w:eastAsiaTheme="minorEastAsia"/>
          <w:noProof/>
          <w:lang w:val="en-GB" w:eastAsia="en-GB"/>
        </w:rPr>
      </w:pPr>
      <w:hyperlink r:id="rId36" w:anchor="_Toc131412765" w:history="1">
        <w:r w:rsidR="008B66DC" w:rsidRPr="000A22BC">
          <w:rPr>
            <w:rStyle w:val="Hyperlink"/>
            <w:rFonts w:ascii="Verdana" w:hAnsi="Verdana"/>
            <w:b/>
            <w:bCs/>
            <w:noProof/>
          </w:rPr>
          <w:t>Figure 23</w:t>
        </w:r>
        <w:r w:rsidR="008B66DC" w:rsidRPr="000A22BC">
          <w:rPr>
            <w:rStyle w:val="Hyperlink"/>
            <w:rFonts w:ascii="Verdana" w:hAnsi="Verdana"/>
            <w:noProof/>
          </w:rPr>
          <w:t xml:space="preserve"> Transgenic Thy1-Syn14 mice do not present striatal degeneration</w:t>
        </w:r>
        <w:r w:rsidR="008B66DC">
          <w:rPr>
            <w:noProof/>
            <w:webHidden/>
          </w:rPr>
          <w:tab/>
        </w:r>
        <w:r w:rsidR="008B66DC">
          <w:rPr>
            <w:noProof/>
            <w:webHidden/>
          </w:rPr>
          <w:fldChar w:fldCharType="begin"/>
        </w:r>
        <w:r w:rsidR="008B66DC">
          <w:rPr>
            <w:noProof/>
            <w:webHidden/>
          </w:rPr>
          <w:instrText xml:space="preserve"> PAGEREF _Toc131412765 \h </w:instrText>
        </w:r>
        <w:r w:rsidR="008B66DC">
          <w:rPr>
            <w:noProof/>
            <w:webHidden/>
          </w:rPr>
        </w:r>
        <w:r w:rsidR="008B66DC">
          <w:rPr>
            <w:noProof/>
            <w:webHidden/>
          </w:rPr>
          <w:fldChar w:fldCharType="separate"/>
        </w:r>
        <w:r w:rsidR="001D505F">
          <w:rPr>
            <w:noProof/>
            <w:webHidden/>
          </w:rPr>
          <w:t>108</w:t>
        </w:r>
        <w:r w:rsidR="008B66DC">
          <w:rPr>
            <w:noProof/>
            <w:webHidden/>
          </w:rPr>
          <w:fldChar w:fldCharType="end"/>
        </w:r>
      </w:hyperlink>
    </w:p>
    <w:p w14:paraId="1DF0649A" w14:textId="4EBE79BC" w:rsidR="008B66DC" w:rsidRDefault="006277BA" w:rsidP="008153FE">
      <w:pPr>
        <w:pStyle w:val="TableofFigures"/>
        <w:tabs>
          <w:tab w:val="right" w:leader="dot" w:pos="8778"/>
        </w:tabs>
        <w:ind w:firstLine="0"/>
        <w:rPr>
          <w:rFonts w:eastAsiaTheme="minorEastAsia"/>
          <w:noProof/>
          <w:lang w:val="en-GB" w:eastAsia="en-GB"/>
        </w:rPr>
      </w:pPr>
      <w:hyperlink r:id="rId37" w:anchor="_Toc131412766" w:history="1">
        <w:r w:rsidR="008B66DC" w:rsidRPr="000A22BC">
          <w:rPr>
            <w:rStyle w:val="Hyperlink"/>
            <w:rFonts w:ascii="Verdana" w:hAnsi="Verdana"/>
            <w:b/>
            <w:bCs/>
            <w:noProof/>
          </w:rPr>
          <w:t xml:space="preserve">Figure 24 </w:t>
        </w:r>
        <w:r w:rsidR="008B66DC" w:rsidRPr="000A22BC">
          <w:rPr>
            <w:rStyle w:val="Hyperlink"/>
            <w:rFonts w:ascii="Verdana" w:hAnsi="Verdana"/>
            <w:noProof/>
          </w:rPr>
          <w:t>Microglia does not interact with alpha-synuclein inclusions in the Thy1-Syn14 mouse model</w:t>
        </w:r>
        <w:r w:rsidR="008B66DC">
          <w:rPr>
            <w:noProof/>
            <w:webHidden/>
          </w:rPr>
          <w:tab/>
        </w:r>
        <w:r w:rsidR="008B66DC">
          <w:rPr>
            <w:noProof/>
            <w:webHidden/>
          </w:rPr>
          <w:fldChar w:fldCharType="begin"/>
        </w:r>
        <w:r w:rsidR="008B66DC">
          <w:rPr>
            <w:noProof/>
            <w:webHidden/>
          </w:rPr>
          <w:instrText xml:space="preserve"> PAGEREF _Toc131412766 \h </w:instrText>
        </w:r>
        <w:r w:rsidR="008B66DC">
          <w:rPr>
            <w:noProof/>
            <w:webHidden/>
          </w:rPr>
        </w:r>
        <w:r w:rsidR="008B66DC">
          <w:rPr>
            <w:noProof/>
            <w:webHidden/>
          </w:rPr>
          <w:fldChar w:fldCharType="separate"/>
        </w:r>
        <w:r w:rsidR="001D505F">
          <w:rPr>
            <w:noProof/>
            <w:webHidden/>
          </w:rPr>
          <w:t>110</w:t>
        </w:r>
        <w:r w:rsidR="008B66DC">
          <w:rPr>
            <w:noProof/>
            <w:webHidden/>
          </w:rPr>
          <w:fldChar w:fldCharType="end"/>
        </w:r>
      </w:hyperlink>
    </w:p>
    <w:p w14:paraId="2A503BA4" w14:textId="4CFB1A24" w:rsidR="008B66DC" w:rsidRDefault="006277BA" w:rsidP="008153FE">
      <w:pPr>
        <w:pStyle w:val="TableofFigures"/>
        <w:tabs>
          <w:tab w:val="right" w:leader="dot" w:pos="8778"/>
        </w:tabs>
        <w:ind w:firstLine="0"/>
        <w:rPr>
          <w:rFonts w:eastAsiaTheme="minorEastAsia"/>
          <w:noProof/>
          <w:lang w:val="en-GB" w:eastAsia="en-GB"/>
        </w:rPr>
      </w:pPr>
      <w:hyperlink r:id="rId38" w:anchor="_Toc131412767" w:history="1">
        <w:r w:rsidR="008B66DC" w:rsidRPr="000A22BC">
          <w:rPr>
            <w:rStyle w:val="Hyperlink"/>
            <w:rFonts w:ascii="Verdana" w:hAnsi="Verdana"/>
            <w:b/>
            <w:bCs/>
            <w:noProof/>
          </w:rPr>
          <w:t xml:space="preserve">Figure 25 </w:t>
        </w:r>
        <w:r w:rsidR="008B66DC" w:rsidRPr="000A22BC">
          <w:rPr>
            <w:rStyle w:val="Hyperlink"/>
            <w:rFonts w:ascii="Verdana" w:hAnsi="Verdana"/>
            <w:noProof/>
          </w:rPr>
          <w:t>Transgenic Thy1-Syn14 mice do not show differential expression from WT littermates in the midbrain</w:t>
        </w:r>
        <w:r w:rsidR="008B66DC">
          <w:rPr>
            <w:noProof/>
            <w:webHidden/>
          </w:rPr>
          <w:tab/>
        </w:r>
        <w:r w:rsidR="008B66DC">
          <w:rPr>
            <w:noProof/>
            <w:webHidden/>
          </w:rPr>
          <w:fldChar w:fldCharType="begin"/>
        </w:r>
        <w:r w:rsidR="008B66DC">
          <w:rPr>
            <w:noProof/>
            <w:webHidden/>
          </w:rPr>
          <w:instrText xml:space="preserve"> PAGEREF _Toc131412767 \h </w:instrText>
        </w:r>
        <w:r w:rsidR="008B66DC">
          <w:rPr>
            <w:noProof/>
            <w:webHidden/>
          </w:rPr>
        </w:r>
        <w:r w:rsidR="008B66DC">
          <w:rPr>
            <w:noProof/>
            <w:webHidden/>
          </w:rPr>
          <w:fldChar w:fldCharType="separate"/>
        </w:r>
        <w:r w:rsidR="001D505F">
          <w:rPr>
            <w:noProof/>
            <w:webHidden/>
          </w:rPr>
          <w:t>111</w:t>
        </w:r>
        <w:r w:rsidR="008B66DC">
          <w:rPr>
            <w:noProof/>
            <w:webHidden/>
          </w:rPr>
          <w:fldChar w:fldCharType="end"/>
        </w:r>
      </w:hyperlink>
    </w:p>
    <w:p w14:paraId="630CD84B" w14:textId="5FAE756C" w:rsidR="008B66DC" w:rsidRDefault="006277BA" w:rsidP="008153FE">
      <w:pPr>
        <w:pStyle w:val="TableofFigures"/>
        <w:tabs>
          <w:tab w:val="right" w:leader="dot" w:pos="8778"/>
        </w:tabs>
        <w:ind w:firstLine="0"/>
        <w:rPr>
          <w:rFonts w:eastAsiaTheme="minorEastAsia"/>
          <w:noProof/>
          <w:lang w:val="en-GB" w:eastAsia="en-GB"/>
        </w:rPr>
      </w:pPr>
      <w:hyperlink r:id="rId39" w:anchor="_Toc131412768" w:history="1">
        <w:r w:rsidR="008B66DC" w:rsidRPr="000A22BC">
          <w:rPr>
            <w:rStyle w:val="Hyperlink"/>
            <w:rFonts w:ascii="Verdana" w:hAnsi="Verdana"/>
            <w:b/>
            <w:bCs/>
            <w:noProof/>
          </w:rPr>
          <w:t xml:space="preserve">Figure 26 </w:t>
        </w:r>
        <w:r w:rsidR="008B66DC" w:rsidRPr="000A22BC">
          <w:rPr>
            <w:rStyle w:val="Hyperlink"/>
            <w:rFonts w:ascii="Verdana" w:hAnsi="Verdana"/>
            <w:noProof/>
          </w:rPr>
          <w:t>Cellular markers for dopaminergic neurons, astrocytes and microglia are unchanged</w:t>
        </w:r>
        <w:r w:rsidR="008B66DC">
          <w:rPr>
            <w:noProof/>
            <w:webHidden/>
          </w:rPr>
          <w:tab/>
        </w:r>
        <w:r w:rsidR="008B66DC">
          <w:rPr>
            <w:noProof/>
            <w:webHidden/>
          </w:rPr>
          <w:fldChar w:fldCharType="begin"/>
        </w:r>
        <w:r w:rsidR="008B66DC">
          <w:rPr>
            <w:noProof/>
            <w:webHidden/>
          </w:rPr>
          <w:instrText xml:space="preserve"> PAGEREF _Toc131412768 \h </w:instrText>
        </w:r>
        <w:r w:rsidR="008B66DC">
          <w:rPr>
            <w:noProof/>
            <w:webHidden/>
          </w:rPr>
        </w:r>
        <w:r w:rsidR="008B66DC">
          <w:rPr>
            <w:noProof/>
            <w:webHidden/>
          </w:rPr>
          <w:fldChar w:fldCharType="separate"/>
        </w:r>
        <w:r w:rsidR="001D505F">
          <w:rPr>
            <w:noProof/>
            <w:webHidden/>
          </w:rPr>
          <w:t>112</w:t>
        </w:r>
        <w:r w:rsidR="008B66DC">
          <w:rPr>
            <w:noProof/>
            <w:webHidden/>
          </w:rPr>
          <w:fldChar w:fldCharType="end"/>
        </w:r>
      </w:hyperlink>
    </w:p>
    <w:p w14:paraId="7ED2ADA7" w14:textId="7B300DDD" w:rsidR="008B66DC" w:rsidRDefault="006277BA" w:rsidP="008153FE">
      <w:pPr>
        <w:pStyle w:val="TableofFigures"/>
        <w:tabs>
          <w:tab w:val="right" w:leader="dot" w:pos="8778"/>
        </w:tabs>
        <w:ind w:firstLine="0"/>
        <w:rPr>
          <w:rFonts w:eastAsiaTheme="minorEastAsia"/>
          <w:noProof/>
          <w:lang w:val="en-GB" w:eastAsia="en-GB"/>
        </w:rPr>
      </w:pPr>
      <w:hyperlink r:id="rId40" w:anchor="_Toc131412769" w:history="1">
        <w:r w:rsidR="008B66DC" w:rsidRPr="000A22BC">
          <w:rPr>
            <w:rStyle w:val="Hyperlink"/>
            <w:rFonts w:ascii="Verdana" w:hAnsi="Verdana"/>
            <w:b/>
            <w:bCs/>
            <w:noProof/>
          </w:rPr>
          <w:t xml:space="preserve">Figure 27 </w:t>
        </w:r>
        <w:r w:rsidR="008B66DC" w:rsidRPr="000A22BC">
          <w:rPr>
            <w:rStyle w:val="Hyperlink"/>
            <w:rFonts w:ascii="Verdana" w:hAnsi="Verdana"/>
            <w:noProof/>
          </w:rPr>
          <w:t>Transgenic Thy1-Syn14 mice overexpress the human SNCA transgene in brain and colon, and present age-dependent motor impairments</w:t>
        </w:r>
        <w:r w:rsidR="008B66DC">
          <w:rPr>
            <w:noProof/>
            <w:webHidden/>
          </w:rPr>
          <w:tab/>
        </w:r>
        <w:r w:rsidR="008B66DC">
          <w:rPr>
            <w:noProof/>
            <w:webHidden/>
          </w:rPr>
          <w:fldChar w:fldCharType="begin"/>
        </w:r>
        <w:r w:rsidR="008B66DC">
          <w:rPr>
            <w:noProof/>
            <w:webHidden/>
          </w:rPr>
          <w:instrText xml:space="preserve"> PAGEREF _Toc131412769 \h </w:instrText>
        </w:r>
        <w:r w:rsidR="008B66DC">
          <w:rPr>
            <w:noProof/>
            <w:webHidden/>
          </w:rPr>
        </w:r>
        <w:r w:rsidR="008B66DC">
          <w:rPr>
            <w:noProof/>
            <w:webHidden/>
          </w:rPr>
          <w:fldChar w:fldCharType="separate"/>
        </w:r>
        <w:r w:rsidR="001D505F">
          <w:rPr>
            <w:noProof/>
            <w:webHidden/>
          </w:rPr>
          <w:t>116</w:t>
        </w:r>
        <w:r w:rsidR="008B66DC">
          <w:rPr>
            <w:noProof/>
            <w:webHidden/>
          </w:rPr>
          <w:fldChar w:fldCharType="end"/>
        </w:r>
      </w:hyperlink>
    </w:p>
    <w:p w14:paraId="735CDBE5" w14:textId="3903A405" w:rsidR="008B66DC" w:rsidRDefault="006277BA" w:rsidP="008153FE">
      <w:pPr>
        <w:pStyle w:val="TableofFigures"/>
        <w:tabs>
          <w:tab w:val="right" w:leader="dot" w:pos="8778"/>
        </w:tabs>
        <w:ind w:firstLine="0"/>
        <w:rPr>
          <w:rFonts w:eastAsiaTheme="minorEastAsia"/>
          <w:noProof/>
          <w:lang w:val="en-GB" w:eastAsia="en-GB"/>
        </w:rPr>
      </w:pPr>
      <w:hyperlink r:id="rId41" w:anchor="_Toc131412770" w:history="1">
        <w:r w:rsidR="008B66DC" w:rsidRPr="000A22BC">
          <w:rPr>
            <w:rStyle w:val="Hyperlink"/>
            <w:rFonts w:ascii="Verdana" w:hAnsi="Verdana"/>
            <w:b/>
            <w:bCs/>
            <w:noProof/>
          </w:rPr>
          <w:t>Figure 28</w:t>
        </w:r>
        <w:r w:rsidR="008B66DC" w:rsidRPr="000A22BC">
          <w:rPr>
            <w:rStyle w:val="Hyperlink"/>
            <w:rFonts w:ascii="Verdana" w:hAnsi="Verdana"/>
            <w:b/>
            <w:bCs/>
            <w:i/>
            <w:iCs/>
            <w:noProof/>
          </w:rPr>
          <w:t xml:space="preserve"> </w:t>
        </w:r>
        <w:r w:rsidR="008B66DC" w:rsidRPr="000A22BC">
          <w:rPr>
            <w:rStyle w:val="Hyperlink"/>
            <w:rFonts w:ascii="Verdana" w:hAnsi="Verdana"/>
            <w:noProof/>
          </w:rPr>
          <w:t>Neurodegeneration in the nigrostriatal pathway of Thy1-Syn14 transgenic mice is driven by bacterial Curli and further exacerbated by fibre-deprivation</w:t>
        </w:r>
        <w:r w:rsidR="008B66DC">
          <w:rPr>
            <w:noProof/>
            <w:webHidden/>
          </w:rPr>
          <w:tab/>
        </w:r>
        <w:r w:rsidR="008B66DC">
          <w:rPr>
            <w:noProof/>
            <w:webHidden/>
          </w:rPr>
          <w:fldChar w:fldCharType="begin"/>
        </w:r>
        <w:r w:rsidR="008B66DC">
          <w:rPr>
            <w:noProof/>
            <w:webHidden/>
          </w:rPr>
          <w:instrText xml:space="preserve"> PAGEREF _Toc131412770 \h </w:instrText>
        </w:r>
        <w:r w:rsidR="008B66DC">
          <w:rPr>
            <w:noProof/>
            <w:webHidden/>
          </w:rPr>
        </w:r>
        <w:r w:rsidR="008B66DC">
          <w:rPr>
            <w:noProof/>
            <w:webHidden/>
          </w:rPr>
          <w:fldChar w:fldCharType="separate"/>
        </w:r>
        <w:r w:rsidR="001D505F">
          <w:rPr>
            <w:noProof/>
            <w:webHidden/>
          </w:rPr>
          <w:t>119</w:t>
        </w:r>
        <w:r w:rsidR="008B66DC">
          <w:rPr>
            <w:noProof/>
            <w:webHidden/>
          </w:rPr>
          <w:fldChar w:fldCharType="end"/>
        </w:r>
      </w:hyperlink>
    </w:p>
    <w:p w14:paraId="4C6CE6B0" w14:textId="4235694B" w:rsidR="008B66DC" w:rsidRDefault="006277BA" w:rsidP="008153FE">
      <w:pPr>
        <w:pStyle w:val="TableofFigures"/>
        <w:tabs>
          <w:tab w:val="right" w:leader="dot" w:pos="8778"/>
        </w:tabs>
        <w:ind w:firstLine="0"/>
        <w:rPr>
          <w:rFonts w:eastAsiaTheme="minorEastAsia"/>
          <w:noProof/>
          <w:lang w:val="en-GB" w:eastAsia="en-GB"/>
        </w:rPr>
      </w:pPr>
      <w:hyperlink r:id="rId42" w:anchor="_Toc131412771" w:history="1">
        <w:r w:rsidR="008B66DC" w:rsidRPr="000A22BC">
          <w:rPr>
            <w:rStyle w:val="Hyperlink"/>
            <w:rFonts w:ascii="Verdana" w:hAnsi="Verdana"/>
            <w:b/>
            <w:bCs/>
            <w:noProof/>
          </w:rPr>
          <w:t xml:space="preserve">Figure 29 </w:t>
        </w:r>
        <w:r w:rsidR="008B66DC" w:rsidRPr="000A22BC">
          <w:rPr>
            <w:rStyle w:val="Hyperlink"/>
            <w:rFonts w:ascii="Verdana" w:hAnsi="Verdana"/>
            <w:noProof/>
          </w:rPr>
          <w:t>Fibre-deprivation and exposure to Curli drive alpha-synuclein aggregation in Thy1-Syn14 transgenic mice</w:t>
        </w:r>
        <w:r w:rsidR="008B66DC">
          <w:rPr>
            <w:noProof/>
            <w:webHidden/>
          </w:rPr>
          <w:tab/>
        </w:r>
        <w:r w:rsidR="008B66DC">
          <w:rPr>
            <w:noProof/>
            <w:webHidden/>
          </w:rPr>
          <w:fldChar w:fldCharType="begin"/>
        </w:r>
        <w:r w:rsidR="008B66DC">
          <w:rPr>
            <w:noProof/>
            <w:webHidden/>
          </w:rPr>
          <w:instrText xml:space="preserve"> PAGEREF _Toc131412771 \h </w:instrText>
        </w:r>
        <w:r w:rsidR="008B66DC">
          <w:rPr>
            <w:noProof/>
            <w:webHidden/>
          </w:rPr>
        </w:r>
        <w:r w:rsidR="008B66DC">
          <w:rPr>
            <w:noProof/>
            <w:webHidden/>
          </w:rPr>
          <w:fldChar w:fldCharType="separate"/>
        </w:r>
        <w:r w:rsidR="001D505F">
          <w:rPr>
            <w:noProof/>
            <w:webHidden/>
          </w:rPr>
          <w:t>121</w:t>
        </w:r>
        <w:r w:rsidR="008B66DC">
          <w:rPr>
            <w:noProof/>
            <w:webHidden/>
          </w:rPr>
          <w:fldChar w:fldCharType="end"/>
        </w:r>
      </w:hyperlink>
    </w:p>
    <w:p w14:paraId="08DAC994" w14:textId="455EC44E" w:rsidR="008B66DC" w:rsidRDefault="006277BA" w:rsidP="008153FE">
      <w:pPr>
        <w:pStyle w:val="TableofFigures"/>
        <w:tabs>
          <w:tab w:val="right" w:leader="dot" w:pos="8778"/>
        </w:tabs>
        <w:ind w:firstLine="0"/>
        <w:rPr>
          <w:rFonts w:eastAsiaTheme="minorEastAsia"/>
          <w:noProof/>
          <w:lang w:val="en-GB" w:eastAsia="en-GB"/>
        </w:rPr>
      </w:pPr>
      <w:hyperlink r:id="rId43" w:anchor="_Toc131412772" w:history="1">
        <w:r w:rsidR="008B66DC" w:rsidRPr="000A22BC">
          <w:rPr>
            <w:rStyle w:val="Hyperlink"/>
            <w:rFonts w:ascii="Verdana" w:hAnsi="Verdana"/>
            <w:b/>
            <w:bCs/>
            <w:noProof/>
          </w:rPr>
          <w:t xml:space="preserve">Figure 30 </w:t>
        </w:r>
        <w:r w:rsidR="008B66DC" w:rsidRPr="000A22BC">
          <w:rPr>
            <w:rStyle w:val="Hyperlink"/>
            <w:rFonts w:ascii="Verdana" w:hAnsi="Verdana"/>
            <w:noProof/>
          </w:rPr>
          <w:t>Transgenic alpha-synuclein overexpression drives motor deficits in TG animals</w:t>
        </w:r>
        <w:r w:rsidR="008B66DC">
          <w:rPr>
            <w:noProof/>
            <w:webHidden/>
          </w:rPr>
          <w:tab/>
        </w:r>
        <w:r w:rsidR="008B66DC">
          <w:rPr>
            <w:noProof/>
            <w:webHidden/>
          </w:rPr>
          <w:fldChar w:fldCharType="begin"/>
        </w:r>
        <w:r w:rsidR="008B66DC">
          <w:rPr>
            <w:noProof/>
            <w:webHidden/>
          </w:rPr>
          <w:instrText xml:space="preserve"> PAGEREF _Toc131412772 \h </w:instrText>
        </w:r>
        <w:r w:rsidR="008B66DC">
          <w:rPr>
            <w:noProof/>
            <w:webHidden/>
          </w:rPr>
        </w:r>
        <w:r w:rsidR="008B66DC">
          <w:rPr>
            <w:noProof/>
            <w:webHidden/>
          </w:rPr>
          <w:fldChar w:fldCharType="separate"/>
        </w:r>
        <w:r w:rsidR="001D505F">
          <w:rPr>
            <w:noProof/>
            <w:webHidden/>
          </w:rPr>
          <w:t>123</w:t>
        </w:r>
        <w:r w:rsidR="008B66DC">
          <w:rPr>
            <w:noProof/>
            <w:webHidden/>
          </w:rPr>
          <w:fldChar w:fldCharType="end"/>
        </w:r>
      </w:hyperlink>
    </w:p>
    <w:p w14:paraId="4C73EBDC" w14:textId="42420E43" w:rsidR="008B66DC" w:rsidRDefault="006277BA" w:rsidP="008153FE">
      <w:pPr>
        <w:pStyle w:val="TableofFigures"/>
        <w:tabs>
          <w:tab w:val="right" w:leader="dot" w:pos="8778"/>
        </w:tabs>
        <w:ind w:firstLine="0"/>
        <w:rPr>
          <w:rFonts w:eastAsiaTheme="minorEastAsia"/>
          <w:noProof/>
          <w:lang w:val="en-GB" w:eastAsia="en-GB"/>
        </w:rPr>
      </w:pPr>
      <w:hyperlink r:id="rId44" w:anchor="_Toc131412773" w:history="1">
        <w:r w:rsidR="008B66DC" w:rsidRPr="000A22BC">
          <w:rPr>
            <w:rStyle w:val="Hyperlink"/>
            <w:rFonts w:ascii="Verdana" w:hAnsi="Verdana"/>
            <w:b/>
            <w:bCs/>
            <w:noProof/>
          </w:rPr>
          <w:t>Figure 31</w:t>
        </w:r>
        <w:r w:rsidR="008B66DC" w:rsidRPr="000A22BC">
          <w:rPr>
            <w:rStyle w:val="Hyperlink"/>
            <w:rFonts w:ascii="Verdana" w:hAnsi="Verdana"/>
            <w:b/>
            <w:bCs/>
            <w:i/>
            <w:iCs/>
            <w:noProof/>
          </w:rPr>
          <w:t xml:space="preserve"> </w:t>
        </w:r>
        <w:r w:rsidR="008B66DC" w:rsidRPr="000A22BC">
          <w:rPr>
            <w:rStyle w:val="Hyperlink"/>
            <w:rFonts w:ascii="Verdana" w:hAnsi="Verdana" w:cs="Arial"/>
            <w:noProof/>
          </w:rPr>
          <w:t>Curli exposure and fibre-deprivation exacerbate motor phenotype in a subset of transgenic Thy1-Syn14 mice</w:t>
        </w:r>
        <w:r w:rsidR="008B66DC">
          <w:rPr>
            <w:noProof/>
            <w:webHidden/>
          </w:rPr>
          <w:tab/>
        </w:r>
        <w:r w:rsidR="008B66DC">
          <w:rPr>
            <w:noProof/>
            <w:webHidden/>
          </w:rPr>
          <w:fldChar w:fldCharType="begin"/>
        </w:r>
        <w:r w:rsidR="008B66DC">
          <w:rPr>
            <w:noProof/>
            <w:webHidden/>
          </w:rPr>
          <w:instrText xml:space="preserve"> PAGEREF _Toc131412773 \h </w:instrText>
        </w:r>
        <w:r w:rsidR="008B66DC">
          <w:rPr>
            <w:noProof/>
            <w:webHidden/>
          </w:rPr>
        </w:r>
        <w:r w:rsidR="008B66DC">
          <w:rPr>
            <w:noProof/>
            <w:webHidden/>
          </w:rPr>
          <w:fldChar w:fldCharType="separate"/>
        </w:r>
        <w:r w:rsidR="001D505F">
          <w:rPr>
            <w:noProof/>
            <w:webHidden/>
          </w:rPr>
          <w:t>124</w:t>
        </w:r>
        <w:r w:rsidR="008B66DC">
          <w:rPr>
            <w:noProof/>
            <w:webHidden/>
          </w:rPr>
          <w:fldChar w:fldCharType="end"/>
        </w:r>
      </w:hyperlink>
    </w:p>
    <w:p w14:paraId="162C4080" w14:textId="11CEE6A6" w:rsidR="008B66DC" w:rsidRDefault="006277BA" w:rsidP="008153FE">
      <w:pPr>
        <w:pStyle w:val="TableofFigures"/>
        <w:tabs>
          <w:tab w:val="right" w:leader="dot" w:pos="8778"/>
        </w:tabs>
        <w:ind w:firstLine="0"/>
        <w:rPr>
          <w:rFonts w:eastAsiaTheme="minorEastAsia"/>
          <w:noProof/>
          <w:lang w:val="en-GB" w:eastAsia="en-GB"/>
        </w:rPr>
      </w:pPr>
      <w:hyperlink r:id="rId45" w:anchor="_Toc131412774" w:history="1">
        <w:r w:rsidR="008B66DC" w:rsidRPr="000A22BC">
          <w:rPr>
            <w:rStyle w:val="Hyperlink"/>
            <w:rFonts w:ascii="Verdana" w:hAnsi="Verdana"/>
            <w:b/>
            <w:bCs/>
            <w:noProof/>
          </w:rPr>
          <w:t xml:space="preserve">Figure 32 </w:t>
        </w:r>
        <w:r w:rsidR="008B66DC" w:rsidRPr="000A22BC">
          <w:rPr>
            <w:rStyle w:val="Hyperlink"/>
            <w:rFonts w:ascii="Verdana" w:hAnsi="Verdana"/>
            <w:noProof/>
          </w:rPr>
          <w:t>Electron Microscopy imaging of alpha-synuclein moieties</w:t>
        </w:r>
        <w:r w:rsidR="008B66DC">
          <w:rPr>
            <w:noProof/>
            <w:webHidden/>
          </w:rPr>
          <w:tab/>
        </w:r>
        <w:r w:rsidR="008B66DC">
          <w:rPr>
            <w:noProof/>
            <w:webHidden/>
          </w:rPr>
          <w:fldChar w:fldCharType="begin"/>
        </w:r>
        <w:r w:rsidR="008B66DC">
          <w:rPr>
            <w:noProof/>
            <w:webHidden/>
          </w:rPr>
          <w:instrText xml:space="preserve"> PAGEREF _Toc131412774 \h </w:instrText>
        </w:r>
        <w:r w:rsidR="008B66DC">
          <w:rPr>
            <w:noProof/>
            <w:webHidden/>
          </w:rPr>
        </w:r>
        <w:r w:rsidR="008B66DC">
          <w:rPr>
            <w:noProof/>
            <w:webHidden/>
          </w:rPr>
          <w:fldChar w:fldCharType="separate"/>
        </w:r>
        <w:r w:rsidR="001D505F">
          <w:rPr>
            <w:noProof/>
            <w:webHidden/>
          </w:rPr>
          <w:t>128</w:t>
        </w:r>
        <w:r w:rsidR="008B66DC">
          <w:rPr>
            <w:noProof/>
            <w:webHidden/>
          </w:rPr>
          <w:fldChar w:fldCharType="end"/>
        </w:r>
      </w:hyperlink>
    </w:p>
    <w:p w14:paraId="3AB31F5B" w14:textId="619BBF0D" w:rsidR="008B66DC" w:rsidRDefault="006277BA" w:rsidP="008153FE">
      <w:pPr>
        <w:pStyle w:val="TableofFigures"/>
        <w:tabs>
          <w:tab w:val="right" w:leader="dot" w:pos="8778"/>
        </w:tabs>
        <w:ind w:firstLine="0"/>
        <w:rPr>
          <w:rFonts w:eastAsiaTheme="minorEastAsia"/>
          <w:noProof/>
          <w:lang w:val="en-GB" w:eastAsia="en-GB"/>
        </w:rPr>
      </w:pPr>
      <w:hyperlink r:id="rId46" w:anchor="_Toc131412775" w:history="1">
        <w:r w:rsidR="008B66DC" w:rsidRPr="000A22BC">
          <w:rPr>
            <w:rStyle w:val="Hyperlink"/>
            <w:rFonts w:ascii="Verdana" w:hAnsi="Verdana"/>
            <w:b/>
            <w:bCs/>
            <w:noProof/>
          </w:rPr>
          <w:t>Figure 33</w:t>
        </w:r>
        <w:r w:rsidR="008B66DC" w:rsidRPr="000A22BC">
          <w:rPr>
            <w:rStyle w:val="Hyperlink"/>
            <w:rFonts w:ascii="Verdana" w:hAnsi="Verdana"/>
            <w:noProof/>
          </w:rPr>
          <w:t xml:space="preserve"> Oligomers and PFFs show dose-dependent toxicity on LUHMES WT cells</w:t>
        </w:r>
        <w:r w:rsidR="008B66DC">
          <w:rPr>
            <w:noProof/>
            <w:webHidden/>
          </w:rPr>
          <w:tab/>
        </w:r>
        <w:r w:rsidR="008B66DC">
          <w:rPr>
            <w:noProof/>
            <w:webHidden/>
          </w:rPr>
          <w:fldChar w:fldCharType="begin"/>
        </w:r>
        <w:r w:rsidR="008B66DC">
          <w:rPr>
            <w:noProof/>
            <w:webHidden/>
          </w:rPr>
          <w:instrText xml:space="preserve"> PAGEREF _Toc131412775 \h </w:instrText>
        </w:r>
        <w:r w:rsidR="008B66DC">
          <w:rPr>
            <w:noProof/>
            <w:webHidden/>
          </w:rPr>
        </w:r>
        <w:r w:rsidR="008B66DC">
          <w:rPr>
            <w:noProof/>
            <w:webHidden/>
          </w:rPr>
          <w:fldChar w:fldCharType="separate"/>
        </w:r>
        <w:r w:rsidR="001D505F">
          <w:rPr>
            <w:noProof/>
            <w:webHidden/>
          </w:rPr>
          <w:t>130</w:t>
        </w:r>
        <w:r w:rsidR="008B66DC">
          <w:rPr>
            <w:noProof/>
            <w:webHidden/>
          </w:rPr>
          <w:fldChar w:fldCharType="end"/>
        </w:r>
      </w:hyperlink>
    </w:p>
    <w:p w14:paraId="04C6AA06" w14:textId="42BD317C" w:rsidR="008B66DC" w:rsidRDefault="006277BA" w:rsidP="008153FE">
      <w:pPr>
        <w:pStyle w:val="TableofFigures"/>
        <w:tabs>
          <w:tab w:val="right" w:leader="dot" w:pos="8778"/>
        </w:tabs>
        <w:ind w:firstLine="0"/>
        <w:rPr>
          <w:rFonts w:eastAsiaTheme="minorEastAsia"/>
          <w:noProof/>
          <w:lang w:val="en-GB" w:eastAsia="en-GB"/>
        </w:rPr>
      </w:pPr>
      <w:hyperlink r:id="rId47" w:anchor="_Toc131412776" w:history="1">
        <w:r w:rsidR="008B66DC" w:rsidRPr="000A22BC">
          <w:rPr>
            <w:rStyle w:val="Hyperlink"/>
            <w:rFonts w:ascii="Verdana" w:hAnsi="Verdana"/>
            <w:b/>
            <w:bCs/>
            <w:noProof/>
          </w:rPr>
          <w:t xml:space="preserve">Figure 34 </w:t>
        </w:r>
        <w:r w:rsidR="008B66DC" w:rsidRPr="000A22BC">
          <w:rPr>
            <w:rStyle w:val="Hyperlink"/>
            <w:rFonts w:ascii="Verdana" w:hAnsi="Verdana"/>
            <w:noProof/>
          </w:rPr>
          <w:t>DJ-1 KD might determine increased susceptibility to low levels glutamate stress</w:t>
        </w:r>
        <w:r w:rsidR="008B66DC">
          <w:rPr>
            <w:noProof/>
            <w:webHidden/>
          </w:rPr>
          <w:tab/>
        </w:r>
        <w:r w:rsidR="008B66DC">
          <w:rPr>
            <w:noProof/>
            <w:webHidden/>
          </w:rPr>
          <w:fldChar w:fldCharType="begin"/>
        </w:r>
        <w:r w:rsidR="008B66DC">
          <w:rPr>
            <w:noProof/>
            <w:webHidden/>
          </w:rPr>
          <w:instrText xml:space="preserve"> PAGEREF _Toc131412776 \h </w:instrText>
        </w:r>
        <w:r w:rsidR="008B66DC">
          <w:rPr>
            <w:noProof/>
            <w:webHidden/>
          </w:rPr>
        </w:r>
        <w:r w:rsidR="008B66DC">
          <w:rPr>
            <w:noProof/>
            <w:webHidden/>
          </w:rPr>
          <w:fldChar w:fldCharType="separate"/>
        </w:r>
        <w:r w:rsidR="001D505F">
          <w:rPr>
            <w:noProof/>
            <w:webHidden/>
          </w:rPr>
          <w:t>132</w:t>
        </w:r>
        <w:r w:rsidR="008B66DC">
          <w:rPr>
            <w:noProof/>
            <w:webHidden/>
          </w:rPr>
          <w:fldChar w:fldCharType="end"/>
        </w:r>
      </w:hyperlink>
    </w:p>
    <w:p w14:paraId="0BA82E68" w14:textId="547551FD" w:rsidR="003C1925" w:rsidRDefault="009D1403" w:rsidP="008153FE">
      <w:pPr>
        <w:spacing w:line="360" w:lineRule="auto"/>
        <w:ind w:firstLine="0"/>
        <w:rPr>
          <w:rFonts w:ascii="Verdana" w:hAnsi="Verdana"/>
          <w:sz w:val="44"/>
          <w:szCs w:val="44"/>
          <w:lang w:val="en-GB"/>
        </w:rPr>
      </w:pPr>
      <w:r w:rsidRPr="008E5BD5">
        <w:rPr>
          <w:rFonts w:ascii="Verdana" w:hAnsi="Verdana"/>
          <w:lang w:val="en-GB"/>
        </w:rPr>
        <w:fldChar w:fldCharType="end"/>
      </w:r>
      <w:r w:rsidR="0003019E" w:rsidRPr="008E5BD5">
        <w:rPr>
          <w:rFonts w:ascii="Verdana" w:hAnsi="Verdana"/>
          <w:lang w:val="en-GB"/>
        </w:rPr>
        <w:br w:type="page"/>
      </w:r>
    </w:p>
    <w:p w14:paraId="2810ED08" w14:textId="77777777" w:rsidR="00693563" w:rsidRDefault="003C1925">
      <w:pPr>
        <w:ind w:firstLine="0"/>
        <w:rPr>
          <w:rFonts w:ascii="Verdana" w:hAnsi="Verdana"/>
          <w:sz w:val="44"/>
          <w:szCs w:val="44"/>
          <w:lang w:val="en-GB"/>
        </w:rPr>
      </w:pPr>
      <w:r>
        <w:rPr>
          <w:rFonts w:ascii="Verdana" w:hAnsi="Verdana"/>
          <w:sz w:val="44"/>
          <w:szCs w:val="44"/>
          <w:lang w:val="en-GB"/>
        </w:rPr>
        <w:lastRenderedPageBreak/>
        <w:t>List of Tables</w:t>
      </w:r>
    </w:p>
    <w:p w14:paraId="1356E701" w14:textId="2294230A" w:rsidR="00693563" w:rsidRDefault="00573DAC">
      <w:pPr>
        <w:ind w:firstLine="0"/>
        <w:rPr>
          <w:noProof/>
        </w:rPr>
      </w:pPr>
      <w:r>
        <w:rPr>
          <w:rFonts w:ascii="Verdana" w:hAnsi="Verdana"/>
          <w:sz w:val="44"/>
          <w:szCs w:val="44"/>
          <w:lang w:val="en-GB"/>
        </w:rPr>
        <w:fldChar w:fldCharType="begin"/>
      </w:r>
      <w:r>
        <w:rPr>
          <w:rFonts w:ascii="Verdana" w:hAnsi="Verdana"/>
          <w:sz w:val="44"/>
          <w:szCs w:val="44"/>
          <w:lang w:val="en-GB"/>
        </w:rPr>
        <w:instrText xml:space="preserve"> TOC \h \z \c "Table" </w:instrText>
      </w:r>
      <w:r>
        <w:rPr>
          <w:rFonts w:ascii="Verdana" w:hAnsi="Verdana"/>
          <w:sz w:val="44"/>
          <w:szCs w:val="44"/>
          <w:lang w:val="en-GB"/>
        </w:rPr>
        <w:fldChar w:fldCharType="separate"/>
      </w:r>
    </w:p>
    <w:p w14:paraId="07E8BF00" w14:textId="4141D52C" w:rsidR="00693563" w:rsidRPr="004D7A7F" w:rsidRDefault="006277BA" w:rsidP="00595A61">
      <w:pPr>
        <w:pStyle w:val="TableofFigures"/>
        <w:tabs>
          <w:tab w:val="right" w:leader="dot" w:pos="8778"/>
        </w:tabs>
        <w:spacing w:line="360" w:lineRule="auto"/>
        <w:ind w:firstLine="0"/>
        <w:rPr>
          <w:rFonts w:ascii="Verdana" w:eastAsiaTheme="minorEastAsia" w:hAnsi="Verdana"/>
          <w:noProof/>
          <w:lang w:val="en-GB" w:eastAsia="en-GB"/>
        </w:rPr>
      </w:pPr>
      <w:hyperlink r:id="rId48" w:anchor="_Toc127123001" w:history="1">
        <w:r w:rsidR="00693563" w:rsidRPr="004D7A7F">
          <w:rPr>
            <w:rStyle w:val="Hyperlink"/>
            <w:rFonts w:ascii="Verdana" w:hAnsi="Verdana"/>
            <w:b/>
            <w:bCs/>
            <w:noProof/>
          </w:rPr>
          <w:t>Table 1</w:t>
        </w:r>
        <w:r w:rsidR="00693563" w:rsidRPr="004D7A7F">
          <w:rPr>
            <w:rStyle w:val="Hyperlink"/>
            <w:rFonts w:ascii="Verdana" w:hAnsi="Verdana"/>
            <w:noProof/>
          </w:rPr>
          <w:t xml:space="preserve"> Genes associated with the development of dementia</w:t>
        </w:r>
        <w:r w:rsidR="00693563" w:rsidRPr="004D7A7F">
          <w:rPr>
            <w:rFonts w:ascii="Verdana" w:hAnsi="Verdana"/>
            <w:noProof/>
            <w:webHidden/>
          </w:rPr>
          <w:tab/>
        </w:r>
        <w:r w:rsidR="00693563" w:rsidRPr="004D7A7F">
          <w:rPr>
            <w:rFonts w:ascii="Verdana" w:hAnsi="Verdana"/>
            <w:noProof/>
            <w:webHidden/>
          </w:rPr>
          <w:fldChar w:fldCharType="begin"/>
        </w:r>
        <w:r w:rsidR="00693563" w:rsidRPr="004D7A7F">
          <w:rPr>
            <w:rFonts w:ascii="Verdana" w:hAnsi="Verdana"/>
            <w:noProof/>
            <w:webHidden/>
          </w:rPr>
          <w:instrText xml:space="preserve"> PAGEREF _Toc127123001 \h </w:instrText>
        </w:r>
        <w:r w:rsidR="00693563" w:rsidRPr="004D7A7F">
          <w:rPr>
            <w:rFonts w:ascii="Verdana" w:hAnsi="Verdana"/>
            <w:noProof/>
            <w:webHidden/>
          </w:rPr>
        </w:r>
        <w:r w:rsidR="00693563" w:rsidRPr="004D7A7F">
          <w:rPr>
            <w:rFonts w:ascii="Verdana" w:hAnsi="Verdana"/>
            <w:noProof/>
            <w:webHidden/>
          </w:rPr>
          <w:fldChar w:fldCharType="separate"/>
        </w:r>
        <w:r w:rsidR="001D505F">
          <w:rPr>
            <w:rFonts w:ascii="Verdana" w:hAnsi="Verdana"/>
            <w:noProof/>
            <w:webHidden/>
          </w:rPr>
          <w:t>27</w:t>
        </w:r>
        <w:r w:rsidR="00693563" w:rsidRPr="004D7A7F">
          <w:rPr>
            <w:rFonts w:ascii="Verdana" w:hAnsi="Verdana"/>
            <w:noProof/>
            <w:webHidden/>
          </w:rPr>
          <w:fldChar w:fldCharType="end"/>
        </w:r>
      </w:hyperlink>
    </w:p>
    <w:p w14:paraId="06F407DE" w14:textId="17BFA5A3" w:rsidR="00693563" w:rsidRPr="004D7A7F" w:rsidRDefault="006277BA" w:rsidP="00595A61">
      <w:pPr>
        <w:pStyle w:val="TableofFigures"/>
        <w:tabs>
          <w:tab w:val="right" w:leader="dot" w:pos="8778"/>
        </w:tabs>
        <w:spacing w:line="360" w:lineRule="auto"/>
        <w:ind w:firstLine="0"/>
        <w:rPr>
          <w:rFonts w:ascii="Verdana" w:eastAsiaTheme="minorEastAsia" w:hAnsi="Verdana"/>
          <w:noProof/>
          <w:lang w:val="en-GB" w:eastAsia="en-GB"/>
        </w:rPr>
      </w:pPr>
      <w:hyperlink r:id="rId49" w:anchor="_Toc127123002" w:history="1">
        <w:r w:rsidR="00693563" w:rsidRPr="004D7A7F">
          <w:rPr>
            <w:rStyle w:val="Hyperlink"/>
            <w:rFonts w:ascii="Verdana" w:hAnsi="Verdana"/>
            <w:b/>
            <w:bCs/>
            <w:noProof/>
          </w:rPr>
          <w:t>Table 2</w:t>
        </w:r>
        <w:r w:rsidR="00693563" w:rsidRPr="004D7A7F">
          <w:rPr>
            <w:rStyle w:val="Hyperlink"/>
            <w:rFonts w:ascii="Verdana" w:hAnsi="Verdana"/>
            <w:noProof/>
          </w:rPr>
          <w:t xml:space="preserve"> List of alpha-synuclein moieties analysed</w:t>
        </w:r>
        <w:r w:rsidR="00693563" w:rsidRPr="004D7A7F">
          <w:rPr>
            <w:rFonts w:ascii="Verdana" w:hAnsi="Verdana"/>
            <w:noProof/>
            <w:webHidden/>
          </w:rPr>
          <w:tab/>
        </w:r>
        <w:r w:rsidR="00693563" w:rsidRPr="004D7A7F">
          <w:rPr>
            <w:rFonts w:ascii="Verdana" w:hAnsi="Verdana"/>
            <w:noProof/>
            <w:webHidden/>
          </w:rPr>
          <w:fldChar w:fldCharType="begin"/>
        </w:r>
        <w:r w:rsidR="00693563" w:rsidRPr="004D7A7F">
          <w:rPr>
            <w:rFonts w:ascii="Verdana" w:hAnsi="Verdana"/>
            <w:noProof/>
            <w:webHidden/>
          </w:rPr>
          <w:instrText xml:space="preserve"> PAGEREF _Toc127123002 \h </w:instrText>
        </w:r>
        <w:r w:rsidR="00693563" w:rsidRPr="004D7A7F">
          <w:rPr>
            <w:rFonts w:ascii="Verdana" w:hAnsi="Verdana"/>
            <w:noProof/>
            <w:webHidden/>
          </w:rPr>
        </w:r>
        <w:r w:rsidR="00693563" w:rsidRPr="004D7A7F">
          <w:rPr>
            <w:rFonts w:ascii="Verdana" w:hAnsi="Verdana"/>
            <w:noProof/>
            <w:webHidden/>
          </w:rPr>
          <w:fldChar w:fldCharType="separate"/>
        </w:r>
        <w:r w:rsidR="001D505F">
          <w:rPr>
            <w:rFonts w:ascii="Verdana" w:hAnsi="Verdana"/>
            <w:noProof/>
            <w:webHidden/>
          </w:rPr>
          <w:t>128</w:t>
        </w:r>
        <w:r w:rsidR="00693563" w:rsidRPr="004D7A7F">
          <w:rPr>
            <w:rFonts w:ascii="Verdana" w:hAnsi="Verdana"/>
            <w:noProof/>
            <w:webHidden/>
          </w:rPr>
          <w:fldChar w:fldCharType="end"/>
        </w:r>
      </w:hyperlink>
    </w:p>
    <w:p w14:paraId="47F67283" w14:textId="77621E29" w:rsidR="003C1925" w:rsidRDefault="00573DAC">
      <w:pPr>
        <w:ind w:firstLine="0"/>
        <w:rPr>
          <w:rFonts w:ascii="Verdana" w:hAnsi="Verdana"/>
          <w:sz w:val="44"/>
          <w:szCs w:val="44"/>
          <w:lang w:val="en-GB"/>
        </w:rPr>
      </w:pPr>
      <w:r>
        <w:rPr>
          <w:rFonts w:ascii="Verdana" w:hAnsi="Verdana"/>
          <w:sz w:val="44"/>
          <w:szCs w:val="44"/>
          <w:lang w:val="en-GB"/>
        </w:rPr>
        <w:fldChar w:fldCharType="end"/>
      </w:r>
    </w:p>
    <w:p w14:paraId="47E1929E" w14:textId="33C29104" w:rsidR="00222BDA" w:rsidRDefault="00222BDA">
      <w:pPr>
        <w:ind w:firstLine="0"/>
        <w:rPr>
          <w:rFonts w:ascii="Verdana" w:hAnsi="Verdana"/>
          <w:sz w:val="44"/>
          <w:szCs w:val="44"/>
          <w:lang w:val="en-GB"/>
        </w:rPr>
      </w:pPr>
      <w:r>
        <w:rPr>
          <w:rFonts w:ascii="Verdana" w:hAnsi="Verdana"/>
          <w:sz w:val="44"/>
          <w:szCs w:val="44"/>
          <w:lang w:val="en-GB"/>
        </w:rPr>
        <w:br w:type="page"/>
      </w:r>
    </w:p>
    <w:p w14:paraId="4A420338" w14:textId="34A7A28D" w:rsidR="00222BDA" w:rsidRDefault="00222BDA">
      <w:pPr>
        <w:ind w:firstLine="0"/>
        <w:rPr>
          <w:rFonts w:ascii="Verdana" w:hAnsi="Verdana"/>
          <w:sz w:val="44"/>
          <w:szCs w:val="44"/>
          <w:lang w:val="en-GB"/>
        </w:rPr>
      </w:pPr>
      <w:r>
        <w:rPr>
          <w:rFonts w:ascii="Verdana" w:hAnsi="Verdana"/>
          <w:sz w:val="44"/>
          <w:szCs w:val="44"/>
          <w:lang w:val="en-GB"/>
        </w:rPr>
        <w:lastRenderedPageBreak/>
        <w:t>Nomenclature</w:t>
      </w:r>
    </w:p>
    <w:p w14:paraId="1E13C913" w14:textId="7815AD2C" w:rsidR="00222BDA" w:rsidRDefault="00222BDA">
      <w:pPr>
        <w:ind w:firstLine="0"/>
        <w:rPr>
          <w:rFonts w:ascii="Verdana" w:hAnsi="Verdana"/>
          <w:lang w:val="en-GB"/>
        </w:rPr>
      </w:pPr>
    </w:p>
    <w:p w14:paraId="72A177ED" w14:textId="23B9AC69" w:rsidR="00222BDA" w:rsidRDefault="00222BDA">
      <w:pPr>
        <w:ind w:firstLine="0"/>
        <w:rPr>
          <w:rFonts w:ascii="Verdana" w:hAnsi="Verdana"/>
          <w:lang w:val="en-GB"/>
        </w:rPr>
      </w:pPr>
    </w:p>
    <w:p w14:paraId="2518065F" w14:textId="46FB9B10" w:rsidR="00F70682" w:rsidRDefault="00F70682">
      <w:pPr>
        <w:ind w:firstLine="0"/>
        <w:rPr>
          <w:rFonts w:ascii="Verdana" w:hAnsi="Verdana"/>
          <w:lang w:val="en-GB"/>
        </w:rPr>
      </w:pPr>
      <w:r>
        <w:rPr>
          <w:rFonts w:ascii="Verdana" w:hAnsi="Verdana"/>
          <w:lang w:val="en-GB"/>
        </w:rPr>
        <w:t>αSyn</w:t>
      </w:r>
      <w:r w:rsidR="00A437BE">
        <w:rPr>
          <w:rFonts w:ascii="Verdana" w:hAnsi="Verdana"/>
          <w:lang w:val="en-GB"/>
        </w:rPr>
        <w:tab/>
      </w:r>
      <w:r w:rsidR="003057D4">
        <w:rPr>
          <w:rFonts w:ascii="Verdana" w:hAnsi="Verdana"/>
          <w:lang w:val="en-GB"/>
        </w:rPr>
        <w:tab/>
      </w:r>
      <w:r>
        <w:rPr>
          <w:rFonts w:ascii="Verdana" w:hAnsi="Verdana"/>
          <w:lang w:val="en-GB"/>
        </w:rPr>
        <w:t>alpha-synuclein</w:t>
      </w:r>
    </w:p>
    <w:p w14:paraId="3D789924" w14:textId="3559D382" w:rsidR="00197548" w:rsidRDefault="00197548">
      <w:pPr>
        <w:ind w:firstLine="0"/>
        <w:rPr>
          <w:rFonts w:ascii="Verdana" w:hAnsi="Verdana"/>
          <w:lang w:val="en-GB"/>
        </w:rPr>
      </w:pPr>
      <w:r>
        <w:rPr>
          <w:rFonts w:ascii="Times New Roman" w:hAnsi="Times New Roman" w:cs="Times New Roman"/>
          <w:lang w:val="en-GB"/>
        </w:rPr>
        <w:t>Δ</w:t>
      </w:r>
      <w:r>
        <w:rPr>
          <w:rFonts w:ascii="Verdana" w:hAnsi="Verdana"/>
          <w:lang w:val="en-GB"/>
        </w:rPr>
        <w:t>EC</w:t>
      </w:r>
      <w:r>
        <w:rPr>
          <w:rFonts w:ascii="Verdana" w:hAnsi="Verdana"/>
          <w:lang w:val="en-GB"/>
        </w:rPr>
        <w:tab/>
      </w:r>
      <w:r>
        <w:rPr>
          <w:rFonts w:ascii="Verdana" w:hAnsi="Verdana"/>
          <w:lang w:val="en-GB"/>
        </w:rPr>
        <w:tab/>
        <w:t xml:space="preserve">isogenic Curli knock-out </w:t>
      </w:r>
      <w:r w:rsidRPr="00EA5457">
        <w:rPr>
          <w:rFonts w:ascii="Verdana" w:hAnsi="Verdana"/>
          <w:i/>
          <w:iCs/>
          <w:lang w:val="en-GB"/>
        </w:rPr>
        <w:t>E. coli</w:t>
      </w:r>
      <w:r>
        <w:rPr>
          <w:rFonts w:ascii="Verdana" w:hAnsi="Verdana"/>
          <w:lang w:val="en-GB"/>
        </w:rPr>
        <w:t xml:space="preserve"> strain</w:t>
      </w:r>
    </w:p>
    <w:p w14:paraId="40000BE8" w14:textId="7D12183C" w:rsidR="00F70682" w:rsidRDefault="00F70682">
      <w:pPr>
        <w:ind w:firstLine="0"/>
        <w:rPr>
          <w:rFonts w:ascii="Verdana" w:hAnsi="Verdana"/>
          <w:lang w:val="en-GB"/>
        </w:rPr>
      </w:pPr>
      <w:r>
        <w:rPr>
          <w:rFonts w:ascii="Verdana" w:hAnsi="Verdana"/>
          <w:lang w:val="en-GB"/>
        </w:rPr>
        <w:t xml:space="preserve">AD </w:t>
      </w:r>
      <w:r w:rsidR="003057D4">
        <w:rPr>
          <w:rFonts w:ascii="Verdana" w:hAnsi="Verdana"/>
          <w:lang w:val="en-GB"/>
        </w:rPr>
        <w:tab/>
      </w:r>
      <w:r w:rsidR="00A437BE">
        <w:rPr>
          <w:rFonts w:ascii="Verdana" w:hAnsi="Verdana"/>
          <w:lang w:val="en-GB"/>
        </w:rPr>
        <w:tab/>
      </w:r>
      <w:r>
        <w:rPr>
          <w:rFonts w:ascii="Verdana" w:hAnsi="Verdana"/>
          <w:lang w:val="en-GB"/>
        </w:rPr>
        <w:t>Alzheimer’s Disease</w:t>
      </w:r>
    </w:p>
    <w:p w14:paraId="5270E984" w14:textId="23833EEF" w:rsidR="00F801F7" w:rsidRDefault="00F801F7">
      <w:pPr>
        <w:ind w:firstLine="0"/>
        <w:rPr>
          <w:rFonts w:ascii="Verdana" w:hAnsi="Verdana"/>
          <w:lang w:val="en-GB"/>
        </w:rPr>
      </w:pPr>
      <w:r>
        <w:rPr>
          <w:rFonts w:ascii="Verdana" w:hAnsi="Verdana"/>
          <w:lang w:val="en-GB"/>
        </w:rPr>
        <w:t xml:space="preserve">ARE </w:t>
      </w:r>
      <w:r w:rsidR="00A437BE">
        <w:rPr>
          <w:rFonts w:ascii="Verdana" w:hAnsi="Verdana"/>
          <w:lang w:val="en-GB"/>
        </w:rPr>
        <w:tab/>
      </w:r>
      <w:r w:rsidR="003057D4">
        <w:rPr>
          <w:rFonts w:ascii="Verdana" w:hAnsi="Verdana"/>
          <w:lang w:val="en-GB"/>
        </w:rPr>
        <w:tab/>
      </w:r>
      <w:r>
        <w:rPr>
          <w:rFonts w:ascii="Verdana" w:hAnsi="Verdana"/>
          <w:lang w:val="en-GB"/>
        </w:rPr>
        <w:t>antioxidant response element</w:t>
      </w:r>
    </w:p>
    <w:p w14:paraId="2F90F24E" w14:textId="221F3D66" w:rsidR="008F0CB8" w:rsidRDefault="008F0CB8">
      <w:pPr>
        <w:ind w:firstLine="0"/>
        <w:rPr>
          <w:rFonts w:ascii="Verdana" w:hAnsi="Verdana"/>
          <w:lang w:val="en-GB"/>
        </w:rPr>
      </w:pPr>
      <w:r>
        <w:rPr>
          <w:rFonts w:ascii="Verdana" w:hAnsi="Verdana"/>
          <w:lang w:val="en-GB"/>
        </w:rPr>
        <w:t xml:space="preserve">CNS </w:t>
      </w:r>
      <w:r w:rsidR="003057D4">
        <w:rPr>
          <w:rFonts w:ascii="Verdana" w:hAnsi="Verdana"/>
          <w:lang w:val="en-GB"/>
        </w:rPr>
        <w:tab/>
      </w:r>
      <w:r w:rsidR="00A437BE">
        <w:rPr>
          <w:rFonts w:ascii="Verdana" w:hAnsi="Verdana"/>
          <w:lang w:val="en-GB"/>
        </w:rPr>
        <w:tab/>
      </w:r>
      <w:r>
        <w:rPr>
          <w:rFonts w:ascii="Verdana" w:hAnsi="Verdana"/>
          <w:lang w:val="en-GB"/>
        </w:rPr>
        <w:t>central nervous system</w:t>
      </w:r>
    </w:p>
    <w:p w14:paraId="2C669A35" w14:textId="77302D31" w:rsidR="008F0CB8" w:rsidRDefault="008F0CB8">
      <w:pPr>
        <w:ind w:firstLine="0"/>
        <w:rPr>
          <w:rFonts w:ascii="Verdana" w:hAnsi="Verdana"/>
          <w:lang w:val="en-GB"/>
        </w:rPr>
      </w:pPr>
      <w:r>
        <w:rPr>
          <w:rFonts w:ascii="Verdana" w:hAnsi="Verdana"/>
          <w:lang w:val="en-GB"/>
        </w:rPr>
        <w:t xml:space="preserve">CSF </w:t>
      </w:r>
      <w:r w:rsidR="00A437BE">
        <w:rPr>
          <w:rFonts w:ascii="Verdana" w:hAnsi="Verdana"/>
          <w:lang w:val="en-GB"/>
        </w:rPr>
        <w:tab/>
      </w:r>
      <w:r w:rsidR="00A437BE">
        <w:rPr>
          <w:rFonts w:ascii="Verdana" w:hAnsi="Verdana"/>
          <w:lang w:val="en-GB"/>
        </w:rPr>
        <w:tab/>
      </w:r>
      <w:r>
        <w:rPr>
          <w:rFonts w:ascii="Verdana" w:hAnsi="Verdana"/>
          <w:lang w:val="en-GB"/>
        </w:rPr>
        <w:t>cerebr</w:t>
      </w:r>
      <w:r w:rsidR="00D1483B">
        <w:rPr>
          <w:rFonts w:ascii="Verdana" w:hAnsi="Verdana"/>
          <w:lang w:val="en-GB"/>
        </w:rPr>
        <w:t>al</w:t>
      </w:r>
      <w:r>
        <w:rPr>
          <w:rFonts w:ascii="Verdana" w:hAnsi="Verdana"/>
          <w:lang w:val="en-GB"/>
        </w:rPr>
        <w:t xml:space="preserve"> spinal fluid</w:t>
      </w:r>
    </w:p>
    <w:p w14:paraId="2E3424A7" w14:textId="327C6C6C" w:rsidR="003A2707" w:rsidRDefault="003A2707">
      <w:pPr>
        <w:ind w:firstLine="0"/>
        <w:rPr>
          <w:rFonts w:ascii="Verdana" w:hAnsi="Verdana"/>
          <w:lang w:val="en-GB"/>
        </w:rPr>
      </w:pPr>
      <w:r>
        <w:rPr>
          <w:rFonts w:ascii="Verdana" w:hAnsi="Verdana"/>
          <w:lang w:val="en-GB"/>
        </w:rPr>
        <w:t>DLB</w:t>
      </w:r>
      <w:r w:rsidR="00A437BE">
        <w:rPr>
          <w:rFonts w:ascii="Verdana" w:hAnsi="Verdana"/>
          <w:lang w:val="en-GB"/>
        </w:rPr>
        <w:tab/>
      </w:r>
      <w:r w:rsidR="00A437BE">
        <w:rPr>
          <w:rFonts w:ascii="Verdana" w:hAnsi="Verdana"/>
          <w:lang w:val="en-GB"/>
        </w:rPr>
        <w:tab/>
      </w:r>
      <w:r>
        <w:rPr>
          <w:rFonts w:ascii="Verdana" w:hAnsi="Verdana"/>
          <w:lang w:val="en-GB"/>
        </w:rPr>
        <w:t>Dementia with Lewy bodies</w:t>
      </w:r>
    </w:p>
    <w:p w14:paraId="0BFE9C61" w14:textId="2463C35D" w:rsidR="009D208D" w:rsidRDefault="009D208D" w:rsidP="004F3AEA">
      <w:pPr>
        <w:tabs>
          <w:tab w:val="left" w:pos="3165"/>
        </w:tabs>
        <w:ind w:firstLine="0"/>
        <w:rPr>
          <w:rFonts w:ascii="Verdana" w:hAnsi="Verdana"/>
          <w:lang w:val="en-GB"/>
        </w:rPr>
      </w:pPr>
      <w:r w:rsidRPr="009D208D">
        <w:rPr>
          <w:rFonts w:ascii="Verdana" w:hAnsi="Verdana"/>
          <w:i/>
          <w:iCs/>
          <w:lang w:val="en-GB"/>
        </w:rPr>
        <w:t>E. coli</w:t>
      </w:r>
      <w:r>
        <w:rPr>
          <w:rFonts w:ascii="Verdana" w:hAnsi="Verdana"/>
          <w:lang w:val="en-GB"/>
        </w:rPr>
        <w:t xml:space="preserve"> </w:t>
      </w:r>
      <w:r w:rsidR="000D6932">
        <w:rPr>
          <w:rFonts w:ascii="Verdana" w:hAnsi="Verdana"/>
          <w:lang w:val="en-GB"/>
        </w:rPr>
        <w:t xml:space="preserve">         </w:t>
      </w:r>
      <w:r>
        <w:rPr>
          <w:rFonts w:ascii="Verdana" w:hAnsi="Verdana"/>
          <w:lang w:val="en-GB"/>
        </w:rPr>
        <w:t>Escherichia coli</w:t>
      </w:r>
      <w:r w:rsidR="004F3AEA">
        <w:rPr>
          <w:rFonts w:ascii="Verdana" w:hAnsi="Verdana"/>
          <w:lang w:val="en-GB"/>
        </w:rPr>
        <w:tab/>
      </w:r>
    </w:p>
    <w:p w14:paraId="1F1D11C9" w14:textId="318DA281" w:rsidR="004F3AEA" w:rsidRDefault="004F3AEA" w:rsidP="004F3AEA">
      <w:pPr>
        <w:tabs>
          <w:tab w:val="left" w:pos="3165"/>
        </w:tabs>
        <w:ind w:firstLine="0"/>
        <w:rPr>
          <w:rFonts w:ascii="Verdana" w:hAnsi="Verdana"/>
          <w:lang w:val="en-GB"/>
        </w:rPr>
      </w:pPr>
      <w:r>
        <w:rPr>
          <w:rFonts w:ascii="Verdana" w:hAnsi="Verdana"/>
          <w:lang w:val="en-GB"/>
        </w:rPr>
        <w:t xml:space="preserve">EC </w:t>
      </w:r>
      <w:r w:rsidR="000D6932">
        <w:rPr>
          <w:rFonts w:ascii="Verdana" w:hAnsi="Verdana"/>
          <w:lang w:val="en-GB"/>
        </w:rPr>
        <w:t xml:space="preserve">              </w:t>
      </w:r>
      <w:r>
        <w:rPr>
          <w:rFonts w:ascii="Verdana" w:hAnsi="Verdana"/>
          <w:lang w:val="en-GB"/>
        </w:rPr>
        <w:t xml:space="preserve">Curli expressing </w:t>
      </w:r>
      <w:r w:rsidRPr="004F3AEA">
        <w:rPr>
          <w:rFonts w:ascii="Verdana" w:hAnsi="Verdana"/>
          <w:i/>
          <w:iCs/>
          <w:lang w:val="en-GB"/>
        </w:rPr>
        <w:t>E. coli</w:t>
      </w:r>
    </w:p>
    <w:p w14:paraId="41F53B18" w14:textId="0B6B5C25" w:rsidR="00D1483B" w:rsidRDefault="00D1483B">
      <w:pPr>
        <w:ind w:firstLine="0"/>
        <w:rPr>
          <w:rFonts w:ascii="Verdana" w:hAnsi="Verdana"/>
          <w:lang w:val="en-GB"/>
        </w:rPr>
      </w:pPr>
      <w:r>
        <w:rPr>
          <w:rFonts w:ascii="Verdana" w:hAnsi="Verdana"/>
          <w:lang w:val="en-GB"/>
        </w:rPr>
        <w:t xml:space="preserve">EM </w:t>
      </w:r>
      <w:r w:rsidR="00A437BE">
        <w:rPr>
          <w:rFonts w:ascii="Verdana" w:hAnsi="Verdana"/>
          <w:lang w:val="en-GB"/>
        </w:rPr>
        <w:tab/>
      </w:r>
      <w:r w:rsidR="00A437BE">
        <w:rPr>
          <w:rFonts w:ascii="Verdana" w:hAnsi="Verdana"/>
          <w:lang w:val="en-GB"/>
        </w:rPr>
        <w:tab/>
      </w:r>
      <w:r>
        <w:rPr>
          <w:rFonts w:ascii="Verdana" w:hAnsi="Verdana"/>
          <w:lang w:val="en-GB"/>
        </w:rPr>
        <w:t>electron microscopy</w:t>
      </w:r>
    </w:p>
    <w:p w14:paraId="0C8740DE" w14:textId="072FC909" w:rsidR="00D426A3" w:rsidRDefault="008F0CB8">
      <w:pPr>
        <w:ind w:firstLine="0"/>
        <w:rPr>
          <w:rFonts w:ascii="Verdana" w:hAnsi="Verdana"/>
          <w:lang w:val="en-GB"/>
        </w:rPr>
      </w:pPr>
      <w:r>
        <w:rPr>
          <w:rFonts w:ascii="Verdana" w:hAnsi="Verdana"/>
          <w:lang w:val="en-GB"/>
        </w:rPr>
        <w:t xml:space="preserve">ENS </w:t>
      </w:r>
      <w:r w:rsidR="00A437BE">
        <w:rPr>
          <w:rFonts w:ascii="Verdana" w:hAnsi="Verdana"/>
          <w:lang w:val="en-GB"/>
        </w:rPr>
        <w:tab/>
      </w:r>
      <w:r w:rsidR="00A437BE">
        <w:rPr>
          <w:rFonts w:ascii="Verdana" w:hAnsi="Verdana"/>
          <w:lang w:val="en-GB"/>
        </w:rPr>
        <w:tab/>
      </w:r>
      <w:r>
        <w:rPr>
          <w:rFonts w:ascii="Verdana" w:hAnsi="Verdana"/>
          <w:lang w:val="en-GB"/>
        </w:rPr>
        <w:t>enteric nervous system</w:t>
      </w:r>
    </w:p>
    <w:p w14:paraId="519449C3" w14:textId="66718F84" w:rsidR="00326BDD" w:rsidRDefault="00326BDD">
      <w:pPr>
        <w:ind w:firstLine="0"/>
        <w:rPr>
          <w:rFonts w:ascii="Verdana" w:hAnsi="Verdana"/>
          <w:lang w:val="en-GB"/>
        </w:rPr>
      </w:pPr>
      <w:r>
        <w:rPr>
          <w:rFonts w:ascii="Verdana" w:hAnsi="Verdana"/>
          <w:lang w:val="en-GB"/>
        </w:rPr>
        <w:t xml:space="preserve">GDNF </w:t>
      </w:r>
      <w:r w:rsidR="00A437BE">
        <w:rPr>
          <w:rFonts w:ascii="Verdana" w:hAnsi="Verdana"/>
          <w:lang w:val="en-GB"/>
        </w:rPr>
        <w:tab/>
      </w:r>
      <w:r w:rsidR="00A437BE">
        <w:rPr>
          <w:rFonts w:ascii="Verdana" w:hAnsi="Verdana"/>
          <w:lang w:val="en-GB"/>
        </w:rPr>
        <w:tab/>
      </w:r>
      <w:r w:rsidR="00D426A3">
        <w:rPr>
          <w:rFonts w:ascii="Verdana" w:hAnsi="Verdana"/>
          <w:lang w:val="en-GB"/>
        </w:rPr>
        <w:t>Glial cell</w:t>
      </w:r>
      <w:r>
        <w:rPr>
          <w:rFonts w:ascii="Verdana" w:hAnsi="Verdana"/>
          <w:lang w:val="en-GB"/>
        </w:rPr>
        <w:t xml:space="preserve"> derived neurotrophic factor</w:t>
      </w:r>
    </w:p>
    <w:p w14:paraId="27D51E3B" w14:textId="1B3CB972" w:rsidR="00D426A3" w:rsidRDefault="00D426A3">
      <w:pPr>
        <w:ind w:firstLine="0"/>
        <w:rPr>
          <w:rFonts w:ascii="Verdana" w:hAnsi="Verdana"/>
          <w:lang w:val="en-GB"/>
        </w:rPr>
      </w:pPr>
      <w:r>
        <w:rPr>
          <w:rFonts w:ascii="Verdana" w:hAnsi="Verdana"/>
          <w:lang w:val="en-GB"/>
        </w:rPr>
        <w:t>LB</w:t>
      </w:r>
      <w:r w:rsidR="00AC74B6">
        <w:rPr>
          <w:rFonts w:ascii="Verdana" w:hAnsi="Verdana"/>
          <w:lang w:val="en-GB"/>
        </w:rPr>
        <w:t>s</w:t>
      </w:r>
      <w:r w:rsidR="003A2707">
        <w:rPr>
          <w:rFonts w:ascii="Verdana" w:hAnsi="Verdana"/>
          <w:lang w:val="en-GB"/>
        </w:rPr>
        <w:t xml:space="preserve"> </w:t>
      </w:r>
      <w:r w:rsidR="00A437BE">
        <w:rPr>
          <w:rFonts w:ascii="Verdana" w:hAnsi="Verdana"/>
          <w:lang w:val="en-GB"/>
        </w:rPr>
        <w:tab/>
      </w:r>
      <w:r w:rsidR="00A437BE">
        <w:rPr>
          <w:rFonts w:ascii="Verdana" w:hAnsi="Verdana"/>
          <w:lang w:val="en-GB"/>
        </w:rPr>
        <w:tab/>
      </w:r>
      <w:r w:rsidR="003A2707">
        <w:rPr>
          <w:rFonts w:ascii="Verdana" w:hAnsi="Verdana"/>
          <w:lang w:val="en-GB"/>
        </w:rPr>
        <w:t>Lewy bodies</w:t>
      </w:r>
    </w:p>
    <w:p w14:paraId="1267A613" w14:textId="29995E76" w:rsidR="003A2707" w:rsidRDefault="003A2707">
      <w:pPr>
        <w:ind w:firstLine="0"/>
        <w:rPr>
          <w:rFonts w:ascii="Verdana" w:hAnsi="Verdana"/>
          <w:lang w:val="en-GB"/>
        </w:rPr>
      </w:pPr>
      <w:r>
        <w:rPr>
          <w:rFonts w:ascii="Verdana" w:hAnsi="Verdana"/>
          <w:lang w:val="en-GB"/>
        </w:rPr>
        <w:t xml:space="preserve">LBD </w:t>
      </w:r>
      <w:r w:rsidR="00A437BE">
        <w:rPr>
          <w:rFonts w:ascii="Verdana" w:hAnsi="Verdana"/>
          <w:lang w:val="en-GB"/>
        </w:rPr>
        <w:tab/>
      </w:r>
      <w:r w:rsidR="00A437BE">
        <w:rPr>
          <w:rFonts w:ascii="Verdana" w:hAnsi="Verdana"/>
          <w:lang w:val="en-GB"/>
        </w:rPr>
        <w:tab/>
      </w:r>
      <w:r>
        <w:rPr>
          <w:rFonts w:ascii="Verdana" w:hAnsi="Verdana"/>
          <w:lang w:val="en-GB"/>
        </w:rPr>
        <w:t>Lewy body dementias</w:t>
      </w:r>
    </w:p>
    <w:p w14:paraId="0402A707" w14:textId="03A317E5" w:rsidR="003A2707" w:rsidRDefault="003A2707">
      <w:pPr>
        <w:ind w:firstLine="0"/>
        <w:rPr>
          <w:rFonts w:ascii="Verdana" w:hAnsi="Verdana"/>
          <w:lang w:val="en-GB"/>
        </w:rPr>
      </w:pPr>
      <w:r>
        <w:rPr>
          <w:rFonts w:ascii="Verdana" w:hAnsi="Verdana"/>
          <w:lang w:val="en-GB"/>
        </w:rPr>
        <w:t>LN</w:t>
      </w:r>
      <w:r w:rsidR="00AC74B6">
        <w:rPr>
          <w:rFonts w:ascii="Verdana" w:hAnsi="Verdana"/>
          <w:lang w:val="en-GB"/>
        </w:rPr>
        <w:t>s</w:t>
      </w:r>
      <w:r>
        <w:rPr>
          <w:rFonts w:ascii="Verdana" w:hAnsi="Verdana"/>
          <w:lang w:val="en-GB"/>
        </w:rPr>
        <w:t xml:space="preserve"> </w:t>
      </w:r>
      <w:r w:rsidR="00A437BE">
        <w:rPr>
          <w:rFonts w:ascii="Verdana" w:hAnsi="Verdana"/>
          <w:lang w:val="en-GB"/>
        </w:rPr>
        <w:tab/>
      </w:r>
      <w:r w:rsidR="00A437BE">
        <w:rPr>
          <w:rFonts w:ascii="Verdana" w:hAnsi="Verdana"/>
          <w:lang w:val="en-GB"/>
        </w:rPr>
        <w:tab/>
      </w:r>
      <w:r>
        <w:rPr>
          <w:rFonts w:ascii="Verdana" w:hAnsi="Verdana"/>
          <w:lang w:val="en-GB"/>
        </w:rPr>
        <w:t>Lewy neurites</w:t>
      </w:r>
    </w:p>
    <w:p w14:paraId="48FB0959" w14:textId="30ED1B8B" w:rsidR="003A2707" w:rsidRDefault="00F0088B">
      <w:pPr>
        <w:ind w:firstLine="0"/>
        <w:rPr>
          <w:rFonts w:ascii="Verdana" w:hAnsi="Verdana"/>
          <w:lang w:val="en-GB"/>
        </w:rPr>
      </w:pPr>
      <w:r>
        <w:rPr>
          <w:rFonts w:ascii="Verdana" w:hAnsi="Verdana"/>
          <w:lang w:val="en-GB"/>
        </w:rPr>
        <w:t xml:space="preserve">MCI </w:t>
      </w:r>
      <w:r w:rsidR="00A437BE">
        <w:rPr>
          <w:rFonts w:ascii="Verdana" w:hAnsi="Verdana"/>
          <w:lang w:val="en-GB"/>
        </w:rPr>
        <w:tab/>
      </w:r>
      <w:r w:rsidR="00A437BE">
        <w:rPr>
          <w:rFonts w:ascii="Verdana" w:hAnsi="Verdana"/>
          <w:lang w:val="en-GB"/>
        </w:rPr>
        <w:tab/>
        <w:t>M</w:t>
      </w:r>
      <w:r>
        <w:rPr>
          <w:rFonts w:ascii="Verdana" w:hAnsi="Verdana"/>
          <w:lang w:val="en-GB"/>
        </w:rPr>
        <w:t>ild cognitive impairment</w:t>
      </w:r>
    </w:p>
    <w:p w14:paraId="6E756DB8" w14:textId="2895381F" w:rsidR="00F0088B" w:rsidRDefault="00F0088B">
      <w:pPr>
        <w:ind w:firstLine="0"/>
        <w:rPr>
          <w:rFonts w:ascii="Verdana" w:hAnsi="Verdana"/>
          <w:lang w:val="en-GB"/>
        </w:rPr>
      </w:pPr>
      <w:r>
        <w:rPr>
          <w:rFonts w:ascii="Verdana" w:hAnsi="Verdana"/>
          <w:lang w:val="en-GB"/>
        </w:rPr>
        <w:t xml:space="preserve">MCI-PD </w:t>
      </w:r>
      <w:r w:rsidR="00A437BE">
        <w:rPr>
          <w:rFonts w:ascii="Verdana" w:hAnsi="Verdana"/>
          <w:lang w:val="en-GB"/>
        </w:rPr>
        <w:tab/>
      </w:r>
      <w:r>
        <w:rPr>
          <w:rFonts w:ascii="Verdana" w:hAnsi="Verdana"/>
          <w:lang w:val="en-GB"/>
        </w:rPr>
        <w:t>Parkinson’s disease with mild cognitive impairment</w:t>
      </w:r>
    </w:p>
    <w:p w14:paraId="4CD146E3" w14:textId="7F96D54D" w:rsidR="00DF0268" w:rsidRDefault="00DF0268">
      <w:pPr>
        <w:ind w:firstLine="0"/>
        <w:rPr>
          <w:rFonts w:ascii="Verdana" w:hAnsi="Verdana"/>
          <w:lang w:val="en-GB"/>
        </w:rPr>
      </w:pPr>
      <w:r>
        <w:rPr>
          <w:rFonts w:ascii="Verdana" w:hAnsi="Verdana"/>
          <w:lang w:val="en-GB"/>
        </w:rPr>
        <w:t xml:space="preserve">Pan-αSyn </w:t>
      </w:r>
      <w:r w:rsidR="00A437BE">
        <w:rPr>
          <w:rFonts w:ascii="Verdana" w:hAnsi="Verdana"/>
          <w:lang w:val="en-GB"/>
        </w:rPr>
        <w:tab/>
      </w:r>
      <w:r>
        <w:rPr>
          <w:rFonts w:ascii="Verdana" w:hAnsi="Verdana"/>
          <w:lang w:val="en-GB"/>
        </w:rPr>
        <w:t>Total alpha-synuclein</w:t>
      </w:r>
    </w:p>
    <w:p w14:paraId="2EBAF5AB" w14:textId="07DDB511" w:rsidR="00222BDA" w:rsidRDefault="00F70682">
      <w:pPr>
        <w:ind w:firstLine="0"/>
        <w:rPr>
          <w:rFonts w:ascii="Verdana" w:hAnsi="Verdana"/>
          <w:lang w:val="en-GB"/>
        </w:rPr>
      </w:pPr>
      <w:r>
        <w:rPr>
          <w:rFonts w:ascii="Verdana" w:hAnsi="Verdana"/>
          <w:lang w:val="en-GB"/>
        </w:rPr>
        <w:t xml:space="preserve">PD </w:t>
      </w:r>
      <w:r w:rsidR="00A437BE">
        <w:rPr>
          <w:rFonts w:ascii="Verdana" w:hAnsi="Verdana"/>
          <w:lang w:val="en-GB"/>
        </w:rPr>
        <w:tab/>
      </w:r>
      <w:r w:rsidR="00A437BE">
        <w:rPr>
          <w:rFonts w:ascii="Verdana" w:hAnsi="Verdana"/>
          <w:lang w:val="en-GB"/>
        </w:rPr>
        <w:tab/>
      </w:r>
      <w:r>
        <w:rPr>
          <w:rFonts w:ascii="Verdana" w:hAnsi="Verdana"/>
          <w:lang w:val="en-GB"/>
        </w:rPr>
        <w:t>Parkinson’s Disease</w:t>
      </w:r>
    </w:p>
    <w:p w14:paraId="1FE6EE72" w14:textId="55FD25B1" w:rsidR="00F0088B" w:rsidRDefault="00F0088B">
      <w:pPr>
        <w:ind w:firstLine="0"/>
        <w:rPr>
          <w:rFonts w:ascii="Verdana" w:hAnsi="Verdana"/>
          <w:lang w:val="en-GB"/>
        </w:rPr>
      </w:pPr>
      <w:r>
        <w:rPr>
          <w:rFonts w:ascii="Verdana" w:hAnsi="Verdana"/>
          <w:lang w:val="en-GB"/>
        </w:rPr>
        <w:t>PDD</w:t>
      </w:r>
      <w:r w:rsidR="000D6932">
        <w:rPr>
          <w:rFonts w:ascii="Verdana" w:hAnsi="Verdana"/>
          <w:lang w:val="en-GB"/>
        </w:rPr>
        <w:tab/>
      </w:r>
      <w:r w:rsidR="000D6932">
        <w:rPr>
          <w:rFonts w:ascii="Verdana" w:hAnsi="Verdana"/>
          <w:lang w:val="en-GB"/>
        </w:rPr>
        <w:tab/>
      </w:r>
      <w:r>
        <w:rPr>
          <w:rFonts w:ascii="Verdana" w:hAnsi="Verdana"/>
          <w:lang w:val="en-GB"/>
        </w:rPr>
        <w:t>Parkinson’s disease dementia</w:t>
      </w:r>
    </w:p>
    <w:p w14:paraId="1FC80AEE" w14:textId="22D858A0" w:rsidR="001C4A29" w:rsidRDefault="001C4A29">
      <w:pPr>
        <w:ind w:firstLine="0"/>
        <w:rPr>
          <w:rFonts w:ascii="Verdana" w:hAnsi="Verdana"/>
          <w:lang w:val="en-GB"/>
        </w:rPr>
      </w:pPr>
      <w:r>
        <w:rPr>
          <w:rFonts w:ascii="Verdana" w:hAnsi="Verdana"/>
          <w:lang w:val="en-GB"/>
        </w:rPr>
        <w:t xml:space="preserve">PFFs </w:t>
      </w:r>
      <w:r w:rsidR="000D6932">
        <w:rPr>
          <w:rFonts w:ascii="Verdana" w:hAnsi="Verdana"/>
          <w:lang w:val="en-GB"/>
        </w:rPr>
        <w:tab/>
      </w:r>
      <w:r w:rsidR="000D6932">
        <w:rPr>
          <w:rFonts w:ascii="Verdana" w:hAnsi="Verdana"/>
          <w:lang w:val="en-GB"/>
        </w:rPr>
        <w:tab/>
      </w:r>
      <w:r>
        <w:rPr>
          <w:rFonts w:ascii="Verdana" w:hAnsi="Verdana"/>
          <w:lang w:val="en-GB"/>
        </w:rPr>
        <w:t>Pre-formed fibrils</w:t>
      </w:r>
    </w:p>
    <w:p w14:paraId="60CCC0F3" w14:textId="6F6F4977" w:rsidR="00AC74B6" w:rsidRDefault="00AC74B6">
      <w:pPr>
        <w:ind w:firstLine="0"/>
        <w:rPr>
          <w:rFonts w:ascii="Verdana" w:hAnsi="Verdana"/>
          <w:lang w:val="en-GB"/>
        </w:rPr>
      </w:pPr>
      <w:r>
        <w:rPr>
          <w:rFonts w:ascii="Verdana" w:hAnsi="Verdana"/>
          <w:lang w:val="en-GB"/>
        </w:rPr>
        <w:t>PTMs</w:t>
      </w:r>
      <w:r>
        <w:rPr>
          <w:rFonts w:ascii="Verdana" w:hAnsi="Verdana"/>
          <w:lang w:val="en-GB"/>
        </w:rPr>
        <w:tab/>
      </w:r>
      <w:r>
        <w:rPr>
          <w:rFonts w:ascii="Verdana" w:hAnsi="Verdana"/>
          <w:lang w:val="en-GB"/>
        </w:rPr>
        <w:tab/>
        <w:t>Post-translational modifications</w:t>
      </w:r>
    </w:p>
    <w:p w14:paraId="2EB76226" w14:textId="0865E822" w:rsidR="00F0088B" w:rsidRDefault="00F0088B">
      <w:pPr>
        <w:ind w:firstLine="0"/>
        <w:rPr>
          <w:rFonts w:ascii="Verdana" w:hAnsi="Verdana"/>
          <w:lang w:val="en-GB"/>
        </w:rPr>
      </w:pPr>
      <w:r>
        <w:rPr>
          <w:rFonts w:ascii="Verdana" w:hAnsi="Verdana"/>
          <w:lang w:val="en-GB"/>
        </w:rPr>
        <w:t xml:space="preserve">RBD </w:t>
      </w:r>
      <w:r w:rsidR="000D6932">
        <w:rPr>
          <w:rFonts w:ascii="Verdana" w:hAnsi="Verdana"/>
          <w:lang w:val="en-GB"/>
        </w:rPr>
        <w:tab/>
      </w:r>
      <w:r w:rsidR="000D6932">
        <w:rPr>
          <w:rFonts w:ascii="Verdana" w:hAnsi="Verdana"/>
          <w:lang w:val="en-GB"/>
        </w:rPr>
        <w:tab/>
        <w:t>R</w:t>
      </w:r>
      <w:r>
        <w:rPr>
          <w:rFonts w:ascii="Verdana" w:hAnsi="Verdana"/>
          <w:lang w:val="en-GB"/>
        </w:rPr>
        <w:t>apid eye movement</w:t>
      </w:r>
      <w:r w:rsidR="00DF0268">
        <w:rPr>
          <w:rFonts w:ascii="Verdana" w:hAnsi="Verdana"/>
          <w:lang w:val="en-GB"/>
        </w:rPr>
        <w:t xml:space="preserve"> sleep</w:t>
      </w:r>
      <w:r>
        <w:rPr>
          <w:rFonts w:ascii="Verdana" w:hAnsi="Verdana"/>
          <w:lang w:val="en-GB"/>
        </w:rPr>
        <w:t xml:space="preserve"> disorder</w:t>
      </w:r>
    </w:p>
    <w:p w14:paraId="7F56D436" w14:textId="4C2606EA" w:rsidR="00346E75" w:rsidRDefault="00346E75">
      <w:pPr>
        <w:ind w:firstLine="0"/>
        <w:rPr>
          <w:rFonts w:ascii="Verdana" w:hAnsi="Verdana"/>
          <w:lang w:val="en-GB"/>
        </w:rPr>
      </w:pPr>
      <w:r>
        <w:rPr>
          <w:rFonts w:ascii="Verdana" w:hAnsi="Verdana"/>
          <w:lang w:val="en-GB"/>
        </w:rPr>
        <w:t xml:space="preserve">ROS </w:t>
      </w:r>
      <w:r w:rsidR="005833E4">
        <w:rPr>
          <w:rFonts w:ascii="Verdana" w:hAnsi="Verdana"/>
          <w:lang w:val="en-GB"/>
        </w:rPr>
        <w:tab/>
      </w:r>
      <w:r w:rsidR="005833E4">
        <w:rPr>
          <w:rFonts w:ascii="Verdana" w:hAnsi="Verdana"/>
          <w:lang w:val="en-GB"/>
        </w:rPr>
        <w:tab/>
        <w:t>R</w:t>
      </w:r>
      <w:r>
        <w:rPr>
          <w:rFonts w:ascii="Verdana" w:hAnsi="Verdana"/>
          <w:lang w:val="en-GB"/>
        </w:rPr>
        <w:t>eactive oxygen species</w:t>
      </w:r>
    </w:p>
    <w:p w14:paraId="771E7999" w14:textId="36946346" w:rsidR="00346E75" w:rsidRDefault="00346E75">
      <w:pPr>
        <w:ind w:firstLine="0"/>
        <w:rPr>
          <w:rFonts w:ascii="Verdana" w:hAnsi="Verdana"/>
          <w:lang w:val="en-GB"/>
        </w:rPr>
      </w:pPr>
      <w:r>
        <w:rPr>
          <w:rFonts w:ascii="Verdana" w:hAnsi="Verdana"/>
          <w:lang w:val="en-GB"/>
        </w:rPr>
        <w:t xml:space="preserve">SN </w:t>
      </w:r>
      <w:r w:rsidR="005833E4">
        <w:rPr>
          <w:rFonts w:ascii="Verdana" w:hAnsi="Verdana"/>
          <w:lang w:val="en-GB"/>
        </w:rPr>
        <w:tab/>
      </w:r>
      <w:r w:rsidR="005833E4">
        <w:rPr>
          <w:rFonts w:ascii="Verdana" w:hAnsi="Verdana"/>
          <w:lang w:val="en-GB"/>
        </w:rPr>
        <w:tab/>
        <w:t>S</w:t>
      </w:r>
      <w:r>
        <w:rPr>
          <w:rFonts w:ascii="Verdana" w:hAnsi="Verdana"/>
          <w:lang w:val="en-GB"/>
        </w:rPr>
        <w:t>ubstantia nigra</w:t>
      </w:r>
    </w:p>
    <w:p w14:paraId="75B15443" w14:textId="65AC0DEA" w:rsidR="00AC74B6" w:rsidRDefault="00AC74B6">
      <w:pPr>
        <w:ind w:firstLine="0"/>
        <w:rPr>
          <w:rFonts w:ascii="Verdana" w:hAnsi="Verdana"/>
          <w:lang w:val="en-GB"/>
        </w:rPr>
      </w:pPr>
      <w:r>
        <w:rPr>
          <w:rFonts w:ascii="Verdana" w:hAnsi="Verdana"/>
          <w:lang w:val="en-GB"/>
        </w:rPr>
        <w:t>SNCA</w:t>
      </w:r>
      <w:r>
        <w:rPr>
          <w:rFonts w:ascii="Verdana" w:hAnsi="Verdana"/>
          <w:lang w:val="en-GB"/>
        </w:rPr>
        <w:tab/>
      </w:r>
      <w:r>
        <w:rPr>
          <w:rFonts w:ascii="Verdana" w:hAnsi="Verdana"/>
          <w:lang w:val="en-GB"/>
        </w:rPr>
        <w:tab/>
        <w:t>Human alpha-synuclein gene</w:t>
      </w:r>
    </w:p>
    <w:p w14:paraId="149EC86A" w14:textId="18E81A11" w:rsidR="00AC74B6" w:rsidRDefault="00AC74B6">
      <w:pPr>
        <w:ind w:firstLine="0"/>
        <w:rPr>
          <w:rFonts w:ascii="Verdana" w:hAnsi="Verdana"/>
          <w:lang w:val="en-GB"/>
        </w:rPr>
      </w:pPr>
      <w:proofErr w:type="spellStart"/>
      <w:r>
        <w:rPr>
          <w:rFonts w:ascii="Verdana" w:hAnsi="Verdana"/>
          <w:lang w:val="en-GB"/>
        </w:rPr>
        <w:t>Snca</w:t>
      </w:r>
      <w:proofErr w:type="spellEnd"/>
      <w:r>
        <w:rPr>
          <w:rFonts w:ascii="Verdana" w:hAnsi="Verdana"/>
          <w:lang w:val="en-GB"/>
        </w:rPr>
        <w:tab/>
      </w:r>
      <w:r>
        <w:rPr>
          <w:rFonts w:ascii="Verdana" w:hAnsi="Verdana"/>
          <w:lang w:val="en-GB"/>
        </w:rPr>
        <w:tab/>
        <w:t>Murine alpha-synuclein gene</w:t>
      </w:r>
    </w:p>
    <w:p w14:paraId="2A0F5F6F" w14:textId="4438831D" w:rsidR="00346E75" w:rsidRDefault="00346E75">
      <w:pPr>
        <w:ind w:firstLine="0"/>
        <w:rPr>
          <w:rFonts w:ascii="Verdana" w:hAnsi="Verdana"/>
          <w:lang w:val="en-GB"/>
        </w:rPr>
      </w:pPr>
      <w:proofErr w:type="spellStart"/>
      <w:r>
        <w:rPr>
          <w:rFonts w:ascii="Verdana" w:hAnsi="Verdana"/>
          <w:lang w:val="en-GB"/>
        </w:rPr>
        <w:lastRenderedPageBreak/>
        <w:t>SNpc</w:t>
      </w:r>
      <w:proofErr w:type="spellEnd"/>
      <w:r>
        <w:rPr>
          <w:rFonts w:ascii="Verdana" w:hAnsi="Verdana"/>
          <w:lang w:val="en-GB"/>
        </w:rPr>
        <w:t xml:space="preserve"> </w:t>
      </w:r>
      <w:r w:rsidR="005833E4">
        <w:rPr>
          <w:rFonts w:ascii="Verdana" w:hAnsi="Verdana"/>
          <w:lang w:val="en-GB"/>
        </w:rPr>
        <w:tab/>
      </w:r>
      <w:r w:rsidR="005833E4">
        <w:rPr>
          <w:rFonts w:ascii="Verdana" w:hAnsi="Verdana"/>
          <w:lang w:val="en-GB"/>
        </w:rPr>
        <w:tab/>
        <w:t>S</w:t>
      </w:r>
      <w:r>
        <w:rPr>
          <w:rFonts w:ascii="Verdana" w:hAnsi="Verdana"/>
          <w:lang w:val="en-GB"/>
        </w:rPr>
        <w:t>ubstantia nigra pars compacta</w:t>
      </w:r>
    </w:p>
    <w:p w14:paraId="577B0977" w14:textId="22A982CB" w:rsidR="00346E75" w:rsidRDefault="00346E75">
      <w:pPr>
        <w:ind w:firstLine="0"/>
        <w:rPr>
          <w:rFonts w:ascii="Verdana" w:hAnsi="Verdana"/>
          <w:lang w:val="en-GB"/>
        </w:rPr>
      </w:pPr>
      <w:proofErr w:type="spellStart"/>
      <w:r>
        <w:rPr>
          <w:rFonts w:ascii="Verdana" w:hAnsi="Verdana"/>
          <w:lang w:val="en-GB"/>
        </w:rPr>
        <w:t>SNpr</w:t>
      </w:r>
      <w:proofErr w:type="spellEnd"/>
      <w:r>
        <w:rPr>
          <w:rFonts w:ascii="Verdana" w:hAnsi="Verdana"/>
          <w:lang w:val="en-GB"/>
        </w:rPr>
        <w:t xml:space="preserve"> </w:t>
      </w:r>
      <w:r w:rsidR="005833E4">
        <w:rPr>
          <w:rFonts w:ascii="Verdana" w:hAnsi="Verdana"/>
          <w:lang w:val="en-GB"/>
        </w:rPr>
        <w:tab/>
      </w:r>
      <w:r w:rsidR="005833E4">
        <w:rPr>
          <w:rFonts w:ascii="Verdana" w:hAnsi="Verdana"/>
          <w:lang w:val="en-GB"/>
        </w:rPr>
        <w:tab/>
        <w:t>S</w:t>
      </w:r>
      <w:r>
        <w:rPr>
          <w:rFonts w:ascii="Verdana" w:hAnsi="Verdana"/>
          <w:lang w:val="en-GB"/>
        </w:rPr>
        <w:t>ubstantia nigra pars reticulata</w:t>
      </w:r>
    </w:p>
    <w:p w14:paraId="2B6FE8F8" w14:textId="77777777" w:rsidR="00346E75" w:rsidRPr="00222BDA" w:rsidRDefault="00346E75">
      <w:pPr>
        <w:ind w:firstLine="0"/>
        <w:rPr>
          <w:rFonts w:ascii="Verdana" w:hAnsi="Verdana"/>
          <w:lang w:val="en-GB"/>
        </w:rPr>
      </w:pPr>
    </w:p>
    <w:p w14:paraId="35DBFEBF" w14:textId="77777777" w:rsidR="00026830" w:rsidRDefault="00EA5457">
      <w:pPr>
        <w:ind w:firstLine="0"/>
        <w:rPr>
          <w:lang w:val="en-GB"/>
        </w:rPr>
        <w:sectPr w:rsidR="00026830" w:rsidSect="00F72992">
          <w:footerReference w:type="default" r:id="rId50"/>
          <w:footerReference w:type="first" r:id="rId51"/>
          <w:pgSz w:w="11907" w:h="16840" w:code="9"/>
          <w:pgMar w:top="1440" w:right="1418" w:bottom="1440" w:left="1701" w:header="720" w:footer="720" w:gutter="0"/>
          <w:pgNumType w:fmt="upperRoman" w:start="1"/>
          <w:cols w:space="720"/>
          <w:titlePg/>
          <w:docGrid w:linePitch="360"/>
        </w:sectPr>
      </w:pPr>
      <w:r>
        <w:rPr>
          <w:lang w:val="en-GB"/>
        </w:rPr>
        <w:br w:type="page"/>
      </w:r>
    </w:p>
    <w:p w14:paraId="62184886" w14:textId="6CA9B229" w:rsidR="00026830" w:rsidRDefault="00026830">
      <w:pPr>
        <w:ind w:firstLine="0"/>
        <w:rPr>
          <w:lang w:val="en-GB"/>
        </w:rPr>
      </w:pPr>
    </w:p>
    <w:p w14:paraId="4524CD13" w14:textId="77777777" w:rsidR="00026830" w:rsidRDefault="00026830">
      <w:pPr>
        <w:ind w:firstLine="0"/>
        <w:rPr>
          <w:lang w:val="en-GB"/>
        </w:rPr>
      </w:pPr>
      <w:r>
        <w:rPr>
          <w:lang w:val="en-GB"/>
        </w:rPr>
        <w:br w:type="page"/>
      </w:r>
    </w:p>
    <w:p w14:paraId="4F3CDAFB" w14:textId="77777777" w:rsidR="00EA5457" w:rsidRDefault="00EA5457">
      <w:pPr>
        <w:ind w:firstLine="0"/>
        <w:rPr>
          <w:rFonts w:ascii="Verdana" w:eastAsiaTheme="majorEastAsia" w:hAnsi="Verdana" w:cstheme="majorBidi"/>
          <w:sz w:val="56"/>
          <w:szCs w:val="32"/>
          <w:lang w:val="en-GB"/>
        </w:rPr>
      </w:pPr>
    </w:p>
    <w:p w14:paraId="72754719" w14:textId="77777777" w:rsidR="00980F33" w:rsidRDefault="00980F33">
      <w:pPr>
        <w:ind w:firstLine="0"/>
        <w:rPr>
          <w:rFonts w:ascii="Verdana" w:eastAsiaTheme="majorEastAsia" w:hAnsi="Verdana" w:cstheme="majorBidi"/>
          <w:sz w:val="56"/>
          <w:szCs w:val="32"/>
          <w:lang w:val="en-GB"/>
        </w:rPr>
      </w:pPr>
      <w:r>
        <w:rPr>
          <w:lang w:val="en-GB"/>
        </w:rPr>
        <w:br w:type="page"/>
      </w:r>
    </w:p>
    <w:p w14:paraId="0C1DBF2D" w14:textId="77777777" w:rsidR="00980F33" w:rsidRDefault="00980F33" w:rsidP="00980F33">
      <w:pPr>
        <w:pStyle w:val="Default"/>
        <w:spacing w:line="360" w:lineRule="auto"/>
        <w:jc w:val="center"/>
        <w:rPr>
          <w:rFonts w:ascii="Verdana" w:hAnsi="Verdana" w:cs="Times New Roman"/>
          <w:sz w:val="32"/>
          <w:szCs w:val="32"/>
        </w:rPr>
        <w:sectPr w:rsidR="00980F33" w:rsidSect="00F72992">
          <w:footerReference w:type="default" r:id="rId52"/>
          <w:pgSz w:w="11907" w:h="16840" w:code="9"/>
          <w:pgMar w:top="1440" w:right="1418" w:bottom="1440" w:left="1701" w:header="720" w:footer="720" w:gutter="0"/>
          <w:pgNumType w:fmt="upperRoman" w:start="1"/>
          <w:cols w:space="720"/>
          <w:titlePg/>
          <w:docGrid w:linePitch="360"/>
        </w:sectPr>
      </w:pPr>
    </w:p>
    <w:p w14:paraId="0B6B9596" w14:textId="77777777" w:rsidR="00980F33" w:rsidRDefault="00980F33" w:rsidP="00980F33">
      <w:pPr>
        <w:pStyle w:val="Default"/>
        <w:spacing w:line="360" w:lineRule="auto"/>
        <w:jc w:val="center"/>
        <w:rPr>
          <w:rFonts w:ascii="Verdana" w:hAnsi="Verdana" w:cs="Times New Roman"/>
          <w:sz w:val="32"/>
          <w:szCs w:val="32"/>
        </w:rPr>
      </w:pPr>
      <w:r w:rsidRPr="00B07016">
        <w:rPr>
          <w:rFonts w:ascii="Verdana" w:hAnsi="Verdana" w:cs="Times New Roman"/>
          <w:sz w:val="32"/>
          <w:szCs w:val="32"/>
        </w:rPr>
        <w:lastRenderedPageBreak/>
        <w:t>UNRAVELING THE EARLY PATHOLOGICAL MECHANISMS IN PARKINSON’S DISEASE:</w:t>
      </w:r>
    </w:p>
    <w:p w14:paraId="48461896" w14:textId="77777777" w:rsidR="00980F33" w:rsidRDefault="00980F33" w:rsidP="00980F33">
      <w:pPr>
        <w:pStyle w:val="Default"/>
        <w:spacing w:line="360" w:lineRule="auto"/>
        <w:jc w:val="center"/>
        <w:rPr>
          <w:rFonts w:ascii="Verdana" w:hAnsi="Verdana" w:cs="Times New Roman"/>
          <w:sz w:val="32"/>
          <w:szCs w:val="32"/>
        </w:rPr>
      </w:pPr>
      <w:r w:rsidRPr="00B07016">
        <w:rPr>
          <w:rFonts w:ascii="Verdana" w:hAnsi="Verdana" w:cs="Times New Roman"/>
          <w:sz w:val="32"/>
          <w:szCs w:val="32"/>
        </w:rPr>
        <w:t>INSIGHTS FROM ALPHA-SYNUCLEIN DEPENDENT</w:t>
      </w:r>
    </w:p>
    <w:p w14:paraId="3E034B5B" w14:textId="4E0C487F" w:rsidR="00980F33" w:rsidRPr="00B07016" w:rsidRDefault="00980F33" w:rsidP="00980F33">
      <w:pPr>
        <w:pStyle w:val="Default"/>
        <w:spacing w:line="360" w:lineRule="auto"/>
        <w:jc w:val="center"/>
        <w:rPr>
          <w:rFonts w:ascii="Verdana" w:hAnsi="Verdana" w:cs="Times New Roman"/>
          <w:sz w:val="32"/>
          <w:szCs w:val="32"/>
        </w:rPr>
      </w:pPr>
      <w:r w:rsidRPr="00B07016">
        <w:rPr>
          <w:rFonts w:ascii="Verdana" w:hAnsi="Verdana" w:cs="Times New Roman"/>
          <w:sz w:val="32"/>
          <w:szCs w:val="32"/>
        </w:rPr>
        <w:t>AND INDEPENDENT MODELS</w:t>
      </w:r>
    </w:p>
    <w:p w14:paraId="6C3BC7EF" w14:textId="02C4C870" w:rsidR="00B23341" w:rsidRDefault="00B23341">
      <w:pPr>
        <w:ind w:firstLine="0"/>
        <w:rPr>
          <w:rFonts w:ascii="Verdana" w:eastAsiaTheme="majorEastAsia" w:hAnsi="Verdana" w:cstheme="majorBidi"/>
          <w:sz w:val="56"/>
          <w:szCs w:val="32"/>
          <w:lang w:val="en-GB"/>
        </w:rPr>
      </w:pPr>
      <w:r>
        <w:rPr>
          <w:lang w:val="en-GB"/>
        </w:rPr>
        <w:br w:type="page"/>
      </w:r>
    </w:p>
    <w:p w14:paraId="524A17B9" w14:textId="77777777" w:rsidR="00980F33" w:rsidRDefault="00980F33" w:rsidP="007D6048">
      <w:pPr>
        <w:pStyle w:val="Heading1"/>
        <w:rPr>
          <w:lang w:val="en-GB"/>
        </w:rPr>
        <w:sectPr w:rsidR="00980F33" w:rsidSect="00980F33">
          <w:footerReference w:type="default" r:id="rId53"/>
          <w:pgSz w:w="11907" w:h="16840" w:code="9"/>
          <w:pgMar w:top="1440" w:right="1418" w:bottom="1440" w:left="1701" w:header="720" w:footer="720" w:gutter="0"/>
          <w:cols w:space="720"/>
          <w:vAlign w:val="center"/>
          <w:docGrid w:linePitch="360"/>
        </w:sectPr>
      </w:pPr>
    </w:p>
    <w:p w14:paraId="04753736" w14:textId="77777777" w:rsidR="00B23341" w:rsidRDefault="00B23341" w:rsidP="007D6048">
      <w:pPr>
        <w:pStyle w:val="Heading1"/>
        <w:rPr>
          <w:lang w:val="en-GB"/>
        </w:rPr>
        <w:sectPr w:rsidR="00B23341" w:rsidSect="00980F33">
          <w:pgSz w:w="11907" w:h="16840" w:code="9"/>
          <w:pgMar w:top="1440" w:right="1418" w:bottom="1440" w:left="1701" w:header="720" w:footer="720" w:gutter="0"/>
          <w:cols w:space="720"/>
          <w:docGrid w:linePitch="360"/>
        </w:sectPr>
      </w:pPr>
    </w:p>
    <w:p w14:paraId="59C18FF2" w14:textId="3B09019B" w:rsidR="00F4661F" w:rsidRDefault="002F638A" w:rsidP="0078638E">
      <w:pPr>
        <w:pStyle w:val="Heading1"/>
        <w:ind w:firstLine="0"/>
        <w:rPr>
          <w:lang w:val="en-GB"/>
        </w:rPr>
      </w:pPr>
      <w:bookmarkStart w:id="0" w:name="_Toc130223378"/>
      <w:r w:rsidRPr="0023450C">
        <w:rPr>
          <w:szCs w:val="56"/>
          <w:lang w:val="en-GB"/>
        </w:rPr>
        <w:lastRenderedPageBreak/>
        <w:t>Abstract</w:t>
      </w:r>
      <w:bookmarkEnd w:id="0"/>
    </w:p>
    <w:p w14:paraId="56D5CE0B" w14:textId="77777777" w:rsidR="00F4661F" w:rsidRDefault="00F4661F" w:rsidP="00F4661F">
      <w:pPr>
        <w:spacing w:line="360" w:lineRule="auto"/>
        <w:jc w:val="both"/>
        <w:rPr>
          <w:rFonts w:ascii="Verdana" w:hAnsi="Verdana"/>
          <w:lang w:val="en-GB"/>
        </w:rPr>
      </w:pPr>
    </w:p>
    <w:p w14:paraId="506AB6F7" w14:textId="77777777" w:rsidR="00F4661F" w:rsidRDefault="00F4661F" w:rsidP="00F4661F">
      <w:pPr>
        <w:spacing w:line="360" w:lineRule="auto"/>
        <w:jc w:val="both"/>
        <w:rPr>
          <w:rFonts w:ascii="Verdana" w:hAnsi="Verdana"/>
          <w:lang w:val="en-GB"/>
        </w:rPr>
      </w:pPr>
    </w:p>
    <w:p w14:paraId="1826ADDF" w14:textId="77777777" w:rsidR="00F4661F" w:rsidRDefault="00F4661F" w:rsidP="00F4661F">
      <w:pPr>
        <w:spacing w:line="360" w:lineRule="auto"/>
        <w:jc w:val="both"/>
        <w:rPr>
          <w:rFonts w:ascii="Verdana" w:hAnsi="Verdana"/>
          <w:lang w:val="en-GB"/>
        </w:rPr>
      </w:pPr>
    </w:p>
    <w:p w14:paraId="6AE9C264" w14:textId="638F6682" w:rsidR="00F4661F" w:rsidRDefault="00F4661F" w:rsidP="00F4661F">
      <w:pPr>
        <w:spacing w:line="360" w:lineRule="auto"/>
        <w:jc w:val="both"/>
        <w:rPr>
          <w:rFonts w:ascii="Verdana" w:hAnsi="Verdana"/>
          <w:lang w:val="en-GB"/>
        </w:rPr>
      </w:pPr>
    </w:p>
    <w:p w14:paraId="0F5C62D8" w14:textId="77777777" w:rsidR="0078638E" w:rsidRDefault="0078638E" w:rsidP="00F4661F">
      <w:pPr>
        <w:spacing w:line="360" w:lineRule="auto"/>
        <w:jc w:val="both"/>
        <w:rPr>
          <w:rFonts w:ascii="Verdana" w:hAnsi="Verdana"/>
          <w:lang w:val="en-GB"/>
        </w:rPr>
      </w:pPr>
    </w:p>
    <w:p w14:paraId="799ED676" w14:textId="2A80AD4C" w:rsidR="00F4661F" w:rsidRPr="00F4661F" w:rsidRDefault="00F4661F" w:rsidP="00F4661F">
      <w:pPr>
        <w:spacing w:line="360" w:lineRule="auto"/>
        <w:jc w:val="both"/>
        <w:rPr>
          <w:rFonts w:ascii="Verdana" w:hAnsi="Verdana"/>
          <w:lang w:val="en-GB"/>
        </w:rPr>
      </w:pPr>
      <w:r w:rsidRPr="00F4661F">
        <w:rPr>
          <w:rFonts w:ascii="Verdana" w:hAnsi="Verdana"/>
          <w:lang w:val="en-GB"/>
        </w:rPr>
        <w:t xml:space="preserve">Affecting over 10 million people worldwide, Parkinson’s disease is the second most common neurodegenerative disorder. With only 10% of cases having a known genetic cause, PD aetiology largely remains an enigma. Endogenous factors such as genetic predisposition, and exogenous factors such as exposure to toxins and lifestyle choices, interplay in the initiation and acceleration of the disease. Despite some common hallmarks such as </w:t>
      </w:r>
      <w:r w:rsidR="00977047">
        <w:rPr>
          <w:rFonts w:ascii="Verdana" w:hAnsi="Verdana"/>
          <w:lang w:val="en-GB"/>
        </w:rPr>
        <w:t>nigrostriatal</w:t>
      </w:r>
      <w:r w:rsidRPr="00F4661F">
        <w:rPr>
          <w:rFonts w:ascii="Verdana" w:hAnsi="Verdana"/>
          <w:lang w:val="en-GB"/>
        </w:rPr>
        <w:t xml:space="preserve"> degeneration and Lewy bodies pathology, PD clinical picture largely varies across patients. Non-motor symptoms are common and thought to emerge up to 20 years prior to diagnosis, and they range from gastro-intestinal dysfunction to sleep disturbances to hallucinations. 90% of PD patients present at least one neuropsychiatric symptom, and about 30% of total patients develop dementia. Interventions aimed to </w:t>
      </w:r>
      <w:proofErr w:type="gramStart"/>
      <w:r w:rsidRPr="00F4661F">
        <w:rPr>
          <w:rFonts w:ascii="Verdana" w:hAnsi="Verdana"/>
          <w:lang w:val="en-GB"/>
        </w:rPr>
        <w:t>prevent</w:t>
      </w:r>
      <w:proofErr w:type="gramEnd"/>
      <w:r w:rsidRPr="00F4661F">
        <w:rPr>
          <w:rFonts w:ascii="Verdana" w:hAnsi="Verdana"/>
          <w:lang w:val="en-GB"/>
        </w:rPr>
        <w:t xml:space="preserve"> or slowdown disease progression require a better understanding of the early molecular events which foster neuronal dysfunction and death. Longitudinal studies which allow the investigation of early pathological stages are challenging to achieve on patients-based study only, thus largely rely on the use of animal models. Specifically, rodents have very similar anatomy, physiology, and genetics to humans, and a good set of genetic/molecular tools are available to generate pathological models. In the present thesis, we ventured into the investigation</w:t>
      </w:r>
      <w:r>
        <w:rPr>
          <w:rFonts w:ascii="Verdana" w:hAnsi="Verdana"/>
          <w:lang w:val="en-GB"/>
        </w:rPr>
        <w:t xml:space="preserve"> of</w:t>
      </w:r>
      <w:r w:rsidRPr="00F4661F">
        <w:rPr>
          <w:rFonts w:ascii="Verdana" w:hAnsi="Verdana"/>
          <w:lang w:val="en-GB"/>
        </w:rPr>
        <w:t xml:space="preserve"> alpha-synuclein dependent and independent models of PD, to unravel the early molecular events driving PD pathogenesis.</w:t>
      </w:r>
    </w:p>
    <w:p w14:paraId="5D96686C" w14:textId="7DE90960" w:rsidR="00F4661F" w:rsidRPr="00F4661F" w:rsidRDefault="00F4661F" w:rsidP="00F4661F">
      <w:pPr>
        <w:spacing w:line="360" w:lineRule="auto"/>
        <w:jc w:val="both"/>
        <w:rPr>
          <w:rFonts w:ascii="Verdana" w:hAnsi="Verdana"/>
          <w:lang w:val="en-GB"/>
        </w:rPr>
      </w:pPr>
      <w:r w:rsidRPr="00F4661F">
        <w:rPr>
          <w:rFonts w:ascii="Verdana" w:hAnsi="Verdana"/>
          <w:lang w:val="en-GB"/>
        </w:rPr>
        <w:t xml:space="preserve">Firstly, we investigated a genetic mouse model overexpressing the human, E46K mutated alpha-synuclein gene. We characterised neurodegeneration in the </w:t>
      </w:r>
      <w:r w:rsidR="00977047">
        <w:rPr>
          <w:rFonts w:ascii="Verdana" w:hAnsi="Verdana"/>
          <w:lang w:val="en-GB"/>
        </w:rPr>
        <w:t>nigrostriatal</w:t>
      </w:r>
      <w:r w:rsidRPr="00F4661F">
        <w:rPr>
          <w:rFonts w:ascii="Verdana" w:hAnsi="Verdana"/>
          <w:lang w:val="en-GB"/>
        </w:rPr>
        <w:t xml:space="preserve"> pathway and motor deficits, detecting </w:t>
      </w:r>
      <w:r w:rsidRPr="00F4661F">
        <w:rPr>
          <w:rFonts w:ascii="Verdana" w:hAnsi="Verdana"/>
          <w:lang w:val="en-GB"/>
        </w:rPr>
        <w:lastRenderedPageBreak/>
        <w:t>characteristics of an early-PD phenotype. Aiming to understand the molecular events driving neurodegeneration, we profiled the ventral midbrain transcriptome at different ages, uncovering that transcriptional changes are an early response to the alpha-synuclein challenge. Being the E46K mutation associated with dementia, we also profiled the hippocampus to investigate early transcriptional events linked with cognitive dysfunction in PD. We revealed that hippocampal dysfunction is mostly driven by the ageing process, operating over the interplay of genetic and gender predisposition.</w:t>
      </w:r>
    </w:p>
    <w:p w14:paraId="6E30E54D" w14:textId="77777777" w:rsidR="00F4661F" w:rsidRPr="00F4661F" w:rsidRDefault="00F4661F" w:rsidP="00F4661F">
      <w:pPr>
        <w:spacing w:line="360" w:lineRule="auto"/>
        <w:jc w:val="both"/>
        <w:rPr>
          <w:rFonts w:ascii="Verdana" w:hAnsi="Verdana"/>
          <w:lang w:val="en-GB"/>
        </w:rPr>
      </w:pPr>
      <w:r w:rsidRPr="00F4661F">
        <w:rPr>
          <w:rFonts w:ascii="Verdana" w:hAnsi="Verdana"/>
          <w:lang w:val="en-GB"/>
        </w:rPr>
        <w:t>Secondly, we profiled transcriptomic changes in the midbrain of the alpha-synuclein independent, Park7</w:t>
      </w:r>
      <w:r w:rsidRPr="00F4661F">
        <w:rPr>
          <w:rFonts w:ascii="Verdana" w:hAnsi="Verdana"/>
          <w:vertAlign w:val="superscript"/>
          <w:lang w:val="en-GB"/>
        </w:rPr>
        <w:t>-/-</w:t>
      </w:r>
      <w:r w:rsidRPr="00F4661F">
        <w:rPr>
          <w:rFonts w:ascii="Verdana" w:hAnsi="Verdana"/>
          <w:lang w:val="en-GB"/>
        </w:rPr>
        <w:t xml:space="preserve"> (DJ-1 KO) mouse model. Once again, we uncovered the interplay of sex and age in determining the susceptibility to the disease challenge, with males being more affected than females. Specifically, the response to DJ-1 loss of function appeared to be largely sex-specific, and to be mediated by the oestrogen pathway and the DJ-1/Nrf2/CYP1B1 axis. Even if sex-dimorphism has not been directly investigated in human Park7 PD cases due to their paucity, it has been reported in sporadic PD for several populations. Thus, our findings might significantly contribute to uncovering the reasons behind gender differences in PD.</w:t>
      </w:r>
    </w:p>
    <w:p w14:paraId="64D9B4A7" w14:textId="77777777" w:rsidR="00F4661F" w:rsidRPr="00F4661F" w:rsidRDefault="00F4661F" w:rsidP="00F4661F">
      <w:pPr>
        <w:spacing w:line="360" w:lineRule="auto"/>
        <w:jc w:val="both"/>
        <w:rPr>
          <w:rFonts w:ascii="Verdana" w:hAnsi="Verdana"/>
          <w:lang w:val="en-GB"/>
        </w:rPr>
      </w:pPr>
      <w:r w:rsidRPr="00F4661F">
        <w:rPr>
          <w:rFonts w:ascii="Verdana" w:hAnsi="Verdana"/>
          <w:lang w:val="en-GB"/>
        </w:rPr>
        <w:t xml:space="preserve">Thirdly, we investigated a moderate </w:t>
      </w:r>
      <w:proofErr w:type="spellStart"/>
      <w:r w:rsidRPr="00F4661F">
        <w:rPr>
          <w:rFonts w:ascii="Verdana" w:hAnsi="Verdana"/>
          <w:lang w:val="en-GB"/>
        </w:rPr>
        <w:t>overexpressor</w:t>
      </w:r>
      <w:proofErr w:type="spellEnd"/>
      <w:r w:rsidRPr="00F4661F">
        <w:rPr>
          <w:rFonts w:ascii="Verdana" w:hAnsi="Verdana"/>
          <w:lang w:val="en-GB"/>
        </w:rPr>
        <w:t xml:space="preserve"> of wild-type alpha-synuclein (Thy1-Syn14), aiming to reach a compromise between genetic and idiopathic PD modelling. To understand how endogenous and exogenous factors interplay in disease onset and progression, we exposed transgenic mice to the amyloidogenic protein Curli and to a fibre deprived diet. We uncovered that microbiome insults and diet act in combination to promote disease progression, and we provided supporting evidence to the concept of a gut-brain axis in PD. Our results underline the relevance of lifestyle adjustments in the management of PD patients.</w:t>
      </w:r>
    </w:p>
    <w:p w14:paraId="6B3D4FF6" w14:textId="77777777" w:rsidR="006277BA" w:rsidRDefault="00F4661F" w:rsidP="00F4661F">
      <w:pPr>
        <w:spacing w:line="360" w:lineRule="auto"/>
        <w:jc w:val="both"/>
        <w:rPr>
          <w:rFonts w:ascii="Verdana" w:hAnsi="Verdana"/>
          <w:lang w:val="en-GB"/>
        </w:rPr>
        <w:sectPr w:rsidR="006277BA" w:rsidSect="00C00AB7">
          <w:footerReference w:type="default" r:id="rId54"/>
          <w:pgSz w:w="11907" w:h="16840" w:code="9"/>
          <w:pgMar w:top="1440" w:right="1418" w:bottom="1440" w:left="1701" w:header="720" w:footer="720" w:gutter="0"/>
          <w:pgNumType w:start="1"/>
          <w:cols w:space="720"/>
          <w:vAlign w:val="center"/>
          <w:docGrid w:linePitch="360"/>
        </w:sectPr>
      </w:pPr>
      <w:r w:rsidRPr="00F4661F">
        <w:rPr>
          <w:rFonts w:ascii="Verdana" w:hAnsi="Verdana"/>
          <w:lang w:val="en-GB"/>
        </w:rPr>
        <w:t xml:space="preserve">Finally, we investigated how different alpha-synuclein moieties and glutamate exposure might contribute to neurodegeneration. Even if these studies were left incomplete, we gained some preliminary indications which can represent a starting point for future research. We observed that both oligomers and fibrils are toxic forms of alpha-synuclein, and that a lack of standardisation in recombinant moieties production is a current issue that may halt </w:t>
      </w:r>
    </w:p>
    <w:p w14:paraId="2A316F3A" w14:textId="77777777" w:rsidR="006277BA" w:rsidRDefault="00F4661F" w:rsidP="00F4661F">
      <w:pPr>
        <w:spacing w:line="360" w:lineRule="auto"/>
        <w:jc w:val="both"/>
        <w:rPr>
          <w:rFonts w:ascii="Verdana" w:hAnsi="Verdana"/>
          <w:lang w:val="en-GB"/>
        </w:rPr>
        <w:sectPr w:rsidR="006277BA" w:rsidSect="006277BA">
          <w:pgSz w:w="11907" w:h="16840" w:code="9"/>
          <w:pgMar w:top="1440" w:right="1418" w:bottom="1440" w:left="1701" w:header="720" w:footer="720" w:gutter="0"/>
          <w:pgNumType w:start="1"/>
          <w:cols w:space="720"/>
          <w:docGrid w:linePitch="360"/>
        </w:sectPr>
      </w:pPr>
      <w:r w:rsidRPr="00F4661F">
        <w:rPr>
          <w:rFonts w:ascii="Verdana" w:hAnsi="Verdana"/>
          <w:lang w:val="en-GB"/>
        </w:rPr>
        <w:lastRenderedPageBreak/>
        <w:t>reproducibility in alpha-synuclein research. We also reported a higher susceptibility of DJ-1 knock-down cells to glutamate excitotoxicity, potentially underlying an additional mechanism through which DJ-1 loss of function is responsible for PD development.</w:t>
      </w:r>
    </w:p>
    <w:p w14:paraId="0EF46A46" w14:textId="77777777" w:rsidR="00F4661F" w:rsidRPr="00F4661F" w:rsidRDefault="00F4661F" w:rsidP="00F4661F">
      <w:pPr>
        <w:spacing w:line="360" w:lineRule="auto"/>
        <w:jc w:val="both"/>
        <w:rPr>
          <w:rFonts w:ascii="Verdana" w:hAnsi="Verdana"/>
          <w:lang w:val="en-GB"/>
        </w:rPr>
      </w:pPr>
    </w:p>
    <w:p w14:paraId="3E0B5AEB" w14:textId="58200914" w:rsidR="00725809" w:rsidRPr="00C00AB7" w:rsidRDefault="0003019E" w:rsidP="00C00AB7">
      <w:pPr>
        <w:ind w:firstLine="0"/>
        <w:rPr>
          <w:rFonts w:ascii="Verdana" w:hAnsi="Verdana"/>
          <w:sz w:val="44"/>
          <w:szCs w:val="44"/>
          <w:lang w:val="en-GB"/>
        </w:rPr>
      </w:pPr>
      <w:r>
        <w:rPr>
          <w:rFonts w:ascii="Verdana" w:hAnsi="Verdana"/>
          <w:sz w:val="44"/>
          <w:szCs w:val="44"/>
          <w:lang w:val="en-GB"/>
        </w:rPr>
        <w:br w:type="page"/>
      </w:r>
      <w:r w:rsidR="0078638E">
        <w:rPr>
          <w:rFonts w:ascii="Verdana" w:hAnsi="Verdana"/>
          <w:sz w:val="44"/>
          <w:szCs w:val="44"/>
          <w:lang w:val="en-GB"/>
        </w:rPr>
        <w:lastRenderedPageBreak/>
        <w:br w:type="page"/>
      </w:r>
    </w:p>
    <w:p w14:paraId="591E027D" w14:textId="1269FA92" w:rsidR="00744713" w:rsidRDefault="00744713" w:rsidP="00744713">
      <w:pPr>
        <w:pStyle w:val="Title"/>
        <w:jc w:val="center"/>
        <w:rPr>
          <w:rFonts w:ascii="Verdana" w:hAnsi="Verdana"/>
          <w:sz w:val="44"/>
          <w:szCs w:val="44"/>
          <w:lang w:val="en-GB"/>
        </w:rPr>
      </w:pPr>
      <w:r w:rsidRPr="00744713">
        <w:rPr>
          <w:rFonts w:ascii="Verdana" w:hAnsi="Verdana"/>
          <w:sz w:val="44"/>
          <w:szCs w:val="44"/>
          <w:lang w:val="en-GB"/>
        </w:rPr>
        <w:lastRenderedPageBreak/>
        <w:t xml:space="preserve">Part </w:t>
      </w:r>
      <w:r w:rsidR="006620F5">
        <w:rPr>
          <w:rFonts w:ascii="Verdana" w:hAnsi="Verdana"/>
          <w:sz w:val="44"/>
          <w:szCs w:val="44"/>
          <w:lang w:val="en-GB"/>
        </w:rPr>
        <w:t>I</w:t>
      </w:r>
    </w:p>
    <w:p w14:paraId="10566FB2" w14:textId="77777777" w:rsidR="006620F5" w:rsidRPr="006620F5" w:rsidRDefault="006620F5" w:rsidP="006620F5">
      <w:pPr>
        <w:rPr>
          <w:lang w:val="en-GB"/>
        </w:rPr>
      </w:pPr>
    </w:p>
    <w:p w14:paraId="38765D00" w14:textId="77777777" w:rsidR="00DF30DD" w:rsidRDefault="00744713" w:rsidP="007B6969">
      <w:pPr>
        <w:pStyle w:val="Heading1"/>
        <w:jc w:val="center"/>
        <w:rPr>
          <w:lang w:val="en-GB"/>
        </w:rPr>
        <w:sectPr w:rsidR="00DF30DD" w:rsidSect="00C00AB7">
          <w:pgSz w:w="11907" w:h="16840" w:code="9"/>
          <w:pgMar w:top="1440" w:right="1418" w:bottom="1440" w:left="1701" w:header="720" w:footer="720" w:gutter="0"/>
          <w:pgNumType w:start="1"/>
          <w:cols w:space="720"/>
          <w:vAlign w:val="center"/>
          <w:docGrid w:linePitch="360"/>
        </w:sectPr>
      </w:pPr>
      <w:bookmarkStart w:id="1" w:name="_Toc130223379"/>
      <w:r w:rsidRPr="006620F5">
        <w:rPr>
          <w:lang w:val="en-GB"/>
        </w:rPr>
        <w:t>Introduction</w:t>
      </w:r>
      <w:bookmarkEnd w:id="1"/>
    </w:p>
    <w:p w14:paraId="05EBCF34" w14:textId="2FDA8E9C" w:rsidR="00D34554" w:rsidRPr="006620F5" w:rsidRDefault="00D34554" w:rsidP="006620F5">
      <w:pPr>
        <w:pStyle w:val="Title"/>
        <w:jc w:val="center"/>
        <w:rPr>
          <w:rFonts w:ascii="Verdana" w:hAnsi="Verdana"/>
          <w:lang w:val="en-GB"/>
        </w:rPr>
      </w:pPr>
      <w:r>
        <w:rPr>
          <w:rFonts w:ascii="Verdana" w:hAnsi="Verdana"/>
          <w:lang w:val="en-GB"/>
        </w:rPr>
        <w:lastRenderedPageBreak/>
        <w:br w:type="page"/>
      </w:r>
    </w:p>
    <w:bookmarkStart w:id="2" w:name="_Toc130223380"/>
    <w:p w14:paraId="30396538" w14:textId="7B6A7D5D" w:rsidR="00D8296E" w:rsidRPr="0023450C" w:rsidRDefault="00E6318A" w:rsidP="004F0024">
      <w:pPr>
        <w:pStyle w:val="Heading1"/>
        <w:numPr>
          <w:ilvl w:val="2"/>
          <w:numId w:val="8"/>
        </w:numPr>
        <w:rPr>
          <w:szCs w:val="56"/>
          <w:lang w:val="en-GB"/>
        </w:rPr>
      </w:pPr>
      <w:r w:rsidRPr="0023450C">
        <w:rPr>
          <w:noProof/>
          <w:szCs w:val="56"/>
          <w:lang w:val="en-GB"/>
        </w:rPr>
        <w:lastRenderedPageBreak/>
        <mc:AlternateContent>
          <mc:Choice Requires="wps">
            <w:drawing>
              <wp:anchor distT="0" distB="0" distL="114300" distR="114300" simplePos="0" relativeHeight="251657216" behindDoc="0" locked="0" layoutInCell="1" allowOverlap="1" wp14:anchorId="4382A04C" wp14:editId="2B2F66D0">
                <wp:simplePos x="0" y="0"/>
                <wp:positionH relativeFrom="column">
                  <wp:posOffset>776133</wp:posOffset>
                </wp:positionH>
                <wp:positionV relativeFrom="paragraph">
                  <wp:posOffset>2540</wp:posOffset>
                </wp:positionV>
                <wp:extent cx="0" cy="457200"/>
                <wp:effectExtent l="19050" t="0" r="19050" b="19050"/>
                <wp:wrapNone/>
                <wp:docPr id="1" name="Straight Connector 1"/>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5A80FE" id="Straight Connector 1"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pt,.2pt" to="61.1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" strokecolor="black [3200]" strokeweight="2.25pt">
                <v:stroke joinstyle="miter"/>
              </v:line>
            </w:pict>
          </mc:Fallback>
        </mc:AlternateContent>
      </w:r>
      <w:r w:rsidR="00AB0160">
        <w:rPr>
          <w:szCs w:val="56"/>
          <w:lang w:val="en-GB"/>
        </w:rPr>
        <w:t xml:space="preserve">  </w:t>
      </w:r>
      <w:r w:rsidR="00F3672F" w:rsidRPr="0023450C">
        <w:rPr>
          <w:szCs w:val="56"/>
          <w:lang w:val="en-GB"/>
        </w:rPr>
        <w:t>Parkinson’s Disease</w:t>
      </w:r>
      <w:bookmarkEnd w:id="2"/>
    </w:p>
    <w:p w14:paraId="563EA718" w14:textId="23F3989D" w:rsidR="00DF4C69" w:rsidRDefault="00DF4C69" w:rsidP="008E4F81">
      <w:pPr>
        <w:spacing w:line="360" w:lineRule="auto"/>
        <w:ind w:left="360"/>
        <w:rPr>
          <w:rFonts w:ascii="Verdana" w:hAnsi="Verdana"/>
          <w:lang w:val="en-GB"/>
        </w:rPr>
      </w:pPr>
    </w:p>
    <w:p w14:paraId="53329607" w14:textId="77777777" w:rsidR="0098008C" w:rsidRDefault="0098008C" w:rsidP="008E4F81">
      <w:pPr>
        <w:spacing w:line="360" w:lineRule="auto"/>
        <w:ind w:left="360"/>
        <w:rPr>
          <w:rFonts w:ascii="Verdana" w:hAnsi="Verdana"/>
          <w:lang w:val="en-GB"/>
        </w:rPr>
      </w:pPr>
    </w:p>
    <w:p w14:paraId="5CA3E0CC" w14:textId="77814CB4" w:rsidR="007A1384" w:rsidRDefault="007A1384" w:rsidP="008E4F81">
      <w:pPr>
        <w:spacing w:line="360" w:lineRule="auto"/>
        <w:ind w:left="360"/>
        <w:rPr>
          <w:rFonts w:ascii="Verdana" w:hAnsi="Verdana"/>
          <w:lang w:val="en-GB"/>
        </w:rPr>
      </w:pPr>
    </w:p>
    <w:p w14:paraId="36688F4D" w14:textId="644E44D4" w:rsidR="00675207" w:rsidRDefault="00675207" w:rsidP="008E4F81">
      <w:pPr>
        <w:spacing w:line="360" w:lineRule="auto"/>
        <w:ind w:left="360"/>
        <w:rPr>
          <w:rFonts w:ascii="Verdana" w:hAnsi="Verdana"/>
          <w:lang w:val="en-GB"/>
        </w:rPr>
      </w:pPr>
    </w:p>
    <w:p w14:paraId="29B35A46" w14:textId="77777777" w:rsidR="00675207" w:rsidRPr="008E4F81" w:rsidRDefault="00675207" w:rsidP="008E4F81">
      <w:pPr>
        <w:spacing w:line="360" w:lineRule="auto"/>
        <w:ind w:left="360"/>
        <w:rPr>
          <w:rFonts w:ascii="Verdana" w:hAnsi="Verdana"/>
          <w:lang w:val="en-GB"/>
        </w:rPr>
      </w:pPr>
    </w:p>
    <w:p w14:paraId="0B453C79" w14:textId="713DB32D" w:rsidR="00F3672F" w:rsidRPr="007A09C9" w:rsidRDefault="00584BBF" w:rsidP="004F0024">
      <w:pPr>
        <w:pStyle w:val="Heading2"/>
        <w:numPr>
          <w:ilvl w:val="3"/>
          <w:numId w:val="9"/>
        </w:numPr>
        <w:spacing w:line="360" w:lineRule="auto"/>
        <w:ind w:left="0" w:firstLine="720"/>
        <w:rPr>
          <w:szCs w:val="24"/>
          <w:lang w:val="en-GB"/>
        </w:rPr>
      </w:pPr>
      <w:bookmarkStart w:id="3" w:name="_Toc130223381"/>
      <w:r w:rsidRPr="007A09C9">
        <w:rPr>
          <w:szCs w:val="24"/>
          <w:lang w:val="en-GB"/>
        </w:rPr>
        <w:t>Brief h</w:t>
      </w:r>
      <w:r w:rsidR="00DF4C69" w:rsidRPr="007A09C9">
        <w:rPr>
          <w:szCs w:val="24"/>
          <w:lang w:val="en-GB"/>
        </w:rPr>
        <w:t>istory of P</w:t>
      </w:r>
      <w:r w:rsidRPr="007A09C9">
        <w:rPr>
          <w:szCs w:val="24"/>
          <w:lang w:val="en-GB"/>
        </w:rPr>
        <w:t>arkinson’s disease</w:t>
      </w:r>
      <w:bookmarkEnd w:id="3"/>
    </w:p>
    <w:p w14:paraId="41117910" w14:textId="3A9480EE" w:rsidR="00D70ECD" w:rsidRDefault="00181C52" w:rsidP="00B4063B">
      <w:pPr>
        <w:spacing w:line="360" w:lineRule="auto"/>
        <w:jc w:val="both"/>
        <w:rPr>
          <w:rFonts w:ascii="Verdana" w:hAnsi="Verdana"/>
          <w:lang w:val="en-GB"/>
        </w:rPr>
      </w:pPr>
      <w:r>
        <w:rPr>
          <w:rFonts w:ascii="Verdana" w:hAnsi="Verdana"/>
          <w:lang w:val="en-GB"/>
        </w:rPr>
        <w:t>D</w:t>
      </w:r>
      <w:r w:rsidR="00B56669" w:rsidRPr="008E4F81">
        <w:rPr>
          <w:rFonts w:ascii="Verdana" w:hAnsi="Verdana"/>
          <w:lang w:val="en-GB"/>
        </w:rPr>
        <w:t>escribed</w:t>
      </w:r>
      <w:r>
        <w:rPr>
          <w:rFonts w:ascii="Verdana" w:hAnsi="Verdana"/>
          <w:lang w:val="en-GB"/>
        </w:rPr>
        <w:t xml:space="preserve"> for the first time</w:t>
      </w:r>
      <w:r w:rsidR="00B56669" w:rsidRPr="008E4F81">
        <w:rPr>
          <w:rFonts w:ascii="Verdana" w:hAnsi="Verdana"/>
          <w:lang w:val="en-GB"/>
        </w:rPr>
        <w:t xml:space="preserve"> by James Parkinson </w:t>
      </w:r>
      <w:r w:rsidR="00561FF2" w:rsidRPr="008E4F81">
        <w:rPr>
          <w:rFonts w:ascii="Verdana" w:hAnsi="Verdana"/>
          <w:lang w:val="en-GB"/>
        </w:rPr>
        <w:t>i</w:t>
      </w:r>
      <w:r w:rsidR="00B56669" w:rsidRPr="008E4F81">
        <w:rPr>
          <w:rFonts w:ascii="Verdana" w:hAnsi="Verdana"/>
          <w:lang w:val="en-GB"/>
        </w:rPr>
        <w:t xml:space="preserve">n 1817, </w:t>
      </w:r>
      <w:r w:rsidR="00697342" w:rsidRPr="008E4F81">
        <w:rPr>
          <w:rFonts w:ascii="Verdana" w:hAnsi="Verdana"/>
          <w:lang w:val="en-GB"/>
        </w:rPr>
        <w:t>Parkinson’s disease</w:t>
      </w:r>
      <w:r w:rsidR="00566A80">
        <w:rPr>
          <w:rFonts w:ascii="Verdana" w:hAnsi="Verdana"/>
          <w:lang w:val="en-GB"/>
        </w:rPr>
        <w:t xml:space="preserve"> (PD)</w:t>
      </w:r>
      <w:r w:rsidR="00697342" w:rsidRPr="008E4F81">
        <w:rPr>
          <w:rFonts w:ascii="Verdana" w:hAnsi="Verdana"/>
          <w:lang w:val="en-GB"/>
        </w:rPr>
        <w:t xml:space="preserve"> is a neurodegenerative </w:t>
      </w:r>
      <w:r w:rsidR="003E73A6">
        <w:rPr>
          <w:rFonts w:ascii="Verdana" w:hAnsi="Verdana"/>
          <w:lang w:val="en-GB"/>
        </w:rPr>
        <w:t>disorder</w:t>
      </w:r>
      <w:r w:rsidR="00697342" w:rsidRPr="008E4F81">
        <w:rPr>
          <w:rFonts w:ascii="Verdana" w:hAnsi="Verdana"/>
          <w:lang w:val="en-GB"/>
        </w:rPr>
        <w:t xml:space="preserve"> of long duration</w:t>
      </w:r>
      <w:r w:rsidR="00522064" w:rsidRPr="008E4F81">
        <w:rPr>
          <w:rFonts w:ascii="Verdana" w:hAnsi="Verdana"/>
          <w:lang w:val="en-GB"/>
        </w:rPr>
        <w:t xml:space="preserve">, characterised by a peculiar tremor in the limbs </w:t>
      </w:r>
      <w:r w:rsidR="00BE4796">
        <w:rPr>
          <w:rFonts w:ascii="Verdana" w:hAnsi="Verdana"/>
          <w:lang w:val="en-GB"/>
        </w:rPr>
        <w:t xml:space="preserve">which </w:t>
      </w:r>
      <w:r w:rsidR="001D1D78">
        <w:rPr>
          <w:rFonts w:ascii="Verdana" w:hAnsi="Verdana"/>
          <w:lang w:val="en-GB"/>
        </w:rPr>
        <w:t xml:space="preserve">first </w:t>
      </w:r>
      <w:r w:rsidR="00BE4796">
        <w:rPr>
          <w:rFonts w:ascii="Verdana" w:hAnsi="Verdana"/>
          <w:lang w:val="en-GB"/>
        </w:rPr>
        <w:t>earned it the</w:t>
      </w:r>
      <w:r w:rsidR="001D1D78">
        <w:rPr>
          <w:rFonts w:ascii="Verdana" w:hAnsi="Verdana"/>
          <w:lang w:val="en-GB"/>
        </w:rPr>
        <w:t xml:space="preserve"> </w:t>
      </w:r>
      <w:r w:rsidR="00BE4796">
        <w:rPr>
          <w:rFonts w:ascii="Verdana" w:hAnsi="Verdana"/>
          <w:lang w:val="en-GB"/>
        </w:rPr>
        <w:t xml:space="preserve">name of </w:t>
      </w:r>
      <w:r w:rsidR="001D1D78">
        <w:rPr>
          <w:rFonts w:ascii="Verdana" w:hAnsi="Verdana"/>
          <w:lang w:val="en-GB"/>
        </w:rPr>
        <w:t>shaking palsy.</w:t>
      </w:r>
      <w:r w:rsidR="004D4FEC">
        <w:rPr>
          <w:rFonts w:ascii="Verdana" w:hAnsi="Verdana"/>
          <w:lang w:val="en-GB"/>
        </w:rPr>
        <w:t xml:space="preserve"> </w:t>
      </w:r>
      <w:r w:rsidR="000F71C6">
        <w:rPr>
          <w:rFonts w:ascii="Verdana" w:hAnsi="Verdana"/>
          <w:lang w:val="en-GB"/>
        </w:rPr>
        <w:t xml:space="preserve">Initially perceived </w:t>
      </w:r>
      <w:r w:rsidR="00FF57A1">
        <w:rPr>
          <w:rFonts w:ascii="Verdana" w:hAnsi="Verdana"/>
          <w:lang w:val="en-GB"/>
        </w:rPr>
        <w:t xml:space="preserve">with </w:t>
      </w:r>
      <w:r w:rsidR="004A28C5">
        <w:rPr>
          <w:rFonts w:ascii="Verdana" w:hAnsi="Verdana"/>
          <w:lang w:val="en-GB"/>
        </w:rPr>
        <w:t>“</w:t>
      </w:r>
      <w:r w:rsidR="00FF57A1">
        <w:rPr>
          <w:rFonts w:ascii="Verdana" w:hAnsi="Verdana"/>
          <w:lang w:val="en-GB"/>
        </w:rPr>
        <w:t>a slight sense of weakness</w:t>
      </w:r>
      <w:r w:rsidR="00D20683">
        <w:rPr>
          <w:rFonts w:ascii="Verdana" w:hAnsi="Verdana"/>
          <w:lang w:val="en-GB"/>
        </w:rPr>
        <w:t>, with a</w:t>
      </w:r>
      <w:r w:rsidR="00FF57A1">
        <w:rPr>
          <w:rFonts w:ascii="Verdana" w:hAnsi="Verdana"/>
          <w:lang w:val="en-GB"/>
        </w:rPr>
        <w:t xml:space="preserve"> proneness to trembling</w:t>
      </w:r>
      <w:r w:rsidR="00D20683">
        <w:rPr>
          <w:rFonts w:ascii="Verdana" w:hAnsi="Verdana"/>
          <w:lang w:val="en-GB"/>
        </w:rPr>
        <w:t>”</w:t>
      </w:r>
      <w:r w:rsidR="00FF57A1">
        <w:rPr>
          <w:rFonts w:ascii="Verdana" w:hAnsi="Verdana"/>
          <w:lang w:val="en-GB"/>
        </w:rPr>
        <w:t xml:space="preserve">, the symptoms </w:t>
      </w:r>
      <w:r w:rsidR="006E2B43">
        <w:rPr>
          <w:rFonts w:ascii="Verdana" w:hAnsi="Verdana"/>
          <w:lang w:val="en-GB"/>
        </w:rPr>
        <w:t>worsen</w:t>
      </w:r>
      <w:r w:rsidR="009D68A7">
        <w:rPr>
          <w:rFonts w:ascii="Verdana" w:hAnsi="Verdana"/>
          <w:lang w:val="en-GB"/>
        </w:rPr>
        <w:t xml:space="preserve"> up to </w:t>
      </w:r>
      <w:r w:rsidR="005B636E">
        <w:rPr>
          <w:rFonts w:ascii="Verdana" w:hAnsi="Verdana"/>
          <w:lang w:val="en-GB"/>
        </w:rPr>
        <w:t>the impairment of</w:t>
      </w:r>
      <w:r w:rsidR="009D68A7">
        <w:rPr>
          <w:rFonts w:ascii="Verdana" w:hAnsi="Verdana"/>
          <w:lang w:val="en-GB"/>
        </w:rPr>
        <w:t xml:space="preserve"> proper posture, motility</w:t>
      </w:r>
      <w:r w:rsidR="00DA4E91">
        <w:rPr>
          <w:rFonts w:ascii="Verdana" w:hAnsi="Verdana"/>
          <w:lang w:val="en-GB"/>
        </w:rPr>
        <w:t>, self-</w:t>
      </w:r>
      <w:r w:rsidR="009D68A7">
        <w:rPr>
          <w:rFonts w:ascii="Verdana" w:hAnsi="Verdana"/>
          <w:lang w:val="en-GB"/>
        </w:rPr>
        <w:t>feeding</w:t>
      </w:r>
      <w:r w:rsidR="00DA4E91">
        <w:rPr>
          <w:rFonts w:ascii="Verdana" w:hAnsi="Verdana"/>
          <w:lang w:val="en-GB"/>
        </w:rPr>
        <w:t xml:space="preserve"> and talking</w:t>
      </w:r>
      <w:r w:rsidR="000F15F5">
        <w:rPr>
          <w:rFonts w:ascii="Verdana" w:hAnsi="Verdana"/>
          <w:lang w:val="en-GB"/>
        </w:rPr>
        <w:t xml:space="preserve"> </w:t>
      </w:r>
      <w:r w:rsidR="007075EB">
        <w:rPr>
          <w:rFonts w:ascii="Verdana" w:hAnsi="Verdana"/>
          <w:lang w:val="en-GB"/>
        </w:rPr>
        <w:fldChar w:fldCharType="begin"/>
      </w:r>
      <w:r w:rsidR="007075EB">
        <w:rPr>
          <w:rFonts w:ascii="Verdana" w:hAnsi="Verdana"/>
          <w:lang w:val="en-GB"/>
        </w:rPr>
        <w:instrText xml:space="preserve"> ADDIN ZOTERO_ITEM CSL_CITATION {"citationID":"zu4vx87t","properties":{"formattedCitation":"(Parkinson 2002)","plainCitation":"(Parkinson 2002)","noteIndex":0},"citationItems":[{"id":806,"uris":["http://zotero.org/users/9330673/items/QHRHLFEH"],"itemData":{"id":806,"type":"article-journal","container-title":"J Neuropsychiatry Clin Neurosci","language":"en","page":"14","source":"Zotero","title":"An Essay on the Shaking Palsy","author":[{"family":"Parkinson","given":"James"}],"issued":{"date-parts":[["2002"]]}}}],"schema":"https://github.com/citation-style-language/schema/raw/master/csl-citation.json"} </w:instrText>
      </w:r>
      <w:r w:rsidR="007075EB">
        <w:rPr>
          <w:rFonts w:ascii="Verdana" w:hAnsi="Verdana"/>
          <w:lang w:val="en-GB"/>
        </w:rPr>
        <w:fldChar w:fldCharType="separate"/>
      </w:r>
      <w:r w:rsidR="007075EB" w:rsidRPr="007075EB">
        <w:rPr>
          <w:rFonts w:ascii="Verdana" w:hAnsi="Verdana"/>
        </w:rPr>
        <w:t>(Parkinson 2002)</w:t>
      </w:r>
      <w:r w:rsidR="007075EB">
        <w:rPr>
          <w:rFonts w:ascii="Verdana" w:hAnsi="Verdana"/>
          <w:lang w:val="en-GB"/>
        </w:rPr>
        <w:fldChar w:fldCharType="end"/>
      </w:r>
      <w:r w:rsidR="005B636E">
        <w:rPr>
          <w:rFonts w:ascii="Verdana" w:hAnsi="Verdana"/>
          <w:lang w:val="en-GB"/>
        </w:rPr>
        <w:t>.</w:t>
      </w:r>
      <w:r w:rsidR="00830D40">
        <w:rPr>
          <w:rFonts w:ascii="Verdana" w:hAnsi="Verdana"/>
          <w:lang w:val="en-GB"/>
        </w:rPr>
        <w:t xml:space="preserve"> </w:t>
      </w:r>
      <w:r w:rsidR="00320916">
        <w:rPr>
          <w:rFonts w:ascii="Verdana" w:hAnsi="Verdana"/>
          <w:lang w:val="en-GB"/>
        </w:rPr>
        <w:t xml:space="preserve">James Parkinson based his essay on the observation of 6 patients, out of which </w:t>
      </w:r>
      <w:r w:rsidR="001216A4">
        <w:rPr>
          <w:rFonts w:ascii="Verdana" w:hAnsi="Verdana"/>
          <w:lang w:val="en-GB"/>
        </w:rPr>
        <w:t>3 were casually observed on the streets of London, and 1 was only observed from afar. A more extensive description</w:t>
      </w:r>
      <w:r w:rsidR="002E70AB">
        <w:rPr>
          <w:rFonts w:ascii="Verdana" w:hAnsi="Verdana"/>
          <w:lang w:val="en-GB"/>
        </w:rPr>
        <w:t xml:space="preserve"> of P</w:t>
      </w:r>
      <w:r w:rsidR="002621F4">
        <w:rPr>
          <w:rFonts w:ascii="Verdana" w:hAnsi="Verdana"/>
          <w:lang w:val="en-GB"/>
        </w:rPr>
        <w:t>D</w:t>
      </w:r>
      <w:r w:rsidR="002E70AB">
        <w:rPr>
          <w:rFonts w:ascii="Verdana" w:hAnsi="Verdana"/>
          <w:lang w:val="en-GB"/>
        </w:rPr>
        <w:t xml:space="preserve"> clinical manifestation </w:t>
      </w:r>
      <w:r w:rsidR="004967D8">
        <w:rPr>
          <w:rFonts w:ascii="Verdana" w:hAnsi="Verdana"/>
          <w:lang w:val="en-GB"/>
        </w:rPr>
        <w:t>came over 50 years later with</w:t>
      </w:r>
      <w:r w:rsidR="006474F9">
        <w:rPr>
          <w:rFonts w:ascii="Verdana" w:hAnsi="Verdana"/>
          <w:lang w:val="en-GB"/>
        </w:rPr>
        <w:t xml:space="preserve"> the French neurologist</w:t>
      </w:r>
      <w:r w:rsidR="00F04D0B">
        <w:rPr>
          <w:rFonts w:ascii="Verdana" w:hAnsi="Verdana"/>
          <w:lang w:val="en-GB"/>
        </w:rPr>
        <w:t xml:space="preserve"> </w:t>
      </w:r>
      <w:r w:rsidR="00635AC3">
        <w:rPr>
          <w:rFonts w:ascii="Verdana" w:hAnsi="Verdana"/>
          <w:lang w:val="en-GB"/>
        </w:rPr>
        <w:t>Jean-Martin Charcot</w:t>
      </w:r>
      <w:r w:rsidR="004967D8">
        <w:rPr>
          <w:rFonts w:ascii="Verdana" w:hAnsi="Verdana"/>
          <w:lang w:val="en-GB"/>
        </w:rPr>
        <w:t>, during</w:t>
      </w:r>
      <w:r w:rsidR="006474F9">
        <w:rPr>
          <w:rFonts w:ascii="Verdana" w:hAnsi="Verdana"/>
          <w:lang w:val="en-GB"/>
        </w:rPr>
        <w:t xml:space="preserve"> his teaching at the</w:t>
      </w:r>
      <w:r w:rsidR="000732E2">
        <w:rPr>
          <w:rFonts w:ascii="Verdana" w:hAnsi="Verdana"/>
          <w:lang w:val="en-GB"/>
        </w:rPr>
        <w:t xml:space="preserve"> </w:t>
      </w:r>
      <w:proofErr w:type="spellStart"/>
      <w:r w:rsidR="000732E2" w:rsidRPr="000732E2">
        <w:rPr>
          <w:rFonts w:ascii="Verdana" w:hAnsi="Verdana"/>
          <w:lang w:val="en-GB"/>
        </w:rPr>
        <w:t>Salp</w:t>
      </w:r>
      <w:r w:rsidR="004967D8">
        <w:rPr>
          <w:rFonts w:ascii="Verdana" w:hAnsi="Verdana"/>
          <w:lang w:val="en-GB"/>
        </w:rPr>
        <w:t>ê</w:t>
      </w:r>
      <w:r w:rsidR="000732E2" w:rsidRPr="000732E2">
        <w:rPr>
          <w:rFonts w:ascii="Verdana" w:hAnsi="Verdana"/>
          <w:lang w:val="en-GB"/>
        </w:rPr>
        <w:t>tri</w:t>
      </w:r>
      <w:r w:rsidR="004967D8">
        <w:rPr>
          <w:rFonts w:ascii="Verdana" w:hAnsi="Verdana"/>
          <w:lang w:val="en-GB"/>
        </w:rPr>
        <w:t>è</w:t>
      </w:r>
      <w:r w:rsidR="000732E2" w:rsidRPr="000732E2">
        <w:rPr>
          <w:rFonts w:ascii="Verdana" w:hAnsi="Verdana"/>
          <w:lang w:val="en-GB"/>
        </w:rPr>
        <w:t>re</w:t>
      </w:r>
      <w:proofErr w:type="spellEnd"/>
      <w:r w:rsidR="0023173A">
        <w:rPr>
          <w:rFonts w:ascii="Verdana" w:hAnsi="Verdana"/>
          <w:lang w:val="en-GB"/>
        </w:rPr>
        <w:t xml:space="preserve"> hospital in Paris</w:t>
      </w:r>
      <w:r w:rsidR="004967D8">
        <w:rPr>
          <w:rFonts w:ascii="Verdana" w:hAnsi="Verdana"/>
          <w:lang w:val="en-GB"/>
        </w:rPr>
        <w:t>. Charcot</w:t>
      </w:r>
      <w:r w:rsidR="00F55BF1">
        <w:rPr>
          <w:rFonts w:ascii="Verdana" w:hAnsi="Verdana"/>
          <w:lang w:val="en-GB"/>
        </w:rPr>
        <w:t xml:space="preserve"> described in detail the clinical spectrum of the disease, </w:t>
      </w:r>
      <w:r w:rsidR="006417B9">
        <w:rPr>
          <w:rFonts w:ascii="Verdana" w:hAnsi="Verdana"/>
          <w:lang w:val="en-GB"/>
        </w:rPr>
        <w:t>identifying in PD patients a</w:t>
      </w:r>
      <w:r w:rsidR="00E13866">
        <w:rPr>
          <w:rFonts w:ascii="Verdana" w:hAnsi="Verdana"/>
          <w:lang w:val="en-GB"/>
        </w:rPr>
        <w:t xml:space="preserve"> </w:t>
      </w:r>
      <w:r w:rsidR="00C90DD4" w:rsidRPr="00A65E5C">
        <w:rPr>
          <w:rFonts w:ascii="Verdana" w:hAnsi="Verdana"/>
          <w:lang w:val="en-GB"/>
        </w:rPr>
        <w:t>contin</w:t>
      </w:r>
      <w:r w:rsidR="00C90DD4">
        <w:rPr>
          <w:rFonts w:ascii="Verdana" w:hAnsi="Verdana"/>
          <w:lang w:val="en-GB"/>
        </w:rPr>
        <w:t>u</w:t>
      </w:r>
      <w:r w:rsidR="00C90DD4" w:rsidRPr="00A65E5C">
        <w:rPr>
          <w:rFonts w:ascii="Verdana" w:hAnsi="Verdana"/>
          <w:lang w:val="en-GB"/>
        </w:rPr>
        <w:t>ous</w:t>
      </w:r>
      <w:r w:rsidR="006417B9">
        <w:rPr>
          <w:rFonts w:ascii="Verdana" w:hAnsi="Verdana"/>
          <w:lang w:val="en-GB"/>
        </w:rPr>
        <w:t xml:space="preserve"> tremor</w:t>
      </w:r>
      <w:r w:rsidR="00C90DD4" w:rsidRPr="00A65E5C">
        <w:rPr>
          <w:rFonts w:ascii="Verdana" w:hAnsi="Verdana"/>
          <w:lang w:val="en-GB"/>
        </w:rPr>
        <w:t xml:space="preserve"> manifested independently of voluntary movement</w:t>
      </w:r>
      <w:r w:rsidR="00B11FD3">
        <w:rPr>
          <w:rFonts w:ascii="Verdana" w:hAnsi="Verdana"/>
          <w:lang w:val="en-GB"/>
        </w:rPr>
        <w:t>;</w:t>
      </w:r>
      <w:r w:rsidR="00252500">
        <w:rPr>
          <w:rFonts w:ascii="Verdana" w:hAnsi="Verdana"/>
          <w:lang w:val="en-GB"/>
        </w:rPr>
        <w:t xml:space="preserve"> </w:t>
      </w:r>
      <w:r w:rsidR="00B11FD3">
        <w:rPr>
          <w:rFonts w:ascii="Verdana" w:hAnsi="Verdana"/>
          <w:lang w:val="en-GB"/>
        </w:rPr>
        <w:t xml:space="preserve">based on this observation, he </w:t>
      </w:r>
      <w:r w:rsidR="00C42B09">
        <w:rPr>
          <w:rFonts w:ascii="Verdana" w:hAnsi="Verdana"/>
          <w:lang w:val="en-GB"/>
        </w:rPr>
        <w:t>differentiated</w:t>
      </w:r>
      <w:r w:rsidR="00FB3812">
        <w:rPr>
          <w:rFonts w:ascii="Verdana" w:hAnsi="Verdana"/>
          <w:lang w:val="en-GB"/>
        </w:rPr>
        <w:t xml:space="preserve"> PD from </w:t>
      </w:r>
      <w:r w:rsidR="00F55BF1">
        <w:rPr>
          <w:rFonts w:ascii="Verdana" w:hAnsi="Verdana"/>
          <w:lang w:val="en-GB"/>
        </w:rPr>
        <w:t>other types of motor disorders, specifically sclerosis</w:t>
      </w:r>
      <w:r w:rsidR="00C90DD4">
        <w:rPr>
          <w:rFonts w:ascii="Verdana" w:hAnsi="Verdana"/>
          <w:lang w:val="en-GB"/>
        </w:rPr>
        <w:t>.</w:t>
      </w:r>
      <w:r w:rsidR="00541539">
        <w:rPr>
          <w:rFonts w:ascii="Verdana" w:hAnsi="Verdana"/>
          <w:lang w:val="en-GB"/>
        </w:rPr>
        <w:t xml:space="preserve"> </w:t>
      </w:r>
      <w:r w:rsidR="000D20C1">
        <w:rPr>
          <w:rFonts w:ascii="Verdana" w:hAnsi="Verdana"/>
          <w:lang w:val="en-GB"/>
        </w:rPr>
        <w:t>Given the variability with which P</w:t>
      </w:r>
      <w:r w:rsidR="00C37812">
        <w:rPr>
          <w:rFonts w:ascii="Verdana" w:hAnsi="Verdana"/>
          <w:lang w:val="en-GB"/>
        </w:rPr>
        <w:t>D</w:t>
      </w:r>
      <w:r w:rsidR="000D20C1">
        <w:rPr>
          <w:rFonts w:ascii="Verdana" w:hAnsi="Verdana"/>
          <w:lang w:val="en-GB"/>
        </w:rPr>
        <w:t xml:space="preserve"> manifests and evolves, </w:t>
      </w:r>
      <w:r w:rsidR="00C56595">
        <w:rPr>
          <w:rFonts w:ascii="Verdana" w:hAnsi="Verdana"/>
          <w:lang w:val="en-GB"/>
        </w:rPr>
        <w:t xml:space="preserve">Hoehn and </w:t>
      </w:r>
      <w:proofErr w:type="spellStart"/>
      <w:r w:rsidR="00C56595">
        <w:rPr>
          <w:rFonts w:ascii="Verdana" w:hAnsi="Verdana"/>
          <w:lang w:val="en-GB"/>
        </w:rPr>
        <w:t>Yahr</w:t>
      </w:r>
      <w:proofErr w:type="spellEnd"/>
      <w:r w:rsidR="00C56595">
        <w:rPr>
          <w:rFonts w:ascii="Verdana" w:hAnsi="Verdana"/>
          <w:lang w:val="en-GB"/>
        </w:rPr>
        <w:t xml:space="preserve"> proposed </w:t>
      </w:r>
      <w:r w:rsidR="007059EF">
        <w:rPr>
          <w:rFonts w:ascii="Verdana" w:hAnsi="Verdana"/>
          <w:lang w:val="en-GB"/>
        </w:rPr>
        <w:t>the first</w:t>
      </w:r>
      <w:r w:rsidR="00C56595">
        <w:rPr>
          <w:rFonts w:ascii="Verdana" w:hAnsi="Verdana"/>
          <w:lang w:val="en-GB"/>
        </w:rPr>
        <w:t xml:space="preserve"> </w:t>
      </w:r>
      <w:r w:rsidR="007059EF">
        <w:rPr>
          <w:rFonts w:ascii="Verdana" w:hAnsi="Verdana"/>
          <w:lang w:val="en-GB"/>
        </w:rPr>
        <w:t>disease</w:t>
      </w:r>
      <w:r w:rsidR="00C56595">
        <w:rPr>
          <w:rFonts w:ascii="Verdana" w:hAnsi="Verdana"/>
          <w:lang w:val="en-GB"/>
        </w:rPr>
        <w:t xml:space="preserve"> classification</w:t>
      </w:r>
      <w:r w:rsidR="004232FD">
        <w:rPr>
          <w:rFonts w:ascii="Verdana" w:hAnsi="Verdana"/>
          <w:lang w:val="en-GB"/>
        </w:rPr>
        <w:t>, ranging from Stage I to V,</w:t>
      </w:r>
      <w:r w:rsidR="00354D6B">
        <w:rPr>
          <w:rFonts w:ascii="Verdana" w:hAnsi="Verdana"/>
          <w:lang w:val="en-GB"/>
        </w:rPr>
        <w:t xml:space="preserve"> based on the disability level,</w:t>
      </w:r>
      <w:r w:rsidR="004232FD">
        <w:rPr>
          <w:rFonts w:ascii="Verdana" w:hAnsi="Verdana"/>
          <w:lang w:val="en-GB"/>
        </w:rPr>
        <w:t xml:space="preserve"> </w:t>
      </w:r>
      <w:r w:rsidR="00354D6B">
        <w:rPr>
          <w:rFonts w:ascii="Verdana" w:hAnsi="Verdana"/>
          <w:lang w:val="en-GB"/>
        </w:rPr>
        <w:t xml:space="preserve">which </w:t>
      </w:r>
      <w:r w:rsidR="007A7536">
        <w:rPr>
          <w:rFonts w:ascii="Verdana" w:hAnsi="Verdana"/>
          <w:lang w:val="en-GB"/>
        </w:rPr>
        <w:t xml:space="preserve">was meant to help predict the best therapy </w:t>
      </w:r>
      <w:r w:rsidR="003A5378">
        <w:rPr>
          <w:rFonts w:ascii="Verdana" w:hAnsi="Verdana"/>
          <w:lang w:val="en-GB"/>
        </w:rPr>
        <w:t>for each case</w:t>
      </w:r>
      <w:r w:rsidR="007075EB">
        <w:rPr>
          <w:rFonts w:ascii="Verdana" w:hAnsi="Verdana"/>
          <w:lang w:val="en-GB"/>
        </w:rPr>
        <w:t xml:space="preserve"> </w:t>
      </w:r>
      <w:r w:rsidR="007075EB">
        <w:rPr>
          <w:rFonts w:ascii="Verdana" w:hAnsi="Verdana"/>
          <w:lang w:val="en-GB"/>
        </w:rPr>
        <w:fldChar w:fldCharType="begin"/>
      </w:r>
      <w:r w:rsidR="00BB7C65">
        <w:rPr>
          <w:rFonts w:ascii="Verdana" w:hAnsi="Verdana"/>
          <w:lang w:val="en-GB"/>
        </w:rPr>
        <w:instrText xml:space="preserve"> ADDIN ZOTERO_ITEM CSL_CITATION {"citationID":"6CeW5jX1","properties":{"formattedCitation":"(Hoehn n.d.)","plainCitation":"(Hoehn n.d.)","dontUpdate":true,"noteIndex":0},"citationItems":[{"id":770,"uris":["http://zotero.org/users/9330673/items/LKBC3PMT"],"itemData":{"id":770,"type":"article-journal","language":"en","page":"17","source":"Zotero","title":"Parkinsonism: onset, progression, and mortality","author":[{"family":"Hoehn","given":"Margaret M"}]}}],"schema":"https://github.com/citation-style-language/schema/raw/master/csl-citation.json"} </w:instrText>
      </w:r>
      <w:r w:rsidR="007075EB">
        <w:rPr>
          <w:rFonts w:ascii="Verdana" w:hAnsi="Verdana"/>
          <w:lang w:val="en-GB"/>
        </w:rPr>
        <w:fldChar w:fldCharType="separate"/>
      </w:r>
      <w:r w:rsidR="007075EB" w:rsidRPr="007075EB">
        <w:rPr>
          <w:rFonts w:ascii="Verdana" w:hAnsi="Verdana"/>
        </w:rPr>
        <w:t xml:space="preserve">(Hoehn </w:t>
      </w:r>
      <w:r w:rsidR="00B76A51">
        <w:rPr>
          <w:rFonts w:ascii="Verdana" w:hAnsi="Verdana"/>
        </w:rPr>
        <w:t>and Yahr, 1967</w:t>
      </w:r>
      <w:r w:rsidR="007075EB" w:rsidRPr="007075EB">
        <w:rPr>
          <w:rFonts w:ascii="Verdana" w:hAnsi="Verdana"/>
        </w:rPr>
        <w:t>)</w:t>
      </w:r>
      <w:r w:rsidR="007075EB">
        <w:rPr>
          <w:rFonts w:ascii="Verdana" w:hAnsi="Verdana"/>
          <w:lang w:val="en-GB"/>
        </w:rPr>
        <w:fldChar w:fldCharType="end"/>
      </w:r>
      <w:r w:rsidR="003A5378">
        <w:rPr>
          <w:rFonts w:ascii="Verdana" w:hAnsi="Verdana"/>
          <w:lang w:val="en-GB"/>
        </w:rPr>
        <w:t>.</w:t>
      </w:r>
    </w:p>
    <w:p w14:paraId="427DE24C" w14:textId="7DD06389" w:rsidR="00D46314" w:rsidRDefault="00621E68" w:rsidP="00291DAF">
      <w:pPr>
        <w:spacing w:line="360" w:lineRule="auto"/>
        <w:jc w:val="both"/>
        <w:rPr>
          <w:rFonts w:ascii="Verdana" w:hAnsi="Verdana"/>
          <w:lang w:val="en-GB"/>
        </w:rPr>
      </w:pPr>
      <w:r>
        <w:rPr>
          <w:rFonts w:ascii="Verdana" w:hAnsi="Verdana"/>
          <w:lang w:val="en-GB"/>
        </w:rPr>
        <w:t xml:space="preserve">First </w:t>
      </w:r>
      <w:r w:rsidR="00BB1FCA">
        <w:rPr>
          <w:rFonts w:ascii="Verdana" w:hAnsi="Verdana"/>
          <w:lang w:val="en-GB"/>
        </w:rPr>
        <w:t>suggested</w:t>
      </w:r>
      <w:r>
        <w:rPr>
          <w:rFonts w:ascii="Verdana" w:hAnsi="Verdana"/>
          <w:lang w:val="en-GB"/>
        </w:rPr>
        <w:t xml:space="preserve"> by </w:t>
      </w:r>
      <w:proofErr w:type="spellStart"/>
      <w:r>
        <w:rPr>
          <w:rFonts w:ascii="Verdana" w:hAnsi="Verdana"/>
          <w:lang w:val="en-GB"/>
        </w:rPr>
        <w:t>Brissaud</w:t>
      </w:r>
      <w:proofErr w:type="spellEnd"/>
      <w:r>
        <w:rPr>
          <w:rFonts w:ascii="Verdana" w:hAnsi="Verdana"/>
          <w:lang w:val="en-GB"/>
        </w:rPr>
        <w:t xml:space="preserve"> in </w:t>
      </w:r>
      <w:r w:rsidR="00F63CEA">
        <w:rPr>
          <w:rFonts w:ascii="Verdana" w:hAnsi="Verdana"/>
          <w:lang w:val="en-GB"/>
        </w:rPr>
        <w:t xml:space="preserve">1894 and later confirmed by </w:t>
      </w:r>
      <w:proofErr w:type="spellStart"/>
      <w:r w:rsidR="00F63CEA">
        <w:rPr>
          <w:rFonts w:ascii="Verdana" w:hAnsi="Verdana"/>
          <w:lang w:val="en-GB"/>
        </w:rPr>
        <w:t>Tr</w:t>
      </w:r>
      <w:r w:rsidR="00895139">
        <w:rPr>
          <w:rFonts w:ascii="Verdana" w:hAnsi="Verdana"/>
          <w:lang w:val="en-GB"/>
        </w:rPr>
        <w:t>étiakoff</w:t>
      </w:r>
      <w:proofErr w:type="spellEnd"/>
      <w:r w:rsidR="00895139" w:rsidRPr="00895139">
        <w:rPr>
          <w:rFonts w:ascii="Verdana" w:hAnsi="Verdana"/>
          <w:lang w:val="en-GB"/>
        </w:rPr>
        <w:t>,</w:t>
      </w:r>
      <w:r w:rsidR="00AA5533">
        <w:rPr>
          <w:rFonts w:ascii="Verdana" w:hAnsi="Verdana"/>
          <w:lang w:val="en-GB"/>
        </w:rPr>
        <w:t xml:space="preserve"> the substantia nigra</w:t>
      </w:r>
      <w:r w:rsidR="00E55272">
        <w:rPr>
          <w:rFonts w:ascii="Verdana" w:hAnsi="Verdana"/>
          <w:lang w:val="en-GB"/>
        </w:rPr>
        <w:t xml:space="preserve"> – described </w:t>
      </w:r>
      <w:r w:rsidR="00942AD3">
        <w:rPr>
          <w:rFonts w:ascii="Verdana" w:hAnsi="Verdana"/>
          <w:lang w:val="en-GB"/>
        </w:rPr>
        <w:t xml:space="preserve">by </w:t>
      </w:r>
      <w:proofErr w:type="spellStart"/>
      <w:r w:rsidR="00942AD3">
        <w:rPr>
          <w:rFonts w:ascii="Verdana" w:hAnsi="Verdana"/>
          <w:lang w:val="en-GB"/>
        </w:rPr>
        <w:t>Brissaud</w:t>
      </w:r>
      <w:proofErr w:type="spellEnd"/>
      <w:r w:rsidR="00942AD3">
        <w:rPr>
          <w:rFonts w:ascii="Verdana" w:hAnsi="Verdana"/>
          <w:lang w:val="en-GB"/>
        </w:rPr>
        <w:t xml:space="preserve"> himself as </w:t>
      </w:r>
      <w:r w:rsidR="00A44778">
        <w:rPr>
          <w:rFonts w:ascii="Verdana" w:hAnsi="Verdana"/>
          <w:lang w:val="en-GB"/>
        </w:rPr>
        <w:t xml:space="preserve">an “obscure </w:t>
      </w:r>
      <w:r w:rsidR="001955AB">
        <w:rPr>
          <w:rFonts w:ascii="Verdana" w:hAnsi="Verdana"/>
          <w:lang w:val="en-GB"/>
        </w:rPr>
        <w:t>[</w:t>
      </w:r>
      <w:r w:rsidR="00A44778">
        <w:rPr>
          <w:rFonts w:ascii="Verdana" w:hAnsi="Verdana"/>
          <w:lang w:val="en-GB"/>
        </w:rPr>
        <w:t>…</w:t>
      </w:r>
      <w:r w:rsidR="001955AB">
        <w:rPr>
          <w:rFonts w:ascii="Verdana" w:hAnsi="Verdana"/>
          <w:lang w:val="en-GB"/>
        </w:rPr>
        <w:t>]</w:t>
      </w:r>
      <w:r w:rsidR="00A44778">
        <w:rPr>
          <w:rFonts w:ascii="Verdana" w:hAnsi="Verdana"/>
          <w:lang w:val="en-GB"/>
        </w:rPr>
        <w:t xml:space="preserve"> </w:t>
      </w:r>
      <w:r w:rsidR="00942AD3">
        <w:rPr>
          <w:rFonts w:ascii="Verdana" w:hAnsi="Verdana"/>
          <w:lang w:val="en-GB"/>
        </w:rPr>
        <w:t>territory at the border of the fibres of voluntary movement and those of involuntary movements”</w:t>
      </w:r>
      <w:r w:rsidR="00E55272">
        <w:rPr>
          <w:rFonts w:ascii="Verdana" w:hAnsi="Verdana"/>
          <w:lang w:val="en-GB"/>
        </w:rPr>
        <w:t xml:space="preserve"> – was </w:t>
      </w:r>
      <w:r w:rsidR="00AA5533">
        <w:rPr>
          <w:rFonts w:ascii="Verdana" w:hAnsi="Verdana"/>
          <w:lang w:val="en-GB"/>
        </w:rPr>
        <w:t xml:space="preserve">identified as the main anatomical structure </w:t>
      </w:r>
      <w:r w:rsidR="001D608F">
        <w:rPr>
          <w:rFonts w:ascii="Verdana" w:hAnsi="Verdana"/>
          <w:lang w:val="en-GB"/>
        </w:rPr>
        <w:t>whose damage could be responsible of the motor features characteristics of PD</w:t>
      </w:r>
      <w:r w:rsidR="002B7078">
        <w:rPr>
          <w:rFonts w:ascii="Verdana" w:hAnsi="Verdana"/>
          <w:lang w:val="en-GB"/>
        </w:rPr>
        <w:t xml:space="preserve"> (</w:t>
      </w:r>
      <w:proofErr w:type="spellStart"/>
      <w:r w:rsidR="002B7078">
        <w:rPr>
          <w:rFonts w:ascii="Verdana" w:hAnsi="Verdana"/>
          <w:lang w:val="en-GB"/>
        </w:rPr>
        <w:t>Brissaud</w:t>
      </w:r>
      <w:proofErr w:type="spellEnd"/>
      <w:r w:rsidR="002B7078">
        <w:rPr>
          <w:rFonts w:ascii="Verdana" w:hAnsi="Verdana"/>
          <w:lang w:val="en-GB"/>
        </w:rPr>
        <w:t>, 1894)</w:t>
      </w:r>
      <w:r w:rsidR="00AA5533">
        <w:rPr>
          <w:rFonts w:ascii="Verdana" w:hAnsi="Verdana"/>
          <w:lang w:val="en-GB"/>
        </w:rPr>
        <w:t>.</w:t>
      </w:r>
      <w:r w:rsidR="00280044">
        <w:rPr>
          <w:rFonts w:ascii="Verdana" w:hAnsi="Verdana"/>
          <w:lang w:val="en-GB"/>
        </w:rPr>
        <w:t xml:space="preserve"> But it</w:t>
      </w:r>
      <w:r w:rsidR="00FD4AB9">
        <w:rPr>
          <w:rFonts w:ascii="Verdana" w:hAnsi="Verdana"/>
          <w:lang w:val="en-GB"/>
        </w:rPr>
        <w:t xml:space="preserve"> wasn’t until</w:t>
      </w:r>
      <w:r w:rsidR="003A5287">
        <w:rPr>
          <w:rFonts w:ascii="Verdana" w:hAnsi="Verdana"/>
          <w:lang w:val="en-GB"/>
        </w:rPr>
        <w:t xml:space="preserve"> a century </w:t>
      </w:r>
      <w:r w:rsidR="006752C8">
        <w:rPr>
          <w:rFonts w:ascii="Verdana" w:hAnsi="Verdana"/>
          <w:lang w:val="en-GB"/>
        </w:rPr>
        <w:t xml:space="preserve">after </w:t>
      </w:r>
      <w:r w:rsidR="00280044">
        <w:rPr>
          <w:rFonts w:ascii="Verdana" w:hAnsi="Verdana"/>
          <w:lang w:val="en-GB"/>
        </w:rPr>
        <w:t>Parkinson’s</w:t>
      </w:r>
      <w:r w:rsidR="006752C8">
        <w:rPr>
          <w:rFonts w:ascii="Verdana" w:hAnsi="Verdana"/>
          <w:lang w:val="en-GB"/>
        </w:rPr>
        <w:t xml:space="preserve"> </w:t>
      </w:r>
      <w:r w:rsidR="00BF70BC">
        <w:rPr>
          <w:rFonts w:ascii="Verdana" w:hAnsi="Verdana"/>
          <w:lang w:val="en-GB"/>
        </w:rPr>
        <w:t>initial</w:t>
      </w:r>
      <w:r w:rsidR="006752C8">
        <w:rPr>
          <w:rFonts w:ascii="Verdana" w:hAnsi="Verdana"/>
          <w:lang w:val="en-GB"/>
        </w:rPr>
        <w:t xml:space="preserve"> description</w:t>
      </w:r>
      <w:r w:rsidR="00A4241B">
        <w:rPr>
          <w:rFonts w:ascii="Verdana" w:hAnsi="Verdana"/>
          <w:lang w:val="en-GB"/>
        </w:rPr>
        <w:t xml:space="preserve"> that the </w:t>
      </w:r>
      <w:r w:rsidR="00A4241B">
        <w:rPr>
          <w:rFonts w:ascii="Verdana" w:hAnsi="Verdana"/>
          <w:lang w:val="en-GB"/>
        </w:rPr>
        <w:lastRenderedPageBreak/>
        <w:t xml:space="preserve">first </w:t>
      </w:r>
      <w:r w:rsidR="0008717D">
        <w:rPr>
          <w:rFonts w:ascii="Verdana" w:hAnsi="Verdana"/>
          <w:lang w:val="en-GB"/>
        </w:rPr>
        <w:t>pathological</w:t>
      </w:r>
      <w:r w:rsidR="00E515A3">
        <w:rPr>
          <w:rFonts w:ascii="Verdana" w:hAnsi="Verdana"/>
          <w:lang w:val="en-GB"/>
        </w:rPr>
        <w:t xml:space="preserve"> correlate</w:t>
      </w:r>
      <w:r w:rsidR="00976DBA">
        <w:rPr>
          <w:rFonts w:ascii="Verdana" w:hAnsi="Verdana"/>
          <w:lang w:val="en-GB"/>
        </w:rPr>
        <w:t>s</w:t>
      </w:r>
      <w:r w:rsidR="00E515A3">
        <w:rPr>
          <w:rFonts w:ascii="Verdana" w:hAnsi="Verdana"/>
          <w:lang w:val="en-GB"/>
        </w:rPr>
        <w:t xml:space="preserve"> of PD were</w:t>
      </w:r>
      <w:r w:rsidR="00D95248">
        <w:rPr>
          <w:rFonts w:ascii="Verdana" w:hAnsi="Verdana"/>
          <w:lang w:val="en-GB"/>
        </w:rPr>
        <w:t xml:space="preserve"> identified. It was </w:t>
      </w:r>
      <w:r w:rsidR="00534646">
        <w:rPr>
          <w:rFonts w:ascii="Verdana" w:hAnsi="Verdana"/>
          <w:lang w:val="en-GB"/>
        </w:rPr>
        <w:t>Friedrich</w:t>
      </w:r>
      <w:r w:rsidR="00C017C8">
        <w:rPr>
          <w:rFonts w:ascii="Verdana" w:hAnsi="Verdana"/>
          <w:lang w:val="en-GB"/>
        </w:rPr>
        <w:t xml:space="preserve"> Heinrich</w:t>
      </w:r>
      <w:r w:rsidR="00D95248">
        <w:rPr>
          <w:rFonts w:ascii="Verdana" w:hAnsi="Verdana"/>
          <w:lang w:val="en-GB"/>
        </w:rPr>
        <w:t xml:space="preserve"> Lewy </w:t>
      </w:r>
      <w:r w:rsidR="00976DBA">
        <w:rPr>
          <w:rFonts w:ascii="Verdana" w:hAnsi="Verdana"/>
          <w:lang w:val="en-GB"/>
        </w:rPr>
        <w:t>to repor</w:t>
      </w:r>
      <w:r w:rsidR="00BB2B44">
        <w:rPr>
          <w:rFonts w:ascii="Verdana" w:hAnsi="Verdana"/>
          <w:lang w:val="en-GB"/>
        </w:rPr>
        <w:t>t</w:t>
      </w:r>
      <w:r w:rsidR="006D32B0" w:rsidRPr="006D32B0">
        <w:rPr>
          <w:rFonts w:ascii="Verdana" w:hAnsi="Verdana"/>
          <w:lang w:val="en-GB"/>
        </w:rPr>
        <w:t xml:space="preserve"> eosinophilic concentric inclusion bodies in the</w:t>
      </w:r>
      <w:r w:rsidR="00D07D43">
        <w:rPr>
          <w:rFonts w:ascii="Verdana" w:hAnsi="Verdana"/>
          <w:lang w:val="en-GB"/>
        </w:rPr>
        <w:t xml:space="preserve"> cytoplasm of the</w:t>
      </w:r>
      <w:r w:rsidR="006D32B0" w:rsidRPr="006D32B0">
        <w:rPr>
          <w:rFonts w:ascii="Verdana" w:hAnsi="Verdana"/>
          <w:lang w:val="en-GB"/>
        </w:rPr>
        <w:t xml:space="preserve"> </w:t>
      </w:r>
      <w:r w:rsidR="00BB2B44">
        <w:rPr>
          <w:rFonts w:ascii="Verdana" w:hAnsi="Verdana"/>
          <w:lang w:val="en-GB"/>
        </w:rPr>
        <w:t>neurons</w:t>
      </w:r>
      <w:r w:rsidR="006D32B0">
        <w:rPr>
          <w:rFonts w:ascii="Verdana" w:hAnsi="Verdana"/>
          <w:lang w:val="en-GB"/>
        </w:rPr>
        <w:t xml:space="preserve"> of </w:t>
      </w:r>
      <w:r w:rsidR="00C37812">
        <w:rPr>
          <w:rFonts w:ascii="Verdana" w:hAnsi="Verdana"/>
          <w:lang w:val="en-GB"/>
        </w:rPr>
        <w:t>PD</w:t>
      </w:r>
      <w:r w:rsidR="006D32B0">
        <w:rPr>
          <w:rFonts w:ascii="Verdana" w:hAnsi="Verdana"/>
          <w:lang w:val="en-GB"/>
        </w:rPr>
        <w:t xml:space="preserve"> patients</w:t>
      </w:r>
      <w:r w:rsidR="00FB41A8">
        <w:rPr>
          <w:rFonts w:ascii="Verdana" w:hAnsi="Verdana"/>
          <w:lang w:val="en-GB"/>
        </w:rPr>
        <w:t xml:space="preserve"> (Lewy, 1912). The</w:t>
      </w:r>
      <w:r w:rsidR="00E010B2">
        <w:rPr>
          <w:rFonts w:ascii="Verdana" w:hAnsi="Verdana"/>
          <w:lang w:val="en-GB"/>
        </w:rPr>
        <w:t xml:space="preserve"> composition of such inclusions, nowadays known as Lewy bodies</w:t>
      </w:r>
      <w:r w:rsidR="00F11737">
        <w:rPr>
          <w:rFonts w:ascii="Verdana" w:hAnsi="Verdana"/>
          <w:lang w:val="en-GB"/>
        </w:rPr>
        <w:t xml:space="preserve"> (LBs)</w:t>
      </w:r>
      <w:r w:rsidR="00E010B2">
        <w:rPr>
          <w:rFonts w:ascii="Verdana" w:hAnsi="Verdana"/>
          <w:lang w:val="en-GB"/>
        </w:rPr>
        <w:t xml:space="preserve">, remained elusive until 1997, when Maria Grazia </w:t>
      </w:r>
      <w:proofErr w:type="spellStart"/>
      <w:r w:rsidR="00E010B2">
        <w:rPr>
          <w:rFonts w:ascii="Verdana" w:hAnsi="Verdana"/>
          <w:lang w:val="en-GB"/>
        </w:rPr>
        <w:t>Spillantini</w:t>
      </w:r>
      <w:proofErr w:type="spellEnd"/>
      <w:r w:rsidR="00E010B2">
        <w:rPr>
          <w:rFonts w:ascii="Verdana" w:hAnsi="Verdana"/>
          <w:lang w:val="en-GB"/>
        </w:rPr>
        <w:t xml:space="preserve"> </w:t>
      </w:r>
      <w:r w:rsidR="00840E92">
        <w:rPr>
          <w:rFonts w:ascii="Verdana" w:hAnsi="Verdana"/>
          <w:lang w:val="en-GB"/>
        </w:rPr>
        <w:t>identified alpha-synuclein – a pre-synaptic protein of unclear function at the time – as the main c</w:t>
      </w:r>
      <w:r w:rsidR="002F7582">
        <w:rPr>
          <w:rFonts w:ascii="Verdana" w:hAnsi="Verdana"/>
          <w:lang w:val="en-GB"/>
        </w:rPr>
        <w:t>onstituent</w:t>
      </w:r>
      <w:r w:rsidR="00840E92">
        <w:rPr>
          <w:rFonts w:ascii="Verdana" w:hAnsi="Verdana"/>
          <w:lang w:val="en-GB"/>
        </w:rPr>
        <w:t xml:space="preserve"> of </w:t>
      </w:r>
      <w:r w:rsidR="002F7582">
        <w:rPr>
          <w:rFonts w:ascii="Verdana" w:hAnsi="Verdana"/>
          <w:lang w:val="en-GB"/>
        </w:rPr>
        <w:t>such characteristic inclusions</w:t>
      </w:r>
      <w:r w:rsidR="009166A8">
        <w:rPr>
          <w:rFonts w:ascii="Verdana" w:hAnsi="Verdana"/>
          <w:lang w:val="en-GB"/>
        </w:rPr>
        <w:t xml:space="preserve"> in </w:t>
      </w:r>
      <w:r w:rsidR="00781D82">
        <w:rPr>
          <w:rFonts w:ascii="Verdana" w:hAnsi="Verdana"/>
          <w:lang w:val="en-GB"/>
        </w:rPr>
        <w:t>idiopathic PD</w:t>
      </w:r>
      <w:r w:rsidR="00356609">
        <w:rPr>
          <w:rFonts w:ascii="Verdana" w:hAnsi="Verdana"/>
          <w:lang w:val="en-GB"/>
        </w:rPr>
        <w:t xml:space="preserve"> </w:t>
      </w:r>
      <w:r w:rsidR="00356609">
        <w:rPr>
          <w:rFonts w:ascii="Verdana" w:hAnsi="Verdana"/>
          <w:lang w:val="en-GB"/>
        </w:rPr>
        <w:fldChar w:fldCharType="begin"/>
      </w:r>
      <w:r w:rsidR="00356609">
        <w:rPr>
          <w:rFonts w:ascii="Verdana" w:hAnsi="Verdana"/>
          <w:lang w:val="en-GB"/>
        </w:rPr>
        <w:instrText xml:space="preserve"> ADDIN ZOTERO_ITEM CSL_CITATION {"citationID":"lhasedUp","properties":{"formattedCitation":"(Spillantini et al. 1998)","plainCitation":"(Spillantini et al. 1998)","noteIndex":0},"citationItems":[{"id":841,"uris":["http://zotero.org/users/9330673/items/T9ZR6DYH"],"itemData":{"id":841,"type":"article-journal","abstract":"Lewy bodies and Lewy neurites are the defining neuropathological characteristics of Parkinson’s disease and dementia with Lewy bodies. They are made of abnormal filamentous assemblies of unknown composition. We show here that Lewy bodies and Lewy neurites from Parkinson’s disease and dementia with Lewy bodies are stained strongly by antibodies directed against aminoterminal and carboxyl-terminal sequences of </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 showing the presence of full-length or close to full-length </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 The number of </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-synuclein-stained structures exceeded that immunoreactive for ubiquitin, which is currently the most sensitive marker of Lewy bodies and Lewy neurites. Staining for </w:instrText>
      </w:r>
      <w:r w:rsidR="00356609">
        <w:rPr>
          <w:rFonts w:ascii="MS Gothic" w:eastAsia="MS Gothic" w:hAnsi="MS Gothic" w:cs="MS Gothic" w:hint="eastAsia"/>
          <w:lang w:val="en-GB"/>
        </w:rPr>
        <w:instrText>␣</w:instrText>
      </w:r>
      <w:r w:rsidR="00356609">
        <w:rPr>
          <w:rFonts w:ascii="Verdana" w:hAnsi="Verdana"/>
          <w:lang w:val="en-GB"/>
        </w:rPr>
        <w:instrText>-synuclein thus will replace staining for ubiquitin as the preferred method for detecting Lewy bodies and Lewy neurites. We have isolated Lewy body filaments by a method used for the extraction of paired helical filaments from Alzheimer’s disease brain. By immunoelectron microscopy, extracted filaments were labeled strongly by anti-</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 antibodies. The morphologies of the 5- to 10-nm filaments and their staining characteristics suggest that extended </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 molecules run parallel to the filament axis and that the filaments are polar structures. These findings indicate that </w:instrText>
      </w:r>
      <w:r w:rsidR="00356609">
        <w:rPr>
          <w:rFonts w:ascii="MS Gothic" w:eastAsia="MS Gothic" w:hAnsi="MS Gothic" w:cs="MS Gothic" w:hint="eastAsia"/>
          <w:lang w:val="en-GB"/>
        </w:rPr>
        <w:instrText>␣</w:instrText>
      </w:r>
      <w:r w:rsidR="00356609">
        <w:rPr>
          <w:rFonts w:ascii="Verdana" w:hAnsi="Verdana"/>
          <w:lang w:val="en-GB"/>
        </w:rPr>
        <w:instrText xml:space="preserve">-synuclein forms the major filamentous component of Lewy bodies and Lewy neurites.","container-title":"Proc. Natl. Acad. Sci. USA","language":"en","page":"5","source":"Zotero","title":"Parkinson’s disease and dementia with Lewy bodies","author":[{"family":"Spillantini","given":"Maria Grazia"},{"family":"Crowther","given":"R Anthony"},{"family":"Jakes","given":"Ross"},{"family":"Hasegawa","given":"Masato"},{"family":"Goedert","given":"Michel"}],"issued":{"date-parts":[["1998"]]}}}],"schema":"https://github.com/citation-style-language/schema/raw/master/csl-citation.json"} </w:instrText>
      </w:r>
      <w:r w:rsidR="00356609">
        <w:rPr>
          <w:rFonts w:ascii="Verdana" w:hAnsi="Verdana"/>
          <w:lang w:val="en-GB"/>
        </w:rPr>
        <w:fldChar w:fldCharType="separate"/>
      </w:r>
      <w:r w:rsidR="00356609" w:rsidRPr="00356609">
        <w:rPr>
          <w:rFonts w:ascii="Verdana" w:hAnsi="Verdana"/>
        </w:rPr>
        <w:t>(Spillantini et al. 1998)</w:t>
      </w:r>
      <w:r w:rsidR="00356609">
        <w:rPr>
          <w:rFonts w:ascii="Verdana" w:hAnsi="Verdana"/>
          <w:lang w:val="en-GB"/>
        </w:rPr>
        <w:fldChar w:fldCharType="end"/>
      </w:r>
      <w:r w:rsidR="00356609">
        <w:rPr>
          <w:rFonts w:ascii="Verdana" w:hAnsi="Verdana"/>
          <w:lang w:val="en-GB"/>
        </w:rPr>
        <w:t>.</w:t>
      </w:r>
    </w:p>
    <w:p w14:paraId="523EB558" w14:textId="55F9DBB0" w:rsidR="00CD3031" w:rsidRPr="00CD3031" w:rsidRDefault="00C92FD3" w:rsidP="00291DAF">
      <w:pPr>
        <w:spacing w:line="360" w:lineRule="auto"/>
        <w:jc w:val="both"/>
        <w:rPr>
          <w:rFonts w:ascii="Verdana" w:hAnsi="Verdana"/>
        </w:rPr>
      </w:pPr>
      <w:r>
        <w:rPr>
          <w:rFonts w:ascii="Verdana" w:hAnsi="Verdana"/>
          <w:lang w:val="en-GB"/>
        </w:rPr>
        <w:t>The initial clinical and pathological observation</w:t>
      </w:r>
      <w:r w:rsidR="002341E2">
        <w:rPr>
          <w:rFonts w:ascii="Verdana" w:hAnsi="Verdana"/>
          <w:lang w:val="en-GB"/>
        </w:rPr>
        <w:t>s</w:t>
      </w:r>
      <w:r>
        <w:rPr>
          <w:rFonts w:ascii="Verdana" w:hAnsi="Verdana"/>
          <w:lang w:val="en-GB"/>
        </w:rPr>
        <w:t xml:space="preserve"> were followed by </w:t>
      </w:r>
      <w:r w:rsidR="00301167">
        <w:rPr>
          <w:rFonts w:ascii="Verdana" w:hAnsi="Verdana"/>
          <w:lang w:val="en-GB"/>
        </w:rPr>
        <w:t>prolific research</w:t>
      </w:r>
      <w:r>
        <w:rPr>
          <w:rFonts w:ascii="Verdana" w:hAnsi="Verdana"/>
          <w:lang w:val="en-GB"/>
        </w:rPr>
        <w:t xml:space="preserve"> so that</w:t>
      </w:r>
      <w:r w:rsidR="002341E2">
        <w:rPr>
          <w:rFonts w:ascii="Verdana" w:hAnsi="Verdana"/>
          <w:lang w:val="en-GB"/>
        </w:rPr>
        <w:t>,</w:t>
      </w:r>
      <w:r>
        <w:rPr>
          <w:rFonts w:ascii="Verdana" w:hAnsi="Verdana"/>
          <w:lang w:val="en-GB"/>
        </w:rPr>
        <w:t xml:space="preserve"> a</w:t>
      </w:r>
      <w:r w:rsidR="009B7AD6">
        <w:rPr>
          <w:rFonts w:ascii="Verdana" w:hAnsi="Verdana"/>
          <w:lang w:val="en-GB"/>
        </w:rPr>
        <w:t xml:space="preserve">t present, </w:t>
      </w:r>
      <w:r w:rsidR="00C21DF9">
        <w:rPr>
          <w:rFonts w:ascii="Verdana" w:hAnsi="Verdana"/>
          <w:lang w:val="en-GB"/>
        </w:rPr>
        <w:t>PD</w:t>
      </w:r>
      <w:r w:rsidR="009B7AD6">
        <w:rPr>
          <w:rFonts w:ascii="Verdana" w:hAnsi="Verdana"/>
          <w:lang w:val="en-GB"/>
        </w:rPr>
        <w:t xml:space="preserve"> is known to be a multifactorial </w:t>
      </w:r>
      <w:r w:rsidR="00AF3588">
        <w:rPr>
          <w:rFonts w:ascii="Verdana" w:hAnsi="Verdana"/>
          <w:lang w:val="en-GB"/>
        </w:rPr>
        <w:t>syndrome</w:t>
      </w:r>
      <w:r w:rsidR="00FF50E7">
        <w:rPr>
          <w:rFonts w:ascii="Verdana" w:hAnsi="Verdana"/>
          <w:lang w:val="en-GB"/>
        </w:rPr>
        <w:t xml:space="preserve"> </w:t>
      </w:r>
      <w:r w:rsidR="00301167">
        <w:rPr>
          <w:rFonts w:ascii="Verdana" w:hAnsi="Verdana"/>
          <w:lang w:val="en-GB"/>
        </w:rPr>
        <w:t>where</w:t>
      </w:r>
      <w:r w:rsidR="00FF50E7">
        <w:rPr>
          <w:rFonts w:ascii="Verdana" w:hAnsi="Verdana"/>
          <w:lang w:val="en-GB"/>
        </w:rPr>
        <w:t xml:space="preserve"> genetic and environmental factors</w:t>
      </w:r>
      <w:r w:rsidR="00301167">
        <w:rPr>
          <w:rFonts w:ascii="Verdana" w:hAnsi="Verdana"/>
          <w:lang w:val="en-GB"/>
        </w:rPr>
        <w:t xml:space="preserve"> are at a constant</w:t>
      </w:r>
      <w:r w:rsidR="00FF50E7">
        <w:rPr>
          <w:rFonts w:ascii="Verdana" w:hAnsi="Verdana"/>
          <w:lang w:val="en-GB"/>
        </w:rPr>
        <w:t xml:space="preserve"> interplay</w:t>
      </w:r>
      <w:r w:rsidR="00301167">
        <w:rPr>
          <w:rFonts w:ascii="Verdana" w:hAnsi="Verdana"/>
          <w:lang w:val="en-GB"/>
        </w:rPr>
        <w:t>.</w:t>
      </w:r>
      <w:r w:rsidR="002341E2">
        <w:rPr>
          <w:rFonts w:ascii="Verdana" w:hAnsi="Verdana"/>
          <w:lang w:val="en-GB"/>
        </w:rPr>
        <w:t xml:space="preserve"> </w:t>
      </w:r>
      <w:r w:rsidR="00181D1B">
        <w:rPr>
          <w:rFonts w:ascii="Verdana" w:hAnsi="Verdana"/>
          <w:lang w:val="en-GB"/>
        </w:rPr>
        <w:t>Affecting</w:t>
      </w:r>
      <w:r w:rsidR="00360D83">
        <w:rPr>
          <w:rFonts w:ascii="Verdana" w:hAnsi="Verdana"/>
          <w:lang w:val="en-GB"/>
        </w:rPr>
        <w:t xml:space="preserve"> over 10 million p</w:t>
      </w:r>
      <w:r w:rsidR="00181D1B">
        <w:rPr>
          <w:rFonts w:ascii="Verdana" w:hAnsi="Verdana"/>
          <w:lang w:val="en-GB"/>
        </w:rPr>
        <w:t>eople</w:t>
      </w:r>
      <w:r w:rsidR="00360D83">
        <w:rPr>
          <w:rFonts w:ascii="Verdana" w:hAnsi="Verdana"/>
          <w:lang w:val="en-GB"/>
        </w:rPr>
        <w:t xml:space="preserve"> worldwide and </w:t>
      </w:r>
      <w:r w:rsidR="00785A3B">
        <w:rPr>
          <w:rFonts w:ascii="Verdana" w:hAnsi="Verdana"/>
          <w:lang w:val="en-GB"/>
        </w:rPr>
        <w:t xml:space="preserve">with </w:t>
      </w:r>
      <w:r w:rsidR="00201080">
        <w:rPr>
          <w:rFonts w:ascii="Verdana" w:hAnsi="Verdana"/>
          <w:lang w:val="en-GB"/>
        </w:rPr>
        <w:t xml:space="preserve">a prevalence expected to double </w:t>
      </w:r>
      <w:r w:rsidR="00DF26AB">
        <w:rPr>
          <w:rFonts w:ascii="Verdana" w:hAnsi="Verdana"/>
          <w:lang w:val="en-GB"/>
        </w:rPr>
        <w:t xml:space="preserve">by 2030, </w:t>
      </w:r>
      <w:r w:rsidR="00C21DF9">
        <w:rPr>
          <w:rFonts w:ascii="Verdana" w:hAnsi="Verdana"/>
          <w:lang w:val="en-GB"/>
        </w:rPr>
        <w:t>PD</w:t>
      </w:r>
      <w:r w:rsidR="00DF26AB">
        <w:rPr>
          <w:rFonts w:ascii="Verdana" w:hAnsi="Verdana"/>
          <w:lang w:val="en-GB"/>
        </w:rPr>
        <w:t xml:space="preserve"> </w:t>
      </w:r>
      <w:r w:rsidR="00C1612E">
        <w:rPr>
          <w:rFonts w:ascii="Verdana" w:hAnsi="Verdana"/>
          <w:lang w:val="en-GB"/>
        </w:rPr>
        <w:t xml:space="preserve">is </w:t>
      </w:r>
      <w:r w:rsidR="00CD3031">
        <w:rPr>
          <w:rFonts w:ascii="Verdana" w:hAnsi="Verdana"/>
          <w:lang w:val="en-GB"/>
        </w:rPr>
        <w:t xml:space="preserve">currently the first most common movement disorder. </w:t>
      </w:r>
      <w:r w:rsidR="00CD3031" w:rsidRPr="00CD3031">
        <w:rPr>
          <w:rFonts w:ascii="Verdana" w:hAnsi="Verdana"/>
        </w:rPr>
        <w:t>Disability and death due to PD are increasing faster than for any other neurological disorder</w:t>
      </w:r>
      <w:r w:rsidR="006F6B67">
        <w:rPr>
          <w:rFonts w:ascii="Verdana" w:hAnsi="Verdana"/>
        </w:rPr>
        <w:t xml:space="preserve">, and so is </w:t>
      </w:r>
      <w:r w:rsidR="00A972DD">
        <w:rPr>
          <w:rFonts w:ascii="Verdana" w:hAnsi="Verdana"/>
        </w:rPr>
        <w:t xml:space="preserve">the </w:t>
      </w:r>
      <w:r w:rsidR="00B01F6D">
        <w:rPr>
          <w:rFonts w:ascii="Verdana" w:hAnsi="Verdana"/>
        </w:rPr>
        <w:t>toll</w:t>
      </w:r>
      <w:r w:rsidR="00A972DD">
        <w:rPr>
          <w:rFonts w:ascii="Verdana" w:hAnsi="Verdana"/>
        </w:rPr>
        <w:t xml:space="preserve"> on the health care system.</w:t>
      </w:r>
    </w:p>
    <w:p w14:paraId="02691DE4" w14:textId="5891AA98" w:rsidR="001D1D78" w:rsidRDefault="001D1D78" w:rsidP="00291DAF">
      <w:pPr>
        <w:spacing w:line="360" w:lineRule="auto"/>
        <w:jc w:val="both"/>
        <w:rPr>
          <w:rFonts w:ascii="Verdana" w:hAnsi="Verdana"/>
          <w:lang w:val="en-GB"/>
        </w:rPr>
      </w:pPr>
    </w:p>
    <w:p w14:paraId="674A6DB2" w14:textId="77777777" w:rsidR="00936BE7" w:rsidRDefault="00936BE7" w:rsidP="00291DAF">
      <w:pPr>
        <w:spacing w:line="360" w:lineRule="auto"/>
        <w:jc w:val="both"/>
        <w:rPr>
          <w:rFonts w:ascii="Verdana" w:hAnsi="Verdana"/>
          <w:lang w:val="en-GB"/>
        </w:rPr>
      </w:pPr>
    </w:p>
    <w:p w14:paraId="12C65B7B" w14:textId="2CC5CBD8" w:rsidR="00DE5300" w:rsidRPr="007A09C9" w:rsidRDefault="00BB25AB" w:rsidP="004F0024">
      <w:pPr>
        <w:pStyle w:val="Heading2"/>
        <w:numPr>
          <w:ilvl w:val="3"/>
          <w:numId w:val="9"/>
        </w:numPr>
        <w:spacing w:line="360" w:lineRule="auto"/>
        <w:ind w:left="0" w:firstLine="720"/>
        <w:rPr>
          <w:lang w:val="en-GB"/>
        </w:rPr>
      </w:pPr>
      <w:bookmarkStart w:id="4" w:name="_Toc130223382"/>
      <w:r w:rsidRPr="007A09C9">
        <w:rPr>
          <w:szCs w:val="24"/>
          <w:lang w:val="en-GB"/>
        </w:rPr>
        <w:t xml:space="preserve">Incidence, </w:t>
      </w:r>
      <w:r w:rsidR="006524C8" w:rsidRPr="007A09C9">
        <w:rPr>
          <w:szCs w:val="24"/>
          <w:lang w:val="en-GB"/>
        </w:rPr>
        <w:t>Diagnosis and Treatment</w:t>
      </w:r>
      <w:bookmarkEnd w:id="4"/>
    </w:p>
    <w:p w14:paraId="0D9366BC" w14:textId="0B07DCAE" w:rsidR="00BB25AB" w:rsidRDefault="000A456B" w:rsidP="00B4063B">
      <w:pPr>
        <w:spacing w:line="360" w:lineRule="auto"/>
        <w:jc w:val="both"/>
        <w:rPr>
          <w:rFonts w:ascii="Verdana" w:hAnsi="Verdana"/>
          <w:lang w:val="en-GB"/>
        </w:rPr>
      </w:pPr>
      <w:r>
        <w:rPr>
          <w:rFonts w:ascii="Verdana" w:hAnsi="Verdana"/>
          <w:lang w:val="en-GB"/>
        </w:rPr>
        <w:t>PD</w:t>
      </w:r>
      <w:r w:rsidR="00BB25AB">
        <w:rPr>
          <w:rFonts w:ascii="Verdana" w:hAnsi="Verdana"/>
          <w:lang w:val="en-GB"/>
        </w:rPr>
        <w:t xml:space="preserve"> is the first motor disorder, affecting </w:t>
      </w:r>
      <w:r w:rsidR="00EA161C">
        <w:rPr>
          <w:rFonts w:ascii="Verdana" w:hAnsi="Verdana"/>
          <w:lang w:val="en-GB"/>
        </w:rPr>
        <w:t xml:space="preserve">2-3% of the </w:t>
      </w:r>
      <w:r w:rsidR="00FE4616">
        <w:rPr>
          <w:rFonts w:ascii="Verdana" w:hAnsi="Verdana"/>
          <w:lang w:val="en-GB"/>
        </w:rPr>
        <w:t>population over 65 years of age</w:t>
      </w:r>
      <w:r w:rsidR="001B687B">
        <w:rPr>
          <w:rFonts w:ascii="Verdana" w:hAnsi="Verdana"/>
          <w:lang w:val="en-GB"/>
        </w:rPr>
        <w:t xml:space="preserve">, </w:t>
      </w:r>
      <w:r w:rsidR="00A94B43">
        <w:rPr>
          <w:rFonts w:ascii="Verdana" w:hAnsi="Verdana"/>
          <w:lang w:val="en-GB"/>
        </w:rPr>
        <w:t xml:space="preserve">with an incidence </w:t>
      </w:r>
      <w:r w:rsidR="00F05F05">
        <w:rPr>
          <w:rFonts w:ascii="Verdana" w:hAnsi="Verdana"/>
          <w:lang w:val="en-GB"/>
        </w:rPr>
        <w:t xml:space="preserve">of up to </w:t>
      </w:r>
      <w:r w:rsidR="00A94B43">
        <w:rPr>
          <w:rFonts w:ascii="Verdana" w:hAnsi="Verdana"/>
          <w:lang w:val="en-GB"/>
        </w:rPr>
        <w:t>35 new cases per 100,000 individuals yearly accordingly to the</w:t>
      </w:r>
      <w:r w:rsidR="00ED1CB9">
        <w:rPr>
          <w:rFonts w:ascii="Verdana" w:hAnsi="Verdana"/>
          <w:lang w:val="en-GB"/>
        </w:rPr>
        <w:t xml:space="preserve"> studied</w:t>
      </w:r>
      <w:r w:rsidR="00A94B43">
        <w:rPr>
          <w:rFonts w:ascii="Verdana" w:hAnsi="Verdana"/>
          <w:lang w:val="en-GB"/>
        </w:rPr>
        <w:t xml:space="preserve"> population.</w:t>
      </w:r>
      <w:r w:rsidR="00BA6AD4">
        <w:rPr>
          <w:rFonts w:ascii="Verdana" w:hAnsi="Verdana"/>
          <w:lang w:val="en-GB"/>
        </w:rPr>
        <w:t xml:space="preserve"> Long-term disability </w:t>
      </w:r>
      <w:r w:rsidR="00523518">
        <w:rPr>
          <w:rFonts w:ascii="Verdana" w:hAnsi="Verdana"/>
          <w:lang w:val="en-GB"/>
        </w:rPr>
        <w:t xml:space="preserve">linked to PD is increasing faster than for any other known neurodegenerative disorder, bringing a huge toll on </w:t>
      </w:r>
      <w:r w:rsidR="00C84D1B">
        <w:rPr>
          <w:rFonts w:ascii="Verdana" w:hAnsi="Verdana"/>
          <w:lang w:val="en-GB"/>
        </w:rPr>
        <w:t>the societal and economic burden.</w:t>
      </w:r>
      <w:r w:rsidR="007309DA">
        <w:rPr>
          <w:rFonts w:ascii="Verdana" w:hAnsi="Verdana"/>
          <w:lang w:val="en-GB"/>
        </w:rPr>
        <w:t xml:space="preserve"> </w:t>
      </w:r>
      <w:r w:rsidR="009639B5">
        <w:rPr>
          <w:rFonts w:ascii="Verdana" w:hAnsi="Verdana"/>
          <w:lang w:val="en-GB"/>
        </w:rPr>
        <w:t xml:space="preserve">At least in some populations, men show a greater risk to develop PD </w:t>
      </w:r>
      <w:r w:rsidR="00BB7C65">
        <w:rPr>
          <w:rFonts w:ascii="Verdana" w:hAnsi="Verdana"/>
          <w:lang w:val="en-GB"/>
        </w:rPr>
        <w:fldChar w:fldCharType="begin"/>
      </w:r>
      <w:r w:rsidR="00AA73D7">
        <w:rPr>
          <w:rFonts w:ascii="Verdana" w:hAnsi="Verdana"/>
          <w:lang w:val="en-GB"/>
        </w:rPr>
        <w:instrText xml:space="preserve"> ADDIN ZOTERO_ITEM CSL_CITATION {"citationID":"zax53HQF","properties":{"formattedCitation":"(Wooten 2004)","plainCitation":"(Wooten 2004)","dontUpdate":true,"noteIndex":0},"citationItems":[{"id":2071,"uris":["http://zotero.org/users/9330673/items/VA5LBGJ6"],"itemData":{"id":2071,"type":"article-journal","container-title":"Journal of Neurology, Neurosurgery &amp; Psychiatry","DOI":"10.1136/jnnp.2003.020982","ISSN":"0022-3050","issue":"4","journalAbbreviation":"Journal of Neurology, Neurosurgery &amp; Psychiatry","language":"en","page":"637-639","source":"DOI.org (Crossref)","title":"Are men at greater risk for Parkinson's disease than women?","volume":"75","author":[{"family":"Wooten","given":"G F"}],"issued":{"date-parts":[["2004",4,1]]}}}],"schema":"https://github.com/citation-style-language/schema/raw/master/csl-citation.json"} </w:instrText>
      </w:r>
      <w:r w:rsidR="00BB7C65">
        <w:rPr>
          <w:rFonts w:ascii="Verdana" w:hAnsi="Verdana"/>
          <w:lang w:val="en-GB"/>
        </w:rPr>
        <w:fldChar w:fldCharType="separate"/>
      </w:r>
      <w:r w:rsidR="00BB7C65" w:rsidRPr="00BB7C65">
        <w:rPr>
          <w:rFonts w:ascii="Verdana" w:hAnsi="Verdana"/>
        </w:rPr>
        <w:t>(Wooten</w:t>
      </w:r>
      <w:r w:rsidR="00B85E68">
        <w:rPr>
          <w:rFonts w:ascii="Verdana" w:hAnsi="Verdana"/>
        </w:rPr>
        <w:t xml:space="preserve"> et al.</w:t>
      </w:r>
      <w:r w:rsidR="00BB7C65" w:rsidRPr="00BB7C65">
        <w:rPr>
          <w:rFonts w:ascii="Verdana" w:hAnsi="Verdana"/>
        </w:rPr>
        <w:t xml:space="preserve"> 2004)</w:t>
      </w:r>
      <w:r w:rsidR="00BB7C65">
        <w:rPr>
          <w:rFonts w:ascii="Verdana" w:hAnsi="Verdana"/>
          <w:lang w:val="en-GB"/>
        </w:rPr>
        <w:fldChar w:fldCharType="end"/>
      </w:r>
      <w:r w:rsidR="001374D2">
        <w:rPr>
          <w:rFonts w:ascii="Verdana" w:hAnsi="Verdana"/>
          <w:lang w:val="en-GB"/>
        </w:rPr>
        <w:t>.</w:t>
      </w:r>
      <w:r w:rsidR="00270F14">
        <w:rPr>
          <w:rFonts w:ascii="Verdana" w:hAnsi="Verdana"/>
          <w:lang w:val="en-GB"/>
        </w:rPr>
        <w:t xml:space="preserve"> </w:t>
      </w:r>
      <w:r w:rsidR="00FC4400">
        <w:rPr>
          <w:rFonts w:ascii="Verdana" w:hAnsi="Verdana"/>
          <w:lang w:val="en-GB"/>
        </w:rPr>
        <w:t>Th</w:t>
      </w:r>
      <w:r w:rsidR="00594528">
        <w:rPr>
          <w:rFonts w:ascii="Verdana" w:hAnsi="Verdana"/>
          <w:lang w:val="en-GB"/>
        </w:rPr>
        <w:t xml:space="preserve">e reasons for this </w:t>
      </w:r>
      <w:r w:rsidR="007309DA">
        <w:rPr>
          <w:rFonts w:ascii="Verdana" w:hAnsi="Verdana"/>
          <w:lang w:val="en-GB"/>
        </w:rPr>
        <w:t xml:space="preserve">difference are still under investigated but might include factors such as oestrogen </w:t>
      </w:r>
      <w:r w:rsidR="00CB5061">
        <w:rPr>
          <w:rFonts w:ascii="Verdana" w:hAnsi="Verdana"/>
          <w:lang w:val="en-GB"/>
        </w:rPr>
        <w:t>neuro</w:t>
      </w:r>
      <w:r w:rsidR="007309DA">
        <w:rPr>
          <w:rFonts w:ascii="Verdana" w:hAnsi="Verdana"/>
          <w:lang w:val="en-GB"/>
        </w:rPr>
        <w:t xml:space="preserve">protection during lifetime in women </w:t>
      </w:r>
      <w:r w:rsidR="00B85E68">
        <w:rPr>
          <w:rFonts w:ascii="Verdana" w:hAnsi="Verdana"/>
          <w:lang w:val="en-GB"/>
        </w:rPr>
        <w:fldChar w:fldCharType="begin"/>
      </w:r>
      <w:r w:rsidR="00B85E68">
        <w:rPr>
          <w:rFonts w:ascii="Verdana" w:hAnsi="Verdana"/>
          <w:lang w:val="en-GB"/>
        </w:rPr>
        <w:instrText xml:space="preserve"> ADDIN ZOTERO_ITEM CSL_CITATION {"citationID":"8i7aq7cJ","properties":{"formattedCitation":"(Picillo et al. 2017)","plainCitation":"(Picillo et al. 2017)","noteIndex":0},"citationItems":[{"id":2060,"uris":["http://zotero.org/users/9330673/items/EQJF9TUK"],"itemData":{"id":2060,"type":"article-journal","container-title":"Journal of Neurology","DOI":"10.1007/s00415-016-8384-9","ISSN":"0340-5354, 1432-1459","issue":"8","journalAbbreviation":"J Neurol","language":"en","page":"1583-1607","source":"DOI.org (Crossref)","title":"The relevance of gender in Parkinson’s disease: a review","title-short":"The relevance of gender in Parkinson’s disease","volume":"264","author":[{"family":"Picillo","given":"Marina"},{"family":"Nicoletti","given":"Alessandra"},{"family":"Fetoni","given":"Vincenza"},{"family":"Garavaglia","given":"Barbara"},{"family":"Barone","given":"Paolo"},{"family":"Pellecchia","given":"Maria Teresa"}],"issued":{"date-parts":[["2017",8]]}}}],"schema":"https://github.com/citation-style-language/schema/raw/master/csl-citation.json"} </w:instrText>
      </w:r>
      <w:r w:rsidR="00B85E68">
        <w:rPr>
          <w:rFonts w:ascii="Verdana" w:hAnsi="Verdana"/>
          <w:lang w:val="en-GB"/>
        </w:rPr>
        <w:fldChar w:fldCharType="separate"/>
      </w:r>
      <w:r w:rsidR="00B85E68" w:rsidRPr="00B85E68">
        <w:rPr>
          <w:rFonts w:ascii="Verdana" w:hAnsi="Verdana"/>
        </w:rPr>
        <w:t>(Picillo et al. 2017)</w:t>
      </w:r>
      <w:r w:rsidR="00B85E68">
        <w:rPr>
          <w:rFonts w:ascii="Verdana" w:hAnsi="Verdana"/>
          <w:lang w:val="en-GB"/>
        </w:rPr>
        <w:fldChar w:fldCharType="end"/>
      </w:r>
      <w:r w:rsidR="00CB5061">
        <w:rPr>
          <w:rFonts w:ascii="Verdana" w:hAnsi="Verdana"/>
          <w:lang w:val="en-GB"/>
        </w:rPr>
        <w:t xml:space="preserve"> </w:t>
      </w:r>
      <w:r w:rsidR="008A4489">
        <w:rPr>
          <w:rFonts w:ascii="Verdana" w:hAnsi="Verdana"/>
          <w:lang w:val="en-GB"/>
        </w:rPr>
        <w:t>or higher exposure to pesticides and head injuries in men</w:t>
      </w:r>
      <w:r w:rsidR="003951C7">
        <w:rPr>
          <w:rFonts w:ascii="Verdana" w:hAnsi="Verdana"/>
          <w:lang w:val="en-GB"/>
        </w:rPr>
        <w:t xml:space="preserve"> </w:t>
      </w:r>
      <w:r w:rsidR="00B85E68">
        <w:rPr>
          <w:rFonts w:ascii="Verdana" w:hAnsi="Verdana"/>
          <w:lang w:val="en-GB"/>
        </w:rPr>
        <w:fldChar w:fldCharType="begin"/>
      </w:r>
      <w:r w:rsidR="00B85E68">
        <w:rPr>
          <w:rFonts w:ascii="Verdana" w:hAnsi="Verdana"/>
          <w:lang w:val="en-GB"/>
        </w:rPr>
        <w:instrText xml:space="preserve"> ADDIN ZOTERO_ITEM CSL_CITATION {"citationID":"WilrnaFh","properties":{"formattedCitation":"(Semchuk, Love, and Lee 1992)","plainCitation":"(Semchuk, Love, and Lee 1992)","noteIndex":0},"citationItems":[{"id":2064,"uris":["http://zotero.org/users/9330673/items/3NXY7H3R"],"itemData":{"id":2064,"type":"article-journal","container-title":"Neurology","DOI":"10.1212/WNL.42.7.1328","ISSN":"0028-3878, 1526-632X","issue":"7","journalAbbreviation":"Neurology","language":"en","page":"1328-1328","source":"DOI.org (Crossref)","title":"Parkinson's disease and exposure to agricultural work and pesticide chemicals","volume":"42","author":[{"family":"Semchuk","given":"K. M."},{"family":"Love","given":"E. J."},{"family":"Lee","given":"R. G."}],"issued":{"date-parts":[["1992",7,1]]}}}],"schema":"https://github.com/citation-style-language/schema/raw/master/csl-citation.json"} </w:instrText>
      </w:r>
      <w:r w:rsidR="00B85E68">
        <w:rPr>
          <w:rFonts w:ascii="Verdana" w:hAnsi="Verdana"/>
          <w:lang w:val="en-GB"/>
        </w:rPr>
        <w:fldChar w:fldCharType="separate"/>
      </w:r>
      <w:r w:rsidR="00B85E68" w:rsidRPr="00B85E68">
        <w:rPr>
          <w:rFonts w:ascii="Verdana" w:hAnsi="Verdana"/>
        </w:rPr>
        <w:t>(Semchuk, Love, and Lee 1992)</w:t>
      </w:r>
      <w:r w:rsidR="00B85E68">
        <w:rPr>
          <w:rFonts w:ascii="Verdana" w:hAnsi="Verdana"/>
          <w:lang w:val="en-GB"/>
        </w:rPr>
        <w:fldChar w:fldCharType="end"/>
      </w:r>
      <w:r w:rsidR="003951C7">
        <w:rPr>
          <w:rFonts w:ascii="Verdana" w:hAnsi="Verdana"/>
          <w:lang w:val="en-GB"/>
        </w:rPr>
        <w:t>.</w:t>
      </w:r>
      <w:r w:rsidR="00FC4400">
        <w:rPr>
          <w:rFonts w:ascii="Verdana" w:hAnsi="Verdana"/>
          <w:lang w:val="en-GB"/>
        </w:rPr>
        <w:t xml:space="preserve"> </w:t>
      </w:r>
      <w:r w:rsidR="00270F14">
        <w:rPr>
          <w:rFonts w:ascii="Verdana" w:hAnsi="Verdana"/>
          <w:lang w:val="en-GB"/>
        </w:rPr>
        <w:t xml:space="preserve">Despite the lower prevalence and the later-onset, women </w:t>
      </w:r>
      <w:r w:rsidR="00D27C0A">
        <w:rPr>
          <w:rFonts w:ascii="Verdana" w:hAnsi="Verdana"/>
          <w:lang w:val="en-GB"/>
        </w:rPr>
        <w:t>present</w:t>
      </w:r>
      <w:r w:rsidR="00FC0838">
        <w:rPr>
          <w:rFonts w:ascii="Verdana" w:hAnsi="Verdana"/>
          <w:lang w:val="en-GB"/>
        </w:rPr>
        <w:t xml:space="preserve"> higher adverse effects to medication,</w:t>
      </w:r>
      <w:r w:rsidR="00270F14">
        <w:rPr>
          <w:rFonts w:ascii="Verdana" w:hAnsi="Verdana"/>
          <w:lang w:val="en-GB"/>
        </w:rPr>
        <w:t xml:space="preserve"> </w:t>
      </w:r>
      <w:r w:rsidR="00AB5029">
        <w:rPr>
          <w:rFonts w:ascii="Verdana" w:hAnsi="Verdana"/>
          <w:lang w:val="en-GB"/>
        </w:rPr>
        <w:t xml:space="preserve">faster disease progression and </w:t>
      </w:r>
      <w:r w:rsidR="00D27C0A">
        <w:rPr>
          <w:rFonts w:ascii="Verdana" w:hAnsi="Verdana"/>
          <w:lang w:val="en-GB"/>
        </w:rPr>
        <w:t xml:space="preserve">a </w:t>
      </w:r>
      <w:r w:rsidR="00AB5029">
        <w:rPr>
          <w:rFonts w:ascii="Verdana" w:hAnsi="Verdana"/>
          <w:lang w:val="en-GB"/>
        </w:rPr>
        <w:t>higher mo</w:t>
      </w:r>
      <w:r w:rsidR="00D27C0A">
        <w:rPr>
          <w:rFonts w:ascii="Verdana" w:hAnsi="Verdana"/>
          <w:lang w:val="en-GB"/>
        </w:rPr>
        <w:t>r</w:t>
      </w:r>
      <w:r w:rsidR="00AB5029">
        <w:rPr>
          <w:rFonts w:ascii="Verdana" w:hAnsi="Verdana"/>
          <w:lang w:val="en-GB"/>
        </w:rPr>
        <w:t>tality</w:t>
      </w:r>
      <w:r w:rsidR="00D27C0A">
        <w:rPr>
          <w:rFonts w:ascii="Verdana" w:hAnsi="Verdana"/>
          <w:lang w:val="en-GB"/>
        </w:rPr>
        <w:t xml:space="preserve"> ratio</w:t>
      </w:r>
      <w:r w:rsidR="00262538">
        <w:rPr>
          <w:rFonts w:ascii="Verdana" w:hAnsi="Verdana"/>
          <w:lang w:val="en-GB"/>
        </w:rPr>
        <w:t xml:space="preserve"> </w:t>
      </w:r>
      <w:r w:rsidR="00262538">
        <w:rPr>
          <w:rFonts w:ascii="Verdana" w:hAnsi="Verdana"/>
          <w:lang w:val="en-GB"/>
        </w:rPr>
        <w:fldChar w:fldCharType="begin"/>
      </w:r>
      <w:r w:rsidR="00262538">
        <w:rPr>
          <w:rFonts w:ascii="Verdana" w:hAnsi="Verdana"/>
          <w:lang w:val="en-GB"/>
        </w:rPr>
        <w:instrText xml:space="preserve"> ADDIN ZOTERO_ITEM CSL_CITATION {"citationID":"jq6PED9W","properties":{"formattedCitation":"(Morgan et al. 2014)","plainCitation":"(Morgan et al. 2014)","noteIndex":0},"citationItems":[{"id":2080,"uris":["http://zotero.org/users/9330673/items/646JE6ZL"],"itemData":{"id":2080,"type":"article-journal","abstract":"Parkinson’s disease (PD) is associated with increased mortality despite many advances in treatment. Following the introduction of levodopa in the late 1960’s, many studies reported improved or normalized mortality rates in PD. Despite the remarkable symptomatic benefits provided by levodopa, multiple recent studies have demonstrated that PD patients continue to die at a rate in excess of their peers. We undertook this retrospective study of 211 deceased PD patients to determine the factors associated with mortality in levodopa-treated PD. Our findings confirm that PD is associated with increased mortality in both men and women. Unlike the majority of other mortality studies, we found that women have a greater reduction in lifespan compared to men. We also found that patients with early onset PD (onset at the age of 50 or before) have reduced survival relative to PD patients with later ages of onset. A final important finding is that survival is equal in PD patients treated with levodopa early (within 2 years or less of PD onset) versus later.","container-title":"Parkinson's Disease","DOI":"10.1155/2014/426976","ISSN":"2090-8083, 2042-0080","journalAbbreviation":"Parkinson's Disease","language":"en","page":"1-8","source":"DOI.org (Crossref)","title":"Mortality in Levodopa-Treated Parkinson's Disease","volume":"2014","author":[{"family":"Morgan","given":"John C."},{"family":"Currie","given":"Lillian J."},{"family":"Harrison","given":"Madaline B."},{"family":"Bennett","given":"James P."},{"family":"Trugman","given":"Joel M."},{"family":"Wooten","given":"G. Frederick"}],"issued":{"date-parts":[["2014"]]}}}],"schema":"https://github.com/citation-style-language/schema/raw/master/csl-citation.json"} </w:instrText>
      </w:r>
      <w:r w:rsidR="00262538">
        <w:rPr>
          <w:rFonts w:ascii="Verdana" w:hAnsi="Verdana"/>
          <w:lang w:val="en-GB"/>
        </w:rPr>
        <w:fldChar w:fldCharType="separate"/>
      </w:r>
      <w:r w:rsidR="00262538" w:rsidRPr="00262538">
        <w:rPr>
          <w:rFonts w:ascii="Verdana" w:hAnsi="Verdana"/>
        </w:rPr>
        <w:t>(Morgan et al. 2014)</w:t>
      </w:r>
      <w:r w:rsidR="00262538">
        <w:rPr>
          <w:rFonts w:ascii="Verdana" w:hAnsi="Verdana"/>
          <w:lang w:val="en-GB"/>
        </w:rPr>
        <w:fldChar w:fldCharType="end"/>
      </w:r>
      <w:r w:rsidR="00D27C0A">
        <w:rPr>
          <w:rFonts w:ascii="Verdana" w:hAnsi="Verdana"/>
          <w:lang w:val="en-GB"/>
        </w:rPr>
        <w:t>.</w:t>
      </w:r>
    </w:p>
    <w:p w14:paraId="3E84FE7E" w14:textId="41DCC07C" w:rsidR="007F3C68" w:rsidRDefault="00E90981" w:rsidP="00976B3D">
      <w:pPr>
        <w:spacing w:line="360" w:lineRule="auto"/>
        <w:jc w:val="both"/>
        <w:rPr>
          <w:rFonts w:ascii="Verdana" w:hAnsi="Verdana"/>
          <w:lang w:val="en-GB"/>
        </w:rPr>
      </w:pPr>
      <w:r>
        <w:rPr>
          <w:rFonts w:ascii="Verdana" w:hAnsi="Verdana"/>
          <w:lang w:val="en-GB"/>
        </w:rPr>
        <w:t>The d</w:t>
      </w:r>
      <w:r w:rsidR="002F6C70">
        <w:rPr>
          <w:rFonts w:ascii="Verdana" w:hAnsi="Verdana"/>
          <w:lang w:val="en-GB"/>
        </w:rPr>
        <w:t xml:space="preserve">iagnosis of Parkinson’s disease relies on the </w:t>
      </w:r>
      <w:r w:rsidR="001C59C5">
        <w:rPr>
          <w:rFonts w:ascii="Verdana" w:hAnsi="Verdana"/>
          <w:lang w:val="en-GB"/>
        </w:rPr>
        <w:t>presence</w:t>
      </w:r>
      <w:r w:rsidR="006B50C3">
        <w:rPr>
          <w:rFonts w:ascii="Verdana" w:hAnsi="Verdana"/>
          <w:lang w:val="en-GB"/>
        </w:rPr>
        <w:t xml:space="preserve"> of its classical motor symptoms</w:t>
      </w:r>
      <w:r w:rsidR="0002285A">
        <w:rPr>
          <w:rFonts w:ascii="Verdana" w:hAnsi="Verdana"/>
          <w:lang w:val="en-GB"/>
        </w:rPr>
        <w:t xml:space="preserve">, as defined by the International Parkinson and </w:t>
      </w:r>
      <w:r w:rsidR="002532DC">
        <w:rPr>
          <w:rFonts w:ascii="Verdana" w:hAnsi="Verdana"/>
          <w:lang w:val="en-GB"/>
        </w:rPr>
        <w:t>Movement Disorder Society</w:t>
      </w:r>
      <w:r w:rsidR="00816D48">
        <w:rPr>
          <w:rFonts w:ascii="Verdana" w:hAnsi="Verdana"/>
          <w:lang w:val="en-GB"/>
        </w:rPr>
        <w:t xml:space="preserve">. </w:t>
      </w:r>
      <w:r>
        <w:rPr>
          <w:rFonts w:ascii="Verdana" w:hAnsi="Verdana"/>
          <w:lang w:val="en-GB"/>
        </w:rPr>
        <w:t>Diagnosis of parkinsonism is made when bradykinesia</w:t>
      </w:r>
      <w:r w:rsidR="00D15403">
        <w:rPr>
          <w:rFonts w:ascii="Verdana" w:hAnsi="Verdana"/>
          <w:lang w:val="en-GB"/>
        </w:rPr>
        <w:t>,</w:t>
      </w:r>
      <w:r w:rsidR="00127F60">
        <w:rPr>
          <w:rFonts w:ascii="Verdana" w:hAnsi="Verdana"/>
          <w:lang w:val="en-GB"/>
        </w:rPr>
        <w:t xml:space="preserve"> a</w:t>
      </w:r>
      <w:r>
        <w:rPr>
          <w:rFonts w:ascii="Verdana" w:hAnsi="Verdana"/>
          <w:lang w:val="en-GB"/>
        </w:rPr>
        <w:t xml:space="preserve"> </w:t>
      </w:r>
      <w:r>
        <w:rPr>
          <w:rFonts w:ascii="Verdana" w:hAnsi="Verdana"/>
          <w:lang w:val="en-GB"/>
        </w:rPr>
        <w:lastRenderedPageBreak/>
        <w:t>slowness of movements</w:t>
      </w:r>
      <w:r w:rsidR="007F5CA1">
        <w:rPr>
          <w:rFonts w:ascii="Verdana" w:hAnsi="Verdana"/>
          <w:lang w:val="en-GB"/>
        </w:rPr>
        <w:t xml:space="preserve"> </w:t>
      </w:r>
      <w:r w:rsidR="007536EA">
        <w:rPr>
          <w:rFonts w:ascii="Verdana" w:hAnsi="Verdana"/>
          <w:lang w:val="en-GB"/>
        </w:rPr>
        <w:t xml:space="preserve">accompanied by shorter movement </w:t>
      </w:r>
      <w:r w:rsidR="005A166E">
        <w:rPr>
          <w:rFonts w:ascii="Verdana" w:hAnsi="Verdana"/>
          <w:lang w:val="en-GB"/>
        </w:rPr>
        <w:t>amplitude</w:t>
      </w:r>
      <w:r w:rsidR="007536EA">
        <w:rPr>
          <w:rFonts w:ascii="Verdana" w:hAnsi="Verdana"/>
          <w:lang w:val="en-GB"/>
        </w:rPr>
        <w:t xml:space="preserve"> and speed</w:t>
      </w:r>
      <w:r w:rsidR="00D15403">
        <w:rPr>
          <w:rFonts w:ascii="Verdana" w:hAnsi="Verdana"/>
          <w:lang w:val="en-GB"/>
        </w:rPr>
        <w:t>,</w:t>
      </w:r>
      <w:r>
        <w:rPr>
          <w:rFonts w:ascii="Verdana" w:hAnsi="Verdana"/>
          <w:lang w:val="en-GB"/>
        </w:rPr>
        <w:t xml:space="preserve"> is present in combination with </w:t>
      </w:r>
      <w:r w:rsidR="007C1BD7">
        <w:rPr>
          <w:rFonts w:ascii="Verdana" w:hAnsi="Verdana"/>
          <w:lang w:val="en-GB"/>
        </w:rPr>
        <w:t>resting</w:t>
      </w:r>
      <w:r w:rsidR="00A80E39">
        <w:rPr>
          <w:rFonts w:ascii="Verdana" w:hAnsi="Verdana"/>
          <w:lang w:val="en-GB"/>
        </w:rPr>
        <w:t xml:space="preserve"> tremor and</w:t>
      </w:r>
      <w:r w:rsidR="009C6817">
        <w:rPr>
          <w:rFonts w:ascii="Verdana" w:hAnsi="Verdana"/>
          <w:lang w:val="en-GB"/>
        </w:rPr>
        <w:t>/or</w:t>
      </w:r>
      <w:r w:rsidR="00A80E39">
        <w:rPr>
          <w:rFonts w:ascii="Verdana" w:hAnsi="Verdana"/>
          <w:lang w:val="en-GB"/>
        </w:rPr>
        <w:t xml:space="preserve"> rigidity. </w:t>
      </w:r>
      <w:r w:rsidR="002E6208">
        <w:rPr>
          <w:rFonts w:ascii="Verdana" w:hAnsi="Verdana"/>
          <w:lang w:val="en-GB"/>
        </w:rPr>
        <w:t>For the d</w:t>
      </w:r>
      <w:r w:rsidR="00244894">
        <w:rPr>
          <w:rFonts w:ascii="Verdana" w:hAnsi="Verdana"/>
          <w:lang w:val="en-GB"/>
        </w:rPr>
        <w:t>iagnosis</w:t>
      </w:r>
      <w:r w:rsidR="002E6208">
        <w:rPr>
          <w:rFonts w:ascii="Verdana" w:hAnsi="Verdana"/>
          <w:lang w:val="en-GB"/>
        </w:rPr>
        <w:t xml:space="preserve"> of </w:t>
      </w:r>
      <w:r w:rsidR="00244894">
        <w:rPr>
          <w:rFonts w:ascii="Verdana" w:hAnsi="Verdana"/>
          <w:lang w:val="en-GB"/>
        </w:rPr>
        <w:t>clinical</w:t>
      </w:r>
      <w:r w:rsidR="002E6208">
        <w:rPr>
          <w:rFonts w:ascii="Verdana" w:hAnsi="Verdana"/>
          <w:lang w:val="en-GB"/>
        </w:rPr>
        <w:t xml:space="preserve"> P</w:t>
      </w:r>
      <w:r w:rsidR="00936B53">
        <w:rPr>
          <w:rFonts w:ascii="Verdana" w:hAnsi="Verdana"/>
          <w:lang w:val="en-GB"/>
        </w:rPr>
        <w:t>D</w:t>
      </w:r>
      <w:r w:rsidR="002E6208">
        <w:rPr>
          <w:rFonts w:ascii="Verdana" w:hAnsi="Verdana"/>
          <w:lang w:val="en-GB"/>
        </w:rPr>
        <w:t xml:space="preserve">, </w:t>
      </w:r>
      <w:r w:rsidR="005453EC">
        <w:rPr>
          <w:rFonts w:ascii="Verdana" w:hAnsi="Verdana"/>
          <w:lang w:val="en-GB"/>
        </w:rPr>
        <w:t xml:space="preserve">2 or more supportive criteria such as L-DOPA induced dyskinesia have to be present, while </w:t>
      </w:r>
      <w:r w:rsidR="00976B3D">
        <w:rPr>
          <w:rFonts w:ascii="Verdana" w:hAnsi="Verdana"/>
          <w:lang w:val="en-GB"/>
        </w:rPr>
        <w:t>exclusion criteria need to be absent</w:t>
      </w:r>
      <w:r w:rsidR="008E55CC">
        <w:rPr>
          <w:rFonts w:ascii="Verdana" w:hAnsi="Verdana"/>
          <w:lang w:val="en-GB"/>
        </w:rPr>
        <w:t xml:space="preserve"> </w:t>
      </w:r>
      <w:r w:rsidR="000A4B2F">
        <w:rPr>
          <w:rFonts w:ascii="Verdana" w:hAnsi="Verdana"/>
          <w:lang w:val="en-GB"/>
        </w:rPr>
        <w:fldChar w:fldCharType="begin"/>
      </w:r>
      <w:r w:rsidR="000A4B2F">
        <w:rPr>
          <w:rFonts w:ascii="Verdana" w:hAnsi="Verdana"/>
          <w:lang w:val="en-GB"/>
        </w:rPr>
        <w:instrText xml:space="preserve"> ADDIN ZOTERO_ITEM CSL_CITATION {"citationID":"1U9Q3mo3","properties":{"formattedCitation":"(Postuma et al. 2015)","plainCitation":"(Postuma et al. 2015)","noteIndex":0},"citationItems":[{"id":808,"uris":["http://zotero.org/users/9330673/items/RESPMFPQ"],"itemData":{"id":808,"type":"article-journal","container-title":"Movement Disorders","DOI":"10.1002/mds.26424","ISSN":"08853185","issue":"12","journalAbbreviation":"Mov Disord.","language":"en","page":"1591-1601","source":"DOI.org (Crossref)","title":"MDS clinical diagnostic criteria for Parkinson's disease: MDS-PD Clinical Diagnostic Criteria","title-short":"MDS clinical diagnostic criteria for Parkinson's disease","volume":"30","author":[{"family":"Postuma","given":"Ronald B."},{"family":"Berg","given":"Daniela"},{"family":"Stern","given":"Matthew"},{"family":"Poewe","given":"Werner"},{"family":"Olanow","given":"C. Warren"},{"family":"Oertel","given":"Wolfgang"},{"family":"Obeso","given":"José"},{"family":"Marek","given":"Kenneth"},{"family":"Litvan","given":"Irene"},{"family":"Lang","given":"Anthony E."},{"family":"Halliday","given":"Glenda"},{"family":"Goetz","given":"Christopher G."},{"family":"Gasser","given":"Thomas"},{"family":"Dubois","given":"Bruno"},{"family":"Chan","given":"Piu"},{"family":"Bloem","given":"Bastiaan R."},{"family":"Adler","given":"Charles H."},{"family":"Deuschl","given":"Günther"}],"issued":{"date-parts":[["2015",10]]}}}],"schema":"https://github.com/citation-style-language/schema/raw/master/csl-citation.json"} </w:instrText>
      </w:r>
      <w:r w:rsidR="000A4B2F">
        <w:rPr>
          <w:rFonts w:ascii="Verdana" w:hAnsi="Verdana"/>
          <w:lang w:val="en-GB"/>
        </w:rPr>
        <w:fldChar w:fldCharType="separate"/>
      </w:r>
      <w:r w:rsidR="000A4B2F" w:rsidRPr="000A4B2F">
        <w:rPr>
          <w:rFonts w:ascii="Verdana" w:hAnsi="Verdana"/>
        </w:rPr>
        <w:t>(Postuma et al. 2015)</w:t>
      </w:r>
      <w:r w:rsidR="000A4B2F">
        <w:rPr>
          <w:rFonts w:ascii="Verdana" w:hAnsi="Verdana"/>
          <w:lang w:val="en-GB"/>
        </w:rPr>
        <w:fldChar w:fldCharType="end"/>
      </w:r>
      <w:r w:rsidR="005C7BBB">
        <w:rPr>
          <w:rFonts w:ascii="Verdana" w:hAnsi="Verdana"/>
          <w:lang w:val="en-GB"/>
        </w:rPr>
        <w:t>.</w:t>
      </w:r>
      <w:r w:rsidR="00432871">
        <w:rPr>
          <w:rFonts w:ascii="Verdana" w:hAnsi="Verdana"/>
          <w:lang w:val="en-GB"/>
        </w:rPr>
        <w:t xml:space="preserve"> </w:t>
      </w:r>
      <w:r w:rsidR="007F3C68">
        <w:rPr>
          <w:rFonts w:ascii="Verdana" w:hAnsi="Verdana"/>
          <w:lang w:val="en-GB"/>
        </w:rPr>
        <w:t>Based on the clinical observation of patients, two major subtypes of PD have been proposed</w:t>
      </w:r>
      <w:r w:rsidR="00B44700">
        <w:rPr>
          <w:rFonts w:ascii="Verdana" w:hAnsi="Verdana"/>
          <w:lang w:val="en-GB"/>
        </w:rPr>
        <w:t xml:space="preserve">: the tremor-dominant, where other motor symptoms are </w:t>
      </w:r>
      <w:r w:rsidR="000F2CAE">
        <w:rPr>
          <w:rFonts w:ascii="Verdana" w:hAnsi="Verdana"/>
          <w:lang w:val="en-GB"/>
        </w:rPr>
        <w:t xml:space="preserve">negligible; and the </w:t>
      </w:r>
      <w:r w:rsidR="00E3538A">
        <w:rPr>
          <w:rFonts w:ascii="Verdana" w:hAnsi="Verdana"/>
          <w:lang w:val="en-GB"/>
        </w:rPr>
        <w:t>non-tremor-dominant,</w:t>
      </w:r>
      <w:r w:rsidR="00432871">
        <w:rPr>
          <w:rFonts w:ascii="Verdana" w:hAnsi="Verdana"/>
          <w:lang w:val="en-GB"/>
        </w:rPr>
        <w:t xml:space="preserve"> also described as postural instability gait disorder (PIGD) subtype</w:t>
      </w:r>
      <w:r w:rsidR="000A4B2F">
        <w:rPr>
          <w:rFonts w:ascii="Verdana" w:hAnsi="Verdana"/>
          <w:lang w:val="en-GB"/>
        </w:rPr>
        <w:t xml:space="preserve"> </w:t>
      </w:r>
      <w:r w:rsidR="000A4B2F">
        <w:rPr>
          <w:rFonts w:ascii="Verdana" w:hAnsi="Verdana"/>
          <w:lang w:val="en-GB"/>
        </w:rPr>
        <w:fldChar w:fldCharType="begin"/>
      </w:r>
      <w:r w:rsidR="000A4B2F">
        <w:rPr>
          <w:rFonts w:ascii="Verdana" w:hAnsi="Verdana"/>
          <w:lang w:val="en-GB"/>
        </w:rPr>
        <w:instrText xml:space="preserve"> ADDIN ZOTERO_ITEM CSL_CITATION {"citationID":"uvaW7UuQ","properties":{"formattedCitation":"(Thenganatt and Jankovic 2014)","plainCitation":"(Thenganatt and Jankovic 2014)","noteIndex":0},"citationItems":[{"id":856,"uris":["http://zotero.org/users/9330673/items/YHP5SXZK"],"itemData":{"id":856,"type":"article-journal","container-title":"JAMA Neurology","DOI":"10.1001/jamaneurol.2013.6233","ISSN":"2168-6149","issue":"4","journalAbbreviation":"JAMA Neurol","language":"en","page":"499","source":"DOI.org (Crossref)","title":"Parkinson Disease Subtypes","volume":"71","author":[{"family":"Thenganatt","given":"Mary Ann"},{"family":"Jankovic","given":"Joseph"}],"issued":{"date-parts":[["2014",4,1]]}}}],"schema":"https://github.com/citation-style-language/schema/raw/master/csl-citation.json"} </w:instrText>
      </w:r>
      <w:r w:rsidR="000A4B2F">
        <w:rPr>
          <w:rFonts w:ascii="Verdana" w:hAnsi="Verdana"/>
          <w:lang w:val="en-GB"/>
        </w:rPr>
        <w:fldChar w:fldCharType="separate"/>
      </w:r>
      <w:r w:rsidR="000A4B2F" w:rsidRPr="000A4B2F">
        <w:rPr>
          <w:rFonts w:ascii="Verdana" w:hAnsi="Verdana"/>
        </w:rPr>
        <w:t>(Thenganatt and Jankovic 2014)</w:t>
      </w:r>
      <w:r w:rsidR="000A4B2F">
        <w:rPr>
          <w:rFonts w:ascii="Verdana" w:hAnsi="Verdana"/>
          <w:lang w:val="en-GB"/>
        </w:rPr>
        <w:fldChar w:fldCharType="end"/>
      </w:r>
      <w:r w:rsidR="00432871">
        <w:rPr>
          <w:rFonts w:ascii="Verdana" w:hAnsi="Verdana"/>
          <w:lang w:val="en-GB"/>
        </w:rPr>
        <w:t>.</w:t>
      </w:r>
    </w:p>
    <w:p w14:paraId="176D6470" w14:textId="325FEE34" w:rsidR="00193641" w:rsidRDefault="008C0D2B" w:rsidP="00291DAF">
      <w:pPr>
        <w:spacing w:line="360" w:lineRule="auto"/>
        <w:jc w:val="both"/>
        <w:rPr>
          <w:rFonts w:ascii="Verdana" w:hAnsi="Verdana"/>
          <w:lang w:val="en-GB"/>
        </w:rPr>
      </w:pPr>
      <w:r>
        <w:rPr>
          <w:rFonts w:ascii="Verdana" w:hAnsi="Verdana"/>
          <w:lang w:val="en-GB"/>
        </w:rPr>
        <w:t>Generally,</w:t>
      </w:r>
      <w:r w:rsidR="00F61245">
        <w:rPr>
          <w:rFonts w:ascii="Verdana" w:hAnsi="Verdana"/>
          <w:lang w:val="en-GB"/>
        </w:rPr>
        <w:t xml:space="preserve"> the</w:t>
      </w:r>
      <w:r>
        <w:rPr>
          <w:rFonts w:ascii="Verdana" w:hAnsi="Verdana"/>
          <w:lang w:val="en-GB"/>
        </w:rPr>
        <w:t xml:space="preserve"> diagnosis of P</w:t>
      </w:r>
      <w:r w:rsidR="00CA059C">
        <w:rPr>
          <w:rFonts w:ascii="Verdana" w:hAnsi="Verdana"/>
          <w:lang w:val="en-GB"/>
        </w:rPr>
        <w:t>D</w:t>
      </w:r>
      <w:r w:rsidR="00C92F9F">
        <w:rPr>
          <w:rFonts w:ascii="Verdana" w:hAnsi="Verdana"/>
          <w:lang w:val="en-GB"/>
        </w:rPr>
        <w:t xml:space="preserve"> is</w:t>
      </w:r>
      <w:r>
        <w:rPr>
          <w:rFonts w:ascii="Verdana" w:hAnsi="Verdana"/>
          <w:lang w:val="en-GB"/>
        </w:rPr>
        <w:t xml:space="preserve"> made in the </w:t>
      </w:r>
      <w:r w:rsidR="0073551D">
        <w:rPr>
          <w:rFonts w:ascii="Verdana" w:hAnsi="Verdana"/>
          <w:lang w:val="en-GB"/>
        </w:rPr>
        <w:t>early stage</w:t>
      </w:r>
      <w:r w:rsidR="000E71E8">
        <w:rPr>
          <w:rFonts w:ascii="Verdana" w:hAnsi="Verdana"/>
          <w:lang w:val="en-GB"/>
        </w:rPr>
        <w:t xml:space="preserve"> of the illness, </w:t>
      </w:r>
      <w:r w:rsidR="00AD5881">
        <w:rPr>
          <w:rFonts w:ascii="Verdana" w:hAnsi="Verdana"/>
          <w:lang w:val="en-GB"/>
        </w:rPr>
        <w:t xml:space="preserve">shortly after the onset of motor symptoms. Nevertheless, Parkinson’s does not start with </w:t>
      </w:r>
      <w:r w:rsidR="001E29B2">
        <w:rPr>
          <w:rFonts w:ascii="Verdana" w:hAnsi="Verdana"/>
          <w:lang w:val="en-GB"/>
        </w:rPr>
        <w:t xml:space="preserve">its clinical manifestation, and motor symptoms are </w:t>
      </w:r>
      <w:r w:rsidR="00FC7969">
        <w:rPr>
          <w:rFonts w:ascii="Verdana" w:hAnsi="Verdana"/>
          <w:lang w:val="en-GB"/>
        </w:rPr>
        <w:t xml:space="preserve">typically </w:t>
      </w:r>
      <w:r w:rsidR="001E29B2">
        <w:rPr>
          <w:rFonts w:ascii="Verdana" w:hAnsi="Verdana"/>
          <w:lang w:val="en-GB"/>
        </w:rPr>
        <w:t xml:space="preserve">preceded </w:t>
      </w:r>
      <w:r w:rsidR="00FC7969">
        <w:rPr>
          <w:rFonts w:ascii="Verdana" w:hAnsi="Verdana"/>
          <w:lang w:val="en-GB"/>
        </w:rPr>
        <w:t xml:space="preserve">by </w:t>
      </w:r>
      <w:r w:rsidR="00332A94">
        <w:rPr>
          <w:rFonts w:ascii="Verdana" w:hAnsi="Verdana"/>
          <w:lang w:val="en-GB"/>
        </w:rPr>
        <w:t xml:space="preserve">a variety of non-motor symptoms </w:t>
      </w:r>
      <w:r w:rsidR="00212B06">
        <w:rPr>
          <w:rFonts w:ascii="Verdana" w:hAnsi="Verdana"/>
          <w:lang w:val="en-GB"/>
        </w:rPr>
        <w:t>that can antedate</w:t>
      </w:r>
      <w:r w:rsidR="009A5441">
        <w:rPr>
          <w:rFonts w:ascii="Verdana" w:hAnsi="Verdana"/>
          <w:lang w:val="en-GB"/>
        </w:rPr>
        <w:t xml:space="preserve"> the diagnosis</w:t>
      </w:r>
      <w:r w:rsidR="00212B06">
        <w:rPr>
          <w:rFonts w:ascii="Verdana" w:hAnsi="Verdana"/>
          <w:lang w:val="en-GB"/>
        </w:rPr>
        <w:t xml:space="preserve"> </w:t>
      </w:r>
      <w:r w:rsidR="009A5441">
        <w:rPr>
          <w:rFonts w:ascii="Verdana" w:hAnsi="Verdana"/>
          <w:lang w:val="en-GB"/>
        </w:rPr>
        <w:t xml:space="preserve">by </w:t>
      </w:r>
      <w:r w:rsidR="00F61245">
        <w:rPr>
          <w:rFonts w:ascii="Verdana" w:hAnsi="Verdana"/>
          <w:lang w:val="en-GB"/>
        </w:rPr>
        <w:t>up to 20</w:t>
      </w:r>
      <w:r w:rsidR="009A5441">
        <w:rPr>
          <w:rFonts w:ascii="Verdana" w:hAnsi="Verdana"/>
          <w:lang w:val="en-GB"/>
        </w:rPr>
        <w:t xml:space="preserve"> years</w:t>
      </w:r>
      <w:r w:rsidR="008B02BE">
        <w:rPr>
          <w:rFonts w:ascii="Verdana" w:hAnsi="Verdana"/>
          <w:lang w:val="en-GB"/>
        </w:rPr>
        <w:t xml:space="preserve"> (Figure 1)</w:t>
      </w:r>
      <w:r w:rsidR="009A5441">
        <w:rPr>
          <w:rFonts w:ascii="Verdana" w:hAnsi="Verdana"/>
          <w:lang w:val="en-GB"/>
        </w:rPr>
        <w:t xml:space="preserve">. </w:t>
      </w:r>
      <w:r w:rsidR="00C23B82">
        <w:rPr>
          <w:rFonts w:ascii="Verdana" w:hAnsi="Verdana"/>
          <w:lang w:val="en-GB"/>
        </w:rPr>
        <w:t>N</w:t>
      </w:r>
      <w:r w:rsidR="00F75852">
        <w:rPr>
          <w:rFonts w:ascii="Verdana" w:hAnsi="Verdana"/>
          <w:lang w:val="en-GB"/>
        </w:rPr>
        <w:t xml:space="preserve">on-motor manifestations of </w:t>
      </w:r>
      <w:r w:rsidR="00C23B82">
        <w:rPr>
          <w:rFonts w:ascii="Verdana" w:hAnsi="Verdana"/>
          <w:lang w:val="en-GB"/>
        </w:rPr>
        <w:t>PD include</w:t>
      </w:r>
      <w:r w:rsidR="00F75852">
        <w:rPr>
          <w:rFonts w:ascii="Verdana" w:hAnsi="Verdana"/>
          <w:lang w:val="en-GB"/>
        </w:rPr>
        <w:t xml:space="preserve"> rapid eye movement (REM) sleep behaviour disorder, </w:t>
      </w:r>
      <w:r w:rsidR="00C23B82">
        <w:rPr>
          <w:rFonts w:ascii="Verdana" w:hAnsi="Verdana"/>
          <w:lang w:val="en-GB"/>
        </w:rPr>
        <w:t>constipation,</w:t>
      </w:r>
      <w:r w:rsidR="001C473E">
        <w:rPr>
          <w:rFonts w:ascii="Verdana" w:hAnsi="Verdana"/>
          <w:lang w:val="en-GB"/>
        </w:rPr>
        <w:t xml:space="preserve"> hyposmia,</w:t>
      </w:r>
      <w:r w:rsidR="00C23B82">
        <w:rPr>
          <w:rFonts w:ascii="Verdana" w:hAnsi="Verdana"/>
          <w:lang w:val="en-GB"/>
        </w:rPr>
        <w:t xml:space="preserve"> depression,</w:t>
      </w:r>
      <w:r w:rsidR="00E02F87">
        <w:rPr>
          <w:rFonts w:ascii="Verdana" w:hAnsi="Verdana"/>
          <w:lang w:val="en-GB"/>
        </w:rPr>
        <w:t xml:space="preserve"> </w:t>
      </w:r>
      <w:r w:rsidR="00C23B82">
        <w:rPr>
          <w:rFonts w:ascii="Verdana" w:hAnsi="Verdana"/>
          <w:lang w:val="en-GB"/>
        </w:rPr>
        <w:t>hallucinations</w:t>
      </w:r>
      <w:r w:rsidR="000B497F">
        <w:rPr>
          <w:rFonts w:ascii="Verdana" w:hAnsi="Verdana"/>
          <w:lang w:val="en-GB"/>
        </w:rPr>
        <w:t>,</w:t>
      </w:r>
      <w:r w:rsidR="00E02F87">
        <w:rPr>
          <w:rFonts w:ascii="Verdana" w:hAnsi="Verdana"/>
          <w:lang w:val="en-GB"/>
        </w:rPr>
        <w:t xml:space="preserve"> and dementia</w:t>
      </w:r>
      <w:r w:rsidR="00C36C59">
        <w:rPr>
          <w:rFonts w:ascii="Verdana" w:hAnsi="Verdana"/>
          <w:lang w:val="en-GB"/>
        </w:rPr>
        <w:t xml:space="preserve"> </w:t>
      </w:r>
      <w:r w:rsidR="00C36C59">
        <w:rPr>
          <w:rFonts w:ascii="Verdana" w:hAnsi="Verdana"/>
          <w:lang w:val="en-GB"/>
        </w:rPr>
        <w:fldChar w:fldCharType="begin"/>
      </w:r>
      <w:r w:rsidR="00C36C59">
        <w:rPr>
          <w:rFonts w:ascii="Verdana" w:hAnsi="Verdana"/>
          <w:lang w:val="en-GB"/>
        </w:rPr>
        <w:instrText xml:space="preserve"> ADDIN ZOTERO_ITEM CSL_CITATION {"citationID":"M5EoLU3I","properties":{"formattedCitation":"(Chaudhuri and Schapira 2009)","plainCitation":"(Chaudhuri and Schapira 2009)","noteIndex":0},"citationItems":[{"id":739,"uris":["http://zotero.org/users/9330673/items/6TB5F397"],"itemData":{"id":739,"type":"article-journal","container-title":"The Lancet Neurology","DOI":"10.1016/S1474-4422(09)70068-7","ISSN":"14744422","issue":"5","journalAbbreviation":"The Lancet Neurology","language":"en","page":"464-474","source":"DOI.org (Crossref)","title":"Non-motor symptoms of Parkinson's disease: dopaminergic pathophysiology and treatment","title-short":"Non-motor symptoms of Parkinson's disease","volume":"8","author":[{"family":"Chaudhuri","given":"K Ray"},{"family":"Schapira","given":"Anthony HV"}],"issued":{"date-parts":[["2009",5]]}}}],"schema":"https://github.com/citation-style-language/schema/raw/master/csl-citation.json"} </w:instrText>
      </w:r>
      <w:r w:rsidR="00C36C59">
        <w:rPr>
          <w:rFonts w:ascii="Verdana" w:hAnsi="Verdana"/>
          <w:lang w:val="en-GB"/>
        </w:rPr>
        <w:fldChar w:fldCharType="separate"/>
      </w:r>
      <w:r w:rsidR="00C36C59" w:rsidRPr="00C36C59">
        <w:rPr>
          <w:rFonts w:ascii="Verdana" w:hAnsi="Verdana"/>
        </w:rPr>
        <w:t>(Chaudhuri and Schapira 2009)</w:t>
      </w:r>
      <w:r w:rsidR="00C36C59">
        <w:rPr>
          <w:rFonts w:ascii="Verdana" w:hAnsi="Verdana"/>
          <w:lang w:val="en-GB"/>
        </w:rPr>
        <w:fldChar w:fldCharType="end"/>
      </w:r>
      <w:r w:rsidR="000B497F">
        <w:rPr>
          <w:rFonts w:ascii="Verdana" w:hAnsi="Verdana"/>
          <w:lang w:val="en-GB"/>
        </w:rPr>
        <w:t>.</w:t>
      </w:r>
      <w:r w:rsidR="00A77EDA">
        <w:rPr>
          <w:rFonts w:ascii="Verdana" w:hAnsi="Verdana"/>
          <w:lang w:val="en-GB"/>
        </w:rPr>
        <w:t xml:space="preserve"> </w:t>
      </w:r>
      <w:r w:rsidR="00EE48C6">
        <w:rPr>
          <w:rFonts w:ascii="Verdana" w:hAnsi="Verdana"/>
          <w:lang w:val="en-GB"/>
        </w:rPr>
        <w:t>The</w:t>
      </w:r>
      <w:r w:rsidR="00A77EDA">
        <w:rPr>
          <w:rFonts w:ascii="Verdana" w:hAnsi="Verdana"/>
          <w:lang w:val="en-GB"/>
        </w:rPr>
        <w:t xml:space="preserve"> occurrence</w:t>
      </w:r>
      <w:r w:rsidR="00AD7F1B">
        <w:rPr>
          <w:rFonts w:ascii="Verdana" w:hAnsi="Verdana"/>
          <w:lang w:val="en-GB"/>
        </w:rPr>
        <w:t xml:space="preserve"> and severity</w:t>
      </w:r>
      <w:r w:rsidR="00EE48C6">
        <w:rPr>
          <w:rFonts w:ascii="Verdana" w:hAnsi="Verdana"/>
          <w:lang w:val="en-GB"/>
        </w:rPr>
        <w:t xml:space="preserve"> of non-motor symptoms</w:t>
      </w:r>
      <w:r w:rsidR="00C822DB">
        <w:rPr>
          <w:rFonts w:ascii="Verdana" w:hAnsi="Verdana"/>
          <w:lang w:val="en-GB"/>
        </w:rPr>
        <w:t xml:space="preserve"> is variable amongst patients,</w:t>
      </w:r>
      <w:r w:rsidR="00C04BC5">
        <w:rPr>
          <w:rFonts w:ascii="Verdana" w:hAnsi="Verdana"/>
          <w:lang w:val="en-GB"/>
        </w:rPr>
        <w:t xml:space="preserve"> </w:t>
      </w:r>
      <w:r w:rsidR="005E6B1A">
        <w:rPr>
          <w:rFonts w:ascii="Verdana" w:hAnsi="Verdana"/>
          <w:lang w:val="en-GB"/>
        </w:rPr>
        <w:t>complicating the clinical picture of the disease.</w:t>
      </w:r>
    </w:p>
    <w:p w14:paraId="47B3CF29" w14:textId="2AE22C02" w:rsidR="00FE4C12" w:rsidRDefault="00F0063B" w:rsidP="00E548D3">
      <w:pPr>
        <w:spacing w:line="360" w:lineRule="auto"/>
        <w:jc w:val="both"/>
        <w:rPr>
          <w:rFonts w:ascii="Verdana" w:hAnsi="Verdana"/>
          <w:lang w:val="en-GB"/>
        </w:rPr>
      </w:pPr>
      <w:r>
        <w:rPr>
          <w:rFonts w:ascii="Verdana" w:hAnsi="Verdana"/>
          <w:lang w:val="en-GB"/>
        </w:rPr>
        <w:t xml:space="preserve">Despite </w:t>
      </w:r>
      <w:r w:rsidR="00FC03F7">
        <w:rPr>
          <w:rFonts w:ascii="Verdana" w:hAnsi="Verdana"/>
          <w:lang w:val="en-GB"/>
        </w:rPr>
        <w:t>it has been known for centuries, there is still no cure for Parkinson’s disease, and the current treatment</w:t>
      </w:r>
      <w:r w:rsidR="00C404C7">
        <w:rPr>
          <w:rFonts w:ascii="Verdana" w:hAnsi="Verdana"/>
          <w:lang w:val="en-GB"/>
        </w:rPr>
        <w:t>s are</w:t>
      </w:r>
      <w:r w:rsidR="00FC03F7">
        <w:rPr>
          <w:rFonts w:ascii="Verdana" w:hAnsi="Verdana"/>
          <w:lang w:val="en-GB"/>
        </w:rPr>
        <w:t xml:space="preserve"> meant to </w:t>
      </w:r>
      <w:r w:rsidR="00C404C7">
        <w:rPr>
          <w:rFonts w:ascii="Verdana" w:hAnsi="Verdana"/>
          <w:lang w:val="en-GB"/>
        </w:rPr>
        <w:t>manage the symptoms to provide</w:t>
      </w:r>
      <w:r w:rsidR="009C159E">
        <w:rPr>
          <w:rFonts w:ascii="Verdana" w:hAnsi="Verdana"/>
          <w:lang w:val="en-GB"/>
        </w:rPr>
        <w:t xml:space="preserve"> the patients with</w:t>
      </w:r>
      <w:r w:rsidR="00C404C7">
        <w:rPr>
          <w:rFonts w:ascii="Verdana" w:hAnsi="Verdana"/>
          <w:lang w:val="en-GB"/>
        </w:rPr>
        <w:t xml:space="preserve"> a better quality of life. </w:t>
      </w:r>
      <w:r w:rsidR="004D17FB">
        <w:rPr>
          <w:rFonts w:ascii="Verdana" w:hAnsi="Verdana"/>
          <w:lang w:val="en-GB"/>
        </w:rPr>
        <w:t>The first breakthrough in PD therapy occurred in 1961, after</w:t>
      </w:r>
      <w:r w:rsidR="0083475B">
        <w:rPr>
          <w:rFonts w:ascii="Verdana" w:hAnsi="Verdana"/>
          <w:lang w:val="en-GB"/>
        </w:rPr>
        <w:t xml:space="preserve"> </w:t>
      </w:r>
      <w:r w:rsidR="004D17FB">
        <w:rPr>
          <w:rFonts w:ascii="Verdana" w:hAnsi="Verdana"/>
          <w:lang w:val="en-GB"/>
        </w:rPr>
        <w:t xml:space="preserve">discovering that striatal dopamine levels were reduced </w:t>
      </w:r>
      <w:r w:rsidR="00F63E3C">
        <w:rPr>
          <w:rFonts w:ascii="Verdana" w:hAnsi="Verdana"/>
          <w:lang w:val="en-GB"/>
        </w:rPr>
        <w:t xml:space="preserve">in </w:t>
      </w:r>
      <w:r w:rsidR="00194CAB">
        <w:rPr>
          <w:rFonts w:ascii="Verdana" w:hAnsi="Verdana"/>
          <w:lang w:val="en-GB"/>
        </w:rPr>
        <w:t>PD patients</w:t>
      </w:r>
      <w:r w:rsidR="00DE371F">
        <w:rPr>
          <w:rFonts w:ascii="Verdana" w:hAnsi="Verdana"/>
          <w:lang w:val="en-GB"/>
        </w:rPr>
        <w:t xml:space="preserve"> </w:t>
      </w:r>
      <w:r w:rsidR="00194CAB">
        <w:rPr>
          <w:rFonts w:ascii="Verdana" w:hAnsi="Verdana"/>
          <w:lang w:val="en-GB"/>
        </w:rPr>
        <w:t>(</w:t>
      </w:r>
      <w:proofErr w:type="spellStart"/>
      <w:r w:rsidR="00E85F75">
        <w:rPr>
          <w:rFonts w:ascii="Verdana" w:hAnsi="Verdana"/>
          <w:lang w:val="en-GB"/>
        </w:rPr>
        <w:t>Ehringer</w:t>
      </w:r>
      <w:proofErr w:type="spellEnd"/>
      <w:r w:rsidR="00E85F75">
        <w:rPr>
          <w:rFonts w:ascii="Verdana" w:hAnsi="Verdana"/>
          <w:lang w:val="en-GB"/>
        </w:rPr>
        <w:t xml:space="preserve"> and </w:t>
      </w:r>
      <w:proofErr w:type="spellStart"/>
      <w:r w:rsidR="00E85F75">
        <w:rPr>
          <w:rFonts w:ascii="Verdana" w:hAnsi="Verdana"/>
          <w:lang w:val="en-GB"/>
        </w:rPr>
        <w:t>Hornykiewicz</w:t>
      </w:r>
      <w:proofErr w:type="spellEnd"/>
      <w:r w:rsidR="00E85F75">
        <w:rPr>
          <w:rFonts w:ascii="Verdana" w:hAnsi="Verdana"/>
          <w:lang w:val="en-GB"/>
        </w:rPr>
        <w:t>, 1960</w:t>
      </w:r>
      <w:r w:rsidR="004D17FB">
        <w:rPr>
          <w:rFonts w:ascii="Verdana" w:hAnsi="Verdana"/>
          <w:lang w:val="en-GB"/>
        </w:rPr>
        <w:t>)</w:t>
      </w:r>
      <w:r w:rsidR="00F2262C">
        <w:rPr>
          <w:rFonts w:ascii="Verdana" w:hAnsi="Verdana"/>
          <w:lang w:val="en-GB"/>
        </w:rPr>
        <w:t>.</w:t>
      </w:r>
      <w:r w:rsidR="003D5898">
        <w:rPr>
          <w:rFonts w:ascii="Verdana" w:hAnsi="Verdana"/>
          <w:lang w:val="en-GB"/>
        </w:rPr>
        <w:t xml:space="preserve"> Administration of the dopamine precursor L-DOPA</w:t>
      </w:r>
      <w:r w:rsidR="00E548D3">
        <w:rPr>
          <w:rFonts w:ascii="Verdana" w:hAnsi="Verdana"/>
          <w:lang w:val="en-GB"/>
        </w:rPr>
        <w:t xml:space="preserve"> aimed at replacing the striatal dopamine loss</w:t>
      </w:r>
      <w:r w:rsidR="00F2262C">
        <w:rPr>
          <w:rFonts w:ascii="Verdana" w:hAnsi="Verdana"/>
          <w:lang w:val="en-GB"/>
        </w:rPr>
        <w:t xml:space="preserve"> </w:t>
      </w:r>
      <w:r w:rsidR="00333F3A">
        <w:rPr>
          <w:rFonts w:ascii="Verdana" w:hAnsi="Verdana"/>
          <w:lang w:val="en-GB"/>
        </w:rPr>
        <w:t>is still today the standard</w:t>
      </w:r>
      <w:r w:rsidR="00052455">
        <w:rPr>
          <w:rFonts w:ascii="Verdana" w:hAnsi="Verdana"/>
          <w:lang w:val="en-GB"/>
        </w:rPr>
        <w:t xml:space="preserve"> in the </w:t>
      </w:r>
      <w:r w:rsidR="00CB551F">
        <w:rPr>
          <w:rFonts w:ascii="Verdana" w:hAnsi="Verdana"/>
          <w:lang w:val="en-GB"/>
        </w:rPr>
        <w:t>treat</w:t>
      </w:r>
      <w:r w:rsidR="00052455">
        <w:rPr>
          <w:rFonts w:ascii="Verdana" w:hAnsi="Verdana"/>
          <w:lang w:val="en-GB"/>
        </w:rPr>
        <w:t>ment of</w:t>
      </w:r>
      <w:r w:rsidR="00333F3A">
        <w:rPr>
          <w:rFonts w:ascii="Verdana" w:hAnsi="Verdana"/>
          <w:lang w:val="en-GB"/>
        </w:rPr>
        <w:t xml:space="preserve"> parkinsonism.</w:t>
      </w:r>
      <w:r w:rsidR="009D26C6">
        <w:rPr>
          <w:rFonts w:ascii="Verdana" w:hAnsi="Verdana"/>
          <w:lang w:val="en-GB"/>
        </w:rPr>
        <w:t xml:space="preserve"> However, the use of L-DOPA or other dopamine agonists is complicated by the insurgence of</w:t>
      </w:r>
      <w:r w:rsidR="00C91C89">
        <w:rPr>
          <w:rFonts w:ascii="Verdana" w:hAnsi="Verdana"/>
          <w:lang w:val="en-GB"/>
        </w:rPr>
        <w:t xml:space="preserve"> secondary</w:t>
      </w:r>
      <w:r w:rsidR="009D26C6">
        <w:rPr>
          <w:rFonts w:ascii="Verdana" w:hAnsi="Verdana"/>
          <w:lang w:val="en-GB"/>
        </w:rPr>
        <w:t xml:space="preserve"> motor </w:t>
      </w:r>
      <w:r w:rsidR="00C91C89">
        <w:rPr>
          <w:rFonts w:ascii="Verdana" w:hAnsi="Verdana"/>
          <w:lang w:val="en-GB"/>
        </w:rPr>
        <w:t>symptoms</w:t>
      </w:r>
      <w:r w:rsidR="003506D5">
        <w:rPr>
          <w:rFonts w:ascii="Verdana" w:hAnsi="Verdana"/>
          <w:lang w:val="en-GB"/>
        </w:rPr>
        <w:t xml:space="preserve"> </w:t>
      </w:r>
      <w:r w:rsidR="003506D5">
        <w:rPr>
          <w:rFonts w:ascii="Verdana" w:hAnsi="Verdana"/>
          <w:lang w:val="en-GB"/>
        </w:rPr>
        <w:fldChar w:fldCharType="begin"/>
      </w:r>
      <w:r w:rsidR="003506D5">
        <w:rPr>
          <w:rFonts w:ascii="Verdana" w:hAnsi="Verdana"/>
          <w:lang w:val="en-GB"/>
        </w:rPr>
        <w:instrText xml:space="preserve"> ADDIN ZOTERO_ITEM CSL_CITATION {"citationID":"gJWZhXOo","properties":{"formattedCitation":"(Bhattacharyya 2022)","plainCitation":"(Bhattacharyya 2022)","noteIndex":0},"citationItems":[{"id":725,"uris":["http://zotero.org/users/9330673/items/HCR3WD2Z"],"itemData":{"id":725,"type":"article-journal","abstract":"Levodopa (L</w:instrText>
      </w:r>
      <w:r w:rsidR="003506D5">
        <w:rPr>
          <w:rFonts w:ascii="Cambria Math" w:hAnsi="Cambria Math" w:cs="Cambria Math"/>
          <w:lang w:val="en-GB"/>
        </w:rPr>
        <w:instrText>‑</w:instrText>
      </w:r>
      <w:r w:rsidR="003506D5">
        <w:rPr>
          <w:rFonts w:ascii="Verdana" w:hAnsi="Verdana"/>
          <w:lang w:val="en-GB"/>
        </w:rPr>
        <w:instrText>dopa) is the gold standard in the management of Parkinson</w:instrText>
      </w:r>
      <w:r w:rsidR="003506D5">
        <w:rPr>
          <w:rFonts w:ascii="Verdana" w:hAnsi="Verdana" w:cs="Verdana"/>
          <w:lang w:val="en-GB"/>
        </w:rPr>
        <w:instrText>’</w:instrText>
      </w:r>
      <w:r w:rsidR="003506D5">
        <w:rPr>
          <w:rFonts w:ascii="Verdana" w:hAnsi="Verdana"/>
          <w:lang w:val="en-GB"/>
        </w:rPr>
        <w:instrText>s disease (PD). It dates back to 1500 to 1000 BC when it was used in the Indian Ayurvedic and Chinese system of medicine. Certain beans such as velvet beans and broad beans contain L</w:instrText>
      </w:r>
      <w:r w:rsidR="003506D5">
        <w:rPr>
          <w:rFonts w:ascii="Cambria Math" w:hAnsi="Cambria Math" w:cs="Cambria Math"/>
          <w:lang w:val="en-GB"/>
        </w:rPr>
        <w:instrText>‑</w:instrText>
      </w:r>
      <w:r w:rsidR="003506D5">
        <w:rPr>
          <w:rFonts w:ascii="Verdana" w:hAnsi="Verdana"/>
          <w:lang w:val="en-GB"/>
        </w:rPr>
        <w:instrText>dopa. The plant Mucuna pruriens (Mp) or velvet bean, cultivated in Eastern India and Southern China, contains L</w:instrText>
      </w:r>
      <w:r w:rsidR="003506D5">
        <w:rPr>
          <w:rFonts w:ascii="Cambria Math" w:hAnsi="Cambria Math" w:cs="Cambria Math"/>
          <w:lang w:val="en-GB"/>
        </w:rPr>
        <w:instrText>‑</w:instrText>
      </w:r>
      <w:r w:rsidR="003506D5">
        <w:rPr>
          <w:rFonts w:ascii="Verdana" w:hAnsi="Verdana"/>
          <w:lang w:val="en-GB"/>
        </w:rPr>
        <w:instrText>dopa at a concentration of 5% and was used for the management of PD. Later, workers have documented the neuroprotective, neurorestorative, and immunomodulatory properties of Mp. Double</w:instrText>
      </w:r>
      <w:r w:rsidR="003506D5">
        <w:rPr>
          <w:rFonts w:ascii="Cambria Math" w:hAnsi="Cambria Math" w:cs="Cambria Math"/>
          <w:lang w:val="en-GB"/>
        </w:rPr>
        <w:instrText>‑</w:instrText>
      </w:r>
      <w:r w:rsidR="003506D5">
        <w:rPr>
          <w:rFonts w:ascii="Verdana" w:hAnsi="Verdana"/>
          <w:lang w:val="en-GB"/>
        </w:rPr>
        <w:instrText>blind studies conducted in the Western world have proved the efficacy of Mp and reported some toxic side effects as well. In the Western world, the credit for isolating L</w:instrText>
      </w:r>
      <w:r w:rsidR="003506D5">
        <w:rPr>
          <w:rFonts w:ascii="Cambria Math" w:hAnsi="Cambria Math" w:cs="Cambria Math"/>
          <w:lang w:val="en-GB"/>
        </w:rPr>
        <w:instrText>‑</w:instrText>
      </w:r>
      <w:r w:rsidR="003506D5">
        <w:rPr>
          <w:rFonts w:ascii="Verdana" w:hAnsi="Verdana"/>
          <w:lang w:val="en-GB"/>
        </w:rPr>
        <w:instrText>dopa from the seeds of Vicia faba or broad bean goes to Markus Guggenheim, a biochemist from Sweden in 1913. However, it has been used with success ever since Arvid Carlsson established the reversibility of reserpine</w:instrText>
      </w:r>
      <w:r w:rsidR="003506D5">
        <w:rPr>
          <w:rFonts w:ascii="Cambria Math" w:hAnsi="Cambria Math" w:cs="Cambria Math"/>
          <w:lang w:val="en-GB"/>
        </w:rPr>
        <w:instrText>‑</w:instrText>
      </w:r>
      <w:r w:rsidR="003506D5">
        <w:rPr>
          <w:rFonts w:ascii="Verdana" w:hAnsi="Verdana"/>
          <w:lang w:val="en-GB"/>
        </w:rPr>
        <w:instrText>induced akinesia in rabbits in the late 1950s with the use of intravenous dopamine, and Oleh Hornykiewicz demonstrated its deficiency in the striatum in 1960–1961. George Cotzias used it in patients in a low and slow incremental fashion in 1967, and Melvin Yahr and his colleagues performed double</w:instrText>
      </w:r>
      <w:r w:rsidR="003506D5">
        <w:rPr>
          <w:rFonts w:ascii="Cambria Math" w:hAnsi="Cambria Math" w:cs="Cambria Math"/>
          <w:lang w:val="en-GB"/>
        </w:rPr>
        <w:instrText>‑</w:instrText>
      </w:r>
      <w:r w:rsidR="003506D5">
        <w:rPr>
          <w:rFonts w:ascii="Verdana" w:hAnsi="Verdana"/>
          <w:lang w:val="en-GB"/>
        </w:rPr>
        <w:instrText>blind study on in</w:instrText>
      </w:r>
      <w:r w:rsidR="003506D5">
        <w:rPr>
          <w:rFonts w:ascii="Cambria Math" w:hAnsi="Cambria Math" w:cs="Cambria Math"/>
          <w:lang w:val="en-GB"/>
        </w:rPr>
        <w:instrText>‑</w:instrText>
      </w:r>
      <w:r w:rsidR="003506D5">
        <w:rPr>
          <w:rFonts w:ascii="Verdana" w:hAnsi="Verdana"/>
          <w:lang w:val="en-GB"/>
        </w:rPr>
        <w:instrText>patients with success in 1969. Complications with its long</w:instrText>
      </w:r>
      <w:r w:rsidR="003506D5">
        <w:rPr>
          <w:rFonts w:ascii="Cambria Math" w:hAnsi="Cambria Math" w:cs="Cambria Math"/>
          <w:lang w:val="en-GB"/>
        </w:rPr>
        <w:instrText>‑</w:instrText>
      </w:r>
      <w:r w:rsidR="003506D5">
        <w:rPr>
          <w:rFonts w:ascii="Verdana" w:hAnsi="Verdana"/>
          <w:lang w:val="en-GB"/>
        </w:rPr>
        <w:instrText>term use, particularly the on</w:instrText>
      </w:r>
      <w:r w:rsidR="003506D5">
        <w:rPr>
          <w:rFonts w:ascii="Cambria Math" w:hAnsi="Cambria Math" w:cs="Cambria Math"/>
          <w:lang w:val="en-GB"/>
        </w:rPr>
        <w:instrText>‑</w:instrText>
      </w:r>
      <w:r w:rsidR="003506D5">
        <w:rPr>
          <w:rFonts w:ascii="Verdana" w:hAnsi="Verdana"/>
          <w:lang w:val="en-GB"/>
        </w:rPr>
        <w:instrText xml:space="preserve">off phenomenon, and dyskinesias appeared soon, and measures have been undertaken to reduce their incidence. Researches on alternative modes of delivery are carried out in various centers, and others are under investigation in the laboratories.","container-title":"Annals of Indian Academy of Neurology","DOI":"10.4103/aian.aian_474_21","ISSN":"0972-2327","issue":"1","journalAbbreviation":"Ann Indian Acad Neurol","language":"en","page":"124","source":"DOI.org (Crossref)","title":"The story of levodopa: A long and arduous journey","title-short":"The story of levodopa","volume":"25","author":[{"family":"Bhattacharyya","given":"KalyanB"}],"issued":{"date-parts":[["2022"]]}}}],"schema":"https://github.com/citation-style-language/schema/raw/master/csl-citation.json"} </w:instrText>
      </w:r>
      <w:r w:rsidR="003506D5">
        <w:rPr>
          <w:rFonts w:ascii="Verdana" w:hAnsi="Verdana"/>
          <w:lang w:val="en-GB"/>
        </w:rPr>
        <w:fldChar w:fldCharType="separate"/>
      </w:r>
      <w:r w:rsidR="003506D5" w:rsidRPr="003506D5">
        <w:rPr>
          <w:rFonts w:ascii="Verdana" w:hAnsi="Verdana"/>
        </w:rPr>
        <w:t>(Bhattacharyya 2022)</w:t>
      </w:r>
      <w:r w:rsidR="003506D5">
        <w:rPr>
          <w:rFonts w:ascii="Verdana" w:hAnsi="Verdana"/>
          <w:lang w:val="en-GB"/>
        </w:rPr>
        <w:fldChar w:fldCharType="end"/>
      </w:r>
      <w:r w:rsidR="00571E1D">
        <w:rPr>
          <w:rFonts w:ascii="Verdana" w:hAnsi="Verdana"/>
          <w:lang w:val="en-GB"/>
        </w:rPr>
        <w:t xml:space="preserve">. Once the medication loses its efficacy, </w:t>
      </w:r>
      <w:r w:rsidR="00186850">
        <w:rPr>
          <w:rFonts w:ascii="Verdana" w:hAnsi="Verdana"/>
          <w:lang w:val="en-GB"/>
        </w:rPr>
        <w:t xml:space="preserve">the most common therapeutic approach </w:t>
      </w:r>
      <w:r w:rsidR="001E4C06">
        <w:rPr>
          <w:rFonts w:ascii="Verdana" w:hAnsi="Verdana"/>
          <w:lang w:val="en-GB"/>
        </w:rPr>
        <w:t>becomes</w:t>
      </w:r>
      <w:r w:rsidR="00186850">
        <w:rPr>
          <w:rFonts w:ascii="Verdana" w:hAnsi="Verdana"/>
          <w:lang w:val="en-GB"/>
        </w:rPr>
        <w:t xml:space="preserve"> deep brain stimulation (DBS)</w:t>
      </w:r>
      <w:r w:rsidR="000B4700">
        <w:rPr>
          <w:rFonts w:ascii="Verdana" w:hAnsi="Verdana"/>
          <w:lang w:val="en-GB"/>
        </w:rPr>
        <w:t xml:space="preserve"> of the subthalamic nucleus</w:t>
      </w:r>
      <w:r w:rsidR="001E4C06">
        <w:rPr>
          <w:rFonts w:ascii="Verdana" w:hAnsi="Verdana"/>
          <w:lang w:val="en-GB"/>
        </w:rPr>
        <w:t xml:space="preserve">, which </w:t>
      </w:r>
      <w:r w:rsidR="00313E11">
        <w:rPr>
          <w:rFonts w:ascii="Verdana" w:hAnsi="Verdana"/>
          <w:lang w:val="en-GB"/>
        </w:rPr>
        <w:t xml:space="preserve">is achieved by the implantation of an electrode directly in the brain tissue. </w:t>
      </w:r>
      <w:r w:rsidR="005E5B4C">
        <w:rPr>
          <w:rFonts w:ascii="Verdana" w:hAnsi="Verdana"/>
          <w:lang w:val="en-GB"/>
        </w:rPr>
        <w:t>DBS has been proven to work best on</w:t>
      </w:r>
      <w:r w:rsidR="00F10FB1">
        <w:rPr>
          <w:rFonts w:ascii="Verdana" w:hAnsi="Verdana"/>
          <w:lang w:val="en-GB"/>
        </w:rPr>
        <w:t xml:space="preserve"> patients with</w:t>
      </w:r>
      <w:r w:rsidR="008111BF">
        <w:rPr>
          <w:rFonts w:ascii="Verdana" w:hAnsi="Verdana"/>
          <w:lang w:val="en-GB"/>
        </w:rPr>
        <w:t xml:space="preserve"> </w:t>
      </w:r>
      <w:r w:rsidR="00F10FB1">
        <w:rPr>
          <w:rFonts w:ascii="Verdana" w:hAnsi="Verdana"/>
          <w:lang w:val="en-GB"/>
        </w:rPr>
        <w:t>early-onset PD</w:t>
      </w:r>
      <w:r w:rsidR="001D3F48">
        <w:rPr>
          <w:rFonts w:ascii="Verdana" w:hAnsi="Verdana"/>
          <w:lang w:val="en-GB"/>
        </w:rPr>
        <w:t xml:space="preserve"> and high response to L-DOPA therapy</w:t>
      </w:r>
      <w:r w:rsidR="00F10FB1">
        <w:rPr>
          <w:rFonts w:ascii="Verdana" w:hAnsi="Verdana"/>
          <w:lang w:val="en-GB"/>
        </w:rPr>
        <w:t>, while it is not</w:t>
      </w:r>
      <w:r w:rsidR="008111BF">
        <w:rPr>
          <w:rFonts w:ascii="Verdana" w:hAnsi="Verdana"/>
          <w:lang w:val="en-GB"/>
        </w:rPr>
        <w:t xml:space="preserve"> </w:t>
      </w:r>
      <w:r w:rsidR="00F10FB1">
        <w:rPr>
          <w:rFonts w:ascii="Verdana" w:hAnsi="Verdana"/>
          <w:lang w:val="en-GB"/>
        </w:rPr>
        <w:t>recommended in patients showing dementia, psychosis, or major depression</w:t>
      </w:r>
      <w:r w:rsidR="003506D5">
        <w:rPr>
          <w:rFonts w:ascii="Verdana" w:hAnsi="Verdana"/>
          <w:lang w:val="en-GB"/>
        </w:rPr>
        <w:t xml:space="preserve"> </w:t>
      </w:r>
      <w:r w:rsidR="003506D5">
        <w:rPr>
          <w:rFonts w:ascii="Verdana" w:hAnsi="Verdana"/>
          <w:lang w:val="en-GB"/>
        </w:rPr>
        <w:fldChar w:fldCharType="begin"/>
      </w:r>
      <w:r w:rsidR="003506D5">
        <w:rPr>
          <w:rFonts w:ascii="Verdana" w:hAnsi="Verdana"/>
          <w:lang w:val="en-GB"/>
        </w:rPr>
        <w:instrText xml:space="preserve"> ADDIN ZOTERO_ITEM CSL_CITATION {"citationID":"p9Rwry8h","properties":{"formattedCitation":"(Bronstein et al. 2011)","plainCitation":"(Bronstein et al. 2011)","noteIndex":0},"citationItems":[{"id":733,"uris":["http://zotero.org/users/9330673/items/5HW47J2V"],"itemData":{"id":733,"type":"article-journal","abstract":"Objective—To provide recommendations to patients, physicians, and other health care providers on several issues involving deep brain stimulation (DBS) for Parkinson disease (PD).","container-title":"Archives of Neurology","DOI":"10.1001/archneurol.2010.260","ISSN":"0003-9942","issue":"2","journalAbbreviation":"Arch Neurol","language":"en","source":"DOI.org (Crossref)","title":"Deep Brain Stimulation for Parkinson Disease: An Expert Consensus and Review of Key Issues","title-short":"Deep Brain Stimulation for Parkinson Disease","URL":"http://archneur.jamanetwork.com/article.aspx?doi=10.1001/archneurol.2010.260","volume":"68","author":[{"family":"Bronstein","given":"Jeff M."},{"family":"Tagliati","given":"Michele"},{"family":"Alterman","given":"Ron L."},{"family":"Lozano","given":"Andres M."},{"family":"Volkmann","given":"Jens"},{"family":"Stefani","given":"Alessandro"},{"family":"Horak","given":"Fay B."},{"family":"Okun","given":"Michael S."},{"family":"Foote","given":"Kelly D."},{"family":"Krack","given":"Paul"},{"family":"Pahwa","given":"Rajesh"},{"family":"Henderson","given":"Jaimie M."},{"family":"Hariz","given":"Marwan I."},{"family":"Bakay","given":"Roy A."},{"family":"Rezai","given":"Ali"},{"family":"Marks","given":"William J."},{"family":"Moro","given":"Elena"},{"family":"Vitek","given":"Jerrold L."},{"family":"Weaver","given":"Frances M."},{"family":"Gross","given":"Robert E."},{"family":"DeLong","given":"Mahlon R."}],"accessed":{"date-parts":[["2022",11,22]]},"issued":{"date-parts":[["2011",2,1]]}}}],"schema":"https://github.com/citation-style-language/schema/raw/master/csl-citation.json"} </w:instrText>
      </w:r>
      <w:r w:rsidR="003506D5">
        <w:rPr>
          <w:rFonts w:ascii="Verdana" w:hAnsi="Verdana"/>
          <w:lang w:val="en-GB"/>
        </w:rPr>
        <w:fldChar w:fldCharType="separate"/>
      </w:r>
      <w:r w:rsidR="003506D5" w:rsidRPr="003506D5">
        <w:rPr>
          <w:rFonts w:ascii="Verdana" w:hAnsi="Verdana"/>
        </w:rPr>
        <w:t>(Bronstein et al. 2011)</w:t>
      </w:r>
      <w:r w:rsidR="003506D5">
        <w:rPr>
          <w:rFonts w:ascii="Verdana" w:hAnsi="Verdana"/>
          <w:lang w:val="en-GB"/>
        </w:rPr>
        <w:fldChar w:fldCharType="end"/>
      </w:r>
      <w:r w:rsidR="009B4DA1">
        <w:rPr>
          <w:rFonts w:ascii="Verdana" w:hAnsi="Verdana"/>
          <w:lang w:val="en-GB"/>
        </w:rPr>
        <w:t>.</w:t>
      </w:r>
    </w:p>
    <w:p w14:paraId="469D867C" w14:textId="77777777" w:rsidR="008B2596" w:rsidRDefault="008B2596" w:rsidP="00291DAF">
      <w:pPr>
        <w:spacing w:line="360" w:lineRule="auto"/>
        <w:jc w:val="both"/>
        <w:rPr>
          <w:rFonts w:ascii="Verdana" w:hAnsi="Verdana"/>
          <w:lang w:val="en-GB"/>
        </w:rPr>
      </w:pPr>
    </w:p>
    <w:p w14:paraId="5A41A2D7" w14:textId="77777777" w:rsidR="008B2596" w:rsidRDefault="008B2596" w:rsidP="00291DAF">
      <w:pPr>
        <w:spacing w:line="360" w:lineRule="auto"/>
        <w:jc w:val="both"/>
        <w:rPr>
          <w:rFonts w:ascii="Verdana" w:hAnsi="Verdana"/>
          <w:lang w:val="en-GB"/>
        </w:rPr>
      </w:pPr>
    </w:p>
    <w:p w14:paraId="5B2CF51A" w14:textId="196FAD70" w:rsidR="008B2596" w:rsidRDefault="00CE5923" w:rsidP="00291DAF">
      <w:pPr>
        <w:spacing w:line="360" w:lineRule="auto"/>
        <w:jc w:val="both"/>
        <w:rPr>
          <w:rFonts w:ascii="Verdana" w:hAnsi="Verdana"/>
          <w:lang w:val="en-GB"/>
        </w:rPr>
      </w:pPr>
      <w:r>
        <w:rPr>
          <w:noProof/>
        </w:rPr>
        <mc:AlternateContent>
          <mc:Choice Requires="wps">
            <w:drawing>
              <wp:anchor distT="0" distB="0" distL="114300" distR="114300" simplePos="0" relativeHeight="251665408" behindDoc="0" locked="0" layoutInCell="1" allowOverlap="1" wp14:anchorId="168535CF" wp14:editId="0928FC35">
                <wp:simplePos x="0" y="0"/>
                <wp:positionH relativeFrom="margin">
                  <wp:align>right</wp:align>
                </wp:positionH>
                <wp:positionV relativeFrom="paragraph">
                  <wp:posOffset>3063547</wp:posOffset>
                </wp:positionV>
                <wp:extent cx="5573395" cy="635"/>
                <wp:effectExtent l="0" t="0" r="8255" b="7620"/>
                <wp:wrapTopAndBottom/>
                <wp:docPr id="4" name="Text Box 4"/>
                <wp:cNvGraphicFramePr/>
                <a:graphic xmlns:a="http://schemas.openxmlformats.org/drawingml/2006/main">
                  <a:graphicData uri="http://schemas.microsoft.com/office/word/2010/wordprocessingShape">
                    <wps:wsp>
                      <wps:cNvSpPr txBox="1"/>
                      <wps:spPr>
                        <a:xfrm>
                          <a:off x="0" y="0"/>
                          <a:ext cx="5573395" cy="635"/>
                        </a:xfrm>
                        <a:prstGeom prst="rect">
                          <a:avLst/>
                        </a:prstGeom>
                        <a:solidFill>
                          <a:prstClr val="white"/>
                        </a:solidFill>
                        <a:ln>
                          <a:noFill/>
                        </a:ln>
                      </wps:spPr>
                      <wps:txbx>
                        <w:txbxContent>
                          <w:p w14:paraId="459F8F04" w14:textId="6BC4E75F" w:rsidR="00F74A79" w:rsidRPr="00176469" w:rsidRDefault="00F74A79" w:rsidP="00F74A79">
                            <w:pPr>
                              <w:pStyle w:val="Caption"/>
                              <w:spacing w:after="120"/>
                              <w:ind w:firstLine="0"/>
                              <w:rPr>
                                <w:rFonts w:ascii="Verdana" w:hAnsi="Verdana"/>
                                <w:i w:val="0"/>
                                <w:iCs w:val="0"/>
                                <w:color w:val="auto"/>
                              </w:rPr>
                            </w:pPr>
                            <w:bookmarkStart w:id="5" w:name="_Toc131412743"/>
                            <w:r w:rsidRPr="00176469">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1</w:t>
                            </w:r>
                            <w:r w:rsidR="00FC184D">
                              <w:rPr>
                                <w:rFonts w:ascii="Verdana" w:hAnsi="Verdana"/>
                                <w:b/>
                                <w:bCs/>
                                <w:i w:val="0"/>
                                <w:iCs w:val="0"/>
                                <w:color w:val="auto"/>
                              </w:rPr>
                              <w:fldChar w:fldCharType="end"/>
                            </w:r>
                            <w:r w:rsidRPr="00176469">
                              <w:rPr>
                                <w:rFonts w:ascii="Verdana" w:hAnsi="Verdana"/>
                                <w:i w:val="0"/>
                                <w:iCs w:val="0"/>
                                <w:color w:val="auto"/>
                              </w:rPr>
                              <w:t xml:space="preserve"> Motor and non-motor symptoms associated with Parkinson's disease progression (</w:t>
                            </w:r>
                            <w:proofErr w:type="spellStart"/>
                            <w:r w:rsidRPr="00176469">
                              <w:rPr>
                                <w:rFonts w:ascii="Verdana" w:hAnsi="Verdana"/>
                                <w:i w:val="0"/>
                                <w:iCs w:val="0"/>
                                <w:color w:val="auto"/>
                              </w:rPr>
                              <w:t>Poewe</w:t>
                            </w:r>
                            <w:proofErr w:type="spellEnd"/>
                            <w:r w:rsidRPr="00176469">
                              <w:rPr>
                                <w:rFonts w:ascii="Verdana" w:hAnsi="Verdana"/>
                                <w:i w:val="0"/>
                                <w:iCs w:val="0"/>
                                <w:color w:val="auto"/>
                              </w:rPr>
                              <w:t xml:space="preserve"> et al., 2017)</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68535CF" id="_x0000_t202" coordsize="21600,21600" o:spt="202" path="m,l,21600r21600,l21600,xe">
                <v:stroke joinstyle="miter"/>
                <v:path gradientshapeok="t" o:connecttype="rect"/>
              </v:shapetype>
              <v:shape id="Text Box 4" o:spid="_x0000_s1026" type="#_x0000_t202" style="position:absolute;left:0;text-align:left;margin-left:387.65pt;margin-top:241.2pt;width:438.85pt;height:.05pt;z-index:2516654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" stroked="f">
                <v:textbox style="mso-fit-shape-to-text:t" inset="0,0,0,0">
                  <w:txbxContent>
                    <w:p w14:paraId="459F8F04" w14:textId="6BC4E75F" w:rsidR="00F74A79" w:rsidRPr="00176469" w:rsidRDefault="00F74A79" w:rsidP="00F74A79">
                      <w:pPr>
                        <w:pStyle w:val="Caption"/>
                        <w:spacing w:after="120"/>
                        <w:ind w:firstLine="0"/>
                        <w:rPr>
                          <w:rFonts w:ascii="Verdana" w:hAnsi="Verdana"/>
                          <w:i w:val="0"/>
                          <w:iCs w:val="0"/>
                          <w:color w:val="auto"/>
                        </w:rPr>
                      </w:pPr>
                      <w:bookmarkStart w:id="6" w:name="_Toc131412743"/>
                      <w:r w:rsidRPr="00176469">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1</w:t>
                      </w:r>
                      <w:r w:rsidR="00FC184D">
                        <w:rPr>
                          <w:rFonts w:ascii="Verdana" w:hAnsi="Verdana"/>
                          <w:b/>
                          <w:bCs/>
                          <w:i w:val="0"/>
                          <w:iCs w:val="0"/>
                          <w:color w:val="auto"/>
                        </w:rPr>
                        <w:fldChar w:fldCharType="end"/>
                      </w:r>
                      <w:r w:rsidRPr="00176469">
                        <w:rPr>
                          <w:rFonts w:ascii="Verdana" w:hAnsi="Verdana"/>
                          <w:i w:val="0"/>
                          <w:iCs w:val="0"/>
                          <w:color w:val="auto"/>
                        </w:rPr>
                        <w:t xml:space="preserve"> Motor and non-motor symptoms associated with Parkinson's disease progression (</w:t>
                      </w:r>
                      <w:proofErr w:type="spellStart"/>
                      <w:r w:rsidRPr="00176469">
                        <w:rPr>
                          <w:rFonts w:ascii="Verdana" w:hAnsi="Verdana"/>
                          <w:i w:val="0"/>
                          <w:iCs w:val="0"/>
                          <w:color w:val="auto"/>
                        </w:rPr>
                        <w:t>Poewe</w:t>
                      </w:r>
                      <w:proofErr w:type="spellEnd"/>
                      <w:r w:rsidRPr="00176469">
                        <w:rPr>
                          <w:rFonts w:ascii="Verdana" w:hAnsi="Verdana"/>
                          <w:i w:val="0"/>
                          <w:iCs w:val="0"/>
                          <w:color w:val="auto"/>
                        </w:rPr>
                        <w:t xml:space="preserve"> et al., 2017)</w:t>
                      </w:r>
                      <w:bookmarkEnd w:id="6"/>
                    </w:p>
                  </w:txbxContent>
                </v:textbox>
                <w10:wrap type="topAndBottom" anchorx="margin"/>
              </v:shape>
            </w:pict>
          </mc:Fallback>
        </mc:AlternateContent>
      </w:r>
      <w:r>
        <w:rPr>
          <w:rFonts w:ascii="Verdana" w:hAnsi="Verdana"/>
          <w:noProof/>
          <w:lang w:val="en-GB"/>
        </w:rPr>
        <w:drawing>
          <wp:anchor distT="0" distB="0" distL="114300" distR="114300" simplePos="0" relativeHeight="251663360" behindDoc="1" locked="0" layoutInCell="1" allowOverlap="1" wp14:anchorId="729906A4" wp14:editId="04603CA6">
            <wp:simplePos x="0" y="0"/>
            <wp:positionH relativeFrom="margin">
              <wp:align>right</wp:align>
            </wp:positionH>
            <wp:positionV relativeFrom="paragraph">
              <wp:posOffset>110</wp:posOffset>
            </wp:positionV>
            <wp:extent cx="5581650" cy="2936240"/>
            <wp:effectExtent l="0" t="0" r="0" b="0"/>
            <wp:wrapTopAndBottom/>
            <wp:docPr id="3" name="Picture 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581650" cy="2936240"/>
                    </a:xfrm>
                    <a:prstGeom prst="rect">
                      <a:avLst/>
                    </a:prstGeom>
                  </pic:spPr>
                </pic:pic>
              </a:graphicData>
            </a:graphic>
            <wp14:sizeRelH relativeFrom="margin">
              <wp14:pctWidth>0</wp14:pctWidth>
            </wp14:sizeRelH>
            <wp14:sizeRelV relativeFrom="margin">
              <wp14:pctHeight>0</wp14:pctHeight>
            </wp14:sizeRelV>
          </wp:anchor>
        </w:drawing>
      </w:r>
    </w:p>
    <w:p w14:paraId="15754B46" w14:textId="0504B948" w:rsidR="00CE5923" w:rsidRDefault="00CE5923" w:rsidP="00291DAF">
      <w:pPr>
        <w:spacing w:line="360" w:lineRule="auto"/>
        <w:jc w:val="both"/>
        <w:rPr>
          <w:rFonts w:ascii="Verdana" w:hAnsi="Verdana"/>
          <w:lang w:val="en-GB"/>
        </w:rPr>
      </w:pPr>
    </w:p>
    <w:p w14:paraId="1B402CB0" w14:textId="77777777" w:rsidR="003A2D5C" w:rsidRDefault="003A2D5C" w:rsidP="00291DAF">
      <w:pPr>
        <w:spacing w:line="360" w:lineRule="auto"/>
        <w:jc w:val="both"/>
        <w:rPr>
          <w:rFonts w:ascii="Verdana" w:hAnsi="Verdana"/>
          <w:lang w:val="en-GB"/>
        </w:rPr>
      </w:pPr>
    </w:p>
    <w:p w14:paraId="4E823EFD" w14:textId="77777777" w:rsidR="003A2D5C" w:rsidRDefault="003A2D5C" w:rsidP="00291DAF">
      <w:pPr>
        <w:spacing w:line="360" w:lineRule="auto"/>
        <w:jc w:val="both"/>
        <w:rPr>
          <w:rFonts w:ascii="Verdana" w:hAnsi="Verdana"/>
          <w:lang w:val="en-GB"/>
        </w:rPr>
      </w:pPr>
    </w:p>
    <w:p w14:paraId="4FD56869" w14:textId="6A06A7BB" w:rsidR="00CE5923" w:rsidRPr="007A09C9" w:rsidRDefault="00CE5923" w:rsidP="004F0024">
      <w:pPr>
        <w:pStyle w:val="Heading2"/>
        <w:numPr>
          <w:ilvl w:val="3"/>
          <w:numId w:val="9"/>
        </w:numPr>
        <w:spacing w:line="360" w:lineRule="auto"/>
        <w:ind w:left="0" w:firstLine="720"/>
        <w:rPr>
          <w:lang w:val="en-GB"/>
        </w:rPr>
      </w:pPr>
      <w:bookmarkStart w:id="7" w:name="_Toc130223383"/>
      <w:r w:rsidRPr="007A09C9">
        <w:rPr>
          <w:szCs w:val="24"/>
          <w:lang w:val="en-GB"/>
        </w:rPr>
        <w:t>Neurodegeneration and neuropathology</w:t>
      </w:r>
      <w:bookmarkEnd w:id="7"/>
    </w:p>
    <w:p w14:paraId="035ADD70" w14:textId="24DE872B" w:rsidR="000471A8" w:rsidRDefault="00FB500B" w:rsidP="00291DAF">
      <w:pPr>
        <w:spacing w:line="360" w:lineRule="auto"/>
        <w:jc w:val="both"/>
        <w:rPr>
          <w:rFonts w:ascii="Verdana" w:hAnsi="Verdana"/>
          <w:lang w:val="en-GB"/>
        </w:rPr>
      </w:pPr>
      <w:r>
        <w:rPr>
          <w:rFonts w:ascii="Verdana" w:hAnsi="Verdana"/>
          <w:lang w:val="en-GB"/>
        </w:rPr>
        <w:t>Macroscopi</w:t>
      </w:r>
      <w:r w:rsidR="007825BB">
        <w:rPr>
          <w:rFonts w:ascii="Verdana" w:hAnsi="Verdana"/>
          <w:lang w:val="en-GB"/>
        </w:rPr>
        <w:t>cally, t</w:t>
      </w:r>
      <w:r w:rsidR="00234627">
        <w:rPr>
          <w:rFonts w:ascii="Verdana" w:hAnsi="Verdana"/>
          <w:lang w:val="en-GB"/>
        </w:rPr>
        <w:t xml:space="preserve">he main pathological hallmark of </w:t>
      </w:r>
      <w:r w:rsidR="005D3E06">
        <w:rPr>
          <w:rFonts w:ascii="Verdana" w:hAnsi="Verdana"/>
          <w:lang w:val="en-GB"/>
        </w:rPr>
        <w:t>PD</w:t>
      </w:r>
      <w:r w:rsidR="00234627">
        <w:rPr>
          <w:rFonts w:ascii="Verdana" w:hAnsi="Verdana"/>
          <w:lang w:val="en-GB"/>
        </w:rPr>
        <w:t xml:space="preserve"> is the loss of dopaminergic neurons in the substantia nigra pars compacta</w:t>
      </w:r>
      <w:r w:rsidR="00CB7029">
        <w:rPr>
          <w:rFonts w:ascii="Verdana" w:hAnsi="Verdana"/>
          <w:lang w:val="en-GB"/>
        </w:rPr>
        <w:t>.</w:t>
      </w:r>
      <w:r w:rsidR="000A2548">
        <w:rPr>
          <w:rFonts w:ascii="Verdana" w:hAnsi="Verdana"/>
          <w:lang w:val="en-GB"/>
        </w:rPr>
        <w:t xml:space="preserve"> Neurodegeneration in PD also extends to other structures, such as the </w:t>
      </w:r>
      <w:r w:rsidR="00A17C75">
        <w:rPr>
          <w:rFonts w:ascii="Verdana" w:hAnsi="Verdana"/>
          <w:lang w:val="en-GB"/>
        </w:rPr>
        <w:t>locus coeruleus</w:t>
      </w:r>
      <w:r w:rsidR="00C24BDA">
        <w:rPr>
          <w:rFonts w:ascii="Verdana" w:hAnsi="Verdana"/>
          <w:lang w:val="en-GB"/>
        </w:rPr>
        <w:t>, the amygdala and the hypothalamus</w:t>
      </w:r>
      <w:r w:rsidR="009B4DA1">
        <w:rPr>
          <w:rFonts w:ascii="Verdana" w:hAnsi="Verdana"/>
          <w:lang w:val="en-GB"/>
        </w:rPr>
        <w:t xml:space="preserve"> </w:t>
      </w:r>
      <w:r w:rsidR="009B4DA1">
        <w:rPr>
          <w:rFonts w:ascii="Verdana" w:hAnsi="Verdana"/>
          <w:lang w:val="en-GB"/>
        </w:rPr>
        <w:fldChar w:fldCharType="begin"/>
      </w:r>
      <w:r w:rsidR="009B4DA1">
        <w:rPr>
          <w:rFonts w:ascii="Verdana" w:hAnsi="Verdana"/>
          <w:lang w:val="en-GB"/>
        </w:rPr>
        <w:instrText xml:space="preserve"> ADDIN ZOTERO_ITEM CSL_CITATION {"citationID":"tJuR1JGM","properties":{"formattedCitation":"(Kalia and Lang 2015)","plainCitation":"(Kalia and Lang 2015)","noteIndex":0},"citationItems":[{"id":778,"uris":["http://zotero.org/users/9330673/items/CSGTNB92"],"itemData":{"id":778,"type":"article-journal","container-title":"The Lancet","DOI":"10.1016/S0140-6736(14)61393-3","ISSN":"01406736","issue":"9996","journalAbbreviation":"The Lancet","language":"en","page":"896-912","source":"DOI.org (Crossref)","title":"Parkinson's disease","volume":"386","author":[{"family":"Kalia","given":"Lorraine V"},{"family":"Lang","given":"Anthony E"}],"issued":{"date-parts":[["2015",8]]}}}],"schema":"https://github.com/citation-style-language/schema/raw/master/csl-citation.json"} </w:instrText>
      </w:r>
      <w:r w:rsidR="009B4DA1">
        <w:rPr>
          <w:rFonts w:ascii="Verdana" w:hAnsi="Verdana"/>
          <w:lang w:val="en-GB"/>
        </w:rPr>
        <w:fldChar w:fldCharType="separate"/>
      </w:r>
      <w:r w:rsidR="009B4DA1" w:rsidRPr="009B4DA1">
        <w:rPr>
          <w:rFonts w:ascii="Verdana" w:hAnsi="Verdana"/>
        </w:rPr>
        <w:t>(Kalia and Lang 2015)</w:t>
      </w:r>
      <w:r w:rsidR="009B4DA1">
        <w:rPr>
          <w:rFonts w:ascii="Verdana" w:hAnsi="Verdana"/>
          <w:lang w:val="en-GB"/>
        </w:rPr>
        <w:fldChar w:fldCharType="end"/>
      </w:r>
      <w:r w:rsidR="008D2479">
        <w:rPr>
          <w:rFonts w:ascii="Verdana" w:hAnsi="Verdana"/>
          <w:lang w:val="en-GB"/>
        </w:rPr>
        <w:t xml:space="preserve">. </w:t>
      </w:r>
      <w:r w:rsidR="00CB7029">
        <w:rPr>
          <w:rFonts w:ascii="Verdana" w:hAnsi="Verdana"/>
          <w:lang w:val="en-GB"/>
        </w:rPr>
        <w:t xml:space="preserve">Intracellularly, </w:t>
      </w:r>
      <w:r w:rsidR="008C1448">
        <w:rPr>
          <w:rFonts w:ascii="Verdana" w:hAnsi="Verdana"/>
          <w:lang w:val="en-GB"/>
        </w:rPr>
        <w:t xml:space="preserve">the </w:t>
      </w:r>
      <w:r w:rsidR="000A2548">
        <w:rPr>
          <w:rFonts w:ascii="Verdana" w:hAnsi="Verdana"/>
          <w:lang w:val="en-GB"/>
        </w:rPr>
        <w:t>principal hallmark of the disease</w:t>
      </w:r>
      <w:r w:rsidR="00E615AE">
        <w:rPr>
          <w:rFonts w:ascii="Verdana" w:hAnsi="Verdana"/>
          <w:lang w:val="en-GB"/>
        </w:rPr>
        <w:t xml:space="preserve"> is the</w:t>
      </w:r>
      <w:r w:rsidR="00CB7029">
        <w:rPr>
          <w:rFonts w:ascii="Verdana" w:hAnsi="Verdana"/>
          <w:lang w:val="en-GB"/>
        </w:rPr>
        <w:t xml:space="preserve"> </w:t>
      </w:r>
      <w:r w:rsidR="00763C87">
        <w:rPr>
          <w:rFonts w:ascii="Verdana" w:hAnsi="Verdana"/>
          <w:lang w:val="en-GB"/>
        </w:rPr>
        <w:t>aggregation</w:t>
      </w:r>
      <w:r w:rsidR="00CB7029">
        <w:rPr>
          <w:rFonts w:ascii="Verdana" w:hAnsi="Verdana"/>
          <w:lang w:val="en-GB"/>
        </w:rPr>
        <w:t xml:space="preserve"> of alpha-synuclein</w:t>
      </w:r>
      <w:r w:rsidR="00763C87">
        <w:rPr>
          <w:rFonts w:ascii="Verdana" w:hAnsi="Verdana"/>
          <w:lang w:val="en-GB"/>
        </w:rPr>
        <w:t xml:space="preserve"> into cytoplasmic</w:t>
      </w:r>
      <w:r w:rsidR="00CB7029">
        <w:rPr>
          <w:rFonts w:ascii="Verdana" w:hAnsi="Verdana"/>
          <w:lang w:val="en-GB"/>
        </w:rPr>
        <w:t xml:space="preserve"> </w:t>
      </w:r>
      <w:r w:rsidR="006E7FB2">
        <w:rPr>
          <w:rFonts w:ascii="Verdana" w:hAnsi="Verdana"/>
          <w:lang w:val="en-GB"/>
        </w:rPr>
        <w:t>inclusions named Lewy Bodies</w:t>
      </w:r>
      <w:r w:rsidR="00047EDD">
        <w:rPr>
          <w:rFonts w:ascii="Verdana" w:hAnsi="Verdana"/>
          <w:lang w:val="en-GB"/>
        </w:rPr>
        <w:t xml:space="preserve">. </w:t>
      </w:r>
      <w:r w:rsidR="00504C26">
        <w:rPr>
          <w:rFonts w:ascii="Verdana" w:hAnsi="Verdana"/>
          <w:lang w:val="en-GB"/>
        </w:rPr>
        <w:t>M</w:t>
      </w:r>
      <w:r w:rsidR="00490CC5">
        <w:rPr>
          <w:rFonts w:ascii="Verdana" w:hAnsi="Verdana"/>
          <w:lang w:val="en-GB"/>
        </w:rPr>
        <w:t>itochondrial, lysosomal and proteasomal dysfunction</w:t>
      </w:r>
      <w:r w:rsidR="00EC6DA0">
        <w:rPr>
          <w:rFonts w:ascii="Verdana" w:hAnsi="Verdana"/>
          <w:lang w:val="en-GB"/>
        </w:rPr>
        <w:t>, impaired calcium homeostasis and neuroinflammation</w:t>
      </w:r>
      <w:r w:rsidR="002F3E6A">
        <w:rPr>
          <w:rFonts w:ascii="Verdana" w:hAnsi="Verdana"/>
          <w:lang w:val="en-GB"/>
        </w:rPr>
        <w:t xml:space="preserve"> are widely recognised as </w:t>
      </w:r>
      <w:r w:rsidR="00C13A7B">
        <w:rPr>
          <w:rFonts w:ascii="Verdana" w:hAnsi="Verdana"/>
          <w:lang w:val="en-GB"/>
        </w:rPr>
        <w:t>additional</w:t>
      </w:r>
      <w:r w:rsidR="00D22B5A">
        <w:rPr>
          <w:rFonts w:ascii="Verdana" w:hAnsi="Verdana"/>
          <w:lang w:val="en-GB"/>
        </w:rPr>
        <w:t xml:space="preserve"> hallmarks of PD pathology</w:t>
      </w:r>
      <w:r w:rsidR="008D2479">
        <w:rPr>
          <w:rFonts w:ascii="Verdana" w:hAnsi="Verdana"/>
          <w:lang w:val="en-GB"/>
        </w:rPr>
        <w:t xml:space="preserve"> </w:t>
      </w:r>
      <w:r w:rsidR="008D2479">
        <w:rPr>
          <w:rFonts w:ascii="Verdana" w:hAnsi="Verdana"/>
          <w:lang w:val="en-GB"/>
        </w:rPr>
        <w:fldChar w:fldCharType="begin"/>
      </w:r>
      <w:r w:rsidR="008D2479">
        <w:rPr>
          <w:rFonts w:ascii="Verdana" w:hAnsi="Verdana"/>
          <w:lang w:val="en-GB"/>
        </w:rPr>
        <w:instrText xml:space="preserve"> ADDIN ZOTERO_ITEM CSL_CITATION {"citationID":"iXVRIKKI","properties":{"formattedCitation":"(Antony et al. 2013)","plainCitation":"(Antony et al. 2013)","noteIndex":0},"citationItems":[{"id":553,"uris":["http://zotero.org/users/9330673/items/6FK3EA82"],"itemData":{"id":553,"type":"article-journal","container-title":"FEBS Journal","DOI":"10.1111/febs.12335","ISSN":"1742464X","issue":"23","journalAbbreviation":"FEBS J","language":"en","page":"5981-5993","source":"DOI.org (Crossref)","title":"The hallmarks of Parkinson's disease","volume":"280","author":[{"family":"Antony","given":"Paul M. A."},{"family":"Diederich","given":"Nico J."},{"family":"Krüger","given":"Rejko"},{"family":"Balling","given":"Rudi"}],"issued":{"date-parts":[["2013",12]]}}}],"schema":"https://github.com/citation-style-language/schema/raw/master/csl-citation.json"} </w:instrText>
      </w:r>
      <w:r w:rsidR="008D2479">
        <w:rPr>
          <w:rFonts w:ascii="Verdana" w:hAnsi="Verdana"/>
          <w:lang w:val="en-GB"/>
        </w:rPr>
        <w:fldChar w:fldCharType="separate"/>
      </w:r>
      <w:r w:rsidR="008D2479" w:rsidRPr="008D2479">
        <w:rPr>
          <w:rFonts w:ascii="Verdana" w:hAnsi="Verdana"/>
        </w:rPr>
        <w:t>(Antony et al. 2013)</w:t>
      </w:r>
      <w:r w:rsidR="008D2479">
        <w:rPr>
          <w:rFonts w:ascii="Verdana" w:hAnsi="Verdana"/>
          <w:lang w:val="en-GB"/>
        </w:rPr>
        <w:fldChar w:fldCharType="end"/>
      </w:r>
      <w:r w:rsidR="00D22B5A">
        <w:rPr>
          <w:rFonts w:ascii="Verdana" w:hAnsi="Verdana"/>
          <w:lang w:val="en-GB"/>
        </w:rPr>
        <w:t>.</w:t>
      </w:r>
      <w:r w:rsidR="00E02DA3">
        <w:rPr>
          <w:rFonts w:ascii="Verdana" w:hAnsi="Verdana"/>
          <w:lang w:val="en-GB"/>
        </w:rPr>
        <w:t xml:space="preserve"> </w:t>
      </w:r>
      <w:r w:rsidR="00A42500">
        <w:rPr>
          <w:rFonts w:ascii="Verdana" w:hAnsi="Verdana"/>
          <w:lang w:val="en-GB"/>
        </w:rPr>
        <w:t xml:space="preserve">For the scope of this thesis, </w:t>
      </w:r>
      <w:r w:rsidR="00F201D0">
        <w:rPr>
          <w:rFonts w:ascii="Verdana" w:hAnsi="Verdana"/>
          <w:lang w:val="en-GB"/>
        </w:rPr>
        <w:t xml:space="preserve">only the </w:t>
      </w:r>
      <w:r w:rsidR="00977047">
        <w:rPr>
          <w:rFonts w:ascii="Verdana" w:hAnsi="Verdana"/>
          <w:lang w:val="en-GB"/>
        </w:rPr>
        <w:t>nigrostriatal</w:t>
      </w:r>
      <w:r w:rsidR="00F201D0">
        <w:rPr>
          <w:rFonts w:ascii="Verdana" w:hAnsi="Verdana"/>
          <w:lang w:val="en-GB"/>
        </w:rPr>
        <w:t xml:space="preserve"> degeneration and the alpha-synuclein aggregation will be discussed further.</w:t>
      </w:r>
    </w:p>
    <w:p w14:paraId="6774C05E" w14:textId="77777777" w:rsidR="003A2D5C" w:rsidRDefault="003A2D5C" w:rsidP="00291DAF">
      <w:pPr>
        <w:spacing w:line="360" w:lineRule="auto"/>
        <w:jc w:val="both"/>
        <w:rPr>
          <w:rFonts w:ascii="Verdana" w:hAnsi="Verdana"/>
          <w:lang w:val="en-GB"/>
        </w:rPr>
      </w:pPr>
    </w:p>
    <w:p w14:paraId="017B0360" w14:textId="77777777" w:rsidR="009C3C88" w:rsidRDefault="009C3C88" w:rsidP="00291DAF">
      <w:pPr>
        <w:spacing w:line="360" w:lineRule="auto"/>
        <w:jc w:val="both"/>
        <w:rPr>
          <w:rFonts w:ascii="Verdana" w:hAnsi="Verdana"/>
          <w:lang w:val="en-GB"/>
        </w:rPr>
      </w:pPr>
    </w:p>
    <w:p w14:paraId="618C7EA9" w14:textId="3FE5A9BC" w:rsidR="00AD15F8" w:rsidRPr="007A09C9" w:rsidRDefault="009C4CDA" w:rsidP="00767F9D">
      <w:pPr>
        <w:pStyle w:val="Heading3"/>
        <w:numPr>
          <w:ilvl w:val="2"/>
          <w:numId w:val="11"/>
        </w:numPr>
        <w:rPr>
          <w:lang w:val="en-GB"/>
        </w:rPr>
      </w:pPr>
      <w:r w:rsidRPr="007A09C9">
        <w:rPr>
          <w:lang w:val="en-GB"/>
        </w:rPr>
        <w:t xml:space="preserve">  </w:t>
      </w:r>
      <w:bookmarkStart w:id="8" w:name="_Toc130223384"/>
      <w:r w:rsidR="00977047">
        <w:rPr>
          <w:lang w:val="en-GB"/>
        </w:rPr>
        <w:t>Nigrostriatal</w:t>
      </w:r>
      <w:r w:rsidR="0020560C" w:rsidRPr="007A09C9">
        <w:rPr>
          <w:lang w:val="en-GB"/>
        </w:rPr>
        <w:t xml:space="preserve"> degeneration</w:t>
      </w:r>
      <w:bookmarkEnd w:id="8"/>
    </w:p>
    <w:p w14:paraId="574E87C0" w14:textId="26573BA7" w:rsidR="00EA6B66" w:rsidRDefault="0002637A" w:rsidP="00291DAF">
      <w:pPr>
        <w:spacing w:line="360" w:lineRule="auto"/>
        <w:jc w:val="both"/>
        <w:rPr>
          <w:rFonts w:ascii="Verdana" w:hAnsi="Verdana"/>
          <w:lang w:val="en-GB"/>
        </w:rPr>
      </w:pPr>
      <w:r>
        <w:rPr>
          <w:rFonts w:ascii="Verdana" w:hAnsi="Verdana"/>
          <w:lang w:val="en-GB"/>
        </w:rPr>
        <w:t>The substantia nigra</w:t>
      </w:r>
      <w:r w:rsidR="00B6660C">
        <w:rPr>
          <w:rFonts w:ascii="Verdana" w:hAnsi="Verdana"/>
          <w:lang w:val="en-GB"/>
        </w:rPr>
        <w:t xml:space="preserve"> (SN</w:t>
      </w:r>
      <w:r w:rsidR="00643302">
        <w:rPr>
          <w:rFonts w:ascii="Verdana" w:hAnsi="Verdana"/>
          <w:lang w:val="en-GB"/>
        </w:rPr>
        <w:t>)</w:t>
      </w:r>
      <w:r w:rsidR="00220A5F">
        <w:rPr>
          <w:rFonts w:ascii="Verdana" w:hAnsi="Verdana"/>
          <w:lang w:val="en-GB"/>
        </w:rPr>
        <w:t xml:space="preserve"> is</w:t>
      </w:r>
      <w:r>
        <w:rPr>
          <w:rFonts w:ascii="Verdana" w:hAnsi="Verdana"/>
          <w:lang w:val="en-GB"/>
        </w:rPr>
        <w:t xml:space="preserve"> one of the 4 nuclei that constitute the basal ganglia</w:t>
      </w:r>
      <w:r w:rsidR="00CF731B">
        <w:rPr>
          <w:rFonts w:ascii="Verdana" w:hAnsi="Verdana"/>
          <w:lang w:val="en-GB"/>
        </w:rPr>
        <w:t>. I</w:t>
      </w:r>
      <w:r w:rsidR="00220A5F">
        <w:rPr>
          <w:rFonts w:ascii="Verdana" w:hAnsi="Verdana"/>
          <w:lang w:val="en-GB"/>
        </w:rPr>
        <w:t>t is</w:t>
      </w:r>
      <w:r w:rsidR="008E35B8">
        <w:rPr>
          <w:rFonts w:ascii="Verdana" w:hAnsi="Verdana"/>
          <w:lang w:val="en-GB"/>
        </w:rPr>
        <w:t xml:space="preserve"> located between the subthalamic region and the mesencephalon</w:t>
      </w:r>
      <w:r w:rsidR="00CF731B">
        <w:rPr>
          <w:rFonts w:ascii="Verdana" w:hAnsi="Verdana"/>
          <w:lang w:val="en-GB"/>
        </w:rPr>
        <w:t>, and</w:t>
      </w:r>
      <w:r w:rsidR="00955258">
        <w:rPr>
          <w:rFonts w:ascii="Verdana" w:hAnsi="Verdana"/>
          <w:lang w:val="en-GB"/>
        </w:rPr>
        <w:t xml:space="preserve"> it</w:t>
      </w:r>
      <w:r w:rsidR="00CF731B">
        <w:rPr>
          <w:rFonts w:ascii="Verdana" w:hAnsi="Verdana"/>
          <w:lang w:val="en-GB"/>
        </w:rPr>
        <w:t xml:space="preserve"> </w:t>
      </w:r>
      <w:r w:rsidR="00B6660C">
        <w:rPr>
          <w:rFonts w:ascii="Verdana" w:hAnsi="Verdana"/>
          <w:lang w:val="en-GB"/>
        </w:rPr>
        <w:t>is subdivided in pars compacta (</w:t>
      </w:r>
      <w:proofErr w:type="spellStart"/>
      <w:r w:rsidR="00B6660C">
        <w:rPr>
          <w:rFonts w:ascii="Verdana" w:hAnsi="Verdana"/>
          <w:lang w:val="en-GB"/>
        </w:rPr>
        <w:t>SNpc</w:t>
      </w:r>
      <w:proofErr w:type="spellEnd"/>
      <w:r w:rsidR="00B6660C">
        <w:rPr>
          <w:rFonts w:ascii="Verdana" w:hAnsi="Verdana"/>
          <w:lang w:val="en-GB"/>
        </w:rPr>
        <w:t>) and pars reticulata (</w:t>
      </w:r>
      <w:proofErr w:type="spellStart"/>
      <w:r w:rsidR="00B6660C">
        <w:rPr>
          <w:rFonts w:ascii="Verdana" w:hAnsi="Verdana"/>
          <w:lang w:val="en-GB"/>
        </w:rPr>
        <w:t>SNpr</w:t>
      </w:r>
      <w:proofErr w:type="spellEnd"/>
      <w:r w:rsidR="00B6660C">
        <w:rPr>
          <w:rFonts w:ascii="Verdana" w:hAnsi="Verdana"/>
          <w:lang w:val="en-GB"/>
        </w:rPr>
        <w:t>)</w:t>
      </w:r>
      <w:r w:rsidR="00DF2ECF">
        <w:rPr>
          <w:rFonts w:ascii="Verdana" w:hAnsi="Verdana"/>
          <w:lang w:val="en-GB"/>
        </w:rPr>
        <w:t>.</w:t>
      </w:r>
      <w:r w:rsidR="00077424">
        <w:rPr>
          <w:rFonts w:ascii="Verdana" w:hAnsi="Verdana"/>
          <w:lang w:val="en-GB"/>
        </w:rPr>
        <w:t xml:space="preserve"> The </w:t>
      </w:r>
      <w:r w:rsidR="00A87203">
        <w:rPr>
          <w:rFonts w:ascii="Verdana" w:hAnsi="Verdana"/>
          <w:lang w:val="en-GB"/>
        </w:rPr>
        <w:t xml:space="preserve">pars compacta </w:t>
      </w:r>
      <w:proofErr w:type="gramStart"/>
      <w:r w:rsidR="00A87203">
        <w:rPr>
          <w:rFonts w:ascii="Verdana" w:hAnsi="Verdana"/>
          <w:lang w:val="en-GB"/>
        </w:rPr>
        <w:t>houses</w:t>
      </w:r>
      <w:proofErr w:type="gramEnd"/>
      <w:r w:rsidR="00A87203">
        <w:rPr>
          <w:rFonts w:ascii="Verdana" w:hAnsi="Verdana"/>
          <w:lang w:val="en-GB"/>
        </w:rPr>
        <w:t xml:space="preserve"> the dopaminergic neurons, </w:t>
      </w:r>
      <w:r w:rsidR="00A26F05">
        <w:rPr>
          <w:rFonts w:ascii="Verdana" w:hAnsi="Verdana"/>
          <w:lang w:val="en-GB"/>
        </w:rPr>
        <w:t>characterised by the deposition of neuromelanin</w:t>
      </w:r>
      <w:r w:rsidR="00875DA6">
        <w:rPr>
          <w:rFonts w:ascii="Verdana" w:hAnsi="Verdana"/>
          <w:lang w:val="en-GB"/>
        </w:rPr>
        <w:t>,</w:t>
      </w:r>
      <w:r w:rsidR="007E5830">
        <w:rPr>
          <w:rFonts w:ascii="Verdana" w:hAnsi="Verdana"/>
          <w:lang w:val="en-GB"/>
        </w:rPr>
        <w:t xml:space="preserve"> </w:t>
      </w:r>
      <w:r w:rsidR="00A26F05">
        <w:rPr>
          <w:rFonts w:ascii="Verdana" w:hAnsi="Verdana"/>
          <w:lang w:val="en-GB"/>
        </w:rPr>
        <w:t>which gives</w:t>
      </w:r>
      <w:r w:rsidR="009F2FEE">
        <w:rPr>
          <w:rFonts w:ascii="Verdana" w:hAnsi="Verdana"/>
          <w:lang w:val="en-GB"/>
        </w:rPr>
        <w:t xml:space="preserve"> the substantia nigra</w:t>
      </w:r>
      <w:r w:rsidR="007E5830">
        <w:rPr>
          <w:rFonts w:ascii="Verdana" w:hAnsi="Verdana"/>
          <w:lang w:val="en-GB"/>
        </w:rPr>
        <w:t xml:space="preserve"> </w:t>
      </w:r>
      <w:r w:rsidR="009F2FEE">
        <w:rPr>
          <w:rFonts w:ascii="Verdana" w:hAnsi="Verdana"/>
          <w:lang w:val="en-GB"/>
        </w:rPr>
        <w:t>its</w:t>
      </w:r>
      <w:r w:rsidR="00A87203">
        <w:rPr>
          <w:rFonts w:ascii="Verdana" w:hAnsi="Verdana"/>
          <w:lang w:val="en-GB"/>
        </w:rPr>
        <w:t xml:space="preserve"> characteristic dark coloratio</w:t>
      </w:r>
      <w:r w:rsidR="009F2FEE">
        <w:rPr>
          <w:rFonts w:ascii="Verdana" w:hAnsi="Verdana"/>
          <w:lang w:val="en-GB"/>
        </w:rPr>
        <w:t>n</w:t>
      </w:r>
      <w:r w:rsidR="007E5830">
        <w:rPr>
          <w:rFonts w:ascii="Verdana" w:hAnsi="Verdana"/>
          <w:lang w:val="en-GB"/>
        </w:rPr>
        <w:t>.</w:t>
      </w:r>
      <w:r w:rsidR="00194F90">
        <w:rPr>
          <w:rFonts w:ascii="Verdana" w:hAnsi="Verdana"/>
          <w:lang w:val="en-GB"/>
        </w:rPr>
        <w:t xml:space="preserve"> The dopaminergic neurons project from the </w:t>
      </w:r>
      <w:proofErr w:type="spellStart"/>
      <w:r w:rsidR="00194F90">
        <w:rPr>
          <w:rFonts w:ascii="Verdana" w:hAnsi="Verdana"/>
          <w:lang w:val="en-GB"/>
        </w:rPr>
        <w:t>SNpc</w:t>
      </w:r>
      <w:proofErr w:type="spellEnd"/>
      <w:r w:rsidR="00194F90">
        <w:rPr>
          <w:rFonts w:ascii="Verdana" w:hAnsi="Verdana"/>
          <w:lang w:val="en-GB"/>
        </w:rPr>
        <w:t xml:space="preserve"> to the</w:t>
      </w:r>
      <w:r w:rsidR="00D3134C">
        <w:rPr>
          <w:rFonts w:ascii="Verdana" w:hAnsi="Verdana"/>
          <w:lang w:val="en-GB"/>
        </w:rPr>
        <w:t xml:space="preserve"> </w:t>
      </w:r>
      <w:r w:rsidR="007D177F">
        <w:rPr>
          <w:rFonts w:ascii="Verdana" w:hAnsi="Verdana"/>
          <w:lang w:val="en-GB"/>
        </w:rPr>
        <w:t>dorsal striatum, the biggest of the basal ganglia nuclei</w:t>
      </w:r>
      <w:r w:rsidR="008D2479">
        <w:rPr>
          <w:rFonts w:ascii="Verdana" w:hAnsi="Verdana"/>
          <w:lang w:val="en-GB"/>
        </w:rPr>
        <w:t xml:space="preserve"> </w:t>
      </w:r>
      <w:r w:rsidR="008D2479">
        <w:rPr>
          <w:rFonts w:ascii="Verdana" w:hAnsi="Verdana"/>
          <w:lang w:val="en-GB"/>
        </w:rPr>
        <w:fldChar w:fldCharType="begin"/>
      </w:r>
      <w:r w:rsidR="008D2479">
        <w:rPr>
          <w:rFonts w:ascii="Verdana" w:hAnsi="Verdana"/>
          <w:lang w:val="en-GB"/>
        </w:rPr>
        <w:instrText xml:space="preserve"> ADDIN ZOTERO_ITEM CSL_CITATION {"citationID":"lDbKAcjA","properties":{"formattedCitation":"(Yelnik 2002)","plainCitation":"(Yelnik 2002)","noteIndex":0},"citationItems":[{"id":853,"uris":["http://zotero.org/users/9330673/items/NPY5DVYJ"],"itemData":{"id":853,"type":"article-journal","container-title":"Movement Disorders","DOI":"10.1002/mds.10138","ISSN":"0885-3185, 1531-8257","issue":"S3","journalAbbreviation":"Mov Disord.","language":"en","page":"S15-S21","source":"DOI.org (Crossref)","title":"Functional anatomy of the basal ganglia","volume":"17","author":[{"family":"Yelnik","given":"J."}],"issued":{"date-parts":[["2002",3]]}}}],"schema":"https://github.com/citation-style-language/schema/raw/master/csl-citation.json"} </w:instrText>
      </w:r>
      <w:r w:rsidR="008D2479">
        <w:rPr>
          <w:rFonts w:ascii="Verdana" w:hAnsi="Verdana"/>
          <w:lang w:val="en-GB"/>
        </w:rPr>
        <w:fldChar w:fldCharType="separate"/>
      </w:r>
      <w:r w:rsidR="008D2479" w:rsidRPr="008D2479">
        <w:rPr>
          <w:rFonts w:ascii="Verdana" w:hAnsi="Verdana"/>
        </w:rPr>
        <w:t>(Yelnik 2002)</w:t>
      </w:r>
      <w:r w:rsidR="008D2479">
        <w:rPr>
          <w:rFonts w:ascii="Verdana" w:hAnsi="Verdana"/>
          <w:lang w:val="en-GB"/>
        </w:rPr>
        <w:fldChar w:fldCharType="end"/>
      </w:r>
      <w:r w:rsidR="007D177F">
        <w:rPr>
          <w:rFonts w:ascii="Verdana" w:hAnsi="Verdana"/>
          <w:lang w:val="en-GB"/>
        </w:rPr>
        <w:t>. The dorsal striatum</w:t>
      </w:r>
      <w:r w:rsidR="0067096B">
        <w:rPr>
          <w:rFonts w:ascii="Verdana" w:hAnsi="Verdana"/>
          <w:lang w:val="en-GB"/>
        </w:rPr>
        <w:t xml:space="preserve"> </w:t>
      </w:r>
      <w:r w:rsidR="003A3373">
        <w:rPr>
          <w:rFonts w:ascii="Verdana" w:hAnsi="Verdana"/>
          <w:lang w:val="en-GB"/>
        </w:rPr>
        <w:t>is subdivided in</w:t>
      </w:r>
      <w:r w:rsidR="0067096B">
        <w:rPr>
          <w:rFonts w:ascii="Verdana" w:hAnsi="Verdana"/>
          <w:lang w:val="en-GB"/>
        </w:rPr>
        <w:t xml:space="preserve"> caudate and putamen</w:t>
      </w:r>
      <w:r w:rsidR="00F147BE">
        <w:rPr>
          <w:rFonts w:ascii="Verdana" w:hAnsi="Verdana"/>
          <w:lang w:val="en-GB"/>
        </w:rPr>
        <w:t>, and it modulates movements, reward</w:t>
      </w:r>
      <w:r w:rsidR="005C3BF9">
        <w:rPr>
          <w:rFonts w:ascii="Verdana" w:hAnsi="Verdana"/>
          <w:lang w:val="en-GB"/>
        </w:rPr>
        <w:t>,</w:t>
      </w:r>
      <w:r w:rsidR="00F147BE">
        <w:rPr>
          <w:rFonts w:ascii="Verdana" w:hAnsi="Verdana"/>
          <w:lang w:val="en-GB"/>
        </w:rPr>
        <w:t xml:space="preserve"> and the combination of the two</w:t>
      </w:r>
      <w:r w:rsidR="00541047">
        <w:rPr>
          <w:rFonts w:ascii="Verdana" w:hAnsi="Verdana"/>
          <w:lang w:val="en-GB"/>
        </w:rPr>
        <w:t xml:space="preserve"> </w:t>
      </w:r>
      <w:r w:rsidR="00541047">
        <w:rPr>
          <w:rFonts w:ascii="Verdana" w:hAnsi="Verdana"/>
          <w:lang w:val="en-GB"/>
        </w:rPr>
        <w:fldChar w:fldCharType="begin"/>
      </w:r>
      <w:r w:rsidR="000B4702">
        <w:rPr>
          <w:rFonts w:ascii="Verdana" w:hAnsi="Verdana"/>
          <w:lang w:val="en-GB"/>
        </w:rPr>
        <w:instrText xml:space="preserve"> ADDIN ZOTERO_ITEM CSL_CITATION {"citationID":"ctmsc3CW","properties":{"formattedCitation":"(Hollerman, Tremblay, and Schultz 2000; Subramaniam et al. 2018)","plainCitation":"(Hollerman, Tremblay, and Schultz 2000; Subramaniam et al. 2018)","noteIndex":0},"citationItems":[{"id":854,"uris":["http://zotero.org/users/9330673/items/AURGYMJQ"],"itemData":{"id":854,"type":"chapter","container-title":"Progress in Brain Research","ISBN":"978-0-444-50332-9","language":"en","note":"DOI: 10.1016/S0079-6123(00)26015-9","page":"193-215","publisher":"Elsevier","source":"DOI.org (Crossref)","title":"Involvement of basal ganglia and orbitofrontal cortex in goal-directed behavior","URL":"https://linkinghub.elsevier.com/retrieve/pii/S0079612300260159","volume":"126","author":[{"family":"Hollerman","given":"Jeffrey R."},{"family":"Tremblay","given":"Leon"},{"family":"Schultz","given":"Wolfram"}],"accessed":{"date-parts":[["2022",11,22]]},"issued":{"date-parts":[["2000"]]}}},{"id":917,"uris":["http://zotero.org/users/9330673/items/WJEBBYV7"],"itemData":{"id":917,"type":"article-journal","abstract":"In addition to dopaminergic and motor deficits, patients with Parkinson’s disease (PD) suffer from non-motor symptoms, including early cognitive and social impairment, that do not respond well to dopaminergic therapy. Cholinergic deficits may contribute to these problems, but cholinesterase inhibitors have limited efficacy. Mice over-expressing α-synuclein, a protein critically associated with PD, show deficits in cognitive and social interaction tests, as well as a decrease in cortical acetylcholine. We have evaluated the effects of chronic administration of nicotine in mice overexpressing wild type human α-synuclein under the Thy1-promoter (Thy1-aSyn mice). Nicotine was administered subcutaneously by osmotic minipump for 6 months from 2 to 8 months of age at 0.4 mg/kg/h and 2.0 mg/kg/h. The higher dose was toxic in the Thy1-aSyn mice, but the low dose was well tolerated and both doses ameliorated cognitive impairment in Y-maze performance after 5 months of treatment. In a separate cohort of Thy1-aSyn mice, nicotine was administered at the lower dose for one month beginning at 5 months of age. This treatment partially eliminated the cognitive deficit in novel object recognition and social impairment. In contrast, chronic nicotine did not improve motor deficits after 2, 4 or 6 months of treatment, nor modified α-synuclein aggregation, tyrosine hydroxylase immunostaining, synaptic and dendritic markers, or microglial activation in Thy1-aSyn mice. These results suggest that cognitive and social impairment in synucleinopathies like PD may result from deficits in cholinergic neurotransmission and may benefit from chronic administration of nicotinic agonists.","container-title":"Neurobiology of Disease","DOI":"10.1016/j.nbd.2018.05.018","ISSN":"09699961","journalAbbreviation":"Neurobiology of Disease","language":"en","page":"170-180","source":"DOI.org (Crossref)","title":"Chronic nicotine improves cognitive and social impairment in mice overexpressing wild type α-synuclein","volume":"117","author":[{"family":"Subramaniam","given":"Sudhakar R."},{"family":"Magen","given":"Iddo"},{"family":"Bove","given":"Nicholas"},{"family":"Zhu","given":"Chunni"},{"family":"Lemesre","given":"Vincent"},{"family":"Dutta","given":"Garima"},{"family":"Elias","given":"Chris Jean"},{"family":"Lester","given":"Henry A."},{"family":"Chesselet","given":"Marie-Francoise"}],"issued":{"date-parts":[["2018",9]]}}}],"schema":"https://github.com/citation-style-language/schema/raw/master/csl-citation.json"} </w:instrText>
      </w:r>
      <w:r w:rsidR="00541047">
        <w:rPr>
          <w:rFonts w:ascii="Verdana" w:hAnsi="Verdana"/>
          <w:lang w:val="en-GB"/>
        </w:rPr>
        <w:fldChar w:fldCharType="separate"/>
      </w:r>
      <w:r w:rsidR="000B4702" w:rsidRPr="000B4702">
        <w:rPr>
          <w:rFonts w:ascii="Verdana" w:hAnsi="Verdana"/>
        </w:rPr>
        <w:t>(Hollerman, Tremblay, and Schultz 2000; Subramaniam et al. 2018)</w:t>
      </w:r>
      <w:r w:rsidR="00541047">
        <w:rPr>
          <w:rFonts w:ascii="Verdana" w:hAnsi="Verdana"/>
          <w:lang w:val="en-GB"/>
        </w:rPr>
        <w:fldChar w:fldCharType="end"/>
      </w:r>
      <w:r w:rsidR="000D413B">
        <w:rPr>
          <w:rFonts w:ascii="Verdana" w:hAnsi="Verdana"/>
          <w:lang w:val="en-GB"/>
        </w:rPr>
        <w:t>.</w:t>
      </w:r>
    </w:p>
    <w:p w14:paraId="020DAD56" w14:textId="5F30782E" w:rsidR="004532D4" w:rsidRDefault="00233EE8" w:rsidP="00291DAF">
      <w:pPr>
        <w:spacing w:line="360" w:lineRule="auto"/>
        <w:jc w:val="both"/>
        <w:rPr>
          <w:rFonts w:ascii="Verdana" w:hAnsi="Verdana"/>
          <w:lang w:val="en-GB"/>
        </w:rPr>
      </w:pPr>
      <w:r>
        <w:rPr>
          <w:rFonts w:ascii="Verdana" w:hAnsi="Verdana"/>
          <w:lang w:val="en-GB"/>
        </w:rPr>
        <w:t>Evidence from studies on post-mortem patients</w:t>
      </w:r>
      <w:r w:rsidR="00EA6B66">
        <w:rPr>
          <w:rFonts w:ascii="Verdana" w:hAnsi="Verdana"/>
          <w:lang w:val="en-GB"/>
        </w:rPr>
        <w:t>’</w:t>
      </w:r>
      <w:r>
        <w:rPr>
          <w:rFonts w:ascii="Verdana" w:hAnsi="Verdana"/>
          <w:lang w:val="en-GB"/>
        </w:rPr>
        <w:t xml:space="preserve"> samples and animal models suggests that neurodegeneration starts </w:t>
      </w:r>
      <w:r w:rsidR="00EA6B66">
        <w:rPr>
          <w:rFonts w:ascii="Verdana" w:hAnsi="Verdana"/>
          <w:lang w:val="en-GB"/>
        </w:rPr>
        <w:t xml:space="preserve">in the axonal processes of </w:t>
      </w:r>
      <w:r w:rsidR="0042184D">
        <w:rPr>
          <w:rFonts w:ascii="Verdana" w:hAnsi="Verdana"/>
          <w:lang w:val="en-GB"/>
        </w:rPr>
        <w:t xml:space="preserve">the </w:t>
      </w:r>
      <w:r w:rsidR="00EA6B66">
        <w:rPr>
          <w:rFonts w:ascii="Verdana" w:hAnsi="Verdana"/>
          <w:lang w:val="en-GB"/>
        </w:rPr>
        <w:t>striatal dopaminergic neurons, and from there it proceeds retrogradely towards the substantia nigra, culminating in neuronal cell death</w:t>
      </w:r>
      <w:r w:rsidR="000D413B">
        <w:rPr>
          <w:rFonts w:ascii="Verdana" w:hAnsi="Verdana"/>
          <w:lang w:val="en-GB"/>
        </w:rPr>
        <w:t xml:space="preserve"> </w:t>
      </w:r>
      <w:r w:rsidR="000B4702">
        <w:rPr>
          <w:rFonts w:ascii="Verdana" w:hAnsi="Verdana"/>
          <w:lang w:val="en-GB"/>
        </w:rPr>
        <w:fldChar w:fldCharType="begin"/>
      </w:r>
      <w:r w:rsidR="000B4702">
        <w:rPr>
          <w:rFonts w:ascii="Verdana" w:hAnsi="Verdana"/>
          <w:lang w:val="en-GB"/>
        </w:rPr>
        <w:instrText xml:space="preserve"> ADDIN ZOTERO_ITEM CSL_CITATION {"citationID":"xdEjRVPk","properties":{"formattedCitation":"(Tagliaferro and Burke 2016)","plainCitation":"(Tagliaferro and Burke 2016)","noteIndex":0},"citationItems":[{"id":857,"uris":["http://zotero.org/users/9330673/items/Z3ZNPTNR"],"itemData":{"id":857,"type":"article-journal","abstract":"In spite of tremendous research efforts we have not yet achieved two of our principal therapeutic goals in the treatment of Parkinson’s disease (PD), to prevent its onward progression and to provide restoration of systems that have already been damaged by the time of diagnosis. There are many possible reasons for our inability to make progress. One possibility is that our efforts thus far may not have been directed towards the appropriate cellular compartments. Up until now research has been largely focused on the loss of neurons in the disease. Thus, neuroprotection approaches have been largely aimed at blocking mechanisms that lead to destruction of the neuronal cell body. Attempts to provide neurorestoration have been almost entirely focused on replacement of neurons. We herein review the evidence that the axonal component of diseased neuronal systems merit more of our attention. Evidence from imaging studies, from postmortem neurochemical studies, and from genetic animal models suggests that the axons of the dopaminergic system are involved predominantly and early in PD. Since the mechanisms of axonal destruction are distinct from those of neuron cell body degeneration, a focus on axonal neurobiology will offer new opportunities for preventing their degeneration. At present these mechanisms remain largely obscure. However, deﬁning them is likely to offer new opportunities for neuroprotection. In relation to neurorestoration, while it has been classically believed that neurons of the adult central nervous system are incapable of new axon growth, recent evidence shows that this is not true for the dopaminergic projection. In conclusion, the neurobiology of axons is likely to offer many new approaches to protective and restorative therapeutics.","container-title":"Journal of Parkinson's Disease","DOI":"10.3233/JPD-150769","ISSN":"18777171, 1877718X","issue":"1","journalAbbreviation":"JPD","language":"en","page":"1-15","source":"DOI.org (Crossref)","title":"Retrograde Axonal Degeneration in Parkinson Disease","volume":"6","author":[{"family":"Tagliaferro","given":"Patricia"},{"family":"Burke","given":"Robert E."}],"issued":{"date-parts":[["2016",3,30]]}}}],"schema":"https://github.com/citation-style-language/schema/raw/master/csl-citation.json"} </w:instrText>
      </w:r>
      <w:r w:rsidR="000B4702">
        <w:rPr>
          <w:rFonts w:ascii="Verdana" w:hAnsi="Verdana"/>
          <w:lang w:val="en-GB"/>
        </w:rPr>
        <w:fldChar w:fldCharType="separate"/>
      </w:r>
      <w:r w:rsidR="000B4702" w:rsidRPr="000B4702">
        <w:rPr>
          <w:rFonts w:ascii="Verdana" w:hAnsi="Verdana"/>
        </w:rPr>
        <w:t>(Tagliaferro and Burke 2016)</w:t>
      </w:r>
      <w:r w:rsidR="000B4702">
        <w:rPr>
          <w:rFonts w:ascii="Verdana" w:hAnsi="Verdana"/>
          <w:lang w:val="en-GB"/>
        </w:rPr>
        <w:fldChar w:fldCharType="end"/>
      </w:r>
      <w:r w:rsidR="00EA6B66">
        <w:rPr>
          <w:rFonts w:ascii="Verdana" w:hAnsi="Verdana"/>
          <w:lang w:val="en-GB"/>
        </w:rPr>
        <w:t xml:space="preserve">. </w:t>
      </w:r>
      <w:r w:rsidR="009A08B1">
        <w:rPr>
          <w:rFonts w:ascii="Verdana" w:hAnsi="Verdana"/>
          <w:lang w:val="en-GB"/>
        </w:rPr>
        <w:t xml:space="preserve">Moderate or severe </w:t>
      </w:r>
      <w:r w:rsidR="00977047">
        <w:rPr>
          <w:rFonts w:ascii="Verdana" w:hAnsi="Verdana"/>
          <w:lang w:val="en-GB"/>
        </w:rPr>
        <w:t>nigrostriatal</w:t>
      </w:r>
      <w:r w:rsidR="009C0744">
        <w:rPr>
          <w:rFonts w:ascii="Verdana" w:hAnsi="Verdana"/>
          <w:lang w:val="en-GB"/>
        </w:rPr>
        <w:t xml:space="preserve"> degeneration </w:t>
      </w:r>
      <w:proofErr w:type="gramStart"/>
      <w:r w:rsidR="009C0744">
        <w:rPr>
          <w:rFonts w:ascii="Verdana" w:hAnsi="Verdana"/>
          <w:lang w:val="en-GB"/>
        </w:rPr>
        <w:t>is considered to be</w:t>
      </w:r>
      <w:proofErr w:type="gramEnd"/>
      <w:r w:rsidR="009C0744">
        <w:rPr>
          <w:rFonts w:ascii="Verdana" w:hAnsi="Verdana"/>
          <w:lang w:val="en-GB"/>
        </w:rPr>
        <w:t xml:space="preserve"> the cause of the bradykinesia and rigidity that characterise Parkinson’s disease. </w:t>
      </w:r>
      <w:r w:rsidR="00D24FEE">
        <w:rPr>
          <w:rFonts w:ascii="Verdana" w:hAnsi="Verdana"/>
          <w:lang w:val="en-GB"/>
        </w:rPr>
        <w:t>In the dorsal striatum, t</w:t>
      </w:r>
      <w:r w:rsidR="004755B9">
        <w:rPr>
          <w:rFonts w:ascii="Verdana" w:hAnsi="Verdana"/>
          <w:lang w:val="en-GB"/>
        </w:rPr>
        <w:t>he</w:t>
      </w:r>
      <w:r w:rsidR="00B16939">
        <w:rPr>
          <w:rFonts w:ascii="Verdana" w:hAnsi="Verdana"/>
          <w:lang w:val="en-GB"/>
        </w:rPr>
        <w:t xml:space="preserve"> </w:t>
      </w:r>
      <w:r w:rsidR="004755B9">
        <w:rPr>
          <w:rFonts w:ascii="Verdana" w:hAnsi="Verdana"/>
          <w:lang w:val="en-GB"/>
        </w:rPr>
        <w:t>dopaminergic neurons</w:t>
      </w:r>
      <w:r w:rsidR="00B16939">
        <w:rPr>
          <w:rFonts w:ascii="Verdana" w:hAnsi="Verdana"/>
          <w:lang w:val="en-GB"/>
        </w:rPr>
        <w:t xml:space="preserve"> form synapses with GABAergic neurons displaying </w:t>
      </w:r>
      <w:r w:rsidR="00B02BFD">
        <w:rPr>
          <w:rFonts w:ascii="Verdana" w:hAnsi="Verdana"/>
          <w:lang w:val="en-GB"/>
        </w:rPr>
        <w:t>D1 or D2 dopamine receptors</w:t>
      </w:r>
      <w:r w:rsidR="00460BF8">
        <w:rPr>
          <w:rFonts w:ascii="Verdana" w:hAnsi="Verdana"/>
          <w:lang w:val="en-GB"/>
        </w:rPr>
        <w:t>, which in turn</w:t>
      </w:r>
      <w:r w:rsidR="00B02BFD">
        <w:rPr>
          <w:rFonts w:ascii="Verdana" w:hAnsi="Verdana"/>
          <w:lang w:val="en-GB"/>
        </w:rPr>
        <w:t xml:space="preserve"> project</w:t>
      </w:r>
      <w:r w:rsidR="002B0FA3" w:rsidRPr="002B0FA3">
        <w:rPr>
          <w:rFonts w:ascii="Verdana" w:hAnsi="Verdana"/>
          <w:lang w:val="en-GB"/>
        </w:rPr>
        <w:t xml:space="preserve"> </w:t>
      </w:r>
      <w:r w:rsidR="002B0FA3">
        <w:rPr>
          <w:rFonts w:ascii="Verdana" w:hAnsi="Verdana"/>
          <w:lang w:val="en-GB"/>
        </w:rPr>
        <w:t>to the globus pallidus interna (</w:t>
      </w:r>
      <w:proofErr w:type="spellStart"/>
      <w:r w:rsidR="002B0FA3">
        <w:rPr>
          <w:rFonts w:ascii="Verdana" w:hAnsi="Verdana"/>
          <w:lang w:val="en-GB"/>
        </w:rPr>
        <w:t>GPi</w:t>
      </w:r>
      <w:proofErr w:type="spellEnd"/>
      <w:r w:rsidR="002B0FA3">
        <w:rPr>
          <w:rFonts w:ascii="Verdana" w:hAnsi="Verdana"/>
          <w:lang w:val="en-GB"/>
        </w:rPr>
        <w:t>) by</w:t>
      </w:r>
      <w:r w:rsidR="00B02BFD">
        <w:rPr>
          <w:rFonts w:ascii="Verdana" w:hAnsi="Verdana"/>
          <w:lang w:val="en-GB"/>
        </w:rPr>
        <w:t xml:space="preserve"> direct or indirect</w:t>
      </w:r>
      <w:r w:rsidR="002B0FA3">
        <w:rPr>
          <w:rFonts w:ascii="Verdana" w:hAnsi="Verdana"/>
          <w:lang w:val="en-GB"/>
        </w:rPr>
        <w:t xml:space="preserve"> means.</w:t>
      </w:r>
      <w:r w:rsidR="00DD4F12">
        <w:rPr>
          <w:rFonts w:ascii="Verdana" w:hAnsi="Verdana"/>
          <w:lang w:val="en-GB"/>
        </w:rPr>
        <w:t xml:space="preserve"> </w:t>
      </w:r>
      <w:r w:rsidR="002B0FA3">
        <w:rPr>
          <w:rFonts w:ascii="Verdana" w:hAnsi="Verdana"/>
          <w:lang w:val="en-GB"/>
        </w:rPr>
        <w:t>Finally, i</w:t>
      </w:r>
      <w:r w:rsidR="00DD4F12">
        <w:rPr>
          <w:rFonts w:ascii="Verdana" w:hAnsi="Verdana"/>
          <w:lang w:val="en-GB"/>
        </w:rPr>
        <w:t>nhibitory output</w:t>
      </w:r>
      <w:r w:rsidR="002B0FA3">
        <w:rPr>
          <w:rFonts w:ascii="Verdana" w:hAnsi="Verdana"/>
          <w:lang w:val="en-GB"/>
        </w:rPr>
        <w:t xml:space="preserve"> from the </w:t>
      </w:r>
      <w:proofErr w:type="spellStart"/>
      <w:r w:rsidR="002B0FA3">
        <w:rPr>
          <w:rFonts w:ascii="Verdana" w:hAnsi="Verdana"/>
          <w:lang w:val="en-GB"/>
        </w:rPr>
        <w:t>GPi</w:t>
      </w:r>
      <w:proofErr w:type="spellEnd"/>
      <w:r w:rsidR="00DD4F12">
        <w:rPr>
          <w:rFonts w:ascii="Verdana" w:hAnsi="Verdana"/>
          <w:lang w:val="en-GB"/>
        </w:rPr>
        <w:t xml:space="preserve"> to the thalamus </w:t>
      </w:r>
      <w:r w:rsidR="001D15AA">
        <w:rPr>
          <w:rFonts w:ascii="Verdana" w:hAnsi="Verdana"/>
          <w:lang w:val="en-GB"/>
        </w:rPr>
        <w:t>modulates normal motor function. In Parkinson’s disease patients, the loss of dopaminergic neuron</w:t>
      </w:r>
      <w:r w:rsidR="00D24FEE">
        <w:rPr>
          <w:rFonts w:ascii="Verdana" w:hAnsi="Verdana"/>
          <w:lang w:val="en-GB"/>
        </w:rPr>
        <w:t>s –</w:t>
      </w:r>
      <w:r w:rsidR="00FE2C6C">
        <w:rPr>
          <w:rFonts w:ascii="Verdana" w:hAnsi="Verdana"/>
          <w:lang w:val="en-GB"/>
        </w:rPr>
        <w:t xml:space="preserve"> visualized by the loss of nigral pigmentation</w:t>
      </w:r>
      <w:r w:rsidR="00D24FEE">
        <w:rPr>
          <w:rFonts w:ascii="Verdana" w:hAnsi="Verdana"/>
          <w:lang w:val="en-GB"/>
        </w:rPr>
        <w:t xml:space="preserve"> –</w:t>
      </w:r>
      <w:r w:rsidR="00046E94">
        <w:rPr>
          <w:rFonts w:ascii="Verdana" w:hAnsi="Verdana"/>
          <w:lang w:val="en-GB"/>
        </w:rPr>
        <w:t>,</w:t>
      </w:r>
      <w:r w:rsidR="00FE2C6C">
        <w:rPr>
          <w:rFonts w:ascii="Verdana" w:hAnsi="Verdana"/>
          <w:lang w:val="en-GB"/>
        </w:rPr>
        <w:t xml:space="preserve"> </w:t>
      </w:r>
      <w:r w:rsidR="009C0744">
        <w:rPr>
          <w:rFonts w:ascii="Verdana" w:hAnsi="Verdana"/>
          <w:lang w:val="en-GB"/>
        </w:rPr>
        <w:t xml:space="preserve">and the consequent depletion of striatal </w:t>
      </w:r>
      <w:r w:rsidR="009C0744">
        <w:rPr>
          <w:rFonts w:ascii="Verdana" w:hAnsi="Verdana"/>
          <w:lang w:val="en-GB"/>
        </w:rPr>
        <w:lastRenderedPageBreak/>
        <w:t xml:space="preserve">dopamine, lead to elevate inhibitory output from the </w:t>
      </w:r>
      <w:proofErr w:type="spellStart"/>
      <w:r w:rsidR="009C0744">
        <w:rPr>
          <w:rFonts w:ascii="Verdana" w:hAnsi="Verdana"/>
          <w:lang w:val="en-GB"/>
        </w:rPr>
        <w:t>GPi</w:t>
      </w:r>
      <w:proofErr w:type="spellEnd"/>
      <w:r w:rsidR="009C0744">
        <w:rPr>
          <w:rFonts w:ascii="Verdana" w:hAnsi="Verdana"/>
          <w:lang w:val="en-GB"/>
        </w:rPr>
        <w:t xml:space="preserve"> and reduction of the </w:t>
      </w:r>
      <w:r w:rsidR="003A2D5C" w:rsidRPr="009C3C88">
        <w:rPr>
          <w:b/>
          <w:bCs/>
          <w:noProof/>
        </w:rPr>
        <mc:AlternateContent>
          <mc:Choice Requires="wps">
            <w:drawing>
              <wp:anchor distT="0" distB="0" distL="114300" distR="114300" simplePos="0" relativeHeight="251668480" behindDoc="0" locked="0" layoutInCell="1" allowOverlap="1" wp14:anchorId="5D140E3C" wp14:editId="7B03530A">
                <wp:simplePos x="0" y="0"/>
                <wp:positionH relativeFrom="page">
                  <wp:align>center</wp:align>
                </wp:positionH>
                <wp:positionV relativeFrom="paragraph">
                  <wp:posOffset>4241800</wp:posOffset>
                </wp:positionV>
                <wp:extent cx="5564505" cy="431800"/>
                <wp:effectExtent l="0" t="0" r="0" b="6350"/>
                <wp:wrapTopAndBottom/>
                <wp:docPr id="6" name="Text Box 6"/>
                <wp:cNvGraphicFramePr/>
                <a:graphic xmlns:a="http://schemas.openxmlformats.org/drawingml/2006/main">
                  <a:graphicData uri="http://schemas.microsoft.com/office/word/2010/wordprocessingShape">
                    <wps:wsp>
                      <wps:cNvSpPr txBox="1"/>
                      <wps:spPr>
                        <a:xfrm>
                          <a:off x="0" y="0"/>
                          <a:ext cx="5564505" cy="431800"/>
                        </a:xfrm>
                        <a:prstGeom prst="rect">
                          <a:avLst/>
                        </a:prstGeom>
                        <a:solidFill>
                          <a:prstClr val="white"/>
                        </a:solidFill>
                        <a:ln>
                          <a:noFill/>
                        </a:ln>
                      </wps:spPr>
                      <wps:txbx>
                        <w:txbxContent>
                          <w:p w14:paraId="5E4F9B81" w14:textId="405BA388" w:rsidR="004F5237" w:rsidRPr="004F5237" w:rsidRDefault="004F5237" w:rsidP="008152EC">
                            <w:pPr>
                              <w:pStyle w:val="Caption"/>
                              <w:ind w:firstLine="0"/>
                              <w:jc w:val="both"/>
                              <w:rPr>
                                <w:rFonts w:ascii="Verdana" w:hAnsi="Verdana"/>
                                <w:i w:val="0"/>
                                <w:iCs w:val="0"/>
                                <w:noProof/>
                                <w:color w:val="auto"/>
                              </w:rPr>
                            </w:pPr>
                            <w:bookmarkStart w:id="9" w:name="_Toc131412744"/>
                            <w:r w:rsidRPr="004F5237">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2</w:t>
                            </w:r>
                            <w:r w:rsidR="00FC184D">
                              <w:rPr>
                                <w:rFonts w:ascii="Verdana" w:hAnsi="Verdana"/>
                                <w:b/>
                                <w:bCs/>
                                <w:i w:val="0"/>
                                <w:iCs w:val="0"/>
                                <w:color w:val="auto"/>
                              </w:rPr>
                              <w:fldChar w:fldCharType="end"/>
                            </w:r>
                            <w:r w:rsidRPr="004F5237">
                              <w:rPr>
                                <w:rFonts w:ascii="Verdana" w:hAnsi="Verdana"/>
                                <w:i w:val="0"/>
                                <w:iCs w:val="0"/>
                                <w:color w:val="auto"/>
                              </w:rPr>
                              <w:t xml:space="preserve"> The </w:t>
                            </w:r>
                            <w:r w:rsidR="00977047">
                              <w:rPr>
                                <w:rFonts w:ascii="Verdana" w:hAnsi="Verdana"/>
                                <w:i w:val="0"/>
                                <w:iCs w:val="0"/>
                                <w:color w:val="auto"/>
                              </w:rPr>
                              <w:t>nigrostriatal</w:t>
                            </w:r>
                            <w:r w:rsidRPr="004F5237">
                              <w:rPr>
                                <w:rFonts w:ascii="Verdana" w:hAnsi="Verdana"/>
                                <w:i w:val="0"/>
                                <w:iCs w:val="0"/>
                                <w:color w:val="auto"/>
                              </w:rPr>
                              <w:t xml:space="preserve"> circuit in normal brain and Parkinson's disease</w:t>
                            </w:r>
                            <w:r>
                              <w:rPr>
                                <w:rFonts w:ascii="Verdana" w:hAnsi="Verdana"/>
                                <w:i w:val="0"/>
                                <w:iCs w:val="0"/>
                                <w:color w:val="auto"/>
                              </w:rPr>
                              <w:t xml:space="preserve"> (adapted from Subramaniam and Federoff, 2017)</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40E3C" id="Text Box 6" o:spid="_x0000_s1027" type="#_x0000_t202" style="position:absolute;left:0;text-align:left;margin-left:0;margin-top:334pt;width:438.15pt;height:34pt;z-index:251668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" stroked="f">
                <v:textbox inset="0,0,0,0">
                  <w:txbxContent>
                    <w:p w14:paraId="5E4F9B81" w14:textId="405BA388" w:rsidR="004F5237" w:rsidRPr="004F5237" w:rsidRDefault="004F5237" w:rsidP="008152EC">
                      <w:pPr>
                        <w:pStyle w:val="Caption"/>
                        <w:ind w:firstLine="0"/>
                        <w:jc w:val="both"/>
                        <w:rPr>
                          <w:rFonts w:ascii="Verdana" w:hAnsi="Verdana"/>
                          <w:i w:val="0"/>
                          <w:iCs w:val="0"/>
                          <w:noProof/>
                          <w:color w:val="auto"/>
                        </w:rPr>
                      </w:pPr>
                      <w:bookmarkStart w:id="10" w:name="_Toc131412744"/>
                      <w:r w:rsidRPr="004F5237">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2</w:t>
                      </w:r>
                      <w:r w:rsidR="00FC184D">
                        <w:rPr>
                          <w:rFonts w:ascii="Verdana" w:hAnsi="Verdana"/>
                          <w:b/>
                          <w:bCs/>
                          <w:i w:val="0"/>
                          <w:iCs w:val="0"/>
                          <w:color w:val="auto"/>
                        </w:rPr>
                        <w:fldChar w:fldCharType="end"/>
                      </w:r>
                      <w:r w:rsidRPr="004F5237">
                        <w:rPr>
                          <w:rFonts w:ascii="Verdana" w:hAnsi="Verdana"/>
                          <w:i w:val="0"/>
                          <w:iCs w:val="0"/>
                          <w:color w:val="auto"/>
                        </w:rPr>
                        <w:t xml:space="preserve"> The </w:t>
                      </w:r>
                      <w:r w:rsidR="00977047">
                        <w:rPr>
                          <w:rFonts w:ascii="Verdana" w:hAnsi="Verdana"/>
                          <w:i w:val="0"/>
                          <w:iCs w:val="0"/>
                          <w:color w:val="auto"/>
                        </w:rPr>
                        <w:t>nigrostriatal</w:t>
                      </w:r>
                      <w:r w:rsidRPr="004F5237">
                        <w:rPr>
                          <w:rFonts w:ascii="Verdana" w:hAnsi="Verdana"/>
                          <w:i w:val="0"/>
                          <w:iCs w:val="0"/>
                          <w:color w:val="auto"/>
                        </w:rPr>
                        <w:t xml:space="preserve"> circuit in normal brain and Parkinson's disease</w:t>
                      </w:r>
                      <w:r>
                        <w:rPr>
                          <w:rFonts w:ascii="Verdana" w:hAnsi="Verdana"/>
                          <w:i w:val="0"/>
                          <w:iCs w:val="0"/>
                          <w:color w:val="auto"/>
                        </w:rPr>
                        <w:t xml:space="preserve"> (adapted from Subramaniam and Federoff, 2017)</w:t>
                      </w:r>
                      <w:bookmarkEnd w:id="10"/>
                    </w:p>
                  </w:txbxContent>
                </v:textbox>
                <w10:wrap type="topAndBottom" anchorx="page"/>
              </v:shape>
            </w:pict>
          </mc:Fallback>
        </mc:AlternateContent>
      </w:r>
      <w:r w:rsidR="003A2D5C" w:rsidRPr="009C3C88">
        <w:rPr>
          <w:b/>
          <w:bCs/>
          <w:noProof/>
          <w:lang w:val="en-GB"/>
        </w:rPr>
        <w:drawing>
          <wp:anchor distT="0" distB="0" distL="114300" distR="114300" simplePos="0" relativeHeight="251666432" behindDoc="0" locked="0" layoutInCell="1" allowOverlap="1" wp14:anchorId="23D687C6" wp14:editId="4995A350">
            <wp:simplePos x="0" y="0"/>
            <wp:positionH relativeFrom="page">
              <wp:posOffset>1986915</wp:posOffset>
            </wp:positionH>
            <wp:positionV relativeFrom="paragraph">
              <wp:posOffset>611505</wp:posOffset>
            </wp:positionV>
            <wp:extent cx="3587115" cy="3505835"/>
            <wp:effectExtent l="0" t="0" r="0" b="0"/>
            <wp:wrapTopAndBottom/>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87115" cy="3505835"/>
                    </a:xfrm>
                    <a:prstGeom prst="rect">
                      <a:avLst/>
                    </a:prstGeom>
                  </pic:spPr>
                </pic:pic>
              </a:graphicData>
            </a:graphic>
            <wp14:sizeRelH relativeFrom="margin">
              <wp14:pctWidth>0</wp14:pctWidth>
            </wp14:sizeRelH>
            <wp14:sizeRelV relativeFrom="margin">
              <wp14:pctHeight>0</wp14:pctHeight>
            </wp14:sizeRelV>
          </wp:anchor>
        </w:drawing>
      </w:r>
      <w:r w:rsidR="009C0744">
        <w:rPr>
          <w:rFonts w:ascii="Verdana" w:hAnsi="Verdana"/>
          <w:lang w:val="en-GB"/>
        </w:rPr>
        <w:t>normal motor function</w:t>
      </w:r>
      <w:r w:rsidR="001F0535">
        <w:rPr>
          <w:rFonts w:ascii="Verdana" w:hAnsi="Verdana"/>
          <w:lang w:val="en-GB"/>
        </w:rPr>
        <w:t xml:space="preserve"> </w:t>
      </w:r>
      <w:r w:rsidR="001F0535">
        <w:rPr>
          <w:rFonts w:ascii="Verdana" w:hAnsi="Verdana"/>
          <w:lang w:val="en-GB"/>
        </w:rPr>
        <w:fldChar w:fldCharType="begin"/>
      </w:r>
      <w:r w:rsidR="001F0535">
        <w:rPr>
          <w:rFonts w:ascii="Verdana" w:hAnsi="Verdana"/>
          <w:lang w:val="en-GB"/>
        </w:rPr>
        <w:instrText xml:space="preserve"> ADDIN ZOTERO_ITEM CSL_CITATION {"citationID":"jBQN6rUj","properties":{"formattedCitation":"(Subramaniam et al. 2018)","plainCitation":"(Subramaniam et al. 2018)","noteIndex":0},"citationItems":[{"id":917,"uris":["http://zotero.org/users/9330673/items/WJEBBYV7"],"itemData":{"id":917,"type":"article-journal","abstract":"In addition to dopaminergic and motor deficits, patients with Parkinson’s disease (PD) suffer from non-motor symptoms, including early cognitive and social impairment, that do not respond well to dopaminergic therapy. Cholinergic deficits may contribute to these problems, but cholinesterase inhibitors have limited efficacy. Mice over-expressing α-synuclein, a protein critically associated with PD, show deficits in cognitive and social interaction tests, as well as a decrease in cortical acetylcholine. We have evaluated the effects of chronic administration of nicotine in mice overexpressing wild type human α-synuclein under the Thy1-promoter (Thy1-aSyn mice). Nicotine was administered subcutaneously by osmotic minipump for 6 months from 2 to 8 months of age at 0.4 mg/kg/h and 2.0 mg/kg/h. The higher dose was toxic in the Thy1-aSyn mice, but the low dose was well tolerated and both doses ameliorated cognitive impairment in Y-maze performance after 5 months of treatment. In a separate cohort of Thy1-aSyn mice, nicotine was administered at the lower dose for one month beginning at 5 months of age. This treatment partially eliminated the cognitive deficit in novel object recognition and social impairment. In contrast, chronic nicotine did not improve motor deficits after 2, 4 or 6 months of treatment, nor modified α-synuclein aggregation, tyrosine hydroxylase immunostaining, synaptic and dendritic markers, or microglial activation in Thy1-aSyn mice. These results suggest that cognitive and social impairment in synucleinopathies like PD may result from deficits in cholinergic neurotransmission and may benefit from chronic administration of nicotinic agonists.","container-title":"Neurobiology of Disease","DOI":"10.1016/j.nbd.2018.05.018","ISSN":"09699961","journalAbbreviation":"Neurobiology of Disease","language":"en","page":"170-180","source":"DOI.org (Crossref)","title":"Chronic nicotine improves cognitive and social impairment in mice overexpressing wild type α-synuclein","volume":"117","author":[{"family":"Subramaniam","given":"Sudhakar R."},{"family":"Magen","given":"Iddo"},{"family":"Bove","given":"Nicholas"},{"family":"Zhu","given":"Chunni"},{"family":"Lemesre","given":"Vincent"},{"family":"Dutta","given":"Garima"},{"family":"Elias","given":"Chris Jean"},{"family":"Lester","given":"Henry A."},{"family":"Chesselet","given":"Marie-Francoise"}],"issued":{"date-parts":[["2018",9]]}}}],"schema":"https://github.com/citation-style-language/schema/raw/master/csl-citation.json"} </w:instrText>
      </w:r>
      <w:r w:rsidR="001F0535">
        <w:rPr>
          <w:rFonts w:ascii="Verdana" w:hAnsi="Verdana"/>
          <w:lang w:val="en-GB"/>
        </w:rPr>
        <w:fldChar w:fldCharType="separate"/>
      </w:r>
      <w:r w:rsidR="001F0535" w:rsidRPr="001F0535">
        <w:rPr>
          <w:rFonts w:ascii="Verdana" w:hAnsi="Verdana"/>
        </w:rPr>
        <w:t>(Subramaniam et al. 2018)</w:t>
      </w:r>
      <w:r w:rsidR="001F0535">
        <w:rPr>
          <w:rFonts w:ascii="Verdana" w:hAnsi="Verdana"/>
          <w:lang w:val="en-GB"/>
        </w:rPr>
        <w:fldChar w:fldCharType="end"/>
      </w:r>
      <w:r w:rsidR="003C6B20">
        <w:rPr>
          <w:rFonts w:ascii="Verdana" w:hAnsi="Verdana"/>
          <w:lang w:val="en-GB"/>
        </w:rPr>
        <w:t xml:space="preserve"> (Figure 2)</w:t>
      </w:r>
      <w:r w:rsidR="009C0744">
        <w:rPr>
          <w:rFonts w:ascii="Verdana" w:hAnsi="Verdana"/>
          <w:lang w:val="en-GB"/>
        </w:rPr>
        <w:t>.</w:t>
      </w:r>
    </w:p>
    <w:p w14:paraId="5DB577CD" w14:textId="3B2BA537" w:rsidR="003A2D5C" w:rsidRDefault="003A2D5C" w:rsidP="00291DAF">
      <w:pPr>
        <w:spacing w:line="360" w:lineRule="auto"/>
        <w:jc w:val="both"/>
        <w:rPr>
          <w:rFonts w:ascii="Verdana" w:hAnsi="Verdana"/>
          <w:lang w:val="en-GB"/>
        </w:rPr>
      </w:pPr>
    </w:p>
    <w:p w14:paraId="607F9B62" w14:textId="77777777" w:rsidR="003A2D5C" w:rsidRDefault="003A2D5C" w:rsidP="00291DAF">
      <w:pPr>
        <w:spacing w:line="360" w:lineRule="auto"/>
        <w:jc w:val="both"/>
        <w:rPr>
          <w:rFonts w:ascii="Verdana" w:hAnsi="Verdana"/>
          <w:lang w:val="en-GB"/>
        </w:rPr>
      </w:pPr>
    </w:p>
    <w:p w14:paraId="202CBD5C" w14:textId="3D195C16" w:rsidR="005728DC" w:rsidRPr="005A7953" w:rsidRDefault="00F27454" w:rsidP="00767F9D">
      <w:pPr>
        <w:pStyle w:val="Style1"/>
        <w:numPr>
          <w:ilvl w:val="3"/>
          <w:numId w:val="10"/>
        </w:numPr>
        <w:rPr>
          <w:b/>
          <w:bCs/>
        </w:rPr>
      </w:pPr>
      <w:bookmarkStart w:id="11" w:name="_Toc130223385"/>
      <w:r w:rsidRPr="005A7953">
        <w:rPr>
          <w:b/>
          <w:bCs/>
        </w:rPr>
        <w:t>Alpha-synuclein</w:t>
      </w:r>
      <w:r w:rsidR="00771625" w:rsidRPr="005A7953">
        <w:rPr>
          <w:b/>
          <w:bCs/>
        </w:rPr>
        <w:t xml:space="preserve"> pat</w:t>
      </w:r>
      <w:r w:rsidR="004532D4" w:rsidRPr="005A7953">
        <w:rPr>
          <w:b/>
          <w:bCs/>
        </w:rPr>
        <w:t>h</w:t>
      </w:r>
      <w:r w:rsidR="00771625" w:rsidRPr="005A7953">
        <w:rPr>
          <w:b/>
          <w:bCs/>
        </w:rPr>
        <w:t>ology</w:t>
      </w:r>
      <w:bookmarkEnd w:id="11"/>
    </w:p>
    <w:p w14:paraId="03E4416A" w14:textId="0D94C6CC" w:rsidR="00BD65A6" w:rsidRDefault="004E3780" w:rsidP="00291DAF">
      <w:pPr>
        <w:spacing w:line="360" w:lineRule="auto"/>
        <w:jc w:val="both"/>
        <w:rPr>
          <w:rFonts w:ascii="Verdana" w:hAnsi="Verdana"/>
          <w:lang w:val="en-GB"/>
        </w:rPr>
      </w:pPr>
      <w:r>
        <w:rPr>
          <w:rFonts w:ascii="Verdana" w:hAnsi="Verdana"/>
          <w:lang w:val="en-GB"/>
        </w:rPr>
        <w:t>Out of the 3 members of the synuclein family</w:t>
      </w:r>
      <w:r w:rsidR="00E4579D">
        <w:rPr>
          <w:rFonts w:ascii="Verdana" w:hAnsi="Verdana"/>
          <w:lang w:val="en-GB"/>
        </w:rPr>
        <w:t xml:space="preserve"> of proteins</w:t>
      </w:r>
      <w:r>
        <w:rPr>
          <w:rFonts w:ascii="Verdana" w:hAnsi="Verdana"/>
          <w:lang w:val="en-GB"/>
        </w:rPr>
        <w:t xml:space="preserve"> (</w:t>
      </w:r>
      <w:r w:rsidR="007E4557">
        <w:rPr>
          <w:rFonts w:ascii="Verdana" w:hAnsi="Verdana"/>
          <w:lang w:val="en-GB"/>
        </w:rPr>
        <w:t xml:space="preserve">composed of </w:t>
      </w:r>
      <w:r>
        <w:rPr>
          <w:rFonts w:ascii="Verdana" w:hAnsi="Verdana"/>
          <w:lang w:val="en-GB"/>
        </w:rPr>
        <w:t xml:space="preserve">alpha-, beta-, and gamma-synuclein), only alpha- and beta-synuclein are found in the </w:t>
      </w:r>
      <w:r w:rsidR="00CF76BD">
        <w:rPr>
          <w:rFonts w:ascii="Verdana" w:hAnsi="Verdana"/>
          <w:lang w:val="en-GB"/>
        </w:rPr>
        <w:t>brain</w:t>
      </w:r>
      <w:r w:rsidR="004868F4">
        <w:rPr>
          <w:rFonts w:ascii="Verdana" w:hAnsi="Verdana"/>
          <w:lang w:val="en-GB"/>
        </w:rPr>
        <w:t xml:space="preserve"> (George, 2002)</w:t>
      </w:r>
      <w:r w:rsidR="00B73DF4">
        <w:rPr>
          <w:rFonts w:ascii="Verdana" w:hAnsi="Verdana"/>
          <w:lang w:val="en-GB"/>
        </w:rPr>
        <w:t xml:space="preserve">. </w:t>
      </w:r>
      <w:r w:rsidR="00AF0A3E">
        <w:rPr>
          <w:rFonts w:ascii="Verdana" w:hAnsi="Verdana"/>
          <w:lang w:val="en-GB"/>
        </w:rPr>
        <w:t>Alpha-synuclein is a small protein</w:t>
      </w:r>
      <w:r w:rsidR="00FA6E96">
        <w:rPr>
          <w:rFonts w:ascii="Verdana" w:hAnsi="Verdana"/>
          <w:lang w:val="en-GB"/>
        </w:rPr>
        <w:t xml:space="preserve"> of 14</w:t>
      </w:r>
      <w:r w:rsidR="002C6733">
        <w:rPr>
          <w:rFonts w:ascii="Verdana" w:hAnsi="Verdana"/>
          <w:lang w:val="en-GB"/>
        </w:rPr>
        <w:t>0 amino-acids</w:t>
      </w:r>
      <w:r w:rsidR="00AF0A3E">
        <w:rPr>
          <w:rFonts w:ascii="Verdana" w:hAnsi="Verdana"/>
          <w:lang w:val="en-GB"/>
        </w:rPr>
        <w:t>,</w:t>
      </w:r>
      <w:r w:rsidR="002C6733">
        <w:rPr>
          <w:rFonts w:ascii="Verdana" w:hAnsi="Verdana"/>
          <w:lang w:val="en-GB"/>
        </w:rPr>
        <w:t xml:space="preserve"> generally sub</w:t>
      </w:r>
      <w:r w:rsidR="00DD3DB2">
        <w:rPr>
          <w:rFonts w:ascii="Verdana" w:hAnsi="Verdana"/>
          <w:lang w:val="en-GB"/>
        </w:rPr>
        <w:t xml:space="preserve">divided into </w:t>
      </w:r>
      <w:r w:rsidR="0076282F">
        <w:rPr>
          <w:rFonts w:ascii="Verdana" w:hAnsi="Verdana"/>
          <w:lang w:val="en-GB"/>
        </w:rPr>
        <w:t>a lysin rich amino-terminus (residues 1-60)</w:t>
      </w:r>
      <w:r w:rsidR="00DD3DB2">
        <w:rPr>
          <w:rFonts w:ascii="Verdana" w:hAnsi="Verdana"/>
          <w:lang w:val="en-GB"/>
        </w:rPr>
        <w:t>,</w:t>
      </w:r>
      <w:r w:rsidR="0032740F">
        <w:rPr>
          <w:rFonts w:ascii="Verdana" w:hAnsi="Verdana"/>
          <w:lang w:val="en-GB"/>
        </w:rPr>
        <w:t xml:space="preserve"> </w:t>
      </w:r>
      <w:r w:rsidR="00DD3DB2">
        <w:rPr>
          <w:rFonts w:ascii="Verdana" w:hAnsi="Verdana"/>
          <w:lang w:val="en-GB"/>
        </w:rPr>
        <w:t>prone to acquire a</w:t>
      </w:r>
      <w:r w:rsidR="001A47FD">
        <w:rPr>
          <w:rFonts w:ascii="Verdana" w:hAnsi="Verdana"/>
          <w:lang w:val="en-GB"/>
        </w:rPr>
        <w:t>n</w:t>
      </w:r>
      <w:r w:rsidR="0032740F">
        <w:rPr>
          <w:rFonts w:ascii="Verdana" w:hAnsi="Verdana"/>
          <w:lang w:val="en-GB"/>
        </w:rPr>
        <w:t xml:space="preserve"> </w:t>
      </w:r>
      <w:r w:rsidR="00FE5D67" w:rsidRPr="00FE5D67">
        <w:rPr>
          <w:rFonts w:ascii="Verdana" w:hAnsi="Verdana" w:cs="Times New Roman"/>
          <w:lang w:val="en-GB"/>
        </w:rPr>
        <w:t>α</w:t>
      </w:r>
      <w:r w:rsidR="0032740F">
        <w:rPr>
          <w:rFonts w:ascii="Verdana" w:hAnsi="Verdana"/>
          <w:lang w:val="en-GB"/>
        </w:rPr>
        <w:t xml:space="preserve">-helix </w:t>
      </w:r>
      <w:r w:rsidR="001A47FD">
        <w:rPr>
          <w:rFonts w:ascii="Verdana" w:hAnsi="Verdana"/>
          <w:lang w:val="en-GB"/>
        </w:rPr>
        <w:t xml:space="preserve">amphipathic </w:t>
      </w:r>
      <w:r w:rsidR="0032740F">
        <w:rPr>
          <w:rFonts w:ascii="Verdana" w:hAnsi="Verdana"/>
          <w:lang w:val="en-GB"/>
        </w:rPr>
        <w:t>structure</w:t>
      </w:r>
      <w:r w:rsidR="00DD3DB2">
        <w:rPr>
          <w:rFonts w:ascii="Verdana" w:hAnsi="Verdana"/>
          <w:lang w:val="en-GB"/>
        </w:rPr>
        <w:t xml:space="preserve"> responsible for membrane binding</w:t>
      </w:r>
      <w:r w:rsidR="0032740F">
        <w:rPr>
          <w:rFonts w:ascii="Verdana" w:hAnsi="Verdana"/>
          <w:lang w:val="en-GB"/>
        </w:rPr>
        <w:t>; a</w:t>
      </w:r>
      <w:r w:rsidR="00E11DE4">
        <w:rPr>
          <w:rFonts w:ascii="Verdana" w:hAnsi="Verdana"/>
          <w:lang w:val="en-GB"/>
        </w:rPr>
        <w:t xml:space="preserve"> highly hydrophobic</w:t>
      </w:r>
      <w:r w:rsidR="0032740F">
        <w:rPr>
          <w:rFonts w:ascii="Verdana" w:hAnsi="Verdana"/>
          <w:lang w:val="en-GB"/>
        </w:rPr>
        <w:t xml:space="preserve"> central region (residues 61-</w:t>
      </w:r>
      <w:r w:rsidR="00E11DE4">
        <w:rPr>
          <w:rFonts w:ascii="Verdana" w:hAnsi="Verdana"/>
          <w:lang w:val="en-GB"/>
        </w:rPr>
        <w:t>95)</w:t>
      </w:r>
      <w:r w:rsidR="007F49E6">
        <w:rPr>
          <w:rFonts w:ascii="Verdana" w:hAnsi="Verdana"/>
          <w:lang w:val="en-GB"/>
        </w:rPr>
        <w:t>,</w:t>
      </w:r>
      <w:r w:rsidR="00B73589">
        <w:rPr>
          <w:rFonts w:ascii="Verdana" w:hAnsi="Verdana"/>
          <w:lang w:val="en-GB"/>
        </w:rPr>
        <w:t xml:space="preserve"> known as the non-amyloid-beta component (NAC);</w:t>
      </w:r>
      <w:r w:rsidR="00F64E96">
        <w:rPr>
          <w:rFonts w:ascii="Verdana" w:hAnsi="Verdana"/>
          <w:lang w:val="en-GB"/>
        </w:rPr>
        <w:t xml:space="preserve"> </w:t>
      </w:r>
      <w:r w:rsidR="00E4579D">
        <w:rPr>
          <w:rFonts w:ascii="Verdana" w:hAnsi="Verdana"/>
          <w:lang w:val="en-GB"/>
        </w:rPr>
        <w:t xml:space="preserve">and </w:t>
      </w:r>
      <w:r w:rsidR="00F64E96">
        <w:rPr>
          <w:rFonts w:ascii="Verdana" w:hAnsi="Verdana"/>
          <w:lang w:val="en-GB"/>
        </w:rPr>
        <w:t>an</w:t>
      </w:r>
      <w:r w:rsidR="007843C0">
        <w:rPr>
          <w:rFonts w:ascii="Verdana" w:hAnsi="Verdana"/>
          <w:lang w:val="en-GB"/>
        </w:rPr>
        <w:t xml:space="preserve"> unstructured</w:t>
      </w:r>
      <w:r w:rsidR="00F64E96">
        <w:rPr>
          <w:rFonts w:ascii="Verdana" w:hAnsi="Verdana"/>
          <w:lang w:val="en-GB"/>
        </w:rPr>
        <w:t xml:space="preserve"> acidic </w:t>
      </w:r>
      <w:r w:rsidR="00FA6E96">
        <w:rPr>
          <w:rFonts w:ascii="Verdana" w:hAnsi="Verdana"/>
          <w:lang w:val="en-GB"/>
        </w:rPr>
        <w:t>carboxy-terminal tail (residues 96-140)</w:t>
      </w:r>
      <w:r w:rsidR="007843C0">
        <w:rPr>
          <w:rFonts w:ascii="Verdana" w:hAnsi="Verdana"/>
          <w:lang w:val="en-GB"/>
        </w:rPr>
        <w:t>, thought to be responsible for interactions with</w:t>
      </w:r>
      <w:r w:rsidR="00D94C4F">
        <w:rPr>
          <w:rFonts w:ascii="Verdana" w:hAnsi="Verdana"/>
          <w:lang w:val="en-GB"/>
        </w:rPr>
        <w:t xml:space="preserve"> other proteins and small molecules</w:t>
      </w:r>
      <w:r w:rsidR="00EC71CB">
        <w:rPr>
          <w:rFonts w:ascii="Verdana" w:hAnsi="Verdana"/>
          <w:lang w:val="en-GB"/>
        </w:rPr>
        <w:t xml:space="preserve"> </w:t>
      </w:r>
      <w:r w:rsidR="00D914D9">
        <w:rPr>
          <w:rFonts w:ascii="Verdana" w:hAnsi="Verdana"/>
          <w:lang w:val="en-GB"/>
        </w:rPr>
        <w:fldChar w:fldCharType="begin"/>
      </w:r>
      <w:r w:rsidR="00D914D9">
        <w:rPr>
          <w:rFonts w:ascii="Verdana" w:hAnsi="Verdana"/>
          <w:lang w:val="en-GB"/>
        </w:rPr>
        <w:instrText xml:space="preserve"> ADDIN ZOTERO_ITEM CSL_CITATION {"citationID":"GZZ6dn4N","properties":{"formattedCitation":"(Breydo, Wu, and Uversky 2012)","plainCitation":"(Breydo, Wu, and Uversky 2012)","noteIndex":0},"citationItems":[{"id":729,"uris":["http://zotero.org/users/9330673/items/4BQMJWJT"],"itemData":{"id":729,"type":"article-journal","abstract":"Substantial evidence links α-synuclein, a small highly conserved presynaptic protein with unknown function, to both familial and sporadic Parkinson's disease (PD). α-Synuclein has been identiﬁed as the major component of Lewy bodies and Lewy neurites, the characteristic proteinaceous deposits that are the hallmarks of PD. αSynuclein is a typical intrinsically disordered protein, but can adopt a number of different conformational states depending on conditions and cofactors. These include the helical membrane-bound form, a partially-folded state that is a key intermediate in aggregation and ﬁbrillation, various oligomeric species, and ﬁbrillar and amorphous aggregates. The molecular basis of PD appears to be tightly coupled to the aggregation of α-synuclein and the factors that affect its conformation. This review examines the different aggregation states of α-synuclein, the molecular mechanism of its aggregation, and the inﬂuence of environmental and genetic factors on this process.","container-title":"Biochimica et Biophysica Acta (BBA) - Molecular Basis of Disease","DOI":"10.1016/j.bbadis.2011.10.002","ISSN":"09254439","issue":"2","journalAbbreviation":"Biochimica et Biophysica Acta (BBA) - Molecular Basis of Disease","language":"en","page":"261-285","source":"DOI.org (Crossref)","title":"α-Synuclein misfolding and Parkinson's disease","volume":"1822","author":[{"family":"Breydo","given":"Leonid"},{"family":"Wu","given":"Jessica W."},{"family":"Uversky","given":"Vladimir N."}],"issued":{"date-parts":[["2012",2]]}}}],"schema":"https://github.com/citation-style-language/schema/raw/master/csl-citation.json"} </w:instrText>
      </w:r>
      <w:r w:rsidR="00D914D9">
        <w:rPr>
          <w:rFonts w:ascii="Verdana" w:hAnsi="Verdana"/>
          <w:lang w:val="en-GB"/>
        </w:rPr>
        <w:fldChar w:fldCharType="separate"/>
      </w:r>
      <w:r w:rsidR="00D914D9" w:rsidRPr="00D914D9">
        <w:rPr>
          <w:rFonts w:ascii="Verdana" w:hAnsi="Verdana"/>
        </w:rPr>
        <w:t>(Breydo, Wu, and Uversky 2012)</w:t>
      </w:r>
      <w:r w:rsidR="00D914D9">
        <w:rPr>
          <w:rFonts w:ascii="Verdana" w:hAnsi="Verdana"/>
          <w:lang w:val="en-GB"/>
        </w:rPr>
        <w:fldChar w:fldCharType="end"/>
      </w:r>
      <w:r w:rsidR="00EC71CB">
        <w:rPr>
          <w:rFonts w:ascii="Verdana" w:hAnsi="Verdana"/>
          <w:lang w:val="en-GB"/>
        </w:rPr>
        <w:t xml:space="preserve">. </w:t>
      </w:r>
      <w:r w:rsidR="002172D7">
        <w:rPr>
          <w:rFonts w:ascii="Verdana" w:hAnsi="Verdana"/>
          <w:lang w:val="en-GB"/>
        </w:rPr>
        <w:t xml:space="preserve">Despite being one of the most abundant proteins in the brain, alpha-synuclein’s function is still unclear. </w:t>
      </w:r>
      <w:r w:rsidR="007C22C9">
        <w:rPr>
          <w:rFonts w:ascii="Verdana" w:hAnsi="Verdana"/>
          <w:lang w:val="en-GB"/>
        </w:rPr>
        <w:t>It</w:t>
      </w:r>
      <w:r w:rsidR="007918AA">
        <w:rPr>
          <w:rFonts w:ascii="Verdana" w:hAnsi="Verdana"/>
          <w:lang w:val="en-GB"/>
        </w:rPr>
        <w:t xml:space="preserve"> has been shown to localise at presynaptic terminals</w:t>
      </w:r>
      <w:r w:rsidR="00CD2CA0">
        <w:rPr>
          <w:rFonts w:ascii="Verdana" w:hAnsi="Verdana"/>
          <w:lang w:val="en-GB"/>
        </w:rPr>
        <w:t xml:space="preserve"> and, to a lesser extent, in mitochondria and nuclei</w:t>
      </w:r>
      <w:r w:rsidR="00336BC8">
        <w:rPr>
          <w:rFonts w:ascii="Verdana" w:hAnsi="Verdana"/>
          <w:lang w:val="en-GB"/>
        </w:rPr>
        <w:t xml:space="preserve"> </w:t>
      </w:r>
      <w:r w:rsidR="00F762D8">
        <w:rPr>
          <w:rFonts w:ascii="Verdana" w:hAnsi="Verdana"/>
          <w:lang w:val="en-GB"/>
        </w:rPr>
        <w:fldChar w:fldCharType="begin"/>
      </w:r>
      <w:r w:rsidR="00F762D8">
        <w:rPr>
          <w:rFonts w:ascii="Verdana" w:hAnsi="Verdana"/>
          <w:lang w:val="en-GB"/>
        </w:rPr>
        <w:instrText xml:space="preserve"> ADDIN ZOTERO_ITEM CSL_CITATION {"citationID":"AMtLoCNS","properties":{"formattedCitation":"(Burr\\uc0\\u233{}, Sharma, and S\\uc0\\u252{}dhof 2018)","plainCitation":"(Burré, Sharma, and Südhof 2018)","noteIndex":0},"citationItems":[{"id":2082,"uris":["http://zotero.org/users/9330673/items/W39ABAU9"],"itemData":{"id":2082,"type":"article-journal","container-title":"Cold Spring Harbor Perspectives in Medicine","DOI":"10.1101/cshperspect.a024091","ISSN":"2157-1422","issue":"3","journalAbbreviation":"Cold Spring Harb Perspect Med","language":"en","page":"a024091","source":"DOI.org (Crossref)","title":"Cell Biology and Pathophysiology of α-Synuclein","volume":"8","author":[{"family":"Burré","given":"Jacqueline"},{"family":"Sharma","given":"Manu"},{"family":"Südhof","given":"Thomas C."}],"issued":{"date-parts":[["2018",3]]}}}],"schema":"https://github.com/citation-style-language/schema/raw/master/csl-citation.json"} </w:instrText>
      </w:r>
      <w:r w:rsidR="00F762D8">
        <w:rPr>
          <w:rFonts w:ascii="Verdana" w:hAnsi="Verdana"/>
          <w:lang w:val="en-GB"/>
        </w:rPr>
        <w:fldChar w:fldCharType="separate"/>
      </w:r>
      <w:r w:rsidR="00F762D8" w:rsidRPr="00F762D8">
        <w:rPr>
          <w:rFonts w:ascii="Verdana" w:hAnsi="Verdana" w:cs="Times New Roman"/>
          <w:szCs w:val="24"/>
        </w:rPr>
        <w:t>(Burré, Sharma, and Südhof 2018)</w:t>
      </w:r>
      <w:r w:rsidR="00F762D8">
        <w:rPr>
          <w:rFonts w:ascii="Verdana" w:hAnsi="Verdana"/>
          <w:lang w:val="en-GB"/>
        </w:rPr>
        <w:fldChar w:fldCharType="end"/>
      </w:r>
      <w:r w:rsidR="00B04127">
        <w:rPr>
          <w:rFonts w:ascii="Verdana" w:hAnsi="Verdana"/>
          <w:lang w:val="en-GB"/>
        </w:rPr>
        <w:t>;</w:t>
      </w:r>
      <w:r w:rsidR="007C22C9">
        <w:rPr>
          <w:rFonts w:ascii="Verdana" w:hAnsi="Verdana"/>
          <w:lang w:val="en-GB"/>
        </w:rPr>
        <w:t xml:space="preserve"> </w:t>
      </w:r>
      <w:r w:rsidR="007C22C9">
        <w:rPr>
          <w:rFonts w:ascii="Verdana" w:hAnsi="Verdana"/>
          <w:lang w:val="en-GB"/>
        </w:rPr>
        <w:lastRenderedPageBreak/>
        <w:t>and i</w:t>
      </w:r>
      <w:r w:rsidR="00E74BC2">
        <w:rPr>
          <w:rFonts w:ascii="Verdana" w:hAnsi="Verdana"/>
          <w:lang w:val="en-GB"/>
        </w:rPr>
        <w:t>t is suggested to play a role i</w:t>
      </w:r>
      <w:r w:rsidR="001859D3">
        <w:rPr>
          <w:rFonts w:ascii="Verdana" w:hAnsi="Verdana"/>
          <w:lang w:val="en-GB"/>
        </w:rPr>
        <w:t>n</w:t>
      </w:r>
      <w:r w:rsidR="000568CA">
        <w:rPr>
          <w:rFonts w:ascii="Verdana" w:hAnsi="Verdana"/>
          <w:lang w:val="en-GB"/>
        </w:rPr>
        <w:t xml:space="preserve"> calcium homeostasis</w:t>
      </w:r>
      <w:r w:rsidR="001859D3">
        <w:rPr>
          <w:rFonts w:ascii="Verdana" w:hAnsi="Verdana"/>
          <w:lang w:val="en-GB"/>
        </w:rPr>
        <w:t>, neurotransmission</w:t>
      </w:r>
      <w:r w:rsidR="0057583E">
        <w:rPr>
          <w:rFonts w:ascii="Verdana" w:hAnsi="Verdana"/>
          <w:lang w:val="en-GB"/>
        </w:rPr>
        <w:t xml:space="preserve"> </w:t>
      </w:r>
      <w:r w:rsidR="0057583E">
        <w:rPr>
          <w:rFonts w:ascii="Verdana" w:hAnsi="Verdana"/>
          <w:lang w:val="en-GB"/>
        </w:rPr>
        <w:fldChar w:fldCharType="begin"/>
      </w:r>
      <w:r w:rsidR="0057583E">
        <w:rPr>
          <w:rFonts w:ascii="Verdana" w:hAnsi="Verdana"/>
          <w:lang w:val="en-GB"/>
        </w:rPr>
        <w:instrText xml:space="preserve"> ADDIN ZOTERO_ITEM CSL_CITATION {"citationID":"51jknThT","properties":{"formattedCitation":"(Butler, Sambo, and Khoshbouei 2017)","plainCitation":"(Butler, Sambo, and Khoshbouei 2017)","noteIndex":0},"citationItems":[{"id":737,"uris":["http://zotero.org/users/9330673/items/P8MRN2CL"],"itemData":{"id":737,"type":"article-journal","abstract":"Alpha-synuclein is a small, highly charged protein encoded by the synuclein or SNCA gene that is predominantly expressed in central nervous system neurons. Although its physiological function remains enigmatic, alpha-synuclein is implicated in movement disorders such as Parkinson’s disease, multiple system atrophy, and in neurodegenerative diseases such as Dementia with Lewy bodies. Here we have focused on reviewing the existing literature pertaining to wild-type alphasynuclein structure, its properties, and its potential involvement in regulation of dopamine neurotransmission.","container-title":"Journal of Chemical Neuroanatomy","DOI":"10.1016/j.jchemneu.2016.06.001","ISSN":"08910618","journalAbbreviation":"Journal of Chemical Neuroanatomy","language":"en","page":"41-49","source":"DOI.org (Crossref)","title":"Alpha-synuclein modulates dopamine neurotransmission","volume":"83-84","author":[{"family":"Butler","given":"Brittany"},{"family":"Sambo","given":"Danielle"},{"family":"Khoshbouei","given":"Habibeh"}],"issued":{"date-parts":[["2017",10]]}}}],"schema":"https://github.com/citation-style-language/schema/raw/master/csl-citation.json"} </w:instrText>
      </w:r>
      <w:r w:rsidR="0057583E">
        <w:rPr>
          <w:rFonts w:ascii="Verdana" w:hAnsi="Verdana"/>
          <w:lang w:val="en-GB"/>
        </w:rPr>
        <w:fldChar w:fldCharType="separate"/>
      </w:r>
      <w:r w:rsidR="0057583E" w:rsidRPr="0057583E">
        <w:rPr>
          <w:rFonts w:ascii="Verdana" w:hAnsi="Verdana"/>
        </w:rPr>
        <w:t>(Butler, Sambo, and Khoshbouei 2017)</w:t>
      </w:r>
      <w:r w:rsidR="0057583E">
        <w:rPr>
          <w:rFonts w:ascii="Verdana" w:hAnsi="Verdana"/>
          <w:lang w:val="en-GB"/>
        </w:rPr>
        <w:fldChar w:fldCharType="end"/>
      </w:r>
      <w:r w:rsidR="00E74BC2">
        <w:rPr>
          <w:rFonts w:ascii="Verdana" w:hAnsi="Verdana"/>
          <w:lang w:val="en-GB"/>
        </w:rPr>
        <w:t xml:space="preserve">, </w:t>
      </w:r>
      <w:r w:rsidR="001D3BDF">
        <w:rPr>
          <w:rFonts w:ascii="Verdana" w:hAnsi="Verdana"/>
          <w:lang w:val="en-GB"/>
        </w:rPr>
        <w:t>DNA damage response</w:t>
      </w:r>
      <w:r w:rsidR="0057583E">
        <w:rPr>
          <w:rFonts w:ascii="Verdana" w:hAnsi="Verdana"/>
          <w:lang w:val="en-GB"/>
        </w:rPr>
        <w:t xml:space="preserve"> </w:t>
      </w:r>
      <w:r w:rsidR="0057583E">
        <w:rPr>
          <w:rFonts w:ascii="Verdana" w:hAnsi="Verdana"/>
          <w:lang w:val="en-GB"/>
        </w:rPr>
        <w:fldChar w:fldCharType="begin"/>
      </w:r>
      <w:r w:rsidR="0057583E">
        <w:rPr>
          <w:rFonts w:ascii="Verdana" w:hAnsi="Verdana"/>
          <w:lang w:val="en-GB"/>
        </w:rPr>
        <w:instrText xml:space="preserve"> ADDIN ZOTERO_ITEM CSL_CITATION {"citationID":"d2qQNNyI","properties":{"formattedCitation":"(Schaser et al. 2019)","plainCitation":"(Schaser et al. 2019)","noteIndex":0},"citationItems":[{"id":92,"uris":["http://zotero.org/users/9330673/items/NUHLI27B"],"itemData":{"id":92,"type":"article-journal","container-title":"Scientific Reports","DOI":"10.1038/s41598-019-47227-z","ISSN":"2045-2322","issue":"1","journalAbbreviation":"Sci Rep","language":"en","page":"10919","source":"DOI.org (Crossref)","title":"Alpha-synuclein is a DNA binding protein that modulates DNA repair with implications for Lewy body disorders","volume":"9","author":[{"family":"Schaser","given":"Allison J."},{"family":"Osterberg","given":"Valerie R."},{"family":"Dent","given":"Sydney E."},{"family":"Stackhouse","given":"Teresa L."},{"family":"Wakeham","given":"Colin M."},{"family":"Boutros","given":"Sydney W."},{"family":"Weston","given":"Leah J."},{"family":"Owen","given":"Nichole"},{"family":"Weissman","given":"Tamily A."},{"family":"Luna","given":"Esteban"},{"family":"Raber","given":"Jacob"},{"family":"Luk","given":"Kelvin C."},{"family":"McCullough","given":"Amanda K."},{"family":"Woltjer","given":"Randall L."},{"family":"Unni","given":"Vivek K."}],"issued":{"date-parts":[["2019",12]]}}}],"schema":"https://github.com/citation-style-language/schema/raw/master/csl-citation.json"} </w:instrText>
      </w:r>
      <w:r w:rsidR="0057583E">
        <w:rPr>
          <w:rFonts w:ascii="Verdana" w:hAnsi="Verdana"/>
          <w:lang w:val="en-GB"/>
        </w:rPr>
        <w:fldChar w:fldCharType="separate"/>
      </w:r>
      <w:r w:rsidR="0057583E" w:rsidRPr="0057583E">
        <w:rPr>
          <w:rFonts w:ascii="Verdana" w:hAnsi="Verdana"/>
        </w:rPr>
        <w:t>(Schaser et al. 2019)</w:t>
      </w:r>
      <w:r w:rsidR="0057583E">
        <w:rPr>
          <w:rFonts w:ascii="Verdana" w:hAnsi="Verdana"/>
          <w:lang w:val="en-GB"/>
        </w:rPr>
        <w:fldChar w:fldCharType="end"/>
      </w:r>
      <w:r w:rsidR="00B24D4B">
        <w:rPr>
          <w:rFonts w:ascii="Verdana" w:hAnsi="Verdana"/>
          <w:lang w:val="en-GB"/>
        </w:rPr>
        <w:t xml:space="preserve"> </w:t>
      </w:r>
      <w:r w:rsidR="001D3BDF">
        <w:rPr>
          <w:rFonts w:ascii="Verdana" w:hAnsi="Verdana"/>
          <w:lang w:val="en-GB"/>
        </w:rPr>
        <w:t>and gene expression regulation</w:t>
      </w:r>
      <w:r w:rsidR="00C2266A">
        <w:rPr>
          <w:rFonts w:ascii="Verdana" w:hAnsi="Verdana"/>
          <w:lang w:val="en-GB"/>
        </w:rPr>
        <w:t xml:space="preserve"> </w:t>
      </w:r>
      <w:r w:rsidR="00C2266A">
        <w:rPr>
          <w:rFonts w:ascii="Verdana" w:hAnsi="Verdana"/>
          <w:lang w:val="en-GB"/>
        </w:rPr>
        <w:fldChar w:fldCharType="begin"/>
      </w:r>
      <w:r w:rsidR="00C2266A">
        <w:rPr>
          <w:rFonts w:ascii="Verdana" w:hAnsi="Verdana"/>
          <w:lang w:val="en-GB"/>
        </w:rPr>
        <w:instrText xml:space="preserve"> ADDIN ZOTERO_ITEM CSL_CITATION {"citationID":"ZfaheTaJ","properties":{"formattedCitation":"(Siddiqui et al. 2012)","plainCitation":"(Siddiqui et al. 2012)","noteIndex":0},"citationItems":[{"id":100,"uris":["http://zotero.org/users/9330673/items/EIBQ76JN"],"itemData":{"id":100,"type":"article-journal","abstract":"Alpha-synuclein has been reported to be present in the nucleus and levels enhanced by oxidative stress. Herein, we sought to investigate the mechanistic role of nuclear alpha-synuclein. We found that alpha-synuclein nuclear localization coincided with enhanced chromatin binding both in an in vitro and a corresponding in vivo brain oxidative stress model previously characterized by our laboratory as well as in PD brain tissues. Genome-wide chromatin immunoprecipitation (ChIP)on-chip analysis of alpha-synuclein:promoter binding in response to oxidative stress in vitro revealed that binding occurs at several promoters belonging to a range of functional categories including transcriptional regulation. Interestingly, given the important role of mitochondrial dysfunction in PD, this included binding to the promoter for the master mitochondrial transcription activator, PGC1alpha in vitro, in vivo, and in human brain tissue with age and PD. To test the possible mechanistic impact of alpha-synuclein PGC1alpha promotor binding, we assessed PGC1alpha promoter activity, mRNA, and protein levels and expression of candidate PGC1alpha-target genes in our in vitro model. All were found to be reduced in conjunction with increased levels of aberrant mitochondrial morphology and impaired mitochondrial function. Exogenous PGC1alpha expression was found to attenuate alpha-synuclein-mediated mitochondrial dysfunction and subsequent neurotoxicity in vitro. Our data suggests that nuclear alpha-synuclein localization under conditions of oxidative stress may impact on mitochondrial function in part via the protein’s capacity to act as a transcriptional modulator of PGC1alpha. This represents a novel role for alpha-synuclein as it relates to mitochondrial dysfunction in PD.","container-title":"Free Radical Biology and Medicine","DOI":"10.1016/j.freeradbiomed.2012.05.024","ISSN":"08915849","issue":"4","journalAbbreviation":"Free Radical Biology and Medicine","language":"en","page":"993-1003","source":"DOI.org (Crossref)","title":"Selective binding of nuclear alpha-synuclein to the PGC1alpha promoter under conditions of oxidative stress may contribute to losses in mitochondrial function: Implications for Parkinson’s disease","title-short":"Selective binding of nuclear alpha-synuclein to the PGC1alpha promoter under conditions of oxidative stress may contribute to losses in mitochondrial function","volume":"53","author":[{"family":"Siddiqui","given":"Almas"},{"family":"Chinta","given":"Shankar J."},{"family":"Mallajosyula","given":"Jyothi K."},{"family":"Rajagopolan","given":"Subramanian"},{"family":"Hanson","given":"Ingrid"},{"family":"Rane","given":"Anand"},{"family":"Melov","given":"Simon"},{"family":"Andersen","given":"Julie K."}],"issued":{"date-parts":[["2012",8]]}}}],"schema":"https://github.com/citation-style-language/schema/raw/master/csl-citation.json"} </w:instrText>
      </w:r>
      <w:r w:rsidR="00C2266A">
        <w:rPr>
          <w:rFonts w:ascii="Verdana" w:hAnsi="Verdana"/>
          <w:lang w:val="en-GB"/>
        </w:rPr>
        <w:fldChar w:fldCharType="separate"/>
      </w:r>
      <w:r w:rsidR="00C2266A" w:rsidRPr="00C2266A">
        <w:rPr>
          <w:rFonts w:ascii="Verdana" w:hAnsi="Verdana"/>
        </w:rPr>
        <w:t>(Siddiqui et al. 2012)</w:t>
      </w:r>
      <w:r w:rsidR="00C2266A">
        <w:rPr>
          <w:rFonts w:ascii="Verdana" w:hAnsi="Verdana"/>
          <w:lang w:val="en-GB"/>
        </w:rPr>
        <w:fldChar w:fldCharType="end"/>
      </w:r>
      <w:r w:rsidR="001D3BDF">
        <w:rPr>
          <w:rFonts w:ascii="Verdana" w:hAnsi="Verdana"/>
          <w:lang w:val="en-GB"/>
        </w:rPr>
        <w:t>.</w:t>
      </w:r>
    </w:p>
    <w:p w14:paraId="36E94C1C" w14:textId="4E55C274" w:rsidR="006013B1" w:rsidRDefault="00A40F42" w:rsidP="00291DAF">
      <w:pPr>
        <w:spacing w:line="360" w:lineRule="auto"/>
        <w:jc w:val="both"/>
        <w:rPr>
          <w:rFonts w:ascii="Verdana" w:hAnsi="Verdana"/>
          <w:lang w:val="en-GB"/>
        </w:rPr>
      </w:pPr>
      <w:r>
        <w:rPr>
          <w:rFonts w:ascii="Verdana" w:hAnsi="Verdana"/>
          <w:lang w:val="en-GB"/>
        </w:rPr>
        <w:t>In its native state, alpha-synuclein lacks a well-defined structure and is therefore referred to as an intrinsically disordered protein</w:t>
      </w:r>
      <w:r w:rsidR="00C2266A">
        <w:rPr>
          <w:rFonts w:ascii="Verdana" w:hAnsi="Verdana"/>
          <w:lang w:val="en-GB"/>
        </w:rPr>
        <w:t xml:space="preserve"> </w:t>
      </w:r>
      <w:r w:rsidR="00C2266A">
        <w:rPr>
          <w:rFonts w:ascii="Verdana" w:hAnsi="Verdana"/>
          <w:lang w:val="en-GB"/>
        </w:rPr>
        <w:fldChar w:fldCharType="begin"/>
      </w:r>
      <w:r w:rsidR="00C2266A">
        <w:rPr>
          <w:rFonts w:ascii="Verdana" w:hAnsi="Verdana"/>
          <w:lang w:val="en-GB"/>
        </w:rPr>
        <w:instrText xml:space="preserve"> ADDIN ZOTERO_ITEM CSL_CITATION {"citationID":"BIr32CT0","properties":{"formattedCitation":"(Uversky, Li, and Fink 2001)","plainCitation":"(Uversky, Li, and Fink 2001)","noteIndex":0},"citationItems":[{"id":842,"uris":["http://zotero.org/users/9330673/items/VGQT688K"],"itemData":{"id":842,"type":"article-journal","container-title":"Journal of Biological Chemistry","DOI":"10.1074/jbc.M010907200","ISSN":"00219258","issue":"14","journalAbbreviation":"Journal of Biological Chemistry","language":"en","page":"10737-10744","source":"DOI.org (Crossref)","title":"Evidence for a Partially Folded Intermediate in α-Synuclein Fibril Formation","volume":"276","author":[{"family":"Uversky","given":"Vladimir N."},{"family":"Li","given":"Jie"},{"family":"Fink","given":"Anthony L."}],"issued":{"date-parts":[["2001",4]]}}}],"schema":"https://github.com/citation-style-language/schema/raw/master/csl-citation.json"} </w:instrText>
      </w:r>
      <w:r w:rsidR="00C2266A">
        <w:rPr>
          <w:rFonts w:ascii="Verdana" w:hAnsi="Verdana"/>
          <w:lang w:val="en-GB"/>
        </w:rPr>
        <w:fldChar w:fldCharType="separate"/>
      </w:r>
      <w:r w:rsidR="00C2266A" w:rsidRPr="00C2266A">
        <w:rPr>
          <w:rFonts w:ascii="Verdana" w:hAnsi="Verdana"/>
        </w:rPr>
        <w:t>(Uversky, Li, and Fink 2001)</w:t>
      </w:r>
      <w:r w:rsidR="00C2266A">
        <w:rPr>
          <w:rFonts w:ascii="Verdana" w:hAnsi="Verdana"/>
          <w:lang w:val="en-GB"/>
        </w:rPr>
        <w:fldChar w:fldCharType="end"/>
      </w:r>
      <w:r w:rsidR="00970D60">
        <w:rPr>
          <w:rFonts w:ascii="Verdana" w:hAnsi="Verdana"/>
          <w:lang w:val="en-GB"/>
        </w:rPr>
        <w:t xml:space="preserve">. </w:t>
      </w:r>
      <w:r w:rsidR="00C34ABA">
        <w:rPr>
          <w:rFonts w:ascii="Verdana" w:hAnsi="Verdana"/>
          <w:lang w:val="en-GB"/>
        </w:rPr>
        <w:t xml:space="preserve">Under </w:t>
      </w:r>
      <w:r w:rsidR="00E26677">
        <w:rPr>
          <w:rFonts w:ascii="Verdana" w:hAnsi="Verdana"/>
          <w:lang w:val="en-GB"/>
        </w:rPr>
        <w:t xml:space="preserve">pathological </w:t>
      </w:r>
      <w:r w:rsidR="00C34ABA">
        <w:rPr>
          <w:rFonts w:ascii="Verdana" w:hAnsi="Verdana"/>
          <w:lang w:val="en-GB"/>
        </w:rPr>
        <w:t>conditions, unfolded alpha-synuclein monomers can misfold and</w:t>
      </w:r>
      <w:r w:rsidR="00D9182C">
        <w:rPr>
          <w:rFonts w:ascii="Verdana" w:hAnsi="Verdana"/>
          <w:lang w:val="en-GB"/>
        </w:rPr>
        <w:t xml:space="preserve"> alternatively</w:t>
      </w:r>
      <w:r w:rsidR="00C34ABA">
        <w:rPr>
          <w:rFonts w:ascii="Verdana" w:hAnsi="Verdana"/>
          <w:lang w:val="en-GB"/>
        </w:rPr>
        <w:t xml:space="preserve"> </w:t>
      </w:r>
      <w:r w:rsidR="00E26677">
        <w:rPr>
          <w:rFonts w:ascii="Verdana" w:hAnsi="Verdana"/>
          <w:lang w:val="en-GB"/>
        </w:rPr>
        <w:t>aggregate into oligomer</w:t>
      </w:r>
      <w:r w:rsidR="00D9182C">
        <w:rPr>
          <w:rFonts w:ascii="Verdana" w:hAnsi="Verdana"/>
          <w:lang w:val="en-GB"/>
        </w:rPr>
        <w:t>ic</w:t>
      </w:r>
      <w:r w:rsidR="00E26677">
        <w:rPr>
          <w:rFonts w:ascii="Verdana" w:hAnsi="Verdana"/>
          <w:lang w:val="en-GB"/>
        </w:rPr>
        <w:t xml:space="preserve"> and fibril</w:t>
      </w:r>
      <w:r w:rsidR="00D9182C">
        <w:rPr>
          <w:rFonts w:ascii="Verdana" w:hAnsi="Verdana"/>
          <w:lang w:val="en-GB"/>
        </w:rPr>
        <w:t>lar structures</w:t>
      </w:r>
      <w:r w:rsidR="0010789D">
        <w:rPr>
          <w:rFonts w:ascii="Verdana" w:hAnsi="Verdana"/>
          <w:lang w:val="en-GB"/>
        </w:rPr>
        <w:t xml:space="preserve"> (Figure 3)</w:t>
      </w:r>
      <w:r w:rsidR="000A0B86">
        <w:rPr>
          <w:rFonts w:ascii="Verdana" w:hAnsi="Verdana"/>
          <w:lang w:val="en-GB"/>
        </w:rPr>
        <w:t xml:space="preserve">, which are observed in a set of neurodegenerative conditions known as </w:t>
      </w:r>
      <w:proofErr w:type="spellStart"/>
      <w:r w:rsidR="000A0B86">
        <w:rPr>
          <w:rFonts w:ascii="Verdana" w:hAnsi="Verdana"/>
          <w:lang w:val="en-GB"/>
        </w:rPr>
        <w:t>synucleinopathies</w:t>
      </w:r>
      <w:proofErr w:type="spellEnd"/>
      <w:r w:rsidR="00970D60">
        <w:rPr>
          <w:rFonts w:ascii="Verdana" w:hAnsi="Verdana"/>
          <w:lang w:val="en-GB"/>
        </w:rPr>
        <w:t xml:space="preserve"> </w:t>
      </w:r>
      <w:r w:rsidR="00970D60">
        <w:rPr>
          <w:rFonts w:ascii="Verdana" w:hAnsi="Verdana"/>
          <w:lang w:val="en-GB"/>
        </w:rPr>
        <w:fldChar w:fldCharType="begin"/>
      </w:r>
      <w:r w:rsidR="00970D60">
        <w:rPr>
          <w:rFonts w:ascii="Verdana" w:hAnsi="Verdana"/>
          <w:lang w:val="en-GB"/>
        </w:rPr>
        <w:instrText xml:space="preserve"> ADDIN ZOTERO_ITEM CSL_CITATION {"citationID":"dQ6ZwLgS","properties":{"formattedCitation":"(Coon and Singer 2020)","plainCitation":"(Coon and Singer 2020)","noteIndex":0},"citationItems":[{"id":745,"uris":["http://zotero.org/users/9330673/items/2CKZQZ69"],"itemData":{"id":745,"type":"article-journal","abstract":"PURPOSE OF REVIEW: This article reviews the α-synucleinopathies pure autonomic failure, multiple system atrophy, dementia with Lewy bodies, and Parkinson disease with respect to autonomic failure.","container-title":"CONTINUUM: Lifelong Learning in Neurology","DOI":"10.1212/CON.0000000000000819","ISSN":"1080-2371","issue":"1","journalAbbreviation":"CONTINUUM: Lifelong Learning in Neurology","language":"en","page":"72-92","source":"DOI.org (Crossref)","title":"Synucleinopathies:","title-short":"Synucleinopathies","volume":"26","author":[{"family":"Coon","given":"Elizabeth A."},{"family":"Singer","given":"Wolfgang"}],"issued":{"date-parts":[["2020",2]]}}}],"schema":"https://github.com/citation-style-language/schema/raw/master/csl-citation.json"} </w:instrText>
      </w:r>
      <w:r w:rsidR="00970D60">
        <w:rPr>
          <w:rFonts w:ascii="Verdana" w:hAnsi="Verdana"/>
          <w:lang w:val="en-GB"/>
        </w:rPr>
        <w:fldChar w:fldCharType="separate"/>
      </w:r>
      <w:r w:rsidR="00970D60" w:rsidRPr="00970D60">
        <w:rPr>
          <w:rFonts w:ascii="Verdana" w:hAnsi="Verdana"/>
        </w:rPr>
        <w:t>(Coon and Singer 2020)</w:t>
      </w:r>
      <w:r w:rsidR="00970D60">
        <w:rPr>
          <w:rFonts w:ascii="Verdana" w:hAnsi="Verdana"/>
          <w:lang w:val="en-GB"/>
        </w:rPr>
        <w:fldChar w:fldCharType="end"/>
      </w:r>
      <w:r w:rsidR="000A0B86">
        <w:rPr>
          <w:rFonts w:ascii="Verdana" w:hAnsi="Verdana"/>
          <w:lang w:val="en-GB"/>
        </w:rPr>
        <w:t>.</w:t>
      </w:r>
      <w:r w:rsidR="00EC0A57">
        <w:rPr>
          <w:rFonts w:ascii="Verdana" w:hAnsi="Verdana"/>
          <w:lang w:val="en-GB"/>
        </w:rPr>
        <w:t xml:space="preserve"> According to their cellular localisation, alpha-synuclein aggregates are </w:t>
      </w:r>
      <w:r w:rsidR="00A454A1">
        <w:rPr>
          <w:rFonts w:ascii="Verdana" w:hAnsi="Verdana"/>
          <w:lang w:val="en-GB"/>
        </w:rPr>
        <w:t xml:space="preserve">separated into Lewy Bodies (LBs) </w:t>
      </w:r>
      <w:r w:rsidR="00B46846">
        <w:rPr>
          <w:rFonts w:ascii="Verdana" w:hAnsi="Verdana"/>
          <w:lang w:val="en-GB"/>
        </w:rPr>
        <w:t xml:space="preserve">when </w:t>
      </w:r>
      <w:r w:rsidR="00131AEA">
        <w:rPr>
          <w:rFonts w:ascii="Verdana" w:hAnsi="Verdana"/>
          <w:lang w:val="en-GB"/>
        </w:rPr>
        <w:t>in t</w:t>
      </w:r>
      <w:r w:rsidR="0058158C">
        <w:rPr>
          <w:rFonts w:ascii="Verdana" w:hAnsi="Verdana"/>
          <w:lang w:val="en-GB"/>
        </w:rPr>
        <w:t>he cellular body</w:t>
      </w:r>
      <w:r w:rsidR="00131AEA">
        <w:rPr>
          <w:rFonts w:ascii="Verdana" w:hAnsi="Verdana"/>
          <w:lang w:val="en-GB"/>
        </w:rPr>
        <w:t>,</w:t>
      </w:r>
      <w:r w:rsidR="00A454A1">
        <w:rPr>
          <w:rFonts w:ascii="Verdana" w:hAnsi="Verdana"/>
          <w:lang w:val="en-GB"/>
        </w:rPr>
        <w:t xml:space="preserve"> and Lewy Neurites (LNs)</w:t>
      </w:r>
      <w:r w:rsidR="00B04127">
        <w:rPr>
          <w:rFonts w:ascii="Verdana" w:hAnsi="Verdana"/>
          <w:lang w:val="en-GB"/>
        </w:rPr>
        <w:t xml:space="preserve"> when</w:t>
      </w:r>
      <w:r w:rsidR="00131AEA">
        <w:rPr>
          <w:rFonts w:ascii="Verdana" w:hAnsi="Verdana"/>
          <w:lang w:val="en-GB"/>
        </w:rPr>
        <w:t xml:space="preserve"> in</w:t>
      </w:r>
      <w:r w:rsidR="00223FBA">
        <w:rPr>
          <w:rFonts w:ascii="Verdana" w:hAnsi="Verdana"/>
          <w:lang w:val="en-GB"/>
        </w:rPr>
        <w:t xml:space="preserve"> dystrophic</w:t>
      </w:r>
      <w:r w:rsidR="00131AEA">
        <w:rPr>
          <w:rFonts w:ascii="Verdana" w:hAnsi="Verdana"/>
          <w:lang w:val="en-GB"/>
        </w:rPr>
        <w:t xml:space="preserve"> axons</w:t>
      </w:r>
      <w:r w:rsidR="00B46846">
        <w:rPr>
          <w:rFonts w:ascii="Verdana" w:hAnsi="Verdana"/>
          <w:lang w:val="en-GB"/>
        </w:rPr>
        <w:t xml:space="preserve"> and dendrites</w:t>
      </w:r>
      <w:r w:rsidR="00A454A1">
        <w:rPr>
          <w:rFonts w:ascii="Verdana" w:hAnsi="Verdana"/>
          <w:lang w:val="en-GB"/>
        </w:rPr>
        <w:t>.</w:t>
      </w:r>
      <w:r w:rsidR="000A0B86">
        <w:rPr>
          <w:rFonts w:ascii="Verdana" w:hAnsi="Verdana"/>
          <w:lang w:val="en-GB"/>
        </w:rPr>
        <w:t xml:space="preserve"> </w:t>
      </w:r>
      <w:r w:rsidR="00FB2C78">
        <w:rPr>
          <w:rFonts w:ascii="Verdana" w:hAnsi="Verdana"/>
          <w:lang w:val="en-GB"/>
        </w:rPr>
        <w:t xml:space="preserve">Classical </w:t>
      </w:r>
      <w:r w:rsidR="00A454A1">
        <w:rPr>
          <w:rFonts w:ascii="Verdana" w:hAnsi="Verdana"/>
          <w:lang w:val="en-GB"/>
        </w:rPr>
        <w:t>LBs</w:t>
      </w:r>
      <w:r w:rsidR="00E74857">
        <w:rPr>
          <w:rFonts w:ascii="Verdana" w:hAnsi="Verdana"/>
          <w:lang w:val="en-GB"/>
        </w:rPr>
        <w:t xml:space="preserve"> are spherical aggregates </w:t>
      </w:r>
      <w:r w:rsidR="00593659">
        <w:rPr>
          <w:rFonts w:ascii="Verdana" w:hAnsi="Verdana"/>
          <w:lang w:val="en-GB"/>
        </w:rPr>
        <w:t>of</w:t>
      </w:r>
      <w:r w:rsidR="00E74857">
        <w:rPr>
          <w:rFonts w:ascii="Verdana" w:hAnsi="Verdana"/>
          <w:lang w:val="en-GB"/>
        </w:rPr>
        <w:t xml:space="preserve"> 4-25µm</w:t>
      </w:r>
      <w:r w:rsidR="00593659">
        <w:rPr>
          <w:rFonts w:ascii="Verdana" w:hAnsi="Verdana"/>
          <w:lang w:val="en-GB"/>
        </w:rPr>
        <w:t xml:space="preserve"> in diameter, composed by</w:t>
      </w:r>
      <w:r w:rsidR="00FB2C78">
        <w:rPr>
          <w:rFonts w:ascii="Verdana" w:hAnsi="Verdana"/>
          <w:lang w:val="en-GB"/>
        </w:rPr>
        <w:t xml:space="preserve"> a dense core</w:t>
      </w:r>
      <w:r w:rsidR="00AA5516">
        <w:rPr>
          <w:rFonts w:ascii="Verdana" w:hAnsi="Verdana"/>
          <w:lang w:val="en-GB"/>
        </w:rPr>
        <w:t xml:space="preserve"> surrounded</w:t>
      </w:r>
      <w:r w:rsidR="00FB2C78">
        <w:rPr>
          <w:rFonts w:ascii="Verdana" w:hAnsi="Verdana"/>
          <w:lang w:val="en-GB"/>
        </w:rPr>
        <w:t xml:space="preserve"> by a halo o</w:t>
      </w:r>
      <w:r w:rsidR="00507ED7">
        <w:rPr>
          <w:rFonts w:ascii="Verdana" w:hAnsi="Verdana"/>
          <w:lang w:val="en-GB"/>
        </w:rPr>
        <w:t>f</w:t>
      </w:r>
      <w:r w:rsidR="00F91A50">
        <w:rPr>
          <w:rFonts w:ascii="Verdana" w:hAnsi="Verdana"/>
          <w:lang w:val="en-GB"/>
        </w:rPr>
        <w:t xml:space="preserve"> </w:t>
      </w:r>
      <w:r w:rsidR="005A3787">
        <w:rPr>
          <w:rFonts w:ascii="Verdana" w:hAnsi="Verdana"/>
          <w:lang w:val="en-GB"/>
        </w:rPr>
        <w:t>5-10nm wide fibrils</w:t>
      </w:r>
      <w:r w:rsidR="00F2469E">
        <w:rPr>
          <w:rFonts w:ascii="Verdana" w:hAnsi="Verdana"/>
          <w:lang w:val="en-GB"/>
        </w:rPr>
        <w:t>, and rich in β-sheets structures</w:t>
      </w:r>
      <w:r w:rsidR="00970D60">
        <w:rPr>
          <w:rFonts w:ascii="Verdana" w:hAnsi="Verdana"/>
          <w:lang w:val="en-GB"/>
        </w:rPr>
        <w:t xml:space="preserve"> </w:t>
      </w:r>
      <w:r w:rsidR="00970D60">
        <w:rPr>
          <w:rFonts w:ascii="Verdana" w:hAnsi="Verdana"/>
          <w:lang w:val="en-GB"/>
        </w:rPr>
        <w:fldChar w:fldCharType="begin"/>
      </w:r>
      <w:r w:rsidR="00970D60">
        <w:rPr>
          <w:rFonts w:ascii="Verdana" w:hAnsi="Verdana"/>
          <w:lang w:val="en-GB"/>
        </w:rPr>
        <w:instrText xml:space="preserve"> ADDIN ZOTERO_ITEM CSL_CITATION {"citationID":"NuhnibAr","properties":{"formattedCitation":"(Spillantini et al. 1998)","plainCitation":"(Spillantini et al. 1998)","noteIndex":0},"citationItems":[{"id":841,"uris":["http://zotero.org/users/9330673/items/T9ZR6DYH"],"itemData":{"id":841,"type":"article-journal","abstract":"Lewy bodies and Lewy neurites are the defining neuropathological characteristics of Parkinson’s disease and dementia with Lewy bodies. They are made of abnormal filamentous assemblies of unknown composition. We show here that Lewy bodies and Lewy neurites from Parkinson’s disease and dementia with Lewy bodies are stained strongly by antibodies directed against aminoterminal and carboxyl-terminal sequences of </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 showing the presence of full-length or close to full-length </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 The number of </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-synuclein-stained structures exceeded that immunoreactive for ubiquitin, which is currently the most sensitive marker of Lewy bodies and Lewy neurites. Staining for </w:instrText>
      </w:r>
      <w:r w:rsidR="00970D60">
        <w:rPr>
          <w:rFonts w:ascii="MS Gothic" w:eastAsia="MS Gothic" w:hAnsi="MS Gothic" w:cs="MS Gothic" w:hint="eastAsia"/>
          <w:lang w:val="en-GB"/>
        </w:rPr>
        <w:instrText>␣</w:instrText>
      </w:r>
      <w:r w:rsidR="00970D60">
        <w:rPr>
          <w:rFonts w:ascii="Verdana" w:hAnsi="Verdana"/>
          <w:lang w:val="en-GB"/>
        </w:rPr>
        <w:instrText>-synuclein thus will replace staining for ubiquitin as the preferred method for detecting Lewy bodies and Lewy neurites. We have isolated Lewy body filaments by a method used for the extraction of paired helical filaments from Alzheimer’s disease brain. By immunoelectron microscopy, extracted filaments were labeled strongly by anti-</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 antibodies. The morphologies of the 5- to 10-nm filaments and their staining characteristics suggest that extended </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 molecules run parallel to the filament axis and that the filaments are polar structures. These findings indicate that </w:instrText>
      </w:r>
      <w:r w:rsidR="00970D60">
        <w:rPr>
          <w:rFonts w:ascii="MS Gothic" w:eastAsia="MS Gothic" w:hAnsi="MS Gothic" w:cs="MS Gothic" w:hint="eastAsia"/>
          <w:lang w:val="en-GB"/>
        </w:rPr>
        <w:instrText>␣</w:instrText>
      </w:r>
      <w:r w:rsidR="00970D60">
        <w:rPr>
          <w:rFonts w:ascii="Verdana" w:hAnsi="Verdana"/>
          <w:lang w:val="en-GB"/>
        </w:rPr>
        <w:instrText xml:space="preserve">-synuclein forms the major filamentous component of Lewy bodies and Lewy neurites.","container-title":"Proc. Natl. Acad. Sci. USA","language":"en","page":"5","source":"Zotero","title":"Parkinson’s disease and dementia with Lewy bodies","author":[{"family":"Spillantini","given":"Maria Grazia"},{"family":"Crowther","given":"R Anthony"},{"family":"Jakes","given":"Ross"},{"family":"Hasegawa","given":"Masato"},{"family":"Goedert","given":"Michel"}],"issued":{"date-parts":[["1998"]]}}}],"schema":"https://github.com/citation-style-language/schema/raw/master/csl-citation.json"} </w:instrText>
      </w:r>
      <w:r w:rsidR="00970D60">
        <w:rPr>
          <w:rFonts w:ascii="Verdana" w:hAnsi="Verdana"/>
          <w:lang w:val="en-GB"/>
        </w:rPr>
        <w:fldChar w:fldCharType="separate"/>
      </w:r>
      <w:r w:rsidR="00970D60" w:rsidRPr="00970D60">
        <w:rPr>
          <w:rFonts w:ascii="Verdana" w:hAnsi="Verdana"/>
        </w:rPr>
        <w:t>(Spillantini et al. 1998)</w:t>
      </w:r>
      <w:r w:rsidR="00970D60">
        <w:rPr>
          <w:rFonts w:ascii="Verdana" w:hAnsi="Verdana"/>
          <w:lang w:val="en-GB"/>
        </w:rPr>
        <w:fldChar w:fldCharType="end"/>
      </w:r>
      <w:r w:rsidR="005A3787">
        <w:rPr>
          <w:rFonts w:ascii="Verdana" w:hAnsi="Verdana"/>
          <w:lang w:val="en-GB"/>
        </w:rPr>
        <w:t>.</w:t>
      </w:r>
      <w:r w:rsidR="002F7689">
        <w:rPr>
          <w:rFonts w:ascii="Verdana" w:hAnsi="Verdana"/>
          <w:lang w:val="en-GB"/>
        </w:rPr>
        <w:t xml:space="preserve"> </w:t>
      </w:r>
      <w:r w:rsidR="00850FB1" w:rsidRPr="00F2469E">
        <w:rPr>
          <w:rFonts w:ascii="Verdana" w:hAnsi="Verdana"/>
          <w:lang w:val="en-GB"/>
        </w:rPr>
        <w:t xml:space="preserve">Even if alpha-synuclein is the main component, </w:t>
      </w:r>
      <w:r w:rsidR="005C6B93">
        <w:rPr>
          <w:rFonts w:ascii="Verdana" w:hAnsi="Verdana"/>
          <w:lang w:val="en-GB"/>
        </w:rPr>
        <w:t>LBs have also been shown to include o</w:t>
      </w:r>
      <w:r w:rsidR="00A20531">
        <w:rPr>
          <w:rFonts w:ascii="Verdana" w:hAnsi="Verdana"/>
          <w:lang w:val="en-GB"/>
        </w:rPr>
        <w:t>ver 90 different</w:t>
      </w:r>
      <w:r w:rsidR="005C6B93">
        <w:rPr>
          <w:rFonts w:ascii="Verdana" w:hAnsi="Verdana"/>
          <w:lang w:val="en-GB"/>
        </w:rPr>
        <w:t xml:space="preserve"> </w:t>
      </w:r>
      <w:proofErr w:type="spellStart"/>
      <w:r w:rsidR="005C6B93">
        <w:rPr>
          <w:rFonts w:ascii="Verdana" w:hAnsi="Verdana"/>
          <w:lang w:val="en-GB"/>
        </w:rPr>
        <w:t>denaturated</w:t>
      </w:r>
      <w:proofErr w:type="spellEnd"/>
      <w:r w:rsidR="005C6B93">
        <w:rPr>
          <w:rFonts w:ascii="Verdana" w:hAnsi="Verdana"/>
          <w:lang w:val="en-GB"/>
        </w:rPr>
        <w:t xml:space="preserve"> proteins</w:t>
      </w:r>
      <w:r w:rsidR="006C05EE">
        <w:rPr>
          <w:rFonts w:ascii="Verdana" w:hAnsi="Verdana"/>
          <w:lang w:val="en-GB"/>
        </w:rPr>
        <w:t xml:space="preserve"> </w:t>
      </w:r>
      <w:r w:rsidR="006C05EE">
        <w:rPr>
          <w:rFonts w:ascii="Verdana" w:hAnsi="Verdana"/>
          <w:lang w:val="en-GB"/>
        </w:rPr>
        <w:fldChar w:fldCharType="begin"/>
      </w:r>
      <w:r w:rsidR="006C05EE">
        <w:rPr>
          <w:rFonts w:ascii="Verdana" w:hAnsi="Verdana"/>
          <w:lang w:val="en-GB"/>
        </w:rPr>
        <w:instrText xml:space="preserve"> ADDIN ZOTERO_ITEM CSL_CITATION {"citationID":"6WtUqafb","properties":{"formattedCitation":"(Wakabayashi et al. 2013)","plainCitation":"(Wakabayashi et al. 2013)","noteIndex":0},"citationItems":[{"id":840,"uris":["http://zotero.org/users/9330673/items/CB32HVD4"],"itemData":{"id":840,"type":"article-journal","abstract":"The histopathological hallmark of Parkinson’s disease (PD) is the presence of fibrillar aggregates referred to as Lewy bodies (LBs), in which α-synuclein is a major constituent. Pale bodies, the precursors of LBs, may serve the material for that LBs continue to expand. LBs consist of a heterogeneous mixture of more than 90 molecules, including PD-linked gene products (α-synuclein, DJ-1, LRRK2, parkin, and PINK-1), mitochondria-related proteins, and molecules implicated in the ubiquitin–proteasome system, autophagy, and aggresome formation. LB formation has been considered to be a marker for neuronal degeneration because neuronal loss is found in the predilection sites for LBs. However, recent studies have indicated that nonfibrillar α-synuclein is cytotoxic and that fibrillar aggregates of α-synuclein (LBs and pale bodies) may represent a cytoprotective mechanism in PD.","container-title":"Molecular Neurobiology","DOI":"10.1007/s12035-012-8280-y","ISSN":"0893-7648, 1559-1182","issue":"2","journalAbbreviation":"Mol Neurobiol","language":"en","page":"495-508","source":"DOI.org (Crossref)","title":"The Lewy Body in Parkinson’s Disease and Related Neurodegenerative Disorders","volume":"47","author":[{"family":"Wakabayashi","given":"Koichi"},{"family":"Tanji","given":"Kunikazu"},{"family":"Odagiri","given":"Saori"},{"family":"Miki","given":"Yasuo"},{"family":"Mori","given":"Fumiaki"},{"family":"Takahashi","given":"Hitoshi"}],"issued":{"date-parts":[["2013",4]]}}}],"schema":"https://github.com/citation-style-language/schema/raw/master/csl-citation.json"} </w:instrText>
      </w:r>
      <w:r w:rsidR="006C05EE">
        <w:rPr>
          <w:rFonts w:ascii="Verdana" w:hAnsi="Verdana"/>
          <w:lang w:val="en-GB"/>
        </w:rPr>
        <w:fldChar w:fldCharType="separate"/>
      </w:r>
      <w:r w:rsidR="006C05EE" w:rsidRPr="006C05EE">
        <w:rPr>
          <w:rFonts w:ascii="Verdana" w:hAnsi="Verdana"/>
        </w:rPr>
        <w:t>(Wakabayashi et al. 2013)</w:t>
      </w:r>
      <w:r w:rsidR="006C05EE">
        <w:rPr>
          <w:rFonts w:ascii="Verdana" w:hAnsi="Verdana"/>
          <w:lang w:val="en-GB"/>
        </w:rPr>
        <w:fldChar w:fldCharType="end"/>
      </w:r>
      <w:r w:rsidR="001E238A">
        <w:rPr>
          <w:rFonts w:ascii="Verdana" w:hAnsi="Verdana"/>
          <w:lang w:val="en-GB"/>
        </w:rPr>
        <w:t>,</w:t>
      </w:r>
      <w:r w:rsidR="005C6B93">
        <w:rPr>
          <w:rFonts w:ascii="Verdana" w:hAnsi="Verdana"/>
          <w:lang w:val="en-GB"/>
        </w:rPr>
        <w:t xml:space="preserve"> and a mix</w:t>
      </w:r>
      <w:r w:rsidR="00A20531">
        <w:rPr>
          <w:rFonts w:ascii="Verdana" w:hAnsi="Verdana"/>
          <w:lang w:val="en-GB"/>
        </w:rPr>
        <w:t>ture</w:t>
      </w:r>
      <w:r w:rsidR="005C6B93">
        <w:rPr>
          <w:rFonts w:ascii="Verdana" w:hAnsi="Verdana"/>
          <w:lang w:val="en-GB"/>
        </w:rPr>
        <w:t xml:space="preserve"> of</w:t>
      </w:r>
      <w:r w:rsidR="007A3DA4" w:rsidRPr="007A3DA4">
        <w:rPr>
          <w:rFonts w:ascii="Verdana" w:hAnsi="Verdana"/>
          <w:lang w:val="en-GB"/>
        </w:rPr>
        <w:t xml:space="preserve"> fragmented membranes, vesicles</w:t>
      </w:r>
      <w:r w:rsidR="00CE365E">
        <w:rPr>
          <w:rFonts w:ascii="Verdana" w:hAnsi="Verdana"/>
          <w:lang w:val="en-GB"/>
        </w:rPr>
        <w:t>,</w:t>
      </w:r>
      <w:r w:rsidR="007A3DA4" w:rsidRPr="007A3DA4">
        <w:rPr>
          <w:rFonts w:ascii="Verdana" w:hAnsi="Verdana"/>
          <w:lang w:val="en-GB"/>
        </w:rPr>
        <w:t xml:space="preserve"> and organelles</w:t>
      </w:r>
      <w:r w:rsidR="006C05EE">
        <w:rPr>
          <w:rFonts w:ascii="Verdana" w:hAnsi="Verdana"/>
          <w:lang w:val="en-GB"/>
        </w:rPr>
        <w:t xml:space="preserve"> </w:t>
      </w:r>
      <w:r w:rsidR="006C05EE">
        <w:rPr>
          <w:rFonts w:ascii="Verdana" w:hAnsi="Verdana"/>
          <w:lang w:val="en-GB"/>
        </w:rPr>
        <w:fldChar w:fldCharType="begin"/>
      </w:r>
      <w:r w:rsidR="006C05EE">
        <w:rPr>
          <w:rFonts w:ascii="Verdana" w:hAnsi="Verdana"/>
          <w:lang w:val="en-GB"/>
        </w:rPr>
        <w:instrText xml:space="preserve"> ADDIN ZOTERO_ITEM CSL_CITATION {"citationID":"CU4KBz0Z","properties":{"formattedCitation":"(Shahmoradian et al. 2019)","plainCitation":"(Shahmoradian et al. 2019)","noteIndex":0},"citationItems":[{"id":844,"uris":["http://zotero.org/users/9330673/items/AYUDII8B"],"itemData":{"id":844,"type":"article-journal","container-title":"Nature Neuroscience","DOI":"10.1038/s41593-019-0423-2","ISSN":"1097-6256, 1546-1726","issue":"7","journalAbbreviation":"Nat Neurosci","language":"en","page":"1099-1109","source":"DOI.org (Crossref)","title":"Lewy pathology in Parkinson’s disease consists of crowded organelles and lipid membranes","volume":"22","author":[{"family":"Shahmoradian","given":"Sarah H."},{"family":"Lewis","given":"Amanda J."},{"family":"Genoud","given":"Christel"},{"family":"Hench","given":"Jürgen"},{"family":"Moors","given":"Tim E."},{"family":"Navarro","given":"Paula P."},{"family":"Castaño-Díez","given":"Daniel"},{"family":"Schweighauser","given":"Gabriel"},{"family":"Graff-Meyer","given":"Alexandra"},{"family":"Goldie","given":"Kenneth N."},{"family":"Sütterlin","given":"Rosmarie"},{"family":"Huisman","given":"Evelien"},{"family":"Ingrassia","given":"Angela"},{"family":"Gier","given":"Yvonne","dropping-particle":"de"},{"family":"Rozemuller","given":"Annemieke J. M."},{"family":"Wang","given":"Jing"},{"family":"Paepe","given":"Anne De"},{"family":"Erny","given":"Johannes"},{"family":"Staempfli","given":"Andreas"},{"family":"Hoernschemeyer","given":"Joerg"},{"family":"Großerüschkamp","given":"Frederik"},{"family":"Niedieker","given":"Daniel"},{"family":"El-Mashtoly","given":"Samir F."},{"family":"Quadri","given":"Marialuisa"},{"family":"Van IJcken","given":"Wilfred F. J."},{"family":"Bonifati","given":"Vincenzo"},{"family":"Gerwert","given":"Klaus"},{"family":"Bohrmann","given":"Bernd"},{"family":"Frank","given":"Stephan"},{"family":"Britschgi","given":"Markus"},{"family":"Stahlberg","given":"Henning"},{"family":"Van de Berg","given":"Wilma D. J."},{"family":"Lauer","given":"Matthias E."}],"issued":{"date-parts":[["2019",7]]}}}],"schema":"https://github.com/citation-style-language/schema/raw/master/csl-citation.json"} </w:instrText>
      </w:r>
      <w:r w:rsidR="006C05EE">
        <w:rPr>
          <w:rFonts w:ascii="Verdana" w:hAnsi="Verdana"/>
          <w:lang w:val="en-GB"/>
        </w:rPr>
        <w:fldChar w:fldCharType="separate"/>
      </w:r>
      <w:r w:rsidR="006C05EE" w:rsidRPr="006C05EE">
        <w:rPr>
          <w:rFonts w:ascii="Verdana" w:hAnsi="Verdana"/>
        </w:rPr>
        <w:t>(Shahmoradian et al. 2019)</w:t>
      </w:r>
      <w:r w:rsidR="006C05EE">
        <w:rPr>
          <w:rFonts w:ascii="Verdana" w:hAnsi="Verdana"/>
          <w:lang w:val="en-GB"/>
        </w:rPr>
        <w:fldChar w:fldCharType="end"/>
      </w:r>
      <w:r w:rsidR="00632379">
        <w:rPr>
          <w:rFonts w:ascii="Verdana" w:hAnsi="Verdana"/>
          <w:lang w:val="en-GB"/>
        </w:rPr>
        <w:t>.</w:t>
      </w:r>
    </w:p>
    <w:p w14:paraId="02E57638" w14:textId="664D9D96" w:rsidR="00F90F07" w:rsidRDefault="006F33DE" w:rsidP="00291DAF">
      <w:pPr>
        <w:spacing w:line="360" w:lineRule="auto"/>
        <w:jc w:val="both"/>
        <w:rPr>
          <w:rFonts w:ascii="Verdana" w:hAnsi="Verdana"/>
          <w:lang w:val="en-GB"/>
        </w:rPr>
      </w:pPr>
      <w:r>
        <w:rPr>
          <w:rFonts w:ascii="Verdana" w:hAnsi="Verdana"/>
          <w:lang w:val="en-GB"/>
        </w:rPr>
        <w:t>Alpha-synuclein’s aggregation potential derives from the NAC region, which contains imperfect repeats of 11-residues with a KTKEGV consensus core prone to form β-sheet structures</w:t>
      </w:r>
      <w:r w:rsidR="004A004F">
        <w:rPr>
          <w:rFonts w:ascii="Verdana" w:hAnsi="Verdana"/>
          <w:lang w:val="en-GB"/>
        </w:rPr>
        <w:t xml:space="preserve"> </w:t>
      </w:r>
      <w:r w:rsidR="004A004F">
        <w:rPr>
          <w:rFonts w:ascii="Verdana" w:hAnsi="Verdana"/>
          <w:lang w:val="en-GB"/>
        </w:rPr>
        <w:fldChar w:fldCharType="begin"/>
      </w:r>
      <w:r w:rsidR="004A004F">
        <w:rPr>
          <w:rFonts w:ascii="Verdana" w:hAnsi="Verdana"/>
          <w:lang w:val="en-GB"/>
        </w:rPr>
        <w:instrText xml:space="preserve"> ADDIN ZOTERO_ITEM CSL_CITATION {"citationID":"GqMsi3S2","properties":{"formattedCitation":"(Rodriguez et al. 2015)","plainCitation":"(Rodriguez et al. 2015)","noteIndex":0},"citationItems":[{"id":812,"uris":["http://zotero.org/users/9330673/items/MR8CLSSW"],"itemData":{"id":812,"type":"article-journal","container-title":"Nature","DOI":"10.1038/nature15368","ISSN":"0028-0836, 1476-4687","issue":"7570","journalAbbreviation":"Nature","language":"en","page":"486-490","source":"DOI.org (Crossref)","title":"Structure of the toxic core of α-synuclein from invisible crystals","volume":"525","author":[{"family":"Rodriguez","given":"Jose A."},{"family":"Ivanova","given":"Magdalena I."},{"family":"Sawaya","given":"Michael R."},{"family":"Cascio","given":"Duilio"},{"family":"Reyes","given":"Francis E."},{"family":"Shi","given":"Dan"},{"family":"Sangwan","given":"Smriti"},{"family":"Guenther","given":"Elizabeth L."},{"family":"Johnson","given":"Lisa M."},{"family":"Zhang","given":"Meng"},{"family":"Jiang","given":"Lin"},{"family":"Arbing","given":"Mark A."},{"family":"Nannenga","given":"Brent L."},{"family":"Hattne","given":"Johan"},{"family":"Whitelegge","given":"Julian"},{"family":"Brewster","given":"Aaron S."},{"family":"Messerschmidt","given":"Marc"},{"family":"Boutet","given":"Sébastien"},{"family":"Sauter","given":"Nicholas K."},{"family":"Gonen","given":"Tamir"},{"family":"Eisenberg","given":"David S."}],"issued":{"date-parts":[["2015",9]]}}}],"schema":"https://github.com/citation-style-language/schema/raw/master/csl-citation.json"} </w:instrText>
      </w:r>
      <w:r w:rsidR="004A004F">
        <w:rPr>
          <w:rFonts w:ascii="Verdana" w:hAnsi="Verdana"/>
          <w:lang w:val="en-GB"/>
        </w:rPr>
        <w:fldChar w:fldCharType="separate"/>
      </w:r>
      <w:r w:rsidR="004A004F" w:rsidRPr="004A004F">
        <w:rPr>
          <w:rFonts w:ascii="Verdana" w:hAnsi="Verdana"/>
        </w:rPr>
        <w:t>(Rodriguez et al. 2015)</w:t>
      </w:r>
      <w:r w:rsidR="004A004F">
        <w:rPr>
          <w:rFonts w:ascii="Verdana" w:hAnsi="Verdana"/>
          <w:lang w:val="en-GB"/>
        </w:rPr>
        <w:fldChar w:fldCharType="end"/>
      </w:r>
      <w:r>
        <w:rPr>
          <w:rFonts w:ascii="Verdana" w:hAnsi="Verdana"/>
          <w:lang w:val="en-GB"/>
        </w:rPr>
        <w:t>. U</w:t>
      </w:r>
      <w:r w:rsidR="00525865">
        <w:rPr>
          <w:rFonts w:ascii="Verdana" w:hAnsi="Verdana"/>
          <w:lang w:val="en-GB"/>
        </w:rPr>
        <w:t xml:space="preserve">nsurprisingly, many of the familial mutation of the </w:t>
      </w:r>
      <w:r w:rsidR="001A1DAE">
        <w:rPr>
          <w:rFonts w:ascii="Verdana" w:hAnsi="Verdana"/>
          <w:lang w:val="en-GB"/>
        </w:rPr>
        <w:t>alpha-</w:t>
      </w:r>
      <w:r w:rsidR="00525865">
        <w:rPr>
          <w:rFonts w:ascii="Verdana" w:hAnsi="Verdana"/>
          <w:lang w:val="en-GB"/>
        </w:rPr>
        <w:t>synuclein gene (</w:t>
      </w:r>
      <w:r w:rsidR="00525865" w:rsidRPr="00293633">
        <w:rPr>
          <w:rFonts w:ascii="Verdana" w:hAnsi="Verdana"/>
          <w:i/>
          <w:iCs/>
          <w:lang w:val="en-GB"/>
        </w:rPr>
        <w:t>SNCA</w:t>
      </w:r>
      <w:r w:rsidR="00525865">
        <w:rPr>
          <w:rFonts w:ascii="Verdana" w:hAnsi="Verdana"/>
          <w:lang w:val="en-GB"/>
        </w:rPr>
        <w:t>) linked to PD fall in the NAC region.</w:t>
      </w:r>
      <w:r w:rsidR="00E41EB5">
        <w:rPr>
          <w:rFonts w:ascii="Verdana" w:hAnsi="Verdana"/>
          <w:lang w:val="en-GB"/>
        </w:rPr>
        <w:t xml:space="preserve"> </w:t>
      </w:r>
      <w:r w:rsidR="00661DCF">
        <w:rPr>
          <w:rFonts w:ascii="Verdana" w:hAnsi="Verdana"/>
          <w:lang w:val="en-GB"/>
        </w:rPr>
        <w:t xml:space="preserve">Different </w:t>
      </w:r>
      <w:r w:rsidR="00B3680D">
        <w:rPr>
          <w:rFonts w:ascii="Verdana" w:hAnsi="Verdana"/>
          <w:lang w:val="en-GB"/>
        </w:rPr>
        <w:t>post translational modification</w:t>
      </w:r>
      <w:r w:rsidR="00317B46">
        <w:rPr>
          <w:rFonts w:ascii="Verdana" w:hAnsi="Verdana"/>
          <w:lang w:val="en-GB"/>
        </w:rPr>
        <w:t>s</w:t>
      </w:r>
      <w:r w:rsidR="00B3680D">
        <w:rPr>
          <w:rFonts w:ascii="Verdana" w:hAnsi="Verdana"/>
          <w:lang w:val="en-GB"/>
        </w:rPr>
        <w:t xml:space="preserve"> (PTMs)</w:t>
      </w:r>
      <w:r w:rsidR="009076DC">
        <w:rPr>
          <w:rFonts w:ascii="Verdana" w:hAnsi="Verdana"/>
          <w:lang w:val="en-GB"/>
        </w:rPr>
        <w:t xml:space="preserve">, such as phosphorylation, nitration, </w:t>
      </w:r>
      <w:r w:rsidR="00F16D1D">
        <w:rPr>
          <w:rFonts w:ascii="Verdana" w:hAnsi="Verdana"/>
          <w:lang w:val="en-GB"/>
        </w:rPr>
        <w:t>oxidation,</w:t>
      </w:r>
      <w:r w:rsidR="009076DC">
        <w:rPr>
          <w:rFonts w:ascii="Verdana" w:hAnsi="Verdana"/>
          <w:lang w:val="en-GB"/>
        </w:rPr>
        <w:t xml:space="preserve"> and ubiquitination,</w:t>
      </w:r>
      <w:r w:rsidR="00B3680D">
        <w:rPr>
          <w:rFonts w:ascii="Verdana" w:hAnsi="Verdana"/>
          <w:lang w:val="en-GB"/>
        </w:rPr>
        <w:t xml:space="preserve"> </w:t>
      </w:r>
      <w:r w:rsidR="00077F6E">
        <w:rPr>
          <w:rFonts w:ascii="Verdana" w:hAnsi="Verdana"/>
          <w:lang w:val="en-GB"/>
        </w:rPr>
        <w:t>can modulate alpha-synuclein aggregation</w:t>
      </w:r>
      <w:r w:rsidR="0004696D">
        <w:rPr>
          <w:rFonts w:ascii="Verdana" w:hAnsi="Verdana"/>
          <w:lang w:val="en-GB"/>
        </w:rPr>
        <w:t xml:space="preserve"> </w:t>
      </w:r>
      <w:r w:rsidR="00DF057D">
        <w:rPr>
          <w:rFonts w:ascii="Verdana" w:hAnsi="Verdana"/>
          <w:lang w:val="en-GB"/>
        </w:rPr>
        <w:fldChar w:fldCharType="begin"/>
      </w:r>
      <w:r w:rsidR="00DF057D">
        <w:rPr>
          <w:rFonts w:ascii="Verdana" w:hAnsi="Verdana"/>
          <w:lang w:val="en-GB"/>
        </w:rPr>
        <w:instrText xml:space="preserve"> ADDIN ZOTERO_ITEM CSL_CITATION {"citationID":"KUHJl0oa","properties":{"formattedCitation":"(Breydo, Wu, and Uversky 2012)","plainCitation":"(Breydo, Wu, and Uversky 2012)","noteIndex":0},"citationItems":[{"id":729,"uris":["http://zotero.org/users/9330673/items/4BQMJWJT"],"itemData":{"id":729,"type":"article-journal","abstract":"Substantial evidence links α-synuclein, a small highly conserved presynaptic protein with unknown function, to both familial and sporadic Parkinson's disease (PD). α-Synuclein has been identiﬁed as the major component of Lewy bodies and Lewy neurites, the characteristic proteinaceous deposits that are the hallmarks of PD. αSynuclein is a typical intrinsically disordered protein, but can adopt a number of different conformational states depending on conditions and cofactors. These include the helical membrane-bound form, a partially-folded state that is a key intermediate in aggregation and ﬁbrillation, various oligomeric species, and ﬁbrillar and amorphous aggregates. The molecular basis of PD appears to be tightly coupled to the aggregation of α-synuclein and the factors that affect its conformation. This review examines the different aggregation states of α-synuclein, the molecular mechanism of its aggregation, and the inﬂuence of environmental and genetic factors on this process.","container-title":"Biochimica et Biophysica Acta (BBA) - Molecular Basis of Disease","DOI":"10.1016/j.bbadis.2011.10.002","ISSN":"09254439","issue":"2","journalAbbreviation":"Biochimica et Biophysica Acta (BBA) - Molecular Basis of Disease","language":"en","page":"261-285","source":"DOI.org (Crossref)","title":"α-Synuclein misfolding and Parkinson's disease","volume":"1822","author":[{"family":"Breydo","given":"Leonid"},{"family":"Wu","given":"Jessica W."},{"family":"Uversky","given":"Vladimir N."}],"issued":{"date-parts":[["2012",2]]}}}],"schema":"https://github.com/citation-style-language/schema/raw/master/csl-citation.json"} </w:instrText>
      </w:r>
      <w:r w:rsidR="00DF057D">
        <w:rPr>
          <w:rFonts w:ascii="Verdana" w:hAnsi="Verdana"/>
          <w:lang w:val="en-GB"/>
        </w:rPr>
        <w:fldChar w:fldCharType="separate"/>
      </w:r>
      <w:r w:rsidR="00DF057D" w:rsidRPr="00DF057D">
        <w:rPr>
          <w:rFonts w:ascii="Verdana" w:hAnsi="Verdana"/>
        </w:rPr>
        <w:t>(Breydo, Wu, and Uversky 2012)</w:t>
      </w:r>
      <w:r w:rsidR="00DF057D">
        <w:rPr>
          <w:rFonts w:ascii="Verdana" w:hAnsi="Verdana"/>
          <w:lang w:val="en-GB"/>
        </w:rPr>
        <w:fldChar w:fldCharType="end"/>
      </w:r>
      <w:r w:rsidR="00077F6E">
        <w:rPr>
          <w:rFonts w:ascii="Verdana" w:hAnsi="Verdana"/>
          <w:lang w:val="en-GB"/>
        </w:rPr>
        <w:t>. In particular, phosphorylation at Serine 129</w:t>
      </w:r>
      <w:r w:rsidR="00C64294">
        <w:rPr>
          <w:rFonts w:ascii="Verdana" w:hAnsi="Verdana"/>
          <w:lang w:val="en-GB"/>
        </w:rPr>
        <w:t xml:space="preserve"> enhances aggregates formatio</w:t>
      </w:r>
      <w:r w:rsidR="000F66C1">
        <w:rPr>
          <w:rFonts w:ascii="Verdana" w:hAnsi="Verdana"/>
          <w:lang w:val="en-GB"/>
        </w:rPr>
        <w:t>n</w:t>
      </w:r>
      <w:r w:rsidR="00E7679A">
        <w:rPr>
          <w:rFonts w:ascii="Verdana" w:hAnsi="Verdana"/>
          <w:lang w:val="en-GB"/>
        </w:rPr>
        <w:t xml:space="preserve"> </w:t>
      </w:r>
      <w:r w:rsidR="00E7679A" w:rsidRPr="00E7679A">
        <w:rPr>
          <w:rFonts w:ascii="Verdana" w:hAnsi="Verdana"/>
          <w:i/>
          <w:iCs/>
          <w:lang w:val="en-GB"/>
        </w:rPr>
        <w:t>in vitro</w:t>
      </w:r>
      <w:r w:rsidR="00C64294">
        <w:rPr>
          <w:rFonts w:ascii="Verdana" w:hAnsi="Verdana"/>
          <w:lang w:val="en-GB"/>
        </w:rPr>
        <w:t>,</w:t>
      </w:r>
      <w:r w:rsidR="000F66C1">
        <w:rPr>
          <w:rFonts w:ascii="Verdana" w:hAnsi="Verdana"/>
          <w:lang w:val="en-GB"/>
        </w:rPr>
        <w:t xml:space="preserve"> and</w:t>
      </w:r>
      <w:r w:rsidR="00C64294">
        <w:rPr>
          <w:rFonts w:ascii="Verdana" w:hAnsi="Verdana"/>
          <w:lang w:val="en-GB"/>
        </w:rPr>
        <w:t xml:space="preserve"> it is estimated that up to 90% of alpha-synuclein</w:t>
      </w:r>
      <w:r w:rsidR="008F44C3">
        <w:rPr>
          <w:rFonts w:ascii="Verdana" w:hAnsi="Verdana"/>
          <w:lang w:val="en-GB"/>
        </w:rPr>
        <w:t xml:space="preserve"> in </w:t>
      </w:r>
      <w:r w:rsidR="00F6748D">
        <w:rPr>
          <w:rFonts w:ascii="Verdana" w:hAnsi="Verdana"/>
          <w:lang w:val="en-GB"/>
        </w:rPr>
        <w:t>L</w:t>
      </w:r>
      <w:r w:rsidR="00CE365E">
        <w:rPr>
          <w:rFonts w:ascii="Verdana" w:hAnsi="Verdana"/>
          <w:lang w:val="en-GB"/>
        </w:rPr>
        <w:t>Bs</w:t>
      </w:r>
      <w:r w:rsidR="00C64294">
        <w:rPr>
          <w:rFonts w:ascii="Verdana" w:hAnsi="Verdana"/>
          <w:lang w:val="en-GB"/>
        </w:rPr>
        <w:t xml:space="preserve"> is phosphorylated</w:t>
      </w:r>
      <w:r w:rsidR="00BF0D28">
        <w:rPr>
          <w:rFonts w:ascii="Verdana" w:hAnsi="Verdana"/>
          <w:lang w:val="en-GB"/>
        </w:rPr>
        <w:t xml:space="preserve"> at this site</w:t>
      </w:r>
      <w:r w:rsidR="00DF057D">
        <w:rPr>
          <w:rFonts w:ascii="Verdana" w:hAnsi="Verdana"/>
          <w:lang w:val="en-GB"/>
        </w:rPr>
        <w:t xml:space="preserve"> </w:t>
      </w:r>
      <w:r w:rsidR="00DF057D">
        <w:rPr>
          <w:rFonts w:ascii="Verdana" w:hAnsi="Verdana"/>
          <w:lang w:val="en-GB"/>
        </w:rPr>
        <w:fldChar w:fldCharType="begin"/>
      </w:r>
      <w:r w:rsidR="00DF057D">
        <w:rPr>
          <w:rFonts w:ascii="Verdana" w:hAnsi="Verdana"/>
          <w:lang w:val="en-GB"/>
        </w:rPr>
        <w:instrText xml:space="preserve"> ADDIN ZOTERO_ITEM CSL_CITATION {"citationID":"zDNndROw","properties":{"formattedCitation":"(Fujiwara et al. 2002)","plainCitation":"(Fujiwara et al. 2002)","noteIndex":0},"citationItems":[{"id":761,"uris":["http://zotero.org/users/9330673/items/TARNBEUH"],"itemData":{"id":761,"type":"article-journal","container-title":"Nature Cell Biology","DOI":"10.1038/ncb748","ISSN":"1465-7392, 1476-4679","issue":"2","journalAbbreviation":"Nat Cell Biol","language":"en","page":"160-164","source":"DOI.org (Crossref)","title":"α-Synuclein is phosphorylated in synucleinopathy lesions","volume":"4","author":[{"family":"Fujiwara","given":"Hideo"},{"family":"Hasegawa","given":"Masato"},{"family":"Dohmae","given":"Naoshi"},{"family":"Kawashima","given":"Akiko"},{"family":"Masliah","given":"Eliezer"},{"family":"Goldberg","given":"Matthew S."},{"family":"Shen","given":"Jie"},{"family":"Takio","given":"Koji"},{"family":"Iwatsubo","given":"Takeshi"}],"issued":{"date-parts":[["2002",2]]}}}],"schema":"https://github.com/citation-style-language/schema/raw/master/csl-citation.json"} </w:instrText>
      </w:r>
      <w:r w:rsidR="00DF057D">
        <w:rPr>
          <w:rFonts w:ascii="Verdana" w:hAnsi="Verdana"/>
          <w:lang w:val="en-GB"/>
        </w:rPr>
        <w:fldChar w:fldCharType="separate"/>
      </w:r>
      <w:r w:rsidR="00DF057D" w:rsidRPr="00DF057D">
        <w:rPr>
          <w:rFonts w:ascii="Verdana" w:hAnsi="Verdana"/>
        </w:rPr>
        <w:t>(Fujiwara et al. 2002)</w:t>
      </w:r>
      <w:r w:rsidR="00DF057D">
        <w:rPr>
          <w:rFonts w:ascii="Verdana" w:hAnsi="Verdana"/>
          <w:lang w:val="en-GB"/>
        </w:rPr>
        <w:fldChar w:fldCharType="end"/>
      </w:r>
      <w:r w:rsidR="003330B3">
        <w:rPr>
          <w:rFonts w:ascii="Verdana" w:hAnsi="Verdana"/>
          <w:lang w:val="en-GB"/>
        </w:rPr>
        <w:t>.</w:t>
      </w:r>
    </w:p>
    <w:p w14:paraId="104CD93D" w14:textId="6F36B3A4" w:rsidR="00E7679A" w:rsidRPr="00E7679A" w:rsidRDefault="00E7679A" w:rsidP="00291DAF">
      <w:pPr>
        <w:tabs>
          <w:tab w:val="left" w:pos="7034"/>
        </w:tabs>
        <w:jc w:val="both"/>
        <w:rPr>
          <w:rFonts w:ascii="Verdana" w:hAnsi="Verdana"/>
          <w:lang w:val="en-GB"/>
        </w:rPr>
      </w:pPr>
      <w:r>
        <w:rPr>
          <w:rFonts w:ascii="Verdana" w:hAnsi="Verdana"/>
          <w:lang w:val="en-GB"/>
        </w:rPr>
        <w:tab/>
      </w:r>
    </w:p>
    <w:p w14:paraId="4750C591" w14:textId="3B4A32DC" w:rsidR="007854C4" w:rsidRDefault="00FE4C12" w:rsidP="00291DAF">
      <w:pPr>
        <w:spacing w:line="360" w:lineRule="auto"/>
        <w:jc w:val="both"/>
        <w:rPr>
          <w:rFonts w:ascii="Verdana" w:hAnsi="Verdana"/>
          <w:lang w:val="en-GB"/>
        </w:rPr>
      </w:pPr>
      <w:r>
        <w:rPr>
          <w:noProof/>
        </w:rPr>
        <w:lastRenderedPageBreak/>
        <mc:AlternateContent>
          <mc:Choice Requires="wps">
            <w:drawing>
              <wp:anchor distT="0" distB="0" distL="114300" distR="114300" simplePos="0" relativeHeight="251671552" behindDoc="0" locked="0" layoutInCell="1" allowOverlap="1" wp14:anchorId="2CD3D71C" wp14:editId="0CA7177F">
                <wp:simplePos x="0" y="0"/>
                <wp:positionH relativeFrom="margin">
                  <wp:align>right</wp:align>
                </wp:positionH>
                <wp:positionV relativeFrom="paragraph">
                  <wp:posOffset>2380527</wp:posOffset>
                </wp:positionV>
                <wp:extent cx="5565140" cy="283210"/>
                <wp:effectExtent l="0" t="0" r="0" b="2540"/>
                <wp:wrapTopAndBottom/>
                <wp:docPr id="7" name="Text Box 7"/>
                <wp:cNvGraphicFramePr/>
                <a:graphic xmlns:a="http://schemas.openxmlformats.org/drawingml/2006/main">
                  <a:graphicData uri="http://schemas.microsoft.com/office/word/2010/wordprocessingShape">
                    <wps:wsp>
                      <wps:cNvSpPr txBox="1"/>
                      <wps:spPr>
                        <a:xfrm>
                          <a:off x="0" y="0"/>
                          <a:ext cx="5565140" cy="283210"/>
                        </a:xfrm>
                        <a:prstGeom prst="rect">
                          <a:avLst/>
                        </a:prstGeom>
                        <a:solidFill>
                          <a:prstClr val="white"/>
                        </a:solidFill>
                        <a:ln>
                          <a:noFill/>
                        </a:ln>
                      </wps:spPr>
                      <wps:txbx>
                        <w:txbxContent>
                          <w:p w14:paraId="13872DE5" w14:textId="0B8191A3" w:rsidR="0018358E" w:rsidRPr="0018358E" w:rsidRDefault="0018358E" w:rsidP="008152EC">
                            <w:pPr>
                              <w:pStyle w:val="Caption"/>
                              <w:jc w:val="both"/>
                              <w:rPr>
                                <w:rFonts w:ascii="Verdana" w:hAnsi="Verdana"/>
                                <w:i w:val="0"/>
                                <w:iCs w:val="0"/>
                                <w:noProof/>
                                <w:color w:val="auto"/>
                              </w:rPr>
                            </w:pPr>
                            <w:bookmarkStart w:id="12" w:name="_Toc131412745"/>
                            <w:r w:rsidRPr="0018358E">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3</w:t>
                            </w:r>
                            <w:r w:rsidR="00FC184D">
                              <w:rPr>
                                <w:rFonts w:ascii="Verdana" w:hAnsi="Verdana"/>
                                <w:b/>
                                <w:bCs/>
                                <w:i w:val="0"/>
                                <w:iCs w:val="0"/>
                                <w:color w:val="auto"/>
                              </w:rPr>
                              <w:fldChar w:fldCharType="end"/>
                            </w:r>
                            <w:r w:rsidRPr="0018358E">
                              <w:rPr>
                                <w:rFonts w:ascii="Verdana" w:hAnsi="Verdana"/>
                                <w:i w:val="0"/>
                                <w:iCs w:val="0"/>
                                <w:color w:val="auto"/>
                              </w:rPr>
                              <w:t xml:space="preserve"> </w:t>
                            </w:r>
                            <w:r w:rsidR="003B76AC">
                              <w:rPr>
                                <w:rFonts w:ascii="Verdana" w:hAnsi="Verdana"/>
                                <w:i w:val="0"/>
                                <w:iCs w:val="0"/>
                                <w:color w:val="auto"/>
                              </w:rPr>
                              <w:t>Model of a</w:t>
                            </w:r>
                            <w:r w:rsidRPr="0018358E">
                              <w:rPr>
                                <w:rFonts w:ascii="Verdana" w:hAnsi="Verdana"/>
                                <w:i w:val="0"/>
                                <w:iCs w:val="0"/>
                                <w:color w:val="auto"/>
                              </w:rPr>
                              <w:t>lpha-synuclein aggregation (Mehra et al., 2019)</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3D71C" id="Text Box 7" o:spid="_x0000_s1028" type="#_x0000_t202" style="position:absolute;left:0;text-align:left;margin-left:387pt;margin-top:187.45pt;width:438.2pt;height:22.3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" stroked="f">
                <v:textbox inset="0,0,0,0">
                  <w:txbxContent>
                    <w:p w14:paraId="13872DE5" w14:textId="0B8191A3" w:rsidR="0018358E" w:rsidRPr="0018358E" w:rsidRDefault="0018358E" w:rsidP="008152EC">
                      <w:pPr>
                        <w:pStyle w:val="Caption"/>
                        <w:jc w:val="both"/>
                        <w:rPr>
                          <w:rFonts w:ascii="Verdana" w:hAnsi="Verdana"/>
                          <w:i w:val="0"/>
                          <w:iCs w:val="0"/>
                          <w:noProof/>
                          <w:color w:val="auto"/>
                        </w:rPr>
                      </w:pPr>
                      <w:bookmarkStart w:id="13" w:name="_Toc131412745"/>
                      <w:r w:rsidRPr="0018358E">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3</w:t>
                      </w:r>
                      <w:r w:rsidR="00FC184D">
                        <w:rPr>
                          <w:rFonts w:ascii="Verdana" w:hAnsi="Verdana"/>
                          <w:b/>
                          <w:bCs/>
                          <w:i w:val="0"/>
                          <w:iCs w:val="0"/>
                          <w:color w:val="auto"/>
                        </w:rPr>
                        <w:fldChar w:fldCharType="end"/>
                      </w:r>
                      <w:r w:rsidRPr="0018358E">
                        <w:rPr>
                          <w:rFonts w:ascii="Verdana" w:hAnsi="Verdana"/>
                          <w:i w:val="0"/>
                          <w:iCs w:val="0"/>
                          <w:color w:val="auto"/>
                        </w:rPr>
                        <w:t xml:space="preserve"> </w:t>
                      </w:r>
                      <w:r w:rsidR="003B76AC">
                        <w:rPr>
                          <w:rFonts w:ascii="Verdana" w:hAnsi="Verdana"/>
                          <w:i w:val="0"/>
                          <w:iCs w:val="0"/>
                          <w:color w:val="auto"/>
                        </w:rPr>
                        <w:t>Model of a</w:t>
                      </w:r>
                      <w:r w:rsidRPr="0018358E">
                        <w:rPr>
                          <w:rFonts w:ascii="Verdana" w:hAnsi="Verdana"/>
                          <w:i w:val="0"/>
                          <w:iCs w:val="0"/>
                          <w:color w:val="auto"/>
                        </w:rPr>
                        <w:t>lpha-synuclein aggregation (Mehra et al., 2019)</w:t>
                      </w:r>
                      <w:bookmarkEnd w:id="13"/>
                    </w:p>
                  </w:txbxContent>
                </v:textbox>
                <w10:wrap type="topAndBottom" anchorx="margin"/>
              </v:shape>
            </w:pict>
          </mc:Fallback>
        </mc:AlternateContent>
      </w:r>
      <w:r>
        <w:rPr>
          <w:rFonts w:ascii="Verdana" w:hAnsi="Verdana"/>
          <w:noProof/>
          <w:lang w:val="en-GB"/>
        </w:rPr>
        <w:drawing>
          <wp:anchor distT="0" distB="0" distL="114300" distR="114300" simplePos="0" relativeHeight="251669504" behindDoc="0" locked="0" layoutInCell="1" allowOverlap="1" wp14:anchorId="03A3BBB1" wp14:editId="013D180A">
            <wp:simplePos x="0" y="0"/>
            <wp:positionH relativeFrom="margin">
              <wp:align>right</wp:align>
            </wp:positionH>
            <wp:positionV relativeFrom="paragraph">
              <wp:posOffset>0</wp:posOffset>
            </wp:positionV>
            <wp:extent cx="5565140" cy="2183765"/>
            <wp:effectExtent l="0" t="0" r="0" b="6985"/>
            <wp:wrapTopAndBottom/>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65140" cy="2183765"/>
                    </a:xfrm>
                    <a:prstGeom prst="rect">
                      <a:avLst/>
                    </a:prstGeom>
                  </pic:spPr>
                </pic:pic>
              </a:graphicData>
            </a:graphic>
            <wp14:sizeRelH relativeFrom="margin">
              <wp14:pctWidth>0</wp14:pctWidth>
            </wp14:sizeRelH>
            <wp14:sizeRelV relativeFrom="margin">
              <wp14:pctHeight>0</wp14:pctHeight>
            </wp14:sizeRelV>
          </wp:anchor>
        </w:drawing>
      </w:r>
    </w:p>
    <w:p w14:paraId="1D24831D" w14:textId="67EED1C4" w:rsidR="00D56D87" w:rsidRDefault="00D56D87" w:rsidP="00291DAF">
      <w:pPr>
        <w:spacing w:line="360" w:lineRule="auto"/>
        <w:jc w:val="both"/>
        <w:rPr>
          <w:rFonts w:ascii="Verdana" w:hAnsi="Verdana"/>
          <w:lang w:val="en-GB"/>
        </w:rPr>
      </w:pPr>
    </w:p>
    <w:p w14:paraId="4FF24D74" w14:textId="77777777" w:rsidR="00837B74" w:rsidRDefault="00837B74" w:rsidP="00291DAF">
      <w:pPr>
        <w:spacing w:line="360" w:lineRule="auto"/>
        <w:jc w:val="both"/>
        <w:rPr>
          <w:rFonts w:ascii="Verdana" w:hAnsi="Verdana"/>
          <w:lang w:val="en-GB"/>
        </w:rPr>
      </w:pPr>
    </w:p>
    <w:p w14:paraId="41DC7953" w14:textId="4E5E187F" w:rsidR="00280958" w:rsidRPr="007A09C9" w:rsidRDefault="00B235BF" w:rsidP="004F0024">
      <w:pPr>
        <w:pStyle w:val="Heading2"/>
        <w:numPr>
          <w:ilvl w:val="2"/>
          <w:numId w:val="12"/>
        </w:numPr>
        <w:rPr>
          <w:szCs w:val="24"/>
        </w:rPr>
      </w:pPr>
      <w:bookmarkStart w:id="14" w:name="_Toc130223386"/>
      <w:r w:rsidRPr="007A09C9">
        <w:rPr>
          <w:szCs w:val="24"/>
        </w:rPr>
        <w:t xml:space="preserve">Glial </w:t>
      </w:r>
      <w:r w:rsidR="005A5C12" w:rsidRPr="007A09C9">
        <w:rPr>
          <w:szCs w:val="24"/>
        </w:rPr>
        <w:t>cells dysfunction</w:t>
      </w:r>
      <w:bookmarkEnd w:id="14"/>
    </w:p>
    <w:p w14:paraId="7A57F171" w14:textId="064F683B" w:rsidR="0023293C" w:rsidRPr="00133A4F" w:rsidRDefault="0023293C" w:rsidP="00291DAF">
      <w:pPr>
        <w:spacing w:line="360" w:lineRule="auto"/>
        <w:jc w:val="both"/>
        <w:rPr>
          <w:rFonts w:ascii="Verdana" w:hAnsi="Verdana"/>
          <w:lang w:val="en-GB"/>
        </w:rPr>
      </w:pPr>
      <w:r w:rsidRPr="00133A4F">
        <w:rPr>
          <w:rFonts w:ascii="Verdana" w:hAnsi="Verdana"/>
          <w:lang w:val="en-GB"/>
        </w:rPr>
        <w:t>Dysfunctional mechanisms in neurodegenerative diseases are not restricted to neuronal cells. In PD, a clear involvement of glial cells in disease progression has been described, and PD-related genes have been reported to be expressed also in glial cells</w:t>
      </w:r>
      <w:r w:rsidR="00AB0ED3">
        <w:rPr>
          <w:rFonts w:ascii="Verdana" w:hAnsi="Verdana"/>
          <w:lang w:val="en-GB"/>
        </w:rPr>
        <w:t xml:space="preserve"> </w:t>
      </w:r>
      <w:r w:rsidR="00422774">
        <w:rPr>
          <w:rFonts w:ascii="Verdana" w:hAnsi="Verdana"/>
          <w:lang w:val="en-GB"/>
        </w:rPr>
        <w:fldChar w:fldCharType="begin"/>
      </w:r>
      <w:r w:rsidR="00422774">
        <w:rPr>
          <w:rFonts w:ascii="Verdana" w:hAnsi="Verdana"/>
          <w:lang w:val="en-GB"/>
        </w:rPr>
        <w:instrText xml:space="preserve"> ADDIN ZOTERO_ITEM CSL_CITATION {"citationID":"sPqft3hN","properties":{"formattedCitation":"(Domingues et al. 2020)","plainCitation":"(Domingues et al. 2020)","noteIndex":0},"citationItems":[{"id":753,"uris":["http://zotero.org/users/9330673/items/N9IYIN7K"],"itemData":{"id":753,"type":"article-journal","abstract":"Glial cells have been identified more than 100 years ago, and are known to play a key role in the central nervous system (CNS) function. A recent piece of evidence is emerging showing that in addition to the capacity of CNS modulation and homeostasis, glial cells are also being looked like as a promising cell source not only to study CNS pathologies initiation and progression but also to the establishment and development of new therapeutic strategies. Thus, in the present review, we will discuss the current evidence regarding glial cells’ contribution to neurodegenerative diseases as Parkinson’s disease, providing cellular, molecular, functional, and behavioral data supporting its active role in disease initiation, progression, and treatment. As so, considering their functional relevance, glial cells may be important to the understanding of the underlying mechanisms regarding neuronal-glial networks in neurodegeneration/regeneration processes, which may open new research opportunities for their future use as a target or treatment in human clinical trials.","container-title":"Cellular and Molecular Life Sciences","DOI":"10.1007/s00018-020-03584-x","ISSN":"1420-682X, 1420-9071","issue":"24","journalAbbreviation":"Cell. Mol. Life Sci.","language":"en","page":"5171-5188","source":"DOI.org (Crossref)","title":"Glial cells in Parkinson´s disease: protective or deleterious?","title-short":"Glial cells in Parkinson´s disease","volume":"77","author":[{"family":"Domingues","given":"Ana V."},{"family":"Pereira","given":"Inês M."},{"family":"Vilaça-Faria","given":"Helena"},{"family":"Salgado","given":"António J."},{"family":"Rodrigues","given":"Ana J."},{"family":"Teixeira","given":"Fábio G."}],"issued":{"date-parts":[["2020",12]]}}}],"schema":"https://github.com/citation-style-language/schema/raw/master/csl-citation.json"} </w:instrText>
      </w:r>
      <w:r w:rsidR="00422774">
        <w:rPr>
          <w:rFonts w:ascii="Verdana" w:hAnsi="Verdana"/>
          <w:lang w:val="en-GB"/>
        </w:rPr>
        <w:fldChar w:fldCharType="separate"/>
      </w:r>
      <w:r w:rsidR="00422774" w:rsidRPr="00422774">
        <w:rPr>
          <w:rFonts w:ascii="Verdana" w:hAnsi="Verdana"/>
        </w:rPr>
        <w:t>(Domingues et al. 2020)</w:t>
      </w:r>
      <w:r w:rsidR="00422774">
        <w:rPr>
          <w:rFonts w:ascii="Verdana" w:hAnsi="Verdana"/>
          <w:lang w:val="en-GB"/>
        </w:rPr>
        <w:fldChar w:fldCharType="end"/>
      </w:r>
      <w:r w:rsidR="00422774">
        <w:rPr>
          <w:rFonts w:ascii="Verdana" w:hAnsi="Verdana"/>
          <w:lang w:val="en-GB"/>
        </w:rPr>
        <w:t>.</w:t>
      </w:r>
      <w:r w:rsidR="00C93800" w:rsidRPr="00133A4F">
        <w:rPr>
          <w:rFonts w:ascii="Verdana" w:hAnsi="Verdana"/>
          <w:lang w:val="en-GB"/>
        </w:rPr>
        <w:t xml:space="preserve"> For the scope of this thesis, the role of astrocytes in PD pathogenesis will be discussed.</w:t>
      </w:r>
    </w:p>
    <w:p w14:paraId="7B1D1738" w14:textId="77777777" w:rsidR="00085923" w:rsidRPr="00133A4F" w:rsidRDefault="00085923" w:rsidP="00291DAF">
      <w:pPr>
        <w:spacing w:line="360" w:lineRule="auto"/>
        <w:jc w:val="both"/>
        <w:rPr>
          <w:rFonts w:ascii="Verdana" w:hAnsi="Verdana"/>
          <w:lang w:val="en-GB"/>
        </w:rPr>
      </w:pPr>
    </w:p>
    <w:p w14:paraId="7F409F5E" w14:textId="23E3C2D7" w:rsidR="00164434" w:rsidRPr="007A09C9" w:rsidRDefault="007A09C9" w:rsidP="00767F9D">
      <w:pPr>
        <w:pStyle w:val="Heading3"/>
        <w:numPr>
          <w:ilvl w:val="4"/>
          <w:numId w:val="12"/>
        </w:numPr>
      </w:pPr>
      <w:r w:rsidRPr="007A09C9">
        <w:t xml:space="preserve"> </w:t>
      </w:r>
      <w:bookmarkStart w:id="15" w:name="_Toc130223387"/>
      <w:r w:rsidR="00164434" w:rsidRPr="007A09C9">
        <w:t>Astrocytes</w:t>
      </w:r>
      <w:bookmarkEnd w:id="15"/>
    </w:p>
    <w:p w14:paraId="3FF4EEF9" w14:textId="5DDFCFEC" w:rsidR="00C77C46" w:rsidRPr="00133A4F" w:rsidRDefault="00AC6FAB" w:rsidP="00291DAF">
      <w:pPr>
        <w:spacing w:line="360" w:lineRule="auto"/>
        <w:jc w:val="both"/>
        <w:rPr>
          <w:rFonts w:ascii="Verdana" w:hAnsi="Verdana"/>
          <w:lang w:val="en-GB"/>
        </w:rPr>
      </w:pPr>
      <w:r w:rsidRPr="00133A4F">
        <w:rPr>
          <w:rFonts w:ascii="Verdana" w:hAnsi="Verdana"/>
          <w:lang w:val="en-GB"/>
        </w:rPr>
        <w:t>Astrocytes are the most abundant cells in the brain</w:t>
      </w:r>
      <w:r w:rsidR="00D603C1" w:rsidRPr="00133A4F">
        <w:rPr>
          <w:rFonts w:ascii="Verdana" w:hAnsi="Verdana"/>
          <w:lang w:val="en-GB"/>
        </w:rPr>
        <w:t xml:space="preserve">. They exert many physiological roles, </w:t>
      </w:r>
      <w:r w:rsidR="00984980" w:rsidRPr="00133A4F">
        <w:rPr>
          <w:rFonts w:ascii="Verdana" w:hAnsi="Verdana"/>
          <w:lang w:val="en-GB"/>
        </w:rPr>
        <w:t>and regulate amongst others</w:t>
      </w:r>
      <w:r w:rsidR="00D603C1" w:rsidRPr="00133A4F">
        <w:rPr>
          <w:rFonts w:ascii="Verdana" w:hAnsi="Verdana"/>
          <w:lang w:val="en-GB"/>
        </w:rPr>
        <w:t xml:space="preserve"> synaptic transmission, </w:t>
      </w:r>
      <w:r w:rsidR="004A7173" w:rsidRPr="00133A4F">
        <w:rPr>
          <w:rFonts w:ascii="Verdana" w:hAnsi="Verdana"/>
          <w:lang w:val="en-GB"/>
        </w:rPr>
        <w:t xml:space="preserve">synaptogenesis, </w:t>
      </w:r>
      <w:r w:rsidR="00CF73E0" w:rsidRPr="00133A4F">
        <w:rPr>
          <w:rFonts w:ascii="Verdana" w:hAnsi="Verdana"/>
          <w:lang w:val="en-GB"/>
        </w:rPr>
        <w:t xml:space="preserve">energy metabolism, </w:t>
      </w:r>
      <w:r w:rsidR="00486DB8" w:rsidRPr="00133A4F">
        <w:rPr>
          <w:rFonts w:ascii="Verdana" w:hAnsi="Verdana"/>
          <w:lang w:val="en-GB"/>
        </w:rPr>
        <w:t>and</w:t>
      </w:r>
      <w:r w:rsidR="00984980" w:rsidRPr="00133A4F">
        <w:rPr>
          <w:rFonts w:ascii="Verdana" w:hAnsi="Verdana"/>
          <w:lang w:val="en-GB"/>
        </w:rPr>
        <w:t xml:space="preserve"> permeability of the blood brain barrier</w:t>
      </w:r>
      <w:r w:rsidR="0077406F" w:rsidRPr="00133A4F">
        <w:rPr>
          <w:rFonts w:ascii="Verdana" w:hAnsi="Verdana"/>
          <w:lang w:val="en-GB"/>
        </w:rPr>
        <w:t xml:space="preserve"> </w:t>
      </w:r>
      <w:r w:rsidR="006F171F">
        <w:rPr>
          <w:rFonts w:ascii="Verdana" w:hAnsi="Verdana"/>
          <w:lang w:val="en-GB"/>
        </w:rPr>
        <w:fldChar w:fldCharType="begin"/>
      </w:r>
      <w:r w:rsidR="006F171F">
        <w:rPr>
          <w:rFonts w:ascii="Verdana" w:hAnsi="Verdana"/>
          <w:lang w:val="en-GB"/>
        </w:rPr>
        <w:instrText xml:space="preserve"> ADDIN ZOTERO_ITEM CSL_CITATION {"citationID":"67BcnSMc","properties":{"formattedCitation":"(Sofroniew and Vinters 2010)","plainCitation":"(Sofroniew and Vinters 2010)","noteIndex":0},"citationItems":[{"id":848,"uris":["http://zotero.org/users/9330673/items/CURGSC5N"],"itemData":{"id":848,"type":"article-journal","abstract":"Astrocytes are specialized glial cells that outnumber neurons by over ﬁvefold. They contiguously tile the entire central nervous system (CNS) and exert many essential complex functions in the healthy CNS. Astrocytes respond to all forms of CNS insults through a process referred to as reactive astrogliosis, which has become a pathological hallmark of CNS structural lesions. Substantial progress has been made recently in determining functions and mechanisms of reactive astrogliosis and in identifying roles of astrocytes in CNS disorders and pathologies. A vast molecular arsenal at the disposal of reactive astrocytes is being deﬁned. Transgenic mouse models are dissecting speciﬁc aspects of reactive astrocytosis and glial scar formation in vivo. Astrocyte involvement in speciﬁc clinicopathological entities is being deﬁned. It is now clear that reactive astrogliosis is not a simple all-or-none phenomenon but is a ﬁnely gradated continuum of changes that occur in context-dependent manners regulated by speciﬁc signaling events. These changes range from reversible alterations in gene expression and cell hypertrophy with preservation of cellular domains and tissue structure, to longlasting scar formation with rearrangement of tissue structure.","container-title":"Acta Neuropathologica","DOI":"10.1007/s00401-009-0619-8","ISSN":"0001-6322, 1432-0533","issue":"1","journalAbbreviation":"Acta Neuropathol","language":"en","page":"7-35","source":"DOI.org (Crossref)","title":"Astrocytes: biology and pathology","title-short":"Astrocytes","volume":"119","author":[{"family":"Sofroniew","given":"Michael V."},{"family":"Vinters","given":"Harry V."}],"issued":{"date-parts":[["2010",1]]}}}],"schema":"https://github.com/citation-style-language/schema/raw/master/csl-citation.json"} </w:instrText>
      </w:r>
      <w:r w:rsidR="006F171F">
        <w:rPr>
          <w:rFonts w:ascii="Verdana" w:hAnsi="Verdana"/>
          <w:lang w:val="en-GB"/>
        </w:rPr>
        <w:fldChar w:fldCharType="separate"/>
      </w:r>
      <w:r w:rsidR="006F171F" w:rsidRPr="006F171F">
        <w:rPr>
          <w:rFonts w:ascii="Verdana" w:hAnsi="Verdana"/>
        </w:rPr>
        <w:t>(Sofroniew and Vinters 2010)</w:t>
      </w:r>
      <w:r w:rsidR="006F171F">
        <w:rPr>
          <w:rFonts w:ascii="Verdana" w:hAnsi="Verdana"/>
          <w:lang w:val="en-GB"/>
        </w:rPr>
        <w:fldChar w:fldCharType="end"/>
      </w:r>
      <w:r w:rsidR="00486DB8" w:rsidRPr="00133A4F">
        <w:rPr>
          <w:rFonts w:ascii="Verdana" w:hAnsi="Verdana"/>
          <w:lang w:val="en-GB"/>
        </w:rPr>
        <w:t xml:space="preserve">. </w:t>
      </w:r>
      <w:r w:rsidR="009478AC" w:rsidRPr="00133A4F">
        <w:rPr>
          <w:rFonts w:ascii="Verdana" w:hAnsi="Verdana"/>
          <w:lang w:val="en-GB"/>
        </w:rPr>
        <w:t>Astrocytes</w:t>
      </w:r>
      <w:r w:rsidR="00A9149A" w:rsidRPr="00133A4F">
        <w:rPr>
          <w:rFonts w:ascii="Verdana" w:hAnsi="Verdana"/>
          <w:lang w:val="en-GB"/>
        </w:rPr>
        <w:t xml:space="preserve"> promote dopaminergic neurons differentiation and survival via the release of</w:t>
      </w:r>
      <w:r w:rsidR="004019EC" w:rsidRPr="00133A4F">
        <w:rPr>
          <w:rFonts w:ascii="Verdana" w:hAnsi="Verdana"/>
          <w:lang w:val="en-GB"/>
        </w:rPr>
        <w:t xml:space="preserve"> neurotrophic factor</w:t>
      </w:r>
      <w:r w:rsidR="00FB3328" w:rsidRPr="00133A4F">
        <w:rPr>
          <w:rFonts w:ascii="Verdana" w:hAnsi="Verdana"/>
          <w:lang w:val="en-GB"/>
        </w:rPr>
        <w:t xml:space="preserve">s such as </w:t>
      </w:r>
      <w:r w:rsidR="004019EC" w:rsidRPr="00133A4F">
        <w:rPr>
          <w:rFonts w:ascii="Verdana" w:hAnsi="Verdana"/>
          <w:lang w:val="en-GB"/>
        </w:rPr>
        <w:t>FGF-2</w:t>
      </w:r>
      <w:r w:rsidR="00FB3328" w:rsidRPr="00133A4F">
        <w:rPr>
          <w:rFonts w:ascii="Verdana" w:hAnsi="Verdana"/>
          <w:lang w:val="en-GB"/>
        </w:rPr>
        <w:t xml:space="preserve"> and BDNF</w:t>
      </w:r>
      <w:r w:rsidR="006F171F">
        <w:rPr>
          <w:rFonts w:ascii="Verdana" w:hAnsi="Verdana"/>
          <w:lang w:val="en-GB"/>
        </w:rPr>
        <w:t xml:space="preserve"> </w:t>
      </w:r>
      <w:r w:rsidR="00CB7BCF">
        <w:rPr>
          <w:rFonts w:ascii="Verdana" w:hAnsi="Verdana"/>
          <w:lang w:val="en-GB"/>
        </w:rPr>
        <w:fldChar w:fldCharType="begin"/>
      </w:r>
      <w:r w:rsidR="00CB7BCF">
        <w:rPr>
          <w:rFonts w:ascii="Verdana" w:hAnsi="Verdana"/>
          <w:lang w:val="en-GB"/>
        </w:rPr>
        <w:instrText xml:space="preserve"> ADDIN ZOTERO_ITEM CSL_CITATION {"citationID":"z4SEh0pu","properties":{"formattedCitation":"(Datta et al. 2018; Reuss and Unsicker 2000; Yang et al. 2014)","plainCitation":"(Datta et al. 2018; Reuss and Unsicker 2000; Yang et al. 2014)","noteIndex":0},"citationItems":[{"id":747,"uris":["http://zotero.org/users/9330673/items/XRNBNAA9"],"itemData":{"id":747,"type":"article-journal","container-title":"Molecular Neurobiology","DOI":"10.1007/s12035-017-0767-0","ISSN":"0893-7648, 1559-1182","issue":"7","journalAbbreviation":"Mol Neurobiol","language":"en","page":"5505-5525","source":"DOI.org (Crossref)","title":"Location and Number of Astrocytes Determine Dopaminergic Neuron Survival and Function Under 6-OHDA Stress Mediated Through Differential BDNF Release","volume":"55","author":[{"family":"Datta","given":"Indrani"},{"family":"Ganapathy","given":"Kavina"},{"family":"Razdan","given":"Rema"},{"family":"Bhonde","given":"Ramesh"}],"issued":{"date-parts":[["2018",7]]}}},{"id":851,"uris":["http://zotero.org/users/9330673/items/ZLYZJX2I"],"itemData":{"id":851,"type":"article-journal","container-title":"Molecular and Cellular Neuroscience","DOI":"10.1006/mcne.2000.0906","ISSN":"10447431","issue":"6","journalAbbreviation":"Molecular and Cellular Neuroscience","language":"en","page":"781-792","source":"DOI.org (Crossref)","title":"Survival and Differentiation of Dopaminergic Mesencephalic Neurons Are Promoted by Dopamine-Mediated Induction of FGF-2 in Striatal Astroglial Cells","volume":"16","author":[{"family":"Reuss","given":"Bernhard"},{"family":"Unsicker","given":"Klaus"}],"issued":{"date-parts":[["2000",12]]}}},{"id":846,"uris":["http://zotero.org/users/9330673/items/6EVA7FGF"],"itemData":{"id":846,"type":"article-journal","container-title":"Nature Communications","DOI":"10.1038/ncomms6627","ISSN":"2041-1723","issue":"1","journalAbbreviation":"Nat Commun","language":"en","page":"5627","source":"DOI.org (Crossref)","title":"Activated astrocytes enhance the dopaminergic differentiation of stem cells and promote brain repair through bFGF","volume":"5","author":[{"family":"Yang","given":"Fan"},{"family":"Liu","given":"Yunhui"},{"family":"Tu","given":"Jie"},{"family":"Wan","given":"Jun"},{"family":"Zhang","given":"Jie"},{"family":"Wu","given":"Bifeng"},{"family":"Chen","given":"Shanping"},{"family":"Zhou","given":"Jiawei"},{"family":"Mu","given":"Yangling"},{"family":"Wang","given":"Liping"}],"issued":{"date-parts":[["2014",12]]}}}],"schema":"https://github.com/citation-style-language/schema/raw/master/csl-citation.json"} </w:instrText>
      </w:r>
      <w:r w:rsidR="00CB7BCF">
        <w:rPr>
          <w:rFonts w:ascii="Verdana" w:hAnsi="Verdana"/>
          <w:lang w:val="en-GB"/>
        </w:rPr>
        <w:fldChar w:fldCharType="separate"/>
      </w:r>
      <w:r w:rsidR="00CB7BCF" w:rsidRPr="00CB7BCF">
        <w:rPr>
          <w:rFonts w:ascii="Verdana" w:hAnsi="Verdana"/>
        </w:rPr>
        <w:t>(Datta et al. 2018; Reuss and Unsicker 2000; Yang et al. 2014)</w:t>
      </w:r>
      <w:r w:rsidR="00CB7BCF">
        <w:rPr>
          <w:rFonts w:ascii="Verdana" w:hAnsi="Verdana"/>
          <w:lang w:val="en-GB"/>
        </w:rPr>
        <w:fldChar w:fldCharType="end"/>
      </w:r>
      <w:r w:rsidR="009E0691">
        <w:rPr>
          <w:rFonts w:ascii="Verdana" w:hAnsi="Verdana"/>
          <w:lang w:val="en-GB"/>
        </w:rPr>
        <w:t>.</w:t>
      </w:r>
      <w:r w:rsidR="00113EC1" w:rsidRPr="00133A4F">
        <w:rPr>
          <w:rFonts w:ascii="Verdana" w:hAnsi="Verdana"/>
          <w:lang w:val="en-GB"/>
        </w:rPr>
        <w:t xml:space="preserve"> </w:t>
      </w:r>
      <w:r w:rsidR="00EE7DED" w:rsidRPr="00133A4F">
        <w:rPr>
          <w:rFonts w:ascii="Verdana" w:hAnsi="Verdana"/>
          <w:lang w:val="en-GB"/>
        </w:rPr>
        <w:t xml:space="preserve">In pathological conditions, </w:t>
      </w:r>
      <w:r w:rsidR="0086029D" w:rsidRPr="00133A4F">
        <w:rPr>
          <w:rFonts w:ascii="Verdana" w:hAnsi="Verdana"/>
          <w:lang w:val="en-GB"/>
        </w:rPr>
        <w:t>astrocytes become dysfunctional and lose the</w:t>
      </w:r>
      <w:r w:rsidR="00FA16DF" w:rsidRPr="00133A4F">
        <w:rPr>
          <w:rFonts w:ascii="Verdana" w:hAnsi="Verdana"/>
          <w:lang w:val="en-GB"/>
        </w:rPr>
        <w:t>ir</w:t>
      </w:r>
      <w:r w:rsidR="0086029D" w:rsidRPr="00133A4F">
        <w:rPr>
          <w:rFonts w:ascii="Verdana" w:hAnsi="Verdana"/>
          <w:lang w:val="en-GB"/>
        </w:rPr>
        <w:t xml:space="preserve"> ability to </w:t>
      </w:r>
      <w:r w:rsidR="00001048" w:rsidRPr="00133A4F">
        <w:rPr>
          <w:rFonts w:ascii="Verdana" w:hAnsi="Verdana"/>
          <w:lang w:val="en-GB"/>
        </w:rPr>
        <w:t xml:space="preserve">promote neuronal survival, thus contributing to </w:t>
      </w:r>
      <w:r w:rsidR="00215585" w:rsidRPr="00133A4F">
        <w:rPr>
          <w:rFonts w:ascii="Verdana" w:hAnsi="Verdana"/>
          <w:lang w:val="en-GB"/>
        </w:rPr>
        <w:t>neurodegeneration</w:t>
      </w:r>
      <w:r w:rsidR="00602337" w:rsidRPr="00133A4F">
        <w:rPr>
          <w:rFonts w:ascii="Verdana" w:hAnsi="Verdana"/>
          <w:lang w:val="en-GB"/>
        </w:rPr>
        <w:t xml:space="preserve"> </w:t>
      </w:r>
      <w:r w:rsidR="009E0691">
        <w:rPr>
          <w:rFonts w:ascii="Verdana" w:hAnsi="Verdana"/>
          <w:lang w:val="en-GB"/>
        </w:rPr>
        <w:fldChar w:fldCharType="begin"/>
      </w:r>
      <w:r w:rsidR="009E0691">
        <w:rPr>
          <w:rFonts w:ascii="Verdana" w:hAnsi="Verdana"/>
          <w:lang w:val="en-GB"/>
        </w:rPr>
        <w:instrText xml:space="preserve"> ADDIN ZOTERO_ITEM CSL_CITATION {"citationID":"M3ZLEbbZ","properties":{"formattedCitation":"(Miyazaki and Asanuma 2020)","plainCitation":"(Miyazaki and Asanuma 2020)","noteIndex":0},"citationItems":[{"id":793,"uris":["http://zotero.org/users/9330673/items/T56LK45U"],"itemData":{"id":793,"type":"article-journal","abstract":"Parkinson’s disease (PD) is the second most common neurodegenerative disease. PD patients exhibit motor symptoms such as akinesia/bradykinesia, tremor, rigidity, and postural instability due to a loss of nigrostriatal dopaminergic neurons. Although the pathogenesis in sporadic PD remains unknown, there is a consensus on the involvement of non-neuronal cells in the progression of PD pathology. Astrocytes are the most numerous glial cells in the central nervous system. Normally, astrocytes protect neurons by releasing neurotrophic factors, producing antioxidants, and disposing of neuronal waste products. However, in pathological situations, astrocytes are known to produce inﬂammatory cytokines. In addition, various studies have reported that astrocyte dysfunction also leads to neurodegeneration in PD. In this article, we summarize the interaction of astrocytes and dopaminergic neurons, review the pathogenic role of astrocytes in PD, and discuss therapeutic strategies for the prevention of dopaminergic neurodegeneration. This review highlights neuron-astrocyte interaction as a target for the development of disease-modifying drugs for PD in the future.","container-title":"Cells","DOI":"10.3390/cells9122623","ISSN":"2073-4409","issue":"12","journalAbbreviation":"Cells","language":"en","page":"2623","source":"DOI.org (Crossref)","title":"Neuron-Astrocyte Interactions in Parkinson’s Disease","volume":"9","author":[{"family":"Miyazaki","given":"Ikuko"},{"family":"Asanuma","given":"Masato"}],"issued":{"date-parts":[["2020",12,7]]}}}],"schema":"https://github.com/citation-style-language/schema/raw/master/csl-citation.json"} </w:instrText>
      </w:r>
      <w:r w:rsidR="009E0691">
        <w:rPr>
          <w:rFonts w:ascii="Verdana" w:hAnsi="Verdana"/>
          <w:lang w:val="en-GB"/>
        </w:rPr>
        <w:fldChar w:fldCharType="separate"/>
      </w:r>
      <w:r w:rsidR="009E0691" w:rsidRPr="009E0691">
        <w:rPr>
          <w:rFonts w:ascii="Verdana" w:hAnsi="Verdana"/>
        </w:rPr>
        <w:t>(Miyazaki and Asanuma 2020)</w:t>
      </w:r>
      <w:r w:rsidR="009E0691">
        <w:rPr>
          <w:rFonts w:ascii="Verdana" w:hAnsi="Verdana"/>
          <w:lang w:val="en-GB"/>
        </w:rPr>
        <w:fldChar w:fldCharType="end"/>
      </w:r>
      <w:r w:rsidR="009E0691">
        <w:rPr>
          <w:rFonts w:ascii="Verdana" w:hAnsi="Verdana"/>
          <w:lang w:val="en-GB"/>
        </w:rPr>
        <w:t>.</w:t>
      </w:r>
    </w:p>
    <w:p w14:paraId="52D2EE4C" w14:textId="41489DE2" w:rsidR="00355707" w:rsidRPr="00253B82" w:rsidRDefault="008E5426" w:rsidP="00291DAF">
      <w:pPr>
        <w:spacing w:line="360" w:lineRule="auto"/>
        <w:jc w:val="both"/>
        <w:rPr>
          <w:rFonts w:ascii="Verdana" w:hAnsi="Verdana"/>
          <w:lang w:val="en-GB"/>
        </w:rPr>
      </w:pPr>
      <w:r w:rsidRPr="00253B82">
        <w:rPr>
          <w:rFonts w:ascii="Verdana" w:hAnsi="Verdana"/>
          <w:lang w:val="en-GB"/>
        </w:rPr>
        <w:t>Astrocytes have been shown to</w:t>
      </w:r>
      <w:r w:rsidR="006B07C6" w:rsidRPr="00253B82">
        <w:rPr>
          <w:rFonts w:ascii="Verdana" w:hAnsi="Verdana"/>
          <w:lang w:val="en-GB"/>
        </w:rPr>
        <w:t xml:space="preserve"> protect neurons from oxidative stress damage</w:t>
      </w:r>
      <w:r w:rsidR="009E0691">
        <w:rPr>
          <w:rFonts w:ascii="Verdana" w:hAnsi="Verdana"/>
          <w:lang w:val="en-GB"/>
        </w:rPr>
        <w:t xml:space="preserve"> </w:t>
      </w:r>
      <w:r w:rsidR="00245193">
        <w:rPr>
          <w:rFonts w:ascii="Verdana" w:hAnsi="Verdana"/>
          <w:lang w:val="en-GB"/>
        </w:rPr>
        <w:fldChar w:fldCharType="begin"/>
      </w:r>
      <w:r w:rsidR="00A92C51">
        <w:rPr>
          <w:rFonts w:ascii="Verdana" w:hAnsi="Verdana"/>
          <w:lang w:val="en-GB"/>
        </w:rPr>
        <w:instrText xml:space="preserve"> ADDIN ZOTERO_ITEM CSL_CITATION {"citationID":"EjCxjgzb","properties":{"formattedCitation":"(Miyazaki et al. 2011; Watts et al. 2005; W. Zhang et al. 2021)","plainCitation":"(Miyazaki et al. 2011; Watts et al. 2005; W. Zhang et al. 2021)","noteIndex":0},"citationItems":[{"id":791,"uris":["http://zotero.org/users/9330673/items/CSEJATI3"],"itemData":{"id":791,"type":"article-journal","abstract":"Our previous studies demonstrated the involvement of quinone formation in dopaminergic neuron dysfunction in the L-DOPA-treated parkinsonian model and in methamphetamine (METH) neurotoxicity. We further reported that the cysteine-rich metal-binding metallothionein (MT) family of proteins protects dopaminergic neurons against dopamine (DA) quinone neurotoxicity by its quinone-quenching property. The aim of this study was to examine MT induction in astrocytes in response to excess DA and the potential neuroprotective effects of astrocyte-derived MTs against DA quinone toxicity. DA exposure signiﬁcantly upregulated MT-1/-2 in cultured striatal astrocytes, but not in mesencephalic neurons. This DA-induced MT upregulation in astrocytes was blocked by treatment with a DA-transporter (DAT) inhibitor, but not by DA-receptor antagonists. Expression of nuclear factor erythroid 2-related factor (Nrf2) and its binding activity to antioxidant response element of MT-1 gene were signiﬁcantly increased in the astrocytes after DA exposure. Nuclear translocation of Nrf2 was suppressed by the DAT inhibitor. Quinone formation and reduction of mesencephalic DA neurons after DA exposure were ameliorated by preincubation with conditioned media from DA-treated astrocytes. These protective effects were abrogated by MT-1/-2-speciﬁc antibody. Adding exogenous MT-1 to glial conditioned media also showed similar neuroprotective effects. Furthermore, MT-1/-2 expression was markedly elevated speciﬁcally in reactive astrocytes in the striatum of L-DOPA-treated hemi-parkinsonian mice or METH-injected mice. These results suggested that excess DA taken up by astrocytes via DAT upregulates MT-1/-2 expression speciﬁcally in astrocytes, and that MTs or related molecules secreted speciﬁcally by astrocytes protect dopaminergic neurons from damage through quinone quenching and/or scavenging of free radicals. VC 2010 Wiley-Liss, Inc.","container-title":"Glia","DOI":"10.1002/glia.21112","ISSN":"08941491","issue":"3","journalAbbreviation":"Glia","language":"en","page":"435-451","source":"DOI.org (Crossref)","title":"Astrocyte-derived metallothionein protects dopaminergic neurons from dopamine quinone toxicity","volume":"59","author":[{"family":"Miyazaki","given":"Ikuko"},{"family":"Asanuma","given":"Masato"},{"family":"Kikkawa","given":"Yuri"},{"family":"Takeshima","given":"Mika"},{"family":"Murakami","given":"Shinki"},{"family":"Miyoshi","given":"Ko"},{"family":"Sogawa","given":"Norio"},{"family":"Kita","given":"Taizo"}],"issued":{"date-parts":[["2011",3]]}}},{"id":847,"uris":["http://zotero.org/users/9330673/items/98HYIZVI"],"itemData":{"id":847,"type":"article-journal","container-title":"Journal of Neuroscience Research","DOI":"10.1002/jnr.20502","ISSN":"0360-4012, 1097-4547","issue":"5","journalAbbreviation":"J. Neurosci. Res.","language":"en","page":"655-666","source":"DOI.org (Crossref)","title":"Astrocytes protect neurons from ethanol-induced oxidative stress and apoptotic death","volume":"80","author":[{"family":"Watts","given":"Lora Talley"},{"family":"Rathinam","given":"Mary Latha"},{"family":"Schenker","given":"Steven"},{"family":"Henderson","given":"George I."}],"issued":{"date-parts":[["2005",6,1]]}}},{"id":799,"uris":["http://zotero.org/users/9330673/items/CYJQLXNQ"],"itemData":{"id":799,"type":"article-journal","abstract":"In this study, we investigated the mechanisms through which astrocyte-derived exosomes (AS-Exos) alleviate traumatic brain injury (TBI)-induced neuronal defects in TBI model rats and mice. Treatment with AS-Exos alleviated neurobehavioral deficits, cognitive impairment, and brain edema in TBI rats. AS-Exos also significantly reduced neuronal cell loss and atrophy in the TBI rats. AS-Exos significantly reduced oxidative stress and mitochondrial H2O2 levels by increasing the activity of antioxidant enzymes such as superoxide dismutase (SOD) and catalase (CAT) in the hippocampal neurons of TBI rats. TUNEL-staining assays showed that AS-Exos significantly reduced TBI-induced neuronal apoptosis. Mechanistically, AS-Exos ameliorated oxidative stress by activating Nrf2/HO-1 signaling in the hippocampus of TBI rats. In addition, the neuroprotective effects of AS-Exos were abrogated in brain-specific Nrf2-knockout mice subjected to TBI. These findings demonstrate that AS-Exos protects against TBI-induced oxidative stress and neuronal apoptosis by activating Nrf2 signaling in both rat and mouse models.","container-title":"Aging","DOI":"10.18632/aging.203508","ISSN":"1945-4589","issue":"17","journalAbbreviation":"Aging","language":"en","page":"21642-21658","source":"DOI.org (Crossref)","title":"Astrocyte-derived exosomes protect hippocampal neurons after traumatic brain injury by suppressing mitochondrial oxidative stress and apoptosis","volume":"13","author":[{"family":"Zhang","given":"Wenqian"},{"family":"Hong","given":"Jun"},{"family":"Zhang","given":"Hanwen"},{"family":"Zheng","given":"Wencheng"},{"family":"Yang","given":"Ying"}],"issued":{"date-parts":[["2021",9,15]]}}}],"schema":"https://github.com/citation-style-language/schema/raw/master/csl-citation.json"} </w:instrText>
      </w:r>
      <w:r w:rsidR="00245193">
        <w:rPr>
          <w:rFonts w:ascii="Verdana" w:hAnsi="Verdana"/>
          <w:lang w:val="en-GB"/>
        </w:rPr>
        <w:fldChar w:fldCharType="separate"/>
      </w:r>
      <w:r w:rsidR="00A92C51" w:rsidRPr="00A92C51">
        <w:rPr>
          <w:rFonts w:ascii="Verdana" w:hAnsi="Verdana"/>
        </w:rPr>
        <w:t>(Miyazaki et al. 2011; Watts et al. 2005; W. Zhang et al. 2021)</w:t>
      </w:r>
      <w:r w:rsidR="00245193">
        <w:rPr>
          <w:rFonts w:ascii="Verdana" w:hAnsi="Verdana"/>
          <w:lang w:val="en-GB"/>
        </w:rPr>
        <w:fldChar w:fldCharType="end"/>
      </w:r>
      <w:r w:rsidR="006B07C6" w:rsidRPr="00253B82">
        <w:rPr>
          <w:rFonts w:ascii="Verdana" w:hAnsi="Verdana"/>
          <w:lang w:val="en-GB"/>
        </w:rPr>
        <w:t xml:space="preserve">. </w:t>
      </w:r>
      <w:r w:rsidR="00BF6C14" w:rsidRPr="00253B82">
        <w:rPr>
          <w:rFonts w:ascii="Verdana" w:hAnsi="Verdana"/>
          <w:lang w:val="en-GB"/>
        </w:rPr>
        <w:t xml:space="preserve">Oxidative stress is </w:t>
      </w:r>
      <w:r w:rsidR="00496069" w:rsidRPr="00253B82">
        <w:rPr>
          <w:rFonts w:ascii="Verdana" w:hAnsi="Verdana"/>
          <w:lang w:val="en-GB"/>
        </w:rPr>
        <w:t xml:space="preserve">widely recognized as one of the major contributors to PD </w:t>
      </w:r>
      <w:r w:rsidR="00496069" w:rsidRPr="00253B82">
        <w:rPr>
          <w:rFonts w:ascii="Verdana" w:hAnsi="Verdana"/>
          <w:lang w:val="en-GB"/>
        </w:rPr>
        <w:lastRenderedPageBreak/>
        <w:t>pathogenesis. Deficiency in the major antioxidant enzymes</w:t>
      </w:r>
      <w:r w:rsidR="00245193">
        <w:rPr>
          <w:rFonts w:ascii="Verdana" w:hAnsi="Verdana"/>
          <w:lang w:val="en-GB"/>
        </w:rPr>
        <w:t xml:space="preserve"> </w:t>
      </w:r>
      <w:r w:rsidR="00245193">
        <w:rPr>
          <w:rFonts w:ascii="Verdana" w:hAnsi="Verdana"/>
          <w:lang w:val="en-GB"/>
        </w:rPr>
        <w:fldChar w:fldCharType="begin"/>
      </w:r>
      <w:r w:rsidR="00245193">
        <w:rPr>
          <w:rFonts w:ascii="Verdana" w:hAnsi="Verdana"/>
          <w:lang w:val="en-GB"/>
        </w:rPr>
        <w:instrText xml:space="preserve"> ADDIN ZOTERO_ITEM CSL_CITATION {"citationID":"JaTGbT3B","properties":{"formattedCitation":"(Sian et al. 1994)","plainCitation":"(Sian et al. 1994)","noteIndex":0},"citationItems":[{"id":852,"uris":["http://zotero.org/users/9330673/items/9RNK3UC8"],"itemData":{"id":852,"type":"article-journal","container-title":"Annals of Neurology","DOI":"10.1002/ana.410360305","ISSN":"0364-5134, 1531-8249","issue":"3","journalAbbreviation":"Ann Neurol.","language":"en","page":"348-355","source":"DOI.org (Crossref)","title":"Alterations in glutathione levels in Parkinson's disease and other neurodegenerative disorders affecting basal ganglia","volume":"36","author":[{"family":"Sian","given":"Jeswinder"},{"family":"Dexter","given":"David T."},{"family":"Lees","given":"Andrew J."},{"family":"Daniel","given":"Susan"},{"family":"Agid","given":"Yves"},{"family":"Javoy-Agid","given":"France"},{"family":"Jenner","given":"Peter"},{"family":"Marsden","given":"C. David"}],"issued":{"date-parts":[["1994",9]]}}}],"schema":"https://github.com/citation-style-language/schema/raw/master/csl-citation.json"} </w:instrText>
      </w:r>
      <w:r w:rsidR="00245193">
        <w:rPr>
          <w:rFonts w:ascii="Verdana" w:hAnsi="Verdana"/>
          <w:lang w:val="en-GB"/>
        </w:rPr>
        <w:fldChar w:fldCharType="separate"/>
      </w:r>
      <w:r w:rsidR="00245193" w:rsidRPr="00245193">
        <w:rPr>
          <w:rFonts w:ascii="Verdana" w:hAnsi="Verdana"/>
        </w:rPr>
        <w:t>(Sian et al. 1994)</w:t>
      </w:r>
      <w:r w:rsidR="00245193">
        <w:rPr>
          <w:rFonts w:ascii="Verdana" w:hAnsi="Verdana"/>
          <w:lang w:val="en-GB"/>
        </w:rPr>
        <w:fldChar w:fldCharType="end"/>
      </w:r>
      <w:r w:rsidR="00A92C51">
        <w:rPr>
          <w:rFonts w:ascii="Verdana" w:hAnsi="Verdana"/>
          <w:lang w:val="en-GB"/>
        </w:rPr>
        <w:t xml:space="preserve">, </w:t>
      </w:r>
      <w:r w:rsidR="00496069" w:rsidRPr="00253B82">
        <w:rPr>
          <w:rFonts w:ascii="Verdana" w:hAnsi="Verdana"/>
          <w:lang w:val="en-GB"/>
        </w:rPr>
        <w:t>a</w:t>
      </w:r>
      <w:r w:rsidR="00FB2831" w:rsidRPr="00253B82">
        <w:rPr>
          <w:rFonts w:ascii="Verdana" w:hAnsi="Verdana"/>
          <w:lang w:val="en-GB"/>
        </w:rPr>
        <w:t>s well as</w:t>
      </w:r>
      <w:r w:rsidR="00496069" w:rsidRPr="00253B82">
        <w:rPr>
          <w:rFonts w:ascii="Verdana" w:hAnsi="Verdana"/>
          <w:lang w:val="en-GB"/>
        </w:rPr>
        <w:t xml:space="preserve"> oxidative damage to lipids</w:t>
      </w:r>
      <w:r w:rsidR="00A92C51">
        <w:rPr>
          <w:rFonts w:ascii="Verdana" w:hAnsi="Verdana"/>
          <w:lang w:val="en-GB"/>
        </w:rPr>
        <w:t xml:space="preserve"> </w:t>
      </w:r>
      <w:r w:rsidR="00A92C51">
        <w:rPr>
          <w:rFonts w:ascii="Verdana" w:hAnsi="Verdana"/>
          <w:lang w:val="en-GB"/>
        </w:rPr>
        <w:fldChar w:fldCharType="begin"/>
      </w:r>
      <w:r w:rsidR="00A92C51">
        <w:rPr>
          <w:rFonts w:ascii="Verdana" w:hAnsi="Verdana"/>
          <w:lang w:val="en-GB"/>
        </w:rPr>
        <w:instrText xml:space="preserve"> ADDIN ZOTERO_ITEM CSL_CITATION {"citationID":"jInPALTt","properties":{"formattedCitation":"(Dexter et al. 1994)","plainCitation":"(Dexter et al. 1994)","noteIndex":0},"citationItems":[{"id":751,"uris":["http://zotero.org/users/9330673/items/WNHUGSHQ"],"itemData":{"id":751,"type":"article-journal","abstract":"Previous studies examining the involvement of oxidative stress in the substantia nigra in Parkinson’s disease have measured terminal products of lipid peroxidation or the function of antioxidant defense systems. We report a more specific early marker of lipid peroxidation, lipid hydroperoxides, in a high-performance liquid chromatography (HPLC) and electron spin resonance (ESR) investigation. HPLC-chemiluminescent detection revealed two classes of lipid hydroperoxides in brain tissue extracts-free fatty acid hydroperoxides and cholesterol lipid hydroperoxides. Only cholesterol lipid hydroperoxides were consistently detected in all tissue extracts. Cholesterol lipid hydroperoxides had a 10-fold increase in the Parkinson’s disease substantia nigra compared to control subjects. ESR detection of radical degradation products, including those of lipid hydroperoxides, in nigral homogenates incubated with the spin trap N-t-butyl-a-phenyl nitrone (PBN) showed a marked variation in ESR signal between tissues. Despite the increased levels of lipid hydroperoxides in parkinsonian substantia nigra, there was no overall difference in ESR signal intensity between nigral tissues from controls and from patients with Parkinson’s disease. The increased levels of an early component of the peroxidation chain in substantia nigra in Parkinson’s disease support the hypothesis of a continuous toxic process involving oxygen radical activity. However, using previously frozen tissue, ESR evidence for increased radical formation could not be demonstrated. Key Words: Parkinson’s disease-Lipid peroxidation-Free radical-Lipid hydroperoxide.","container-title":"Movement Disorders","DOI":"10.1002/mds.870090115","ISSN":"0885-3185, 1531-8257","issue":"1","journalAbbreviation":"Mov Disord.","language":"en","page":"92-97","source":"DOI.org (Crossref)","title":"Increased levels of lipid hydroperoxides in the parkinsonian substantia nigra: An HPLC and ESR study","title-short":"Increased levels of lipid hydroperoxides in the parkinsonian substantia nigra","volume":"9","author":[{"family":"Dexter","given":"David T."},{"family":"Holley","given":"Anne E."},{"family":"Flitter","given":"William D."},{"family":"Slater","given":"Trevor F."},{"family":"Wells","given":"F. Raymund"},{"family":"Daniel","given":"Susan E."},{"family":"Lees","given":"Andrew J."},{"family":"Jenner","given":"Peter"},{"family":"Marsden","given":"C. David"}],"issued":{"date-parts":[["1994"]]}}}],"schema":"https://github.com/citation-style-language/schema/raw/master/csl-citation.json"} </w:instrText>
      </w:r>
      <w:r w:rsidR="00A92C51">
        <w:rPr>
          <w:rFonts w:ascii="Verdana" w:hAnsi="Verdana"/>
          <w:lang w:val="en-GB"/>
        </w:rPr>
        <w:fldChar w:fldCharType="separate"/>
      </w:r>
      <w:r w:rsidR="00A92C51" w:rsidRPr="00A92C51">
        <w:rPr>
          <w:rFonts w:ascii="Verdana" w:hAnsi="Verdana"/>
        </w:rPr>
        <w:t>(Dexter et al. 1994)</w:t>
      </w:r>
      <w:r w:rsidR="00A92C51">
        <w:rPr>
          <w:rFonts w:ascii="Verdana" w:hAnsi="Verdana"/>
          <w:lang w:val="en-GB"/>
        </w:rPr>
        <w:fldChar w:fldCharType="end"/>
      </w:r>
      <w:r w:rsidR="00496069" w:rsidRPr="00253B82">
        <w:rPr>
          <w:rFonts w:ascii="Verdana" w:hAnsi="Verdana"/>
          <w:lang w:val="en-GB"/>
        </w:rPr>
        <w:t xml:space="preserve">, DNA </w:t>
      </w:r>
      <w:r w:rsidR="00A92C51">
        <w:rPr>
          <w:rFonts w:ascii="Verdana" w:hAnsi="Verdana"/>
          <w:lang w:val="en-GB"/>
        </w:rPr>
        <w:fldChar w:fldCharType="begin"/>
      </w:r>
      <w:r w:rsidR="00A92C51">
        <w:rPr>
          <w:rFonts w:ascii="Verdana" w:hAnsi="Verdana"/>
          <w:lang w:val="en-GB"/>
        </w:rPr>
        <w:instrText xml:space="preserve"> ADDIN ZOTERO_ITEM CSL_CITATION {"citationID":"NREDn9Jp","properties":{"formattedCitation":"(J. Zhang et al. 1999)","plainCitation":"(J. Zhang et al. 1999)","noteIndex":0},"citationItems":[{"id":800,"uris":["http://zotero.org/users/9330673/items/TGG9D2RC"],"itemData":{"id":800,"type":"article-journal","container-title":"The American Journal of Pathology","DOI":"10.1016/S0002-9440(10)65396-5","ISSN":"00029440","issue":"5","journalAbbreviation":"The American Journal of Pathology","language":"en","page":"1423-1429","source":"DOI.org (Crossref)","title":"Parkinson's Disease Is Associated with Oxidative Damage to Cytoplasmic DNA and RNA in Substantia Nigra Neurons","volume":"154","author":[{"family":"Zhang","given":"Jing"},{"family":"Perry","given":"George"},{"family":"Smith","given":"Mark A."},{"family":"Robertson","given":"David"},{"family":"Olson","given":"Sandra J."},{"family":"Graham","given":"Doyle G."},{"family":"Montine","given":"Thomas J."}],"issued":{"date-parts":[["1999",5]]}}}],"schema":"https://github.com/citation-style-language/schema/raw/master/csl-citation.json"} </w:instrText>
      </w:r>
      <w:r w:rsidR="00A92C51">
        <w:rPr>
          <w:rFonts w:ascii="Verdana" w:hAnsi="Verdana"/>
          <w:lang w:val="en-GB"/>
        </w:rPr>
        <w:fldChar w:fldCharType="separate"/>
      </w:r>
      <w:r w:rsidR="00A92C51" w:rsidRPr="00A92C51">
        <w:rPr>
          <w:rFonts w:ascii="Verdana" w:hAnsi="Verdana"/>
        </w:rPr>
        <w:t>(J. Zhang et al. 1999)</w:t>
      </w:r>
      <w:r w:rsidR="00A92C51">
        <w:rPr>
          <w:rFonts w:ascii="Verdana" w:hAnsi="Verdana"/>
          <w:lang w:val="en-GB"/>
        </w:rPr>
        <w:fldChar w:fldCharType="end"/>
      </w:r>
      <w:r w:rsidR="00496069" w:rsidRPr="00253B82">
        <w:rPr>
          <w:rFonts w:ascii="Verdana" w:hAnsi="Verdana"/>
          <w:lang w:val="en-GB"/>
        </w:rPr>
        <w:t xml:space="preserve">, and proteins </w:t>
      </w:r>
      <w:r w:rsidR="00A156B8">
        <w:rPr>
          <w:rFonts w:ascii="Verdana" w:hAnsi="Verdana"/>
          <w:lang w:val="en-GB"/>
        </w:rPr>
        <w:fldChar w:fldCharType="begin"/>
      </w:r>
      <w:r w:rsidR="00A156B8">
        <w:rPr>
          <w:rFonts w:ascii="Verdana" w:hAnsi="Verdana"/>
          <w:lang w:val="en-GB"/>
        </w:rPr>
        <w:instrText xml:space="preserve"> ADDIN ZOTERO_ITEM CSL_CITATION {"citationID":"ima0oPYU","properties":{"formattedCitation":"(Floor and Wetzel 2002)","plainCitation":"(Floor and Wetzel 2002)","noteIndex":0},"citationItems":[{"id":759,"uris":["http://zotero.org/users/9330673/items/GBHTTYNG"],"itemData":{"id":759,"type":"article-journal","abstract":"The dopaminergic phenotype of neurons in human substantia nigra deteriorates during normal aging, and loss of these neurons is prominent in Parkinson’s disease. These degenerative processes are hypothesized to involve oxidative stress. To compare oxidative stress in the nigra and related regions, we measured carbonyl modifications of soluble proteins in postmortem samples of substantia nigra, basal ganglia, and prefrontal cortex from neurologically normal subjects, using an improved 2,4-dinitrophenylhydrazine assay. The protein carbonyl content was found to be about twofold higher in substantia nigra pars compacta than in the other regions. To further analyze this oxidative damage, the distribution of carbonyl groups on soluble proteins was determined by western immunoblot analysis. This method revealed that carbonyl content of the major proteins in each region was linearly dependent on molecular weight. This distribution raises the possibility that protein carbonyl content is controlled by a size-dependent mechanism in vivo. Our results suggest that oxidative stress is elevated in human substantia nigra pars compacta in comparison with other regions and that oxidative damage is higher within the dopaminergic neurons. Elevated oxidative damage may contribute to the degeneration of nigral dopaminergic neurons in aging and in Parkinson’s disease. Key Words: Dopamine—Carbonyl groups—Protein oxidation—Aging—Parkinson’s disease.","container-title":"Journal of Neurochemistry","DOI":"10.1046/j.1471-4159.1998.70010268.x","ISSN":"00223042, 14714159","issue":"1","journalAbbreviation":"Journal of Neurochemistry","language":"en","page":"268-275","source":"DOI.org (Crossref)","title":"Increased Protein Oxidation in Human Substantia Nigra Pars Compacta in Comparison with Basal Ganglia and Prefrontal Cortex Measured with an Improved Dinitrophenylhydrazine Assay","volume":"70","author":[{"family":"Floor","given":"Erik"},{"family":"Wetzel","given":"Mary G."}],"issued":{"date-parts":[["2002",11,14]]}}}],"schema":"https://github.com/citation-style-language/schema/raw/master/csl-citation.json"} </w:instrText>
      </w:r>
      <w:r w:rsidR="00A156B8">
        <w:rPr>
          <w:rFonts w:ascii="Verdana" w:hAnsi="Verdana"/>
          <w:lang w:val="en-GB"/>
        </w:rPr>
        <w:fldChar w:fldCharType="separate"/>
      </w:r>
      <w:r w:rsidR="00A156B8" w:rsidRPr="00A156B8">
        <w:rPr>
          <w:rFonts w:ascii="Verdana" w:hAnsi="Verdana"/>
        </w:rPr>
        <w:t>(Floor and Wetzel 2002)</w:t>
      </w:r>
      <w:r w:rsidR="00A156B8">
        <w:rPr>
          <w:rFonts w:ascii="Verdana" w:hAnsi="Verdana"/>
          <w:lang w:val="en-GB"/>
        </w:rPr>
        <w:fldChar w:fldCharType="end"/>
      </w:r>
      <w:r w:rsidR="00496069" w:rsidRPr="00253B82">
        <w:rPr>
          <w:rFonts w:ascii="Verdana" w:hAnsi="Verdana"/>
          <w:lang w:val="en-GB"/>
        </w:rPr>
        <w:t xml:space="preserve"> have been reported in PD post-mortem brain tissue. </w:t>
      </w:r>
      <w:r w:rsidR="00264D69" w:rsidRPr="00253B82">
        <w:rPr>
          <w:rFonts w:ascii="Verdana" w:hAnsi="Verdana"/>
          <w:lang w:val="en-GB"/>
        </w:rPr>
        <w:t>Of importance</w:t>
      </w:r>
      <w:r w:rsidR="00496069" w:rsidRPr="00253B82">
        <w:rPr>
          <w:rFonts w:ascii="Verdana" w:hAnsi="Verdana"/>
          <w:lang w:val="en-GB"/>
        </w:rPr>
        <w:t xml:space="preserve">, dopaminergic neurons in the </w:t>
      </w:r>
      <w:proofErr w:type="spellStart"/>
      <w:r w:rsidR="00496069" w:rsidRPr="00253B82">
        <w:rPr>
          <w:rFonts w:ascii="Verdana" w:hAnsi="Verdana"/>
          <w:lang w:val="en-GB"/>
        </w:rPr>
        <w:t>SNpc</w:t>
      </w:r>
      <w:proofErr w:type="spellEnd"/>
      <w:r w:rsidR="00496069" w:rsidRPr="00253B82">
        <w:rPr>
          <w:rFonts w:ascii="Verdana" w:hAnsi="Verdana"/>
          <w:lang w:val="en-GB"/>
        </w:rPr>
        <w:t xml:space="preserve"> have a greater susceptibility to oxidative stress damage</w:t>
      </w:r>
      <w:r w:rsidR="00A156B8">
        <w:rPr>
          <w:rFonts w:ascii="Verdana" w:hAnsi="Verdana"/>
          <w:lang w:val="en-GB"/>
        </w:rPr>
        <w:t xml:space="preserve"> </w:t>
      </w:r>
      <w:r w:rsidR="00534B6A">
        <w:rPr>
          <w:rFonts w:ascii="Verdana" w:hAnsi="Verdana"/>
          <w:lang w:val="en-GB"/>
        </w:rPr>
        <w:fldChar w:fldCharType="begin"/>
      </w:r>
      <w:r w:rsidR="00534B6A">
        <w:rPr>
          <w:rFonts w:ascii="Verdana" w:hAnsi="Verdana"/>
          <w:lang w:val="en-GB"/>
        </w:rPr>
        <w:instrText xml:space="preserve"> ADDIN ZOTERO_ITEM CSL_CITATION {"citationID":"mE6AUHEJ","properties":{"formattedCitation":"(Mosharov et al. 2009)","plainCitation":"(Mosharov et al. 2009)","noteIndex":0},"citationItems":[{"id":804,"uris":["http://zotero.org/users/9330673/items/3Q3MEUYJ"],"itemData":{"id":804,"type":"article-journal","abstract":"The basis for selective death of specific neuronal populations in neurodegenerative diseases remains unclear. Parkinson's disease (PD) is a synucleinopathy characterized by a preferential loss of dopaminergic neurons in the substantia nigra (SN), whereas neurons of the ventral tegmental area (VTA) are spared. Using intracellular patch electrochemistry to directly measure cytosolic dopamine (DAcyt) in cultured midbrain neurons, we confirm that elevated DAcyt and its metabolites are neurotoxic and that genetic and pharmacological interventions that decrease DAcyt provide neuroprotection. L-DOPA increased DAcyt in SN neurons to levels 2-3-fold higher than in VTA neurons, a response dependent on dihydropyridine-sensitive Ca2+ channels, resulting in greater susceptibility of SN neurons to L-DOPA-induced neurotoxicity. DAcyt was not altered by α-synuclein deletion, although dopaminergic neurons lacking α-synuclein were resistant to L-DOPA-induced cell death. Thus, an interaction between Ca2+, DAcyt and α-synuclein may underlie the susceptibility of SN neurons in PD, suggesting multiple therapeutic targets.","container-title":"Neuron","DOI":"10.1016/j.neuron.2009.01.033","ISSN":"08966273","issue":"2","journalAbbreviation":"Neuron","language":"en","page":"218-229","source":"DOI.org (Crossref)","title":"Interplay between Cytosolic Dopamine, Calcium, and α-Synuclein Causes Selective Death of Substantia Nigra Neurons","volume":"62","author":[{"family":"Mosharov","given":"Eugene V."},{"family":"Larsen","given":"Kristin E."},{"family":"Kanter","given":"Ellen"},{"family":"Phillips","given":"Kester A."},{"family":"Wilson","given":"Krystal"},{"family":"Schmitz","given":"Yvonne"},{"family":"Krantz","given":"David E."},{"family":"Kobayashi","given":"Kazuto"},{"family":"Edwards","given":"Robert H."},{"family":"Sulzer","given":"David"}],"issued":{"date-parts":[["2009",4]]}}}],"schema":"https://github.com/citation-style-language/schema/raw/master/csl-citation.json"} </w:instrText>
      </w:r>
      <w:r w:rsidR="00534B6A">
        <w:rPr>
          <w:rFonts w:ascii="Verdana" w:hAnsi="Verdana"/>
          <w:lang w:val="en-GB"/>
        </w:rPr>
        <w:fldChar w:fldCharType="separate"/>
      </w:r>
      <w:r w:rsidR="00534B6A" w:rsidRPr="00534B6A">
        <w:rPr>
          <w:rFonts w:ascii="Verdana" w:hAnsi="Verdana"/>
        </w:rPr>
        <w:t>(Mosharov et al. 2009)</w:t>
      </w:r>
      <w:r w:rsidR="00534B6A">
        <w:rPr>
          <w:rFonts w:ascii="Verdana" w:hAnsi="Verdana"/>
          <w:lang w:val="en-GB"/>
        </w:rPr>
        <w:fldChar w:fldCharType="end"/>
      </w:r>
      <w:r w:rsidR="00496069" w:rsidRPr="00253B82">
        <w:rPr>
          <w:rFonts w:ascii="Verdana" w:hAnsi="Verdana"/>
          <w:lang w:val="en-GB"/>
        </w:rPr>
        <w:t>.</w:t>
      </w:r>
      <w:r w:rsidR="00AB5748" w:rsidRPr="00253B82">
        <w:rPr>
          <w:rFonts w:ascii="Verdana" w:hAnsi="Verdana"/>
          <w:lang w:val="en-GB"/>
        </w:rPr>
        <w:t xml:space="preserve"> </w:t>
      </w:r>
      <w:r w:rsidR="00996804" w:rsidRPr="00253B82">
        <w:rPr>
          <w:rFonts w:ascii="Verdana" w:hAnsi="Verdana"/>
          <w:lang w:val="en-GB"/>
        </w:rPr>
        <w:t xml:space="preserve">Numerous </w:t>
      </w:r>
      <w:r w:rsidR="00413A7C" w:rsidRPr="00253B82">
        <w:rPr>
          <w:rFonts w:ascii="Verdana" w:hAnsi="Verdana"/>
          <w:lang w:val="en-GB"/>
        </w:rPr>
        <w:t xml:space="preserve">causative genes of early-onset familial PD </w:t>
      </w:r>
      <w:r w:rsidR="004C5CFA" w:rsidRPr="00253B82">
        <w:rPr>
          <w:rFonts w:ascii="Verdana" w:hAnsi="Verdana"/>
          <w:lang w:val="en-GB"/>
        </w:rPr>
        <w:t xml:space="preserve">are expressed in </w:t>
      </w:r>
      <w:r w:rsidR="0016751F" w:rsidRPr="00253B82">
        <w:rPr>
          <w:rFonts w:ascii="Verdana" w:hAnsi="Verdana"/>
          <w:lang w:val="en-GB"/>
        </w:rPr>
        <w:t>astrocytes and have been shown to influence astrocytes’ ability to respond to oxidative stress.</w:t>
      </w:r>
      <w:r w:rsidR="00522CFB" w:rsidRPr="00253B82">
        <w:rPr>
          <w:rFonts w:ascii="Verdana" w:hAnsi="Verdana"/>
          <w:lang w:val="en-GB"/>
        </w:rPr>
        <w:t xml:space="preserve"> DJ-1 is a multifunctional protein, </w:t>
      </w:r>
      <w:r w:rsidR="001F247A" w:rsidRPr="00253B82">
        <w:rPr>
          <w:rFonts w:ascii="Verdana" w:hAnsi="Verdana"/>
          <w:lang w:val="en-GB"/>
        </w:rPr>
        <w:t>suggested to</w:t>
      </w:r>
      <w:r w:rsidR="004F110F" w:rsidRPr="00253B82">
        <w:rPr>
          <w:rFonts w:ascii="Verdana" w:hAnsi="Verdana"/>
          <w:lang w:val="en-GB"/>
        </w:rPr>
        <w:t xml:space="preserve"> act </w:t>
      </w:r>
      <w:r w:rsidR="00D60B41" w:rsidRPr="00253B82">
        <w:rPr>
          <w:rFonts w:ascii="Verdana" w:hAnsi="Verdana"/>
          <w:lang w:val="en-GB"/>
        </w:rPr>
        <w:t>as a sensor of oxidative stress</w:t>
      </w:r>
      <w:r w:rsidR="00534B6A">
        <w:rPr>
          <w:rFonts w:ascii="Verdana" w:hAnsi="Verdana"/>
          <w:lang w:val="en-GB"/>
        </w:rPr>
        <w:t xml:space="preserve"> </w:t>
      </w:r>
      <w:r w:rsidR="00534B6A">
        <w:rPr>
          <w:rFonts w:ascii="Verdana" w:hAnsi="Verdana"/>
          <w:lang w:val="en-GB"/>
        </w:rPr>
        <w:fldChar w:fldCharType="begin"/>
      </w:r>
      <w:r w:rsidR="00534B6A">
        <w:rPr>
          <w:rFonts w:ascii="Verdana" w:hAnsi="Verdana"/>
          <w:lang w:val="en-GB"/>
        </w:rPr>
        <w:instrText xml:space="preserve"> ADDIN ZOTERO_ITEM CSL_CITATION {"citationID":"IV1OnUjN","properties":{"formattedCitation":"(Mitsumoto and Nakagawa 2001)","plainCitation":"(Mitsumoto and Nakagawa 2001)","noteIndex":0},"citationItems":[{"id":788,"uris":["http://zotero.org/users/9330673/items/2HHWTKPZ"],"itemData":{"id":788,"type":"article-journal","container-title":"Free Radical Research","DOI":"10.1080/10715760100301381","ISSN":"1071-5762, 1029-2470","issue":"6","journalAbbreviation":"Free Radical Research","language":"en","page":"885-893","source":"DOI.org (Crossref)","title":"DJ-1 is an indicator for endogenous reactive oxygen species elicited by endotoxin","volume":"35","author":[{"family":"Mitsumoto","given":"Atsushi"},{"family":"Nakagawa","given":"Yasuhito"}],"issued":{"date-parts":[["2001",1]]}}}],"schema":"https://github.com/citation-style-language/schema/raw/master/csl-citation.json"} </w:instrText>
      </w:r>
      <w:r w:rsidR="00534B6A">
        <w:rPr>
          <w:rFonts w:ascii="Verdana" w:hAnsi="Verdana"/>
          <w:lang w:val="en-GB"/>
        </w:rPr>
        <w:fldChar w:fldCharType="separate"/>
      </w:r>
      <w:r w:rsidR="00534B6A" w:rsidRPr="00534B6A">
        <w:rPr>
          <w:rFonts w:ascii="Verdana" w:hAnsi="Verdana"/>
        </w:rPr>
        <w:t>(Mitsumoto and Nakagawa 2001)</w:t>
      </w:r>
      <w:r w:rsidR="00534B6A">
        <w:rPr>
          <w:rFonts w:ascii="Verdana" w:hAnsi="Verdana"/>
          <w:lang w:val="en-GB"/>
        </w:rPr>
        <w:fldChar w:fldCharType="end"/>
      </w:r>
      <w:r w:rsidR="006B25DD" w:rsidRPr="00253B82">
        <w:rPr>
          <w:rFonts w:ascii="Verdana" w:hAnsi="Verdana"/>
          <w:lang w:val="en-GB"/>
        </w:rPr>
        <w:t xml:space="preserve">. </w:t>
      </w:r>
      <w:r w:rsidR="001F247A" w:rsidRPr="00253B82">
        <w:rPr>
          <w:rFonts w:ascii="Verdana" w:hAnsi="Verdana"/>
          <w:lang w:val="en-GB"/>
        </w:rPr>
        <w:t>In the brain, DJ-1 is highly expressed in astrocytes</w:t>
      </w:r>
      <w:r w:rsidR="00534B6A">
        <w:rPr>
          <w:rFonts w:ascii="Verdana" w:hAnsi="Verdana"/>
          <w:lang w:val="en-GB"/>
        </w:rPr>
        <w:t xml:space="preserve"> </w:t>
      </w:r>
      <w:r w:rsidR="00534B6A">
        <w:rPr>
          <w:rFonts w:ascii="Verdana" w:hAnsi="Verdana"/>
          <w:lang w:val="en-GB"/>
        </w:rPr>
        <w:fldChar w:fldCharType="begin"/>
      </w:r>
      <w:r w:rsidR="00534B6A">
        <w:rPr>
          <w:rFonts w:ascii="Verdana" w:hAnsi="Verdana"/>
          <w:lang w:val="en-GB"/>
        </w:rPr>
        <w:instrText xml:space="preserve"> ADDIN ZOTERO_ITEM CSL_CITATION {"citationID":"XjdJO8v8","properties":{"formattedCitation":"(Bandopadhyay 2004)","plainCitation":"(Bandopadhyay 2004)","noteIndex":0},"citationItems":[{"id":723,"uris":["http://zotero.org/users/9330673/items/BXTWEU49"],"itemData":{"id":723,"type":"article-journal","container-title":"Brain","DOI":"10.1093/brain/awh054","ISSN":"1460-2156","issue":"2","journalAbbreviation":"Brain","language":"en","page":"420-430","source":"DOI.org (Crossref)","title":"The expression of DJ-1 (PARK7) in normal human CNS and idiopathic Parkinson's disease","volume":"127","author":[{"family":"Bandopadhyay","given":"R."}],"issued":{"date-parts":[["2004",2,1]]}}}],"schema":"https://github.com/citation-style-language/schema/raw/master/csl-citation.json"} </w:instrText>
      </w:r>
      <w:r w:rsidR="00534B6A">
        <w:rPr>
          <w:rFonts w:ascii="Verdana" w:hAnsi="Verdana"/>
          <w:lang w:val="en-GB"/>
        </w:rPr>
        <w:fldChar w:fldCharType="separate"/>
      </w:r>
      <w:r w:rsidR="00534B6A" w:rsidRPr="00534B6A">
        <w:rPr>
          <w:rFonts w:ascii="Verdana" w:hAnsi="Verdana"/>
        </w:rPr>
        <w:t>(Bandopadhyay 2004)</w:t>
      </w:r>
      <w:r w:rsidR="00534B6A">
        <w:rPr>
          <w:rFonts w:ascii="Verdana" w:hAnsi="Verdana"/>
          <w:lang w:val="en-GB"/>
        </w:rPr>
        <w:fldChar w:fldCharType="end"/>
      </w:r>
      <w:r w:rsidR="001F247A" w:rsidRPr="00253B82">
        <w:rPr>
          <w:rFonts w:ascii="Verdana" w:hAnsi="Verdana"/>
          <w:lang w:val="en-GB"/>
        </w:rPr>
        <w:t>, and l</w:t>
      </w:r>
      <w:r w:rsidR="004C0ECE" w:rsidRPr="00253B82">
        <w:rPr>
          <w:rFonts w:ascii="Verdana" w:hAnsi="Verdana"/>
          <w:lang w:val="en-GB"/>
        </w:rPr>
        <w:t>oss of</w:t>
      </w:r>
      <w:r w:rsidR="00EC0277" w:rsidRPr="00253B82">
        <w:rPr>
          <w:rFonts w:ascii="Verdana" w:hAnsi="Verdana"/>
          <w:lang w:val="en-GB"/>
        </w:rPr>
        <w:t xml:space="preserve"> DJ-1 </w:t>
      </w:r>
      <w:r w:rsidR="00CC3475" w:rsidRPr="00253B82">
        <w:rPr>
          <w:rFonts w:ascii="Verdana" w:hAnsi="Verdana"/>
          <w:lang w:val="en-GB"/>
        </w:rPr>
        <w:t>has been shown to impair</w:t>
      </w:r>
      <w:r w:rsidR="001110DE" w:rsidRPr="00253B82">
        <w:rPr>
          <w:rFonts w:ascii="Verdana" w:hAnsi="Verdana"/>
          <w:lang w:val="en-GB"/>
        </w:rPr>
        <w:t xml:space="preserve"> astrocytes-mediated</w:t>
      </w:r>
      <w:r w:rsidR="00D9457C" w:rsidRPr="00253B82">
        <w:rPr>
          <w:rFonts w:ascii="Verdana" w:hAnsi="Verdana"/>
          <w:lang w:val="en-GB"/>
        </w:rPr>
        <w:t xml:space="preserve"> neuroprotection</w:t>
      </w:r>
      <w:r w:rsidR="001110DE" w:rsidRPr="00253B82">
        <w:rPr>
          <w:rFonts w:ascii="Verdana" w:hAnsi="Verdana"/>
          <w:lang w:val="en-GB"/>
        </w:rPr>
        <w:t xml:space="preserve"> </w:t>
      </w:r>
      <w:r w:rsidR="001110DE" w:rsidRPr="00253B82">
        <w:rPr>
          <w:rFonts w:ascii="Verdana" w:hAnsi="Verdana"/>
          <w:i/>
          <w:iCs/>
          <w:lang w:val="en-GB"/>
        </w:rPr>
        <w:t>in vi</w:t>
      </w:r>
      <w:r w:rsidR="00962FE7" w:rsidRPr="00253B82">
        <w:rPr>
          <w:rFonts w:ascii="Verdana" w:hAnsi="Verdana"/>
          <w:i/>
          <w:iCs/>
          <w:lang w:val="en-GB"/>
        </w:rPr>
        <w:t>tro</w:t>
      </w:r>
      <w:r w:rsidR="00CF3795">
        <w:rPr>
          <w:rFonts w:ascii="Verdana" w:hAnsi="Verdana"/>
          <w:i/>
          <w:iCs/>
          <w:lang w:val="en-GB"/>
        </w:rPr>
        <w:t xml:space="preserve"> </w:t>
      </w:r>
      <w:r w:rsidR="00CF3795">
        <w:rPr>
          <w:rFonts w:ascii="Verdana" w:hAnsi="Verdana"/>
          <w:i/>
          <w:iCs/>
          <w:lang w:val="en-GB"/>
        </w:rPr>
        <w:fldChar w:fldCharType="begin"/>
      </w:r>
      <w:r w:rsidR="00CF3795">
        <w:rPr>
          <w:rFonts w:ascii="Verdana" w:hAnsi="Verdana"/>
          <w:i/>
          <w:iCs/>
          <w:lang w:val="en-GB"/>
        </w:rPr>
        <w:instrText xml:space="preserve"> ADDIN ZOTERO_ITEM CSL_CITATION {"citationID":"1dCmjCrA","properties":{"formattedCitation":"(Lev et al. 2013; Mullett et al. 2013)","plainCitation":"(Lev et al. 2013; Mullett et al. 2013)","noteIndex":0},"citationItems":[{"id":784,"uris":["http://zotero.org/users/9330673/items/YTCN7QNW"],"itemData":{"id":784,"type":"article-journal","abstract":"Astrocytes are the most abundant glial cell type in the brain. Impairment in astrocyte functions can critically influence neuronal survival and leads to neurodegeneration. Parkinson’s disease (PD) is a common neurodegenerative disorder, characterized by motor dysfunction that results from progressive neuronal loss. Astrocytic dysfunction was demonstrated in human samples and in experimental models of PD. Mutations in DJ-1 (PARK7) leading to loss of functional protein cause familial PD and enhance sensitivity to oxidative insults. Recently, an increase in DJ-1’s expression was found in reactive astrocytes in various neurodegenerative disorders. Here we show that lack of DJ-1 attenuates astrocytes’ ability to support neuronal cells, thereby leading to accelerated neuronal damage. DJ-1 knockout mice demonstrated increased vulnerability in vivo to 6hydroxydopamine (6-OHDA) hemiparkinsonian PD model. Astrocytes isolated from DJ-1 knockout mice showed an inferior ability to protect human neuroblastoma cells against 6-OHDA insult both by co-culture and through their conditioned media, as compared to wild-type astrocytes. DJ-1 knockout astrocytes showed blunted ability to increase the expression of cellular protective mechanisms against oxidative stress mediated via Nrf-2 and HO-1 in response to exposure to 6-OHDA. These experiments demonstrated that lack of DJ-1 impairs astrocyte-mediated neuroprotection.","container-title":"Journal of Molecular Neuroscience","DOI":"10.1007/s12031-013-9984-9","ISSN":"0895-8696, 1559-1166","issue":"3","journalAbbreviation":"J Mol Neurosci","language":"en","page":"542-550","source":"DOI.org (Crossref)","title":"Knocking Out DJ-1 Attenuates Astrocytes Neuroprotection Against 6-Hydroxydopamine Toxicity","volume":"50","author":[{"family":"Lev","given":"Nirit"},{"family":"Barhum","given":"Yael"},{"family":"Ben-Zur","given":"Tali"},{"family":"Melamed","given":"Eldad"},{"family":"Steiner","given":"Israel"},{"family":"Offen","given":"Daniel"}],"issued":{"date-parts":[["2013",7]]}}},{"id":805,"uris":["http://zotero.org/users/9330673/items/4GFG77CJ"],"itemData":{"id":805,"type":"article-journal","abstract":"DJ-1 deficiency is a cause of genetic Parkinson’s disease (PARK7 PD). In sporadic PD, however, DJ-1 is abundantly-expressed in reactive astrocytes. This may represent a compensatory protective response. In initial support of this hypothesis, we have shown in vitro that DJ-1 over-expressing astrocytes protect neurons against rotenone-induced death. Rotenone, a pesticide linked to increased PD risk, can stimulate oxidative stress. This process is implicated in PD pathogenesis. Since DJ-1 can enhance antioxidant systems, we hypothesized that augmenting its expression in astrocytes would protect co-cultured neurons against oxidative stress. We report here that DJ-1 over-expressing astrocytes were significantly more protective against rotenone-induced neuronal thiol oxidation than wild-type astrocytes in neuron-astrocyte co-cultures. DJ-1 knock-down astrocytes, on the other hand, were significantly impaired in their capacity to protect neurons against thiol oxidation. Each of these findings was replicated using astrocyte conditioned media on neuron-enriched cultures. Thus, DJ-1 modulated, astrocyte-released soluble factors must be involved in the mechanism. This is the first demonstration that the manipulation of a PD-causing gene in astrocytes affects their ability to protect neurons against oxidative stress.","container-title":"Journal of Molecular Neuroscience","DOI":"10.1007/s12031-012-9904-4","ISSN":"0895-8696, 1559-1166","issue":"3","journalAbbreviation":"J Mol Neurosci","language":"en","page":"507-511","source":"DOI.org (Crossref)","title":"DJ-1 Expression Modulates Astrocyte-Mediated Protection Against Neuronal Oxidative Stress","volume":"49","author":[{"family":"Mullett","given":"Steven J."},{"family":"Di Maio","given":"Roberto"},{"family":"Greenamyre","given":"J. Timothy"},{"family":"Hinkle","given":"David A."}],"issued":{"date-parts":[["2013",3]]}}}],"schema":"https://github.com/citation-style-language/schema/raw/master/csl-citation.json"} </w:instrText>
      </w:r>
      <w:r w:rsidR="00CF3795">
        <w:rPr>
          <w:rFonts w:ascii="Verdana" w:hAnsi="Verdana"/>
          <w:i/>
          <w:iCs/>
          <w:lang w:val="en-GB"/>
        </w:rPr>
        <w:fldChar w:fldCharType="separate"/>
      </w:r>
      <w:r w:rsidR="00CF3795" w:rsidRPr="00CF3795">
        <w:rPr>
          <w:rFonts w:ascii="Verdana" w:hAnsi="Verdana"/>
        </w:rPr>
        <w:t>(Lev et al. 2013; Mullett et al. 2013)</w:t>
      </w:r>
      <w:r w:rsidR="00CF3795">
        <w:rPr>
          <w:rFonts w:ascii="Verdana" w:hAnsi="Verdana"/>
          <w:i/>
          <w:iCs/>
          <w:lang w:val="en-GB"/>
        </w:rPr>
        <w:fldChar w:fldCharType="end"/>
      </w:r>
      <w:r w:rsidR="001110DE" w:rsidRPr="00253B82">
        <w:rPr>
          <w:rFonts w:ascii="Verdana" w:hAnsi="Verdana"/>
          <w:lang w:val="en-GB"/>
        </w:rPr>
        <w:t>.</w:t>
      </w:r>
      <w:r w:rsidR="00AB5748" w:rsidRPr="00253B82">
        <w:rPr>
          <w:rFonts w:ascii="Verdana" w:hAnsi="Verdana"/>
          <w:lang w:val="en-GB"/>
        </w:rPr>
        <w:t xml:space="preserve"> </w:t>
      </w:r>
      <w:r w:rsidR="00B72E67" w:rsidRPr="00253B82">
        <w:rPr>
          <w:rFonts w:ascii="Verdana" w:hAnsi="Verdana"/>
          <w:lang w:val="en-GB"/>
        </w:rPr>
        <w:t xml:space="preserve">Furthermore, </w:t>
      </w:r>
      <w:r w:rsidR="00AB5748" w:rsidRPr="00253B82">
        <w:rPr>
          <w:rFonts w:ascii="Verdana" w:hAnsi="Verdana"/>
          <w:lang w:val="en-GB"/>
        </w:rPr>
        <w:t xml:space="preserve">DJ-1 has been </w:t>
      </w:r>
      <w:r w:rsidR="00CC3475" w:rsidRPr="00253B82">
        <w:rPr>
          <w:rFonts w:ascii="Verdana" w:hAnsi="Verdana"/>
          <w:lang w:val="en-GB"/>
        </w:rPr>
        <w:t>reported</w:t>
      </w:r>
      <w:r w:rsidR="00AB5748" w:rsidRPr="00253B82">
        <w:rPr>
          <w:rFonts w:ascii="Verdana" w:hAnsi="Verdana"/>
          <w:lang w:val="en-GB"/>
        </w:rPr>
        <w:t xml:space="preserve"> to stabilize Nrf2</w:t>
      </w:r>
      <w:r w:rsidR="00B24D35" w:rsidRPr="00253B82">
        <w:rPr>
          <w:rFonts w:ascii="Verdana" w:hAnsi="Verdana"/>
          <w:lang w:val="en-GB"/>
        </w:rPr>
        <w:t>, a</w:t>
      </w:r>
      <w:r w:rsidR="00CC3475" w:rsidRPr="00253B82">
        <w:rPr>
          <w:rFonts w:ascii="Verdana" w:hAnsi="Verdana"/>
          <w:lang w:val="en-GB"/>
        </w:rPr>
        <w:t>n astrocyte-specific</w:t>
      </w:r>
      <w:r w:rsidR="00B24D35" w:rsidRPr="00253B82">
        <w:rPr>
          <w:rFonts w:ascii="Verdana" w:hAnsi="Verdana"/>
          <w:lang w:val="en-GB"/>
        </w:rPr>
        <w:t xml:space="preserve"> transcription factor </w:t>
      </w:r>
      <w:r w:rsidR="00DC409A" w:rsidRPr="00253B82">
        <w:rPr>
          <w:rFonts w:ascii="Verdana" w:hAnsi="Verdana"/>
          <w:lang w:val="en-GB"/>
        </w:rPr>
        <w:t>mediating the astrocytic antioxidant response</w:t>
      </w:r>
      <w:r w:rsidR="00CF3795">
        <w:rPr>
          <w:rFonts w:ascii="Verdana" w:hAnsi="Verdana"/>
          <w:lang w:val="en-GB"/>
        </w:rPr>
        <w:t xml:space="preserve"> </w:t>
      </w:r>
      <w:r w:rsidR="00CF3795">
        <w:rPr>
          <w:rFonts w:ascii="Verdana" w:hAnsi="Verdana"/>
          <w:lang w:val="en-GB"/>
        </w:rPr>
        <w:fldChar w:fldCharType="begin"/>
      </w:r>
      <w:r w:rsidR="00CF3795">
        <w:rPr>
          <w:rFonts w:ascii="Verdana" w:hAnsi="Verdana"/>
          <w:lang w:val="en-GB"/>
        </w:rPr>
        <w:instrText xml:space="preserve"> ADDIN ZOTERO_ITEM CSL_CITATION {"citationID":"mzXHmUCg","properties":{"formattedCitation":"(Clements et al. 2006)","plainCitation":"(Clements et al. 2006)","noteIndex":0},"citationItems":[{"id":743,"uris":["http://zotero.org/users/9330673/items/AY239DG6"],"itemData":{"id":743,"type":"article-journal","abstract":"DJ-1/PARK7, a cancer- and Parkinson's disease (PD)-associated protein, protects cells from toxic stresses. However, the functional basis of this protection has remained elusive. We found that loss of DJ-1 leads to deficits in NQO1 [NAD(P)H quinone oxidoreductase 1], a detoxification enzyme. This deficit is attributed to a loss of Nrf2 (nuclear factor erythroid 2-related factor), a master regulator of antioxidant transcriptional responses. DJ-1 stabilizes Nrf2 by preventing association with its inhibitor protein, Keap1, and Nrf2's subsequent ubiquitination. Without intact DJ-1, Nrf2 protein is unstable, and transcriptional responses are thereby decreased both basally and after induction. This effect of DJ-1 on Nrf2 is present in both transformed lines and primary cells across human and mouse species. DJ-1's effect on Nrf2 and subsequent effects on antioxidant responses may explain how DJ-1 affects the etiology of both cancer and PD, which are seemingly disparate disorders. Furthermore, this DJ-1/Nrf2 functional axis presents a therapeutic target in cancer treatment and justifies DJ-1 as a tumor biomarker.","container-title":"Proceedings of the National Academy of Sciences","DOI":"10.1073/pnas.0607260103","ISSN":"0027-8424, 1091-6490","issue":"41","journalAbbreviation":"Proc. Natl. Acad. Sci. U.S.A.","language":"en","page":"15091-15096","source":"DOI.org (Crossref)","title":"DJ-1, a cancer- and Parkinson's disease-associated protein, stabilizes the antioxidant transcriptional master regulator Nrf2","volume":"103","author":[{"family":"Clements","given":"Casey M."},{"family":"McNally","given":"Richard S."},{"family":"Conti","given":"Brian J."},{"family":"Mak","given":"Tak W."},{"family":"Ting","given":"Jenny P.-Y."}],"issued":{"date-parts":[["2006",10,10]]}}}],"schema":"https://github.com/citation-style-language/schema/raw/master/csl-citation.json"} </w:instrText>
      </w:r>
      <w:r w:rsidR="00CF3795">
        <w:rPr>
          <w:rFonts w:ascii="Verdana" w:hAnsi="Verdana"/>
          <w:lang w:val="en-GB"/>
        </w:rPr>
        <w:fldChar w:fldCharType="separate"/>
      </w:r>
      <w:r w:rsidR="00CF3795" w:rsidRPr="00CF3795">
        <w:rPr>
          <w:rFonts w:ascii="Verdana" w:hAnsi="Verdana"/>
        </w:rPr>
        <w:t>(Clements et al. 2006)</w:t>
      </w:r>
      <w:r w:rsidR="00CF3795">
        <w:rPr>
          <w:rFonts w:ascii="Verdana" w:hAnsi="Verdana"/>
          <w:lang w:val="en-GB"/>
        </w:rPr>
        <w:fldChar w:fldCharType="end"/>
      </w:r>
      <w:r w:rsidR="00ED55C1" w:rsidRPr="00253B82">
        <w:rPr>
          <w:rFonts w:ascii="Verdana" w:hAnsi="Verdana"/>
          <w:lang w:val="en-GB"/>
        </w:rPr>
        <w:t xml:space="preserve">; </w:t>
      </w:r>
      <w:r w:rsidR="009F4EF2" w:rsidRPr="00253B82">
        <w:rPr>
          <w:rFonts w:ascii="Verdana" w:hAnsi="Verdana"/>
          <w:lang w:val="en-GB"/>
        </w:rPr>
        <w:t>loss of DJ-1</w:t>
      </w:r>
      <w:r w:rsidR="00DC409A" w:rsidRPr="00253B82">
        <w:rPr>
          <w:rFonts w:ascii="Verdana" w:hAnsi="Verdana"/>
          <w:lang w:val="en-GB"/>
        </w:rPr>
        <w:t xml:space="preserve"> in astrocytes</w:t>
      </w:r>
      <w:r w:rsidR="008D5465" w:rsidRPr="00253B82">
        <w:rPr>
          <w:rFonts w:ascii="Verdana" w:hAnsi="Verdana"/>
          <w:lang w:val="en-GB"/>
        </w:rPr>
        <w:t xml:space="preserve"> could cause</w:t>
      </w:r>
      <w:r w:rsidR="009F4EF2" w:rsidRPr="00253B82">
        <w:rPr>
          <w:rFonts w:ascii="Verdana" w:hAnsi="Verdana"/>
          <w:lang w:val="en-GB"/>
        </w:rPr>
        <w:t xml:space="preserve"> </w:t>
      </w:r>
      <w:r w:rsidR="00E52A90" w:rsidRPr="00253B82">
        <w:rPr>
          <w:rFonts w:ascii="Verdana" w:hAnsi="Verdana"/>
          <w:lang w:val="en-GB"/>
        </w:rPr>
        <w:t>disruption of Nrf2 signalling</w:t>
      </w:r>
      <w:r w:rsidR="008D5465" w:rsidRPr="00253B82">
        <w:rPr>
          <w:rFonts w:ascii="Verdana" w:hAnsi="Verdana"/>
          <w:lang w:val="en-GB"/>
        </w:rPr>
        <w:t>,</w:t>
      </w:r>
      <w:r w:rsidR="00E52A90" w:rsidRPr="00253B82">
        <w:rPr>
          <w:rFonts w:ascii="Verdana" w:hAnsi="Verdana"/>
          <w:lang w:val="en-GB"/>
        </w:rPr>
        <w:t xml:space="preserve"> </w:t>
      </w:r>
      <w:r w:rsidR="00DC409A" w:rsidRPr="00253B82">
        <w:rPr>
          <w:rFonts w:ascii="Verdana" w:hAnsi="Verdana"/>
          <w:lang w:val="en-GB"/>
        </w:rPr>
        <w:t xml:space="preserve">thus indirectly </w:t>
      </w:r>
      <w:r w:rsidR="00E52A90" w:rsidRPr="00253B82">
        <w:rPr>
          <w:rFonts w:ascii="Verdana" w:hAnsi="Verdana"/>
          <w:lang w:val="en-GB"/>
        </w:rPr>
        <w:t>c</w:t>
      </w:r>
      <w:r w:rsidR="003A51BB" w:rsidRPr="00253B82">
        <w:rPr>
          <w:rFonts w:ascii="Verdana" w:hAnsi="Verdana"/>
          <w:lang w:val="en-GB"/>
        </w:rPr>
        <w:t>ontribut</w:t>
      </w:r>
      <w:r w:rsidR="00DC409A" w:rsidRPr="00253B82">
        <w:rPr>
          <w:rFonts w:ascii="Verdana" w:hAnsi="Verdana"/>
          <w:lang w:val="en-GB"/>
        </w:rPr>
        <w:t>ing</w:t>
      </w:r>
      <w:r w:rsidR="003A51BB" w:rsidRPr="00253B82">
        <w:rPr>
          <w:rFonts w:ascii="Verdana" w:hAnsi="Verdana"/>
          <w:lang w:val="en-GB"/>
        </w:rPr>
        <w:t xml:space="preserve"> to PD pathogenesis.</w:t>
      </w:r>
    </w:p>
    <w:p w14:paraId="509351B2" w14:textId="43C28ADF" w:rsidR="00FE4C12" w:rsidRPr="003A2D5C" w:rsidRDefault="00FE4C12" w:rsidP="00291DAF">
      <w:pPr>
        <w:spacing w:line="360" w:lineRule="auto"/>
        <w:ind w:firstLine="0"/>
        <w:jc w:val="both"/>
        <w:rPr>
          <w:rFonts w:ascii="Verdana" w:hAnsi="Verdana"/>
          <w:color w:val="C45911" w:themeColor="accent2" w:themeShade="BF"/>
          <w:lang w:val="en-GB"/>
        </w:rPr>
      </w:pPr>
    </w:p>
    <w:p w14:paraId="195668F4" w14:textId="23050740" w:rsidR="00FE4C12" w:rsidRDefault="00FE4C12" w:rsidP="00291DAF">
      <w:pPr>
        <w:spacing w:line="360" w:lineRule="auto"/>
        <w:ind w:firstLine="0"/>
        <w:jc w:val="both"/>
        <w:rPr>
          <w:rFonts w:ascii="Verdana" w:hAnsi="Verdana"/>
          <w:lang w:val="en-GB"/>
        </w:rPr>
      </w:pPr>
    </w:p>
    <w:p w14:paraId="12F3D4FB" w14:textId="77777777" w:rsidR="00FE4C12" w:rsidRDefault="00FE4C12" w:rsidP="00291DAF">
      <w:pPr>
        <w:spacing w:line="360" w:lineRule="auto"/>
        <w:ind w:firstLine="0"/>
        <w:jc w:val="both"/>
        <w:rPr>
          <w:rFonts w:ascii="Verdana" w:hAnsi="Verdana"/>
          <w:lang w:val="en-GB"/>
        </w:rPr>
      </w:pPr>
    </w:p>
    <w:p w14:paraId="464EA6BF" w14:textId="024BCBC6" w:rsidR="006846F3" w:rsidRPr="007A09C9" w:rsidRDefault="008F161B" w:rsidP="004F0024">
      <w:pPr>
        <w:pStyle w:val="Heading2"/>
        <w:numPr>
          <w:ilvl w:val="3"/>
          <w:numId w:val="13"/>
        </w:numPr>
        <w:spacing w:line="360" w:lineRule="auto"/>
        <w:ind w:left="0" w:firstLine="720"/>
        <w:rPr>
          <w:szCs w:val="24"/>
          <w:lang w:val="en-GB"/>
        </w:rPr>
      </w:pPr>
      <w:bookmarkStart w:id="16" w:name="_Toc130223388"/>
      <w:r w:rsidRPr="007A09C9">
        <w:rPr>
          <w:szCs w:val="24"/>
          <w:lang w:val="en-GB"/>
        </w:rPr>
        <w:t>Genetic component</w:t>
      </w:r>
      <w:bookmarkEnd w:id="16"/>
    </w:p>
    <w:p w14:paraId="6140D4BC" w14:textId="68D49C12" w:rsidR="008F161B" w:rsidRPr="008F161B" w:rsidRDefault="008F161B" w:rsidP="00291DAF">
      <w:pPr>
        <w:pStyle w:val="ListParagraph"/>
        <w:spacing w:line="360" w:lineRule="auto"/>
        <w:ind w:left="0"/>
        <w:jc w:val="both"/>
        <w:rPr>
          <w:rFonts w:ascii="Verdana" w:hAnsi="Verdana"/>
          <w:lang w:val="en-GB"/>
        </w:rPr>
      </w:pPr>
      <w:r>
        <w:rPr>
          <w:rFonts w:ascii="Verdana" w:hAnsi="Verdana"/>
          <w:lang w:val="en-GB"/>
        </w:rPr>
        <w:t xml:space="preserve">Parkinson’s disease is a multifactorial disease of unclear aetiology. Different factors have been </w:t>
      </w:r>
      <w:r w:rsidR="00597222">
        <w:rPr>
          <w:rFonts w:ascii="Verdana" w:hAnsi="Verdana"/>
          <w:lang w:val="en-GB"/>
        </w:rPr>
        <w:t>shown to contribute to</w:t>
      </w:r>
      <w:r>
        <w:rPr>
          <w:rFonts w:ascii="Verdana" w:hAnsi="Verdana"/>
          <w:lang w:val="en-GB"/>
        </w:rPr>
        <w:t xml:space="preserve"> PD onset, including genetic predisposition, </w:t>
      </w:r>
      <w:r w:rsidR="00364334">
        <w:rPr>
          <w:rFonts w:ascii="Verdana" w:hAnsi="Verdana"/>
          <w:lang w:val="en-GB"/>
        </w:rPr>
        <w:t>environmental factors, sex</w:t>
      </w:r>
      <w:r w:rsidR="00D305C8">
        <w:rPr>
          <w:rFonts w:ascii="Verdana" w:hAnsi="Verdana"/>
          <w:lang w:val="en-GB"/>
        </w:rPr>
        <w:t>,</w:t>
      </w:r>
      <w:r w:rsidR="00364334">
        <w:rPr>
          <w:rFonts w:ascii="Verdana" w:hAnsi="Verdana"/>
          <w:lang w:val="en-GB"/>
        </w:rPr>
        <w:t xml:space="preserve"> and ageing. Only </w:t>
      </w:r>
      <w:r w:rsidR="00221CCC">
        <w:rPr>
          <w:rFonts w:ascii="Verdana" w:hAnsi="Verdana"/>
          <w:lang w:val="en-GB"/>
        </w:rPr>
        <w:t>5-</w:t>
      </w:r>
      <w:r w:rsidR="00364334">
        <w:rPr>
          <w:rFonts w:ascii="Verdana" w:hAnsi="Verdana"/>
          <w:lang w:val="en-GB"/>
        </w:rPr>
        <w:t>1</w:t>
      </w:r>
      <w:r w:rsidR="00221CCC">
        <w:rPr>
          <w:rFonts w:ascii="Verdana" w:hAnsi="Verdana"/>
          <w:lang w:val="en-GB"/>
        </w:rPr>
        <w:t>5</w:t>
      </w:r>
      <w:r w:rsidR="00364334">
        <w:rPr>
          <w:rFonts w:ascii="Verdana" w:hAnsi="Verdana"/>
          <w:lang w:val="en-GB"/>
        </w:rPr>
        <w:t>% of PD cases have a clear genetic cause</w:t>
      </w:r>
      <w:r w:rsidR="00517A52">
        <w:rPr>
          <w:rFonts w:ascii="Verdana" w:hAnsi="Verdana"/>
          <w:lang w:val="en-GB"/>
        </w:rPr>
        <w:t xml:space="preserve"> and</w:t>
      </w:r>
      <w:r w:rsidR="001338C5">
        <w:rPr>
          <w:rFonts w:ascii="Verdana" w:hAnsi="Verdana"/>
          <w:lang w:val="en-GB"/>
        </w:rPr>
        <w:t>,</w:t>
      </w:r>
      <w:r w:rsidR="00517A52">
        <w:rPr>
          <w:rFonts w:ascii="Verdana" w:hAnsi="Verdana"/>
          <w:lang w:val="en-GB"/>
        </w:rPr>
        <w:t xml:space="preserve"> u</w:t>
      </w:r>
      <w:r w:rsidR="004D1F02">
        <w:rPr>
          <w:rFonts w:ascii="Verdana" w:hAnsi="Verdana"/>
          <w:lang w:val="en-GB"/>
        </w:rPr>
        <w:t xml:space="preserve">p to date, 20 </w:t>
      </w:r>
      <w:r w:rsidR="004D1F02" w:rsidRPr="004D1F02">
        <w:rPr>
          <w:rFonts w:ascii="Verdana" w:hAnsi="Verdana"/>
          <w:i/>
          <w:iCs/>
          <w:lang w:val="en-GB"/>
        </w:rPr>
        <w:t>loci</w:t>
      </w:r>
      <w:r w:rsidR="004D1F02">
        <w:rPr>
          <w:rFonts w:ascii="Verdana" w:hAnsi="Verdana"/>
          <w:lang w:val="en-GB"/>
        </w:rPr>
        <w:t xml:space="preserve"> have been </w:t>
      </w:r>
      <w:r w:rsidR="00D63A1E">
        <w:rPr>
          <w:rFonts w:ascii="Verdana" w:hAnsi="Verdana"/>
          <w:lang w:val="en-GB"/>
        </w:rPr>
        <w:t>identified as causative for</w:t>
      </w:r>
      <w:r w:rsidR="003D6580">
        <w:rPr>
          <w:rFonts w:ascii="Verdana" w:hAnsi="Verdana"/>
          <w:lang w:val="en-GB"/>
        </w:rPr>
        <w:t xml:space="preserve"> Parkinson’s disease</w:t>
      </w:r>
      <w:r w:rsidR="00517A52">
        <w:rPr>
          <w:rFonts w:ascii="Verdana" w:hAnsi="Verdana"/>
          <w:lang w:val="en-GB"/>
        </w:rPr>
        <w:t>.</w:t>
      </w:r>
      <w:r w:rsidR="002F1F56">
        <w:rPr>
          <w:rFonts w:ascii="Verdana" w:hAnsi="Verdana"/>
          <w:lang w:val="en-GB"/>
        </w:rPr>
        <w:t xml:space="preserve"> </w:t>
      </w:r>
      <w:r w:rsidR="00C364A2">
        <w:rPr>
          <w:rFonts w:ascii="Verdana" w:hAnsi="Verdana"/>
          <w:lang w:val="en-GB"/>
        </w:rPr>
        <w:t>Mutations in genes implicated in mitochondrial function, such as DJ-1, PINK-1</w:t>
      </w:r>
      <w:r w:rsidR="00026FB1">
        <w:rPr>
          <w:rFonts w:ascii="Verdana" w:hAnsi="Verdana"/>
          <w:lang w:val="en-GB"/>
        </w:rPr>
        <w:t>,</w:t>
      </w:r>
      <w:r w:rsidR="00C364A2">
        <w:rPr>
          <w:rFonts w:ascii="Verdana" w:hAnsi="Verdana"/>
          <w:lang w:val="en-GB"/>
        </w:rPr>
        <w:t xml:space="preserve"> or Parkin, are known to cause early-onset, autosomal recessive PD</w:t>
      </w:r>
      <w:r w:rsidR="00692194">
        <w:rPr>
          <w:rFonts w:ascii="Verdana" w:hAnsi="Verdana"/>
          <w:lang w:val="en-GB"/>
        </w:rPr>
        <w:t xml:space="preserve">, while mutations in the </w:t>
      </w:r>
      <w:r w:rsidR="00262E02">
        <w:rPr>
          <w:rFonts w:ascii="Verdana" w:hAnsi="Verdana"/>
          <w:lang w:val="en-GB"/>
        </w:rPr>
        <w:t>synuclein gene (</w:t>
      </w:r>
      <w:r w:rsidR="00262E02" w:rsidRPr="00293633">
        <w:rPr>
          <w:rFonts w:ascii="Verdana" w:hAnsi="Verdana"/>
          <w:i/>
          <w:iCs/>
          <w:lang w:val="en-GB"/>
        </w:rPr>
        <w:t>SNCA</w:t>
      </w:r>
      <w:r w:rsidR="00262E02">
        <w:rPr>
          <w:rFonts w:ascii="Verdana" w:hAnsi="Verdana"/>
          <w:lang w:val="en-GB"/>
        </w:rPr>
        <w:t>) cause autosomal dominant PD.</w:t>
      </w:r>
      <w:r w:rsidR="00E04010">
        <w:rPr>
          <w:rFonts w:ascii="Verdana" w:hAnsi="Verdana"/>
          <w:lang w:val="en-GB"/>
        </w:rPr>
        <w:t xml:space="preserve"> Furthermore, mutations in other genes </w:t>
      </w:r>
      <w:r w:rsidR="00987E07">
        <w:rPr>
          <w:rFonts w:ascii="Verdana" w:hAnsi="Verdana"/>
          <w:lang w:val="en-GB"/>
        </w:rPr>
        <w:t xml:space="preserve">like glucocerebrosidase (GBA) </w:t>
      </w:r>
      <w:r w:rsidR="003224AC">
        <w:rPr>
          <w:rFonts w:ascii="Verdana" w:hAnsi="Verdana"/>
          <w:lang w:val="en-GB"/>
        </w:rPr>
        <w:t xml:space="preserve">are not causative of PD but </w:t>
      </w:r>
      <w:r w:rsidR="00026FB1">
        <w:rPr>
          <w:rFonts w:ascii="Verdana" w:hAnsi="Verdana"/>
          <w:lang w:val="en-GB"/>
        </w:rPr>
        <w:t xml:space="preserve">can </w:t>
      </w:r>
      <w:r w:rsidR="003224AC">
        <w:rPr>
          <w:rFonts w:ascii="Verdana" w:hAnsi="Verdana"/>
          <w:lang w:val="en-GB"/>
        </w:rPr>
        <w:t>modify the risk of developing it.</w:t>
      </w:r>
      <w:r w:rsidR="00CE2194">
        <w:rPr>
          <w:rFonts w:ascii="Verdana" w:hAnsi="Verdana"/>
          <w:lang w:val="en-GB"/>
        </w:rPr>
        <w:t xml:space="preserve"> For the scope of this thesis, only the contribution of </w:t>
      </w:r>
      <w:r w:rsidR="00CE2194" w:rsidRPr="00293633">
        <w:rPr>
          <w:rFonts w:ascii="Verdana" w:hAnsi="Verdana"/>
          <w:i/>
          <w:iCs/>
          <w:lang w:val="en-GB"/>
        </w:rPr>
        <w:t>SNCA</w:t>
      </w:r>
      <w:r w:rsidR="00C86882" w:rsidRPr="00293633">
        <w:rPr>
          <w:rFonts w:ascii="Verdana" w:hAnsi="Verdana"/>
          <w:i/>
          <w:iCs/>
          <w:lang w:val="en-GB"/>
        </w:rPr>
        <w:t xml:space="preserve"> </w:t>
      </w:r>
      <w:r w:rsidR="00C86882">
        <w:rPr>
          <w:rFonts w:ascii="Verdana" w:hAnsi="Verdana"/>
          <w:lang w:val="en-GB"/>
        </w:rPr>
        <w:t>and DJ-1 will be discussed further.</w:t>
      </w:r>
    </w:p>
    <w:p w14:paraId="2CCC1409" w14:textId="7B37D071" w:rsidR="00891568" w:rsidRDefault="00891568" w:rsidP="00291DAF">
      <w:pPr>
        <w:spacing w:line="360" w:lineRule="auto"/>
        <w:ind w:firstLine="0"/>
        <w:jc w:val="both"/>
        <w:rPr>
          <w:rFonts w:ascii="Verdana" w:hAnsi="Verdana"/>
          <w:lang w:val="en-GB"/>
        </w:rPr>
      </w:pPr>
    </w:p>
    <w:p w14:paraId="62BD2F36" w14:textId="5047BEF1" w:rsidR="00B034DA" w:rsidRPr="007A09C9" w:rsidRDefault="007A09C9" w:rsidP="00767F9D">
      <w:pPr>
        <w:pStyle w:val="Heading3"/>
        <w:numPr>
          <w:ilvl w:val="4"/>
          <w:numId w:val="13"/>
        </w:numPr>
        <w:rPr>
          <w:lang w:val="en-GB"/>
        </w:rPr>
      </w:pPr>
      <w:r>
        <w:rPr>
          <w:lang w:val="en-GB"/>
        </w:rPr>
        <w:lastRenderedPageBreak/>
        <w:t xml:space="preserve"> </w:t>
      </w:r>
      <w:bookmarkStart w:id="17" w:name="_Toc130223389"/>
      <w:r w:rsidR="00163B2A" w:rsidRPr="007A09C9">
        <w:rPr>
          <w:lang w:val="en-GB"/>
        </w:rPr>
        <w:t>SNCA</w:t>
      </w:r>
      <w:bookmarkEnd w:id="17"/>
    </w:p>
    <w:p w14:paraId="63449E1D" w14:textId="60FFCE8A" w:rsidR="0048320D" w:rsidRDefault="00E172FA" w:rsidP="007A09C9">
      <w:pPr>
        <w:pStyle w:val="ListParagraph"/>
        <w:spacing w:line="360" w:lineRule="auto"/>
        <w:ind w:left="0"/>
        <w:jc w:val="both"/>
        <w:rPr>
          <w:rFonts w:ascii="Verdana" w:hAnsi="Verdana"/>
          <w:lang w:val="en-GB"/>
        </w:rPr>
      </w:pPr>
      <w:r>
        <w:rPr>
          <w:rFonts w:ascii="Verdana" w:hAnsi="Verdana"/>
          <w:lang w:val="en-GB"/>
        </w:rPr>
        <w:t>The association</w:t>
      </w:r>
      <w:r w:rsidR="00332E69">
        <w:rPr>
          <w:rFonts w:ascii="Verdana" w:hAnsi="Verdana"/>
          <w:lang w:val="en-GB"/>
        </w:rPr>
        <w:t xml:space="preserve"> of </w:t>
      </w:r>
      <w:r w:rsidR="00A81541">
        <w:rPr>
          <w:rFonts w:ascii="Verdana" w:hAnsi="Verdana"/>
          <w:lang w:val="en-GB"/>
        </w:rPr>
        <w:t>alpha-</w:t>
      </w:r>
      <w:r w:rsidR="00332E69">
        <w:rPr>
          <w:rFonts w:ascii="Verdana" w:hAnsi="Verdana"/>
          <w:lang w:val="en-GB"/>
        </w:rPr>
        <w:t xml:space="preserve">synuclein to PD first came with the identification of </w:t>
      </w:r>
      <w:r w:rsidR="00A81541">
        <w:rPr>
          <w:rFonts w:ascii="Verdana" w:hAnsi="Verdana"/>
          <w:lang w:val="en-GB"/>
        </w:rPr>
        <w:t>alpha-</w:t>
      </w:r>
      <w:r w:rsidR="00332E69">
        <w:rPr>
          <w:rFonts w:ascii="Verdana" w:hAnsi="Verdana"/>
          <w:lang w:val="en-GB"/>
        </w:rPr>
        <w:t>synuclein as the main component of Lewy bodies</w:t>
      </w:r>
      <w:r w:rsidR="001D00DA">
        <w:rPr>
          <w:rFonts w:ascii="Verdana" w:hAnsi="Verdana"/>
          <w:lang w:val="en-GB"/>
        </w:rPr>
        <w:t xml:space="preserve"> </w:t>
      </w:r>
      <w:r w:rsidR="001D00DA">
        <w:rPr>
          <w:rFonts w:ascii="Verdana" w:hAnsi="Verdana"/>
          <w:lang w:val="en-GB"/>
        </w:rPr>
        <w:fldChar w:fldCharType="begin"/>
      </w:r>
      <w:r w:rsidR="001D00DA">
        <w:rPr>
          <w:rFonts w:ascii="Verdana" w:hAnsi="Verdana"/>
          <w:lang w:val="en-GB"/>
        </w:rPr>
        <w:instrText xml:space="preserve"> ADDIN ZOTERO_ITEM CSL_CITATION {"citationID":"fUtiDadU","properties":{"formattedCitation":"(Spillantini et al. 1998)","plainCitation":"(Spillantini et al. 1998)","noteIndex":0},"citationItems":[{"id":841,"uris":["http://zotero.org/users/9330673/items/T9ZR6DYH"],"itemData":{"id":841,"type":"article-journal","abstract":"Lewy bodies and Lewy neurites are the defining neuropathological characteristics of Parkinson’s disease and dementia with Lewy bodies. They are made of abnormal filamentous assemblies of unknown composition. We show here that Lewy bodies and Lewy neurites from Parkinson’s disease and dementia with Lewy bodies are stained strongly by antibodies directed against aminoterminal and carboxyl-terminal sequences of </w:instrText>
      </w:r>
      <w:r w:rsidR="001D00DA">
        <w:rPr>
          <w:rFonts w:ascii="MS Gothic" w:eastAsia="MS Gothic" w:hAnsi="MS Gothic" w:cs="MS Gothic" w:hint="eastAsia"/>
          <w:lang w:val="en-GB"/>
        </w:rPr>
        <w:instrText>␣</w:instrText>
      </w:r>
      <w:r w:rsidR="001D00DA">
        <w:rPr>
          <w:rFonts w:ascii="Verdana" w:hAnsi="Verdana"/>
          <w:lang w:val="en-GB"/>
        </w:rPr>
        <w:instrText xml:space="preserve">-synuclein, showing the presence of full-length or close to full-length </w:instrText>
      </w:r>
      <w:r w:rsidR="001D00DA">
        <w:rPr>
          <w:rFonts w:ascii="MS Gothic" w:eastAsia="MS Gothic" w:hAnsi="MS Gothic" w:cs="MS Gothic" w:hint="eastAsia"/>
          <w:lang w:val="en-GB"/>
        </w:rPr>
        <w:instrText>␣</w:instrText>
      </w:r>
      <w:r w:rsidR="001D00DA">
        <w:rPr>
          <w:rFonts w:ascii="Verdana" w:hAnsi="Verdana"/>
          <w:lang w:val="en-GB"/>
        </w:rPr>
        <w:instrText xml:space="preserve">-synuclein. The number of </w:instrText>
      </w:r>
      <w:r w:rsidR="001D00DA">
        <w:rPr>
          <w:rFonts w:ascii="MS Gothic" w:eastAsia="MS Gothic" w:hAnsi="MS Gothic" w:cs="MS Gothic" w:hint="eastAsia"/>
          <w:lang w:val="en-GB"/>
        </w:rPr>
        <w:instrText>␣</w:instrText>
      </w:r>
      <w:r w:rsidR="001D00DA">
        <w:rPr>
          <w:rFonts w:ascii="Verdana" w:hAnsi="Verdana"/>
          <w:lang w:val="en-GB"/>
        </w:rPr>
        <w:instrText xml:space="preserve">-synuclein-stained structures exceeded that immunoreactive for ubiquitin, which is currently the most sensitive marker of Lewy bodies and Lewy neurites. Staining for </w:instrText>
      </w:r>
      <w:r w:rsidR="001D00DA">
        <w:rPr>
          <w:rFonts w:ascii="MS Gothic" w:eastAsia="MS Gothic" w:hAnsi="MS Gothic" w:cs="MS Gothic" w:hint="eastAsia"/>
          <w:lang w:val="en-GB"/>
        </w:rPr>
        <w:instrText>␣</w:instrText>
      </w:r>
      <w:r w:rsidR="001D00DA">
        <w:rPr>
          <w:rFonts w:ascii="Verdana" w:hAnsi="Verdana"/>
          <w:lang w:val="en-GB"/>
        </w:rPr>
        <w:instrText>-synuclein thus will replace staining for ubiquitin as the preferred method for detecting Lewy bodies and Lewy neurites. We have isolated Lewy body filaments by a method used for the extraction of paired helical filaments from Alzheimer’s disease brain. By immunoelectron microscopy, extracted filaments were labeled strongly by anti-</w:instrText>
      </w:r>
      <w:r w:rsidR="001D00DA">
        <w:rPr>
          <w:rFonts w:ascii="MS Gothic" w:eastAsia="MS Gothic" w:hAnsi="MS Gothic" w:cs="MS Gothic" w:hint="eastAsia"/>
          <w:lang w:val="en-GB"/>
        </w:rPr>
        <w:instrText>␣</w:instrText>
      </w:r>
      <w:r w:rsidR="001D00DA">
        <w:rPr>
          <w:rFonts w:ascii="Verdana" w:hAnsi="Verdana"/>
          <w:lang w:val="en-GB"/>
        </w:rPr>
        <w:instrText xml:space="preserve">-synuclein antibodies. The morphologies of the 5- to 10-nm filaments and their staining characteristics suggest that extended </w:instrText>
      </w:r>
      <w:r w:rsidR="001D00DA">
        <w:rPr>
          <w:rFonts w:ascii="MS Gothic" w:eastAsia="MS Gothic" w:hAnsi="MS Gothic" w:cs="MS Gothic" w:hint="eastAsia"/>
          <w:lang w:val="en-GB"/>
        </w:rPr>
        <w:instrText>␣</w:instrText>
      </w:r>
      <w:r w:rsidR="001D00DA">
        <w:rPr>
          <w:rFonts w:ascii="Verdana" w:hAnsi="Verdana"/>
          <w:lang w:val="en-GB"/>
        </w:rPr>
        <w:instrText xml:space="preserve">-synuclein molecules run parallel to the filament axis and that the filaments are polar structures. These findings indicate that </w:instrText>
      </w:r>
      <w:r w:rsidR="001D00DA">
        <w:rPr>
          <w:rFonts w:ascii="MS Gothic" w:eastAsia="MS Gothic" w:hAnsi="MS Gothic" w:cs="MS Gothic" w:hint="eastAsia"/>
          <w:lang w:val="en-GB"/>
        </w:rPr>
        <w:instrText>␣</w:instrText>
      </w:r>
      <w:r w:rsidR="001D00DA">
        <w:rPr>
          <w:rFonts w:ascii="Verdana" w:hAnsi="Verdana"/>
          <w:lang w:val="en-GB"/>
        </w:rPr>
        <w:instrText>-synuclein forms the major filamentous component of Lewy bodies and Lewy neurites.","container-title":"Proc. Natl. Acad. Sci. USA","language":"en","page":"5","source":"Zotero","title":"Parkinson</w:instrText>
      </w:r>
      <w:r w:rsidR="001D00DA">
        <w:rPr>
          <w:rFonts w:ascii="Verdana" w:hAnsi="Verdana" w:cs="Verdana"/>
          <w:lang w:val="en-GB"/>
        </w:rPr>
        <w:instrText>’</w:instrText>
      </w:r>
      <w:r w:rsidR="001D00DA">
        <w:rPr>
          <w:rFonts w:ascii="Verdana" w:hAnsi="Verdana"/>
          <w:lang w:val="en-GB"/>
        </w:rPr>
        <w:instrText xml:space="preserve">s disease and dementia with Lewy bodies","author":[{"family":"Spillantini","given":"Maria Grazia"},{"family":"Crowther","given":"R Anthony"},{"family":"Jakes","given":"Ross"},{"family":"Hasegawa","given":"Masato"},{"family":"Goedert","given":"Michel"}],"issued":{"date-parts":[["1998"]]}}}],"schema":"https://github.com/citation-style-language/schema/raw/master/csl-citation.json"} </w:instrText>
      </w:r>
      <w:r w:rsidR="001D00DA">
        <w:rPr>
          <w:rFonts w:ascii="Verdana" w:hAnsi="Verdana"/>
          <w:lang w:val="en-GB"/>
        </w:rPr>
        <w:fldChar w:fldCharType="separate"/>
      </w:r>
      <w:r w:rsidR="001D00DA" w:rsidRPr="001D00DA">
        <w:rPr>
          <w:rFonts w:ascii="Verdana" w:hAnsi="Verdana"/>
        </w:rPr>
        <w:t>(Spillantini et al. 1998)</w:t>
      </w:r>
      <w:r w:rsidR="001D00DA">
        <w:rPr>
          <w:rFonts w:ascii="Verdana" w:hAnsi="Verdana"/>
          <w:lang w:val="en-GB"/>
        </w:rPr>
        <w:fldChar w:fldCharType="end"/>
      </w:r>
      <w:r w:rsidR="00624A20">
        <w:rPr>
          <w:rFonts w:ascii="Verdana" w:hAnsi="Verdana"/>
          <w:lang w:val="en-GB"/>
        </w:rPr>
        <w:t xml:space="preserve">. </w:t>
      </w:r>
      <w:r w:rsidR="00624A20" w:rsidRPr="0061244E">
        <w:rPr>
          <w:rFonts w:ascii="Verdana" w:hAnsi="Verdana"/>
          <w:lang w:val="en-GB"/>
        </w:rPr>
        <w:t xml:space="preserve">An additional breakthrough came with the </w:t>
      </w:r>
      <w:r w:rsidR="00A81541" w:rsidRPr="0061244E">
        <w:rPr>
          <w:rFonts w:ascii="Verdana" w:hAnsi="Verdana"/>
          <w:lang w:val="en-GB"/>
        </w:rPr>
        <w:t>discovery that some alpha-synuclein</w:t>
      </w:r>
      <w:r w:rsidR="00C86882">
        <w:rPr>
          <w:rFonts w:ascii="Verdana" w:hAnsi="Verdana"/>
          <w:lang w:val="en-GB"/>
        </w:rPr>
        <w:t xml:space="preserve"> missense</w:t>
      </w:r>
      <w:r w:rsidR="00A81541" w:rsidRPr="0061244E">
        <w:rPr>
          <w:rFonts w:ascii="Verdana" w:hAnsi="Verdana"/>
          <w:lang w:val="en-GB"/>
        </w:rPr>
        <w:t xml:space="preserve"> mutations, such as the A53T, the A30P and the E46K mutations, as well as alpha-synuclein gene duplication and triplication</w:t>
      </w:r>
      <w:r w:rsidR="009441B1" w:rsidRPr="0061244E">
        <w:rPr>
          <w:rFonts w:ascii="Verdana" w:hAnsi="Verdana"/>
          <w:lang w:val="en-GB"/>
        </w:rPr>
        <w:t>, are causative of autosomal dominant forms of PD</w:t>
      </w:r>
      <w:r w:rsidR="00533098">
        <w:rPr>
          <w:rFonts w:ascii="Verdana" w:hAnsi="Verdana"/>
          <w:lang w:val="en-GB"/>
        </w:rPr>
        <w:t xml:space="preserve"> </w:t>
      </w:r>
      <w:r w:rsidR="00533098">
        <w:rPr>
          <w:rFonts w:ascii="Verdana" w:hAnsi="Verdana"/>
          <w:lang w:val="en-GB"/>
        </w:rPr>
        <w:fldChar w:fldCharType="begin"/>
      </w:r>
      <w:r w:rsidR="00AA73D7">
        <w:rPr>
          <w:rFonts w:ascii="Verdana" w:hAnsi="Verdana"/>
          <w:lang w:val="en-GB"/>
        </w:rPr>
        <w:instrText xml:space="preserve"> ADDIN ZOTERO_ITEM CSL_CITATION {"citationID":"kJWqbx1D","properties":{"formattedCitation":"(Chartier-Harlin et al. 2004; Polymeropoulos et al. 1997; Singleton et al. 2003; Zarranz et al. 2004)","plainCitation":"(Chartier-Harlin et al. 2004; Polymeropoulos et al. 1997; Singleton et al. 2003; Zarranz et al. 2004)","dontUpdate":true,"noteIndex":0},"citationItems":[{"id":31,"uris":["http://zotero.org/users/9330673/items/XHNUJ9WK"],"itemData":{"id":31,"type":"article-journal","language":"en","page":"3","source":"Zotero","title":"</w:instrText>
      </w:r>
      <w:r w:rsidR="00AA73D7">
        <w:rPr>
          <w:rFonts w:ascii="MS Gothic" w:eastAsia="MS Gothic" w:hAnsi="MS Gothic" w:cs="MS Gothic" w:hint="eastAsia"/>
          <w:lang w:val="en-GB"/>
        </w:rPr>
        <w:instrText>␣</w:instrText>
      </w:r>
      <w:r w:rsidR="00AA73D7">
        <w:rPr>
          <w:rFonts w:ascii="Verdana" w:hAnsi="Verdana"/>
          <w:lang w:val="en-GB"/>
        </w:rPr>
        <w:instrText xml:space="preserve">-synuclein locus duplication as a cause of familial","volume":"364","author":[{"family":"Chartier-Harlin","given":"Marie-Christine"},{"family":"Kachergus","given":"Jennifer"},{"family":"Roumier","given":"Christophe"},{"family":"Mouroux","given":"Vincent"},{"family":"Douay","given":"Xavier"},{"family":"Lincoln","given":"Sarah"},{"family":"Levecque","given":"Clotilde"},{"family":"Larvor","given":"Lydie"},{"family":"Andrieux","given":"Joris"},{"family":"Hulihan","given":"Mary"},{"family":"Waucquier","given":"Nawal"},{"family":"Defebvre","given":"Luc"},{"family":"Amouyel","given":"Philippe"},{"family":"Farrer","given":"Matthew"},{"family":"Destée","given":"Alain"}],"issued":{"date-parts":[["2004"]]}}},{"id":2085,"uris":["http://zotero.org/users/9330673/items/5YINI8RU"],"itemData":{"id":2085,"type":"article-journal","abstract":"Parkinson's disease (PD) is a common neurodegenerative disorder with a lifetime incidence of approximately 2 percent. A pattern of familial aggregation has been documented for the disorder, and it was recently reported that a PD susceptibility gene in a large Italian kindred is located on the long arm of human chromosome 4. A mutation was identified in the α-synuclein gene, which codes for a presynaptic protein thought to be involved in neuronal plasticity, in the Italian kindred and in three unrelated families of Greek origin with autosomal dominant inheritance for the PD phenotype. This finding of a specific molecular alteration associated with PD will facilitate the detailed understanding of the pathophysiology of the disorder.","container-title":"Science","DOI":"10.1126/science.276.5321.2045","ISSN":"0036-8075, 1095-9203","issue":"5321","journalAbbreviation":"Science","language":"en","page":"2045-2047","source":"DOI.org (Crossref)","title":"Mutation in the α-Synuclein Gene Identified in Families with Parkinson's Disease","volume":"276","author":[{"family":"Polymeropoulos","given":"Mihael H."},{"family":"Lavedan","given":"Christian"},{"family":"Leroy","given":"Elisabeth"},{"family":"Ide","given":"Susan E."},{"family":"Dehejia","given":"Anindya"},{"family":"Dutra","given":"Amalia"},{"family":"Pike","given":"Brian"},{"family":"Root","given":"Holly"},{"family":"Rubenstein","given":"Jeffrey"},{"family":"Boyer","given":"Rebecca"},{"family":"Stenroos","given":"Edward S."},{"family":"Chandrasekharappa","given":"Settara"},{"family":"Athanassiadou","given":"Aglaia"},{"family":"Papapetropoulos","given":"Theodore"},{"family":"Johnson","given":"William G."},{"family":"Lazzarini","given":"Alice M."},{"family":"Duvoisin","given":"Roger C."},{"family":"Di Iorio","given":"Giuseppe"},{"family":"Golbe","given":"Lawrence I."},{"family":"Nussbaum","given":"Robert L."}],"issued":{"date-parts":[["1997",6,27]]}}},{"id":33,"uris":["http://zotero.org/users/9330673/items/B68673LV"],"itemData":{"id":33,"type":"article-journal","container-title":"Science","DOI":"10.1126/science.1090278","ISSN":"0036-8075, 1095-9203","issue":"5646","journalAbbreviation":"Science","language":"en","page":"841-841","source":"DOI.org (Crossref)","title":"α-Synuclein Locus Triplication Causes Parkinson's Disease","volume":"302","author":[{"family":"Singleton","given":"A. B."},{"family":"Farrer","given":"M."},{"family":"Johnson","given":"J."},{"family":"Singleton","given":"A."},{"family":"Hague","given":"S."},{"family":"Kachergus","given":"J."},{"family":"Hulihan","given":"M."},{"family":"Peuralinna","given":"T."},{"family":"Dutra","given":"A."},{"family":"Nussbaum","given":"R."},{"family":"Lincoln","given":"S."},{"family":"Crawley","given":"A."},{"family":"Hanson","given":"M."},{"family":"Maraganore","given":"D."},{"family":"Adler","given":"C."},{"family":"Cookson","given":"M. R."},{"family":"Muenter","given":"M."},{"family":"Baptista","given":"M."},{"family":"Miller","given":"D."},{"family":"Blancato","given":"J."},{"family":"Hardy","given":"J."},{"family":"Gwinn-Hardy","given":"K."}],"issued":{"date-parts":[["2003",10,31]]}}},{"id":281,"uris":["http://zotero.org/users/9330673/items/DA3MIQU7"],"itemData":{"id":281,"type":"article-journal","container-title":"Annals of Neurology","DOI":"10.1002/ana.10795","ISSN":"03645134","issue":"2","journalAbbreviation":"Ann Neurol.","language":"en","page":"164-173","source":"DOI.org (Crossref)","title":"The new mutation, E46K, of α-synuclein causes parkinson and Lewy body dementia: New α-Synuclein Gene Mutation","title-short":"The new mutation, E46K, of α-synuclein causes parkinson and Lewy body dementia","volume":"55","author":[{"family":"Zarranz","given":"Juan J."},{"family":"Alegre","given":"Javier"},{"family":"Gómez-Esteban","given":"Juan C."},{"family":"Lezcano","given":"Elena"},{"family":"Ros","given":"Raquel"},{"family":"Ampuero","given":"Israel"},{"family":"Vidal","given":"Lídice"},{"family":"Hoenicka","given":"Janet"},{"family":"Rodriguez","given":"Olga"},{"family":"Atarés","given":"Begoña"},{"family":"Llorens","given":"Verónica"},{"family":"Tortosa","given":"Estrella Gomez"},{"family":"Ser","given":"Teodoro","non-dropping-particle":"del"},{"family":"Muñoz","given":"David G."},{"family":"Yebenes","given":"Justo G.","non-dropping-particle":"de"}],"issued":{"date-parts":[["2004",2]]}}}],"schema":"https://github.com/citation-style-language/schema/raw/master/csl-citation.json"} </w:instrText>
      </w:r>
      <w:r w:rsidR="00533098">
        <w:rPr>
          <w:rFonts w:ascii="Verdana" w:hAnsi="Verdana"/>
          <w:lang w:val="en-GB"/>
        </w:rPr>
        <w:fldChar w:fldCharType="separate"/>
      </w:r>
      <w:r w:rsidR="00BD0CC7" w:rsidRPr="00BD0CC7">
        <w:rPr>
          <w:rFonts w:ascii="Verdana" w:hAnsi="Verdana"/>
        </w:rPr>
        <w:t>(Chartier-Harlin et al. 2004; Polymeropoulos et al. 1997; Singleton et al. 2003; Zarranz et al. 2004</w:t>
      </w:r>
      <w:r w:rsidR="00E54137">
        <w:rPr>
          <w:rFonts w:ascii="Verdana" w:hAnsi="Verdana"/>
        </w:rPr>
        <w:t>, Kruger et al. 1998</w:t>
      </w:r>
      <w:r w:rsidR="00BD0CC7" w:rsidRPr="00BD0CC7">
        <w:rPr>
          <w:rFonts w:ascii="Verdana" w:hAnsi="Verdana"/>
        </w:rPr>
        <w:t>)</w:t>
      </w:r>
      <w:r w:rsidR="00533098">
        <w:rPr>
          <w:rFonts w:ascii="Verdana" w:hAnsi="Verdana"/>
          <w:lang w:val="en-GB"/>
        </w:rPr>
        <w:fldChar w:fldCharType="end"/>
      </w:r>
      <w:r w:rsidR="00E54137">
        <w:rPr>
          <w:rFonts w:ascii="Verdana" w:hAnsi="Verdana"/>
          <w:lang w:val="en-GB"/>
        </w:rPr>
        <w:t xml:space="preserve">. </w:t>
      </w:r>
      <w:r w:rsidR="00413656">
        <w:rPr>
          <w:rFonts w:ascii="Verdana" w:hAnsi="Verdana"/>
          <w:lang w:val="en-GB"/>
        </w:rPr>
        <w:t>Given its involvement in both sporadic and familial PD</w:t>
      </w:r>
      <w:r w:rsidR="004E0597">
        <w:rPr>
          <w:rFonts w:ascii="Verdana" w:hAnsi="Verdana"/>
          <w:lang w:val="en-GB"/>
        </w:rPr>
        <w:t>, alpha-synuclein</w:t>
      </w:r>
      <w:r w:rsidR="002611E4">
        <w:rPr>
          <w:rFonts w:ascii="Verdana" w:hAnsi="Verdana"/>
          <w:lang w:val="en-GB"/>
        </w:rPr>
        <w:t xml:space="preserve"> </w:t>
      </w:r>
      <w:proofErr w:type="gramStart"/>
      <w:r w:rsidR="002611E4">
        <w:rPr>
          <w:rFonts w:ascii="Verdana" w:hAnsi="Verdana"/>
          <w:lang w:val="en-GB"/>
        </w:rPr>
        <w:t xml:space="preserve">is considered to </w:t>
      </w:r>
      <w:r w:rsidR="00DD7D4A">
        <w:rPr>
          <w:rFonts w:ascii="Verdana" w:hAnsi="Verdana"/>
          <w:lang w:val="en-GB"/>
        </w:rPr>
        <w:t>be</w:t>
      </w:r>
      <w:proofErr w:type="gramEnd"/>
      <w:r w:rsidR="00DD7D4A">
        <w:rPr>
          <w:rFonts w:ascii="Verdana" w:hAnsi="Verdana"/>
          <w:lang w:val="en-GB"/>
        </w:rPr>
        <w:t xml:space="preserve"> a central player in</w:t>
      </w:r>
      <w:r w:rsidR="002611E4">
        <w:rPr>
          <w:rFonts w:ascii="Verdana" w:hAnsi="Verdana"/>
          <w:lang w:val="en-GB"/>
        </w:rPr>
        <w:t xml:space="preserve"> the pathological cascade</w:t>
      </w:r>
      <w:r w:rsidR="00DD7D4A">
        <w:rPr>
          <w:rFonts w:ascii="Verdana" w:hAnsi="Verdana"/>
          <w:lang w:val="en-GB"/>
        </w:rPr>
        <w:t xml:space="preserve">, and </w:t>
      </w:r>
      <w:r w:rsidR="00EE24F8">
        <w:rPr>
          <w:rFonts w:ascii="Verdana" w:hAnsi="Verdana"/>
          <w:lang w:val="en-GB"/>
        </w:rPr>
        <w:t>it might</w:t>
      </w:r>
      <w:r w:rsidR="004E0597">
        <w:rPr>
          <w:rFonts w:ascii="Verdana" w:hAnsi="Verdana"/>
          <w:lang w:val="en-GB"/>
        </w:rPr>
        <w:t xml:space="preserve"> contribute to </w:t>
      </w:r>
      <w:r w:rsidR="00413656">
        <w:rPr>
          <w:rFonts w:ascii="Verdana" w:hAnsi="Verdana"/>
          <w:lang w:val="en-GB"/>
        </w:rPr>
        <w:t>disease</w:t>
      </w:r>
      <w:r w:rsidR="004E0597">
        <w:rPr>
          <w:rFonts w:ascii="Verdana" w:hAnsi="Verdana"/>
          <w:lang w:val="en-GB"/>
        </w:rPr>
        <w:t xml:space="preserve"> pathogenesis through different mechanisms</w:t>
      </w:r>
      <w:r w:rsidR="002611E4">
        <w:rPr>
          <w:rFonts w:ascii="Verdana" w:hAnsi="Verdana"/>
          <w:lang w:val="en-GB"/>
        </w:rPr>
        <w:t>.</w:t>
      </w:r>
    </w:p>
    <w:p w14:paraId="08D308D4" w14:textId="6D65993B" w:rsidR="00837B74" w:rsidRDefault="00093D22" w:rsidP="00401487">
      <w:pPr>
        <w:pStyle w:val="ListParagraph"/>
        <w:spacing w:line="360" w:lineRule="auto"/>
        <w:ind w:left="0"/>
        <w:contextualSpacing w:val="0"/>
        <w:jc w:val="both"/>
        <w:rPr>
          <w:rFonts w:ascii="Verdana" w:hAnsi="Verdana"/>
          <w:lang w:val="en-GB"/>
        </w:rPr>
      </w:pPr>
      <w:r>
        <w:rPr>
          <w:rFonts w:ascii="Verdana" w:hAnsi="Verdana"/>
          <w:lang w:val="en-GB"/>
        </w:rPr>
        <w:t xml:space="preserve">The E46K mutation was first identified by </w:t>
      </w:r>
      <w:proofErr w:type="spellStart"/>
      <w:r w:rsidR="00680D6A">
        <w:rPr>
          <w:rFonts w:ascii="Verdana" w:hAnsi="Verdana"/>
          <w:lang w:val="en-GB"/>
        </w:rPr>
        <w:t>Zarranz</w:t>
      </w:r>
      <w:proofErr w:type="spellEnd"/>
      <w:r w:rsidR="00165DE4">
        <w:rPr>
          <w:rFonts w:ascii="Verdana" w:hAnsi="Verdana"/>
          <w:lang w:val="en-GB"/>
        </w:rPr>
        <w:t xml:space="preserve"> in a Spanish family with autosomal dominant parkinsonism, present with visual hallucinations</w:t>
      </w:r>
      <w:r w:rsidR="00F0139B">
        <w:rPr>
          <w:rFonts w:ascii="Verdana" w:hAnsi="Verdana"/>
          <w:lang w:val="en-GB"/>
        </w:rPr>
        <w:t xml:space="preserve"> and early cognitive impairments</w:t>
      </w:r>
      <w:r w:rsidR="00680D6A">
        <w:rPr>
          <w:rFonts w:ascii="Verdana" w:hAnsi="Verdana"/>
          <w:lang w:val="en-GB"/>
        </w:rPr>
        <w:t xml:space="preserve"> (</w:t>
      </w:r>
      <w:proofErr w:type="spellStart"/>
      <w:r w:rsidR="00680D6A">
        <w:rPr>
          <w:rFonts w:ascii="Verdana" w:hAnsi="Verdana"/>
          <w:lang w:val="en-GB"/>
        </w:rPr>
        <w:t>Zarranz</w:t>
      </w:r>
      <w:proofErr w:type="spellEnd"/>
      <w:r w:rsidR="00680D6A">
        <w:rPr>
          <w:rFonts w:ascii="Verdana" w:hAnsi="Verdana"/>
          <w:lang w:val="en-GB"/>
        </w:rPr>
        <w:t xml:space="preserve"> et al., 200</w:t>
      </w:r>
      <w:r w:rsidR="00BE1952">
        <w:rPr>
          <w:rFonts w:ascii="Verdana" w:hAnsi="Verdana"/>
          <w:lang w:val="en-GB"/>
        </w:rPr>
        <w:t>4</w:t>
      </w:r>
      <w:r w:rsidR="00680D6A">
        <w:rPr>
          <w:rFonts w:ascii="Verdana" w:hAnsi="Verdana"/>
          <w:lang w:val="en-GB"/>
        </w:rPr>
        <w:t>)</w:t>
      </w:r>
      <w:r w:rsidR="0083078A">
        <w:rPr>
          <w:rFonts w:ascii="Verdana" w:hAnsi="Verdana"/>
          <w:lang w:val="en-GB"/>
        </w:rPr>
        <w:t xml:space="preserve">. </w:t>
      </w:r>
      <w:r w:rsidR="003C7CA7">
        <w:rPr>
          <w:rFonts w:ascii="Verdana" w:hAnsi="Verdana"/>
          <w:lang w:val="en-GB"/>
        </w:rPr>
        <w:t xml:space="preserve">All </w:t>
      </w:r>
      <w:r w:rsidR="00406084">
        <w:rPr>
          <w:rFonts w:ascii="Verdana" w:hAnsi="Verdana"/>
          <w:lang w:val="en-GB"/>
        </w:rPr>
        <w:t>family members showing signs of parkinsonism presented the novel mutation, while non-affected relatives a</w:t>
      </w:r>
      <w:r w:rsidR="00401487">
        <w:rPr>
          <w:rFonts w:ascii="Verdana" w:hAnsi="Verdana"/>
          <w:lang w:val="en-GB"/>
        </w:rPr>
        <w:t>s well as unrelated healthy controls</w:t>
      </w:r>
      <w:r w:rsidR="0056548C">
        <w:rPr>
          <w:rFonts w:ascii="Verdana" w:hAnsi="Verdana"/>
          <w:lang w:val="en-GB"/>
        </w:rPr>
        <w:t>,</w:t>
      </w:r>
      <w:r w:rsidR="00FF63CF">
        <w:rPr>
          <w:rFonts w:ascii="Verdana" w:hAnsi="Verdana"/>
          <w:lang w:val="en-GB"/>
        </w:rPr>
        <w:t xml:space="preserve"> and other</w:t>
      </w:r>
      <w:r w:rsidR="0056548C">
        <w:rPr>
          <w:rFonts w:ascii="Verdana" w:hAnsi="Verdana"/>
          <w:lang w:val="en-GB"/>
        </w:rPr>
        <w:t xml:space="preserve"> parkinsonian, DLB and dementia patients</w:t>
      </w:r>
      <w:r w:rsidR="00401487">
        <w:rPr>
          <w:rFonts w:ascii="Verdana" w:hAnsi="Verdana"/>
          <w:lang w:val="en-GB"/>
        </w:rPr>
        <w:t xml:space="preserve"> did not</w:t>
      </w:r>
      <w:r w:rsidR="00415401">
        <w:rPr>
          <w:rFonts w:ascii="Verdana" w:hAnsi="Verdana"/>
          <w:lang w:val="en-GB"/>
        </w:rPr>
        <w:t xml:space="preserve"> (</w:t>
      </w:r>
      <w:proofErr w:type="spellStart"/>
      <w:r w:rsidR="00415401">
        <w:rPr>
          <w:rFonts w:ascii="Verdana" w:hAnsi="Verdana"/>
          <w:lang w:val="en-GB"/>
        </w:rPr>
        <w:t>Zarranz</w:t>
      </w:r>
      <w:proofErr w:type="spellEnd"/>
      <w:r w:rsidR="00415401">
        <w:rPr>
          <w:rFonts w:ascii="Verdana" w:hAnsi="Verdana"/>
          <w:lang w:val="en-GB"/>
        </w:rPr>
        <w:t xml:space="preserve"> et al., 200</w:t>
      </w:r>
      <w:r w:rsidR="00BE1952">
        <w:rPr>
          <w:rFonts w:ascii="Verdana" w:hAnsi="Verdana"/>
          <w:lang w:val="en-GB"/>
        </w:rPr>
        <w:t>4</w:t>
      </w:r>
      <w:r w:rsidR="00415401">
        <w:rPr>
          <w:rFonts w:ascii="Verdana" w:hAnsi="Verdana"/>
          <w:lang w:val="en-GB"/>
        </w:rPr>
        <w:t>)</w:t>
      </w:r>
      <w:r w:rsidR="00AA0DED">
        <w:rPr>
          <w:rFonts w:ascii="Verdana" w:hAnsi="Verdana"/>
          <w:lang w:val="en-GB"/>
        </w:rPr>
        <w:t>. The E46K mutation</w:t>
      </w:r>
      <w:r w:rsidR="004C7791" w:rsidRPr="004C7791">
        <w:rPr>
          <w:rFonts w:ascii="Verdana" w:hAnsi="Verdana"/>
          <w:lang w:val="en-GB"/>
        </w:rPr>
        <w:t xml:space="preserve"> </w:t>
      </w:r>
      <w:proofErr w:type="gramStart"/>
      <w:r w:rsidR="004C7791">
        <w:rPr>
          <w:rFonts w:ascii="Verdana" w:hAnsi="Verdana"/>
          <w:lang w:val="en-GB"/>
        </w:rPr>
        <w:t>is</w:t>
      </w:r>
      <w:r w:rsidR="00A359D5">
        <w:rPr>
          <w:rFonts w:ascii="Verdana" w:hAnsi="Verdana"/>
          <w:lang w:val="en-GB"/>
        </w:rPr>
        <w:t xml:space="preserve"> </w:t>
      </w:r>
      <w:r w:rsidR="004C7791">
        <w:rPr>
          <w:rFonts w:ascii="Verdana" w:hAnsi="Verdana"/>
          <w:lang w:val="en-GB"/>
        </w:rPr>
        <w:t>located in</w:t>
      </w:r>
      <w:proofErr w:type="gramEnd"/>
      <w:r w:rsidR="004C7791">
        <w:rPr>
          <w:rFonts w:ascii="Verdana" w:hAnsi="Verdana"/>
          <w:lang w:val="en-GB"/>
        </w:rPr>
        <w:t xml:space="preserve"> the highly conserved N-terminal region</w:t>
      </w:r>
      <w:r w:rsidR="00570750">
        <w:rPr>
          <w:rFonts w:ascii="Verdana" w:hAnsi="Verdana"/>
          <w:lang w:val="en-GB"/>
        </w:rPr>
        <w:t xml:space="preserve"> of the alpha-synuclein protein</w:t>
      </w:r>
      <w:r w:rsidR="004C7791">
        <w:rPr>
          <w:rFonts w:ascii="Verdana" w:hAnsi="Verdana"/>
          <w:lang w:val="en-GB"/>
        </w:rPr>
        <w:t>, and it falls inside one of the conserved 11 amino acids repeats of the NAC</w:t>
      </w:r>
      <w:r w:rsidR="00CC31A6">
        <w:rPr>
          <w:rFonts w:ascii="Verdana" w:hAnsi="Verdana"/>
          <w:lang w:val="en-GB"/>
        </w:rPr>
        <w:t xml:space="preserve">. </w:t>
      </w:r>
      <w:r w:rsidR="00CA1ABC">
        <w:rPr>
          <w:rFonts w:ascii="Verdana" w:hAnsi="Verdana"/>
          <w:lang w:val="en-GB"/>
        </w:rPr>
        <w:t>Here, t</w:t>
      </w:r>
      <w:r w:rsidR="0004309A">
        <w:rPr>
          <w:rFonts w:ascii="Verdana" w:hAnsi="Verdana"/>
          <w:lang w:val="en-GB"/>
        </w:rPr>
        <w:t xml:space="preserve">he </w:t>
      </w:r>
      <w:r w:rsidR="00AA0DED">
        <w:rPr>
          <w:rFonts w:ascii="Verdana" w:hAnsi="Verdana"/>
          <w:lang w:val="en-GB"/>
        </w:rPr>
        <w:t xml:space="preserve">substitution of </w:t>
      </w:r>
      <w:r w:rsidR="009853C4">
        <w:rPr>
          <w:rFonts w:ascii="Verdana" w:hAnsi="Verdana"/>
          <w:lang w:val="en-GB"/>
        </w:rPr>
        <w:t>the</w:t>
      </w:r>
      <w:r w:rsidR="00833B2E">
        <w:rPr>
          <w:rFonts w:ascii="Verdana" w:hAnsi="Verdana"/>
          <w:lang w:val="en-GB"/>
        </w:rPr>
        <w:t xml:space="preserve"> negatively charged dicarboxylic </w:t>
      </w:r>
      <w:r w:rsidR="00751C80">
        <w:rPr>
          <w:rFonts w:ascii="Verdana" w:hAnsi="Verdana"/>
          <w:lang w:val="en-GB"/>
        </w:rPr>
        <w:t xml:space="preserve">glutamic acid with a positively charged lysine, is estimated to produce </w:t>
      </w:r>
      <w:r w:rsidR="00415401">
        <w:rPr>
          <w:rFonts w:ascii="Verdana" w:hAnsi="Verdana"/>
          <w:lang w:val="en-GB"/>
        </w:rPr>
        <w:t>strong disturbances of protein structure and function.</w:t>
      </w:r>
      <w:r w:rsidR="00833B2E">
        <w:rPr>
          <w:rFonts w:ascii="Verdana" w:hAnsi="Verdana"/>
          <w:lang w:val="en-GB"/>
        </w:rPr>
        <w:t xml:space="preserve"> Indeed, the E46K</w:t>
      </w:r>
      <w:r w:rsidR="00415401">
        <w:rPr>
          <w:rFonts w:ascii="Verdana" w:hAnsi="Verdana"/>
          <w:lang w:val="en-GB"/>
        </w:rPr>
        <w:t xml:space="preserve"> mutation </w:t>
      </w:r>
      <w:r w:rsidR="00555754">
        <w:rPr>
          <w:rFonts w:ascii="Verdana" w:hAnsi="Verdana"/>
          <w:lang w:val="en-GB"/>
        </w:rPr>
        <w:t>has been shown to increase</w:t>
      </w:r>
      <w:r w:rsidR="00676262">
        <w:rPr>
          <w:rFonts w:ascii="Verdana" w:hAnsi="Verdana"/>
          <w:lang w:val="en-GB"/>
        </w:rPr>
        <w:t xml:space="preserve"> the rate of alpha-synuclein fibrillization, and to produce </w:t>
      </w:r>
      <w:r w:rsidR="00A428FA">
        <w:rPr>
          <w:rFonts w:ascii="Verdana" w:hAnsi="Verdana"/>
          <w:lang w:val="en-GB"/>
        </w:rPr>
        <w:t>fibrils with a twisted appearance, a width ranging between 5 and 14 nm and</w:t>
      </w:r>
      <w:r w:rsidR="00EB138A">
        <w:rPr>
          <w:rFonts w:ascii="Verdana" w:hAnsi="Verdana"/>
          <w:lang w:val="en-GB"/>
        </w:rPr>
        <w:t xml:space="preserve"> a much shorter crossover spacing compar</w:t>
      </w:r>
      <w:r w:rsidR="000F0AD9">
        <w:rPr>
          <w:rFonts w:ascii="Verdana" w:hAnsi="Verdana"/>
          <w:lang w:val="en-GB"/>
        </w:rPr>
        <w:t>ed</w:t>
      </w:r>
      <w:r w:rsidR="00EB138A">
        <w:rPr>
          <w:rFonts w:ascii="Verdana" w:hAnsi="Verdana"/>
          <w:lang w:val="en-GB"/>
        </w:rPr>
        <w:t xml:space="preserve"> to fibrils originated by wild-type alpha-synuclein </w:t>
      </w:r>
      <w:r w:rsidR="00BE1952">
        <w:rPr>
          <w:rFonts w:ascii="Verdana" w:hAnsi="Verdana"/>
          <w:lang w:val="en-GB"/>
        </w:rPr>
        <w:fldChar w:fldCharType="begin"/>
      </w:r>
      <w:r w:rsidR="00BE1952">
        <w:rPr>
          <w:rFonts w:ascii="Verdana" w:hAnsi="Verdana"/>
          <w:lang w:val="en-GB"/>
        </w:rPr>
        <w:instrText xml:space="preserve"> ADDIN ZOTERO_ITEM CSL_CITATION {"citationID":"jACej6Sf","properties":{"formattedCitation":"(Choi et al. 2004)","plainCitation":"(Choi et al. 2004)","noteIndex":0},"citationItems":[{"id":283,"uris":["http://zotero.org/users/9330673/items/8FRFV8PA"],"itemData":{"id":283,"type":"article-journal","abstract":"Missense mutations (A30P and A53T) in a-synuclein and the overproduction of the wild-type protein cause familial forms of Parkinson’s disease and dementia with Lewy bodies. aSynuclein is the major component of the ﬁlamentous Lewy bodies and Lewy neurites that deﬁne these diseases at a neuropathological level. Recently, a third missense mutation (E46K) in a-synuclein was described in an inherited form of dementia with Lewy bodies. Here, we have investigated the functional eﬀects of this novel mutation on phospholipid binding and ﬁlament assembly of a-synuclein. When compared to the wild-type protein, the E46K mutation caused a signiﬁcantly increased ability of a-synuclein to bind to negatively charged liposomes, unlike the previously described mutations. The E46K mutation increased the rate of ﬁlament assembly to the same extent as the A53T mutation. Filaments formed from E46K asynuclein often had a twisted morphology with a cross-over spacing of 43 nm. The observed eﬀects on lipid binding and ﬁlament assembly may explain the pathogenic nature of the E46K mutation in a-synuclein.","container-title":"FEBS Letters","DOI":"10.1016/j.febslet.2004.09.038","ISSN":"00145793","issue":"3","language":"en","page":"363-368","source":"DOI.org (Crossref)","title":"Mutation E46K increases phospholipid binding and assembly into filaments of human α-synuclein","volume":"576","author":[{"family":"Choi","given":"Woong"},{"family":"Zibaee","given":"Shahin"},{"family":"Jakes","given":"Ross"},{"family":"Serpell","given":"Louise C."},{"family":"Davletov","given":"Bazbek"},{"family":"Anthony Crowther","given":"R."},{"family":"Goedert","given":"Michel"}],"issued":{"date-parts":[["2004",10,22]]}}}],"schema":"https://github.com/citation-style-language/schema/raw/master/csl-citation.json"} </w:instrText>
      </w:r>
      <w:r w:rsidR="00BE1952">
        <w:rPr>
          <w:rFonts w:ascii="Verdana" w:hAnsi="Verdana"/>
          <w:lang w:val="en-GB"/>
        </w:rPr>
        <w:fldChar w:fldCharType="separate"/>
      </w:r>
      <w:r w:rsidR="00BE1952" w:rsidRPr="00BE1952">
        <w:rPr>
          <w:rFonts w:ascii="Verdana" w:hAnsi="Verdana"/>
        </w:rPr>
        <w:t>(Choi et al. 2004)</w:t>
      </w:r>
      <w:r w:rsidR="00BE1952">
        <w:rPr>
          <w:rFonts w:ascii="Verdana" w:hAnsi="Verdana"/>
          <w:lang w:val="en-GB"/>
        </w:rPr>
        <w:fldChar w:fldCharType="end"/>
      </w:r>
      <w:r w:rsidR="00EB138A">
        <w:rPr>
          <w:rFonts w:ascii="Verdana" w:hAnsi="Verdana"/>
          <w:lang w:val="en-GB"/>
        </w:rPr>
        <w:t>. Alpha-synuclein bearing the E46</w:t>
      </w:r>
      <w:r w:rsidR="00AD32B8">
        <w:rPr>
          <w:rFonts w:ascii="Verdana" w:hAnsi="Verdana"/>
          <w:lang w:val="en-GB"/>
        </w:rPr>
        <w:t>K</w:t>
      </w:r>
      <w:r w:rsidR="00EB138A">
        <w:rPr>
          <w:rFonts w:ascii="Verdana" w:hAnsi="Verdana"/>
          <w:lang w:val="en-GB"/>
        </w:rPr>
        <w:t xml:space="preserve"> mutation has increased binding rates to liposomes (Choi et al., 2004)</w:t>
      </w:r>
      <w:r w:rsidR="00AD32B8">
        <w:rPr>
          <w:rFonts w:ascii="Verdana" w:hAnsi="Verdana"/>
          <w:lang w:val="en-GB"/>
        </w:rPr>
        <w:t>. Its overexpression</w:t>
      </w:r>
      <w:r w:rsidR="00B217E5">
        <w:rPr>
          <w:rFonts w:ascii="Verdana" w:hAnsi="Verdana"/>
          <w:lang w:val="en-GB"/>
        </w:rPr>
        <w:t xml:space="preserve"> has been shown to</w:t>
      </w:r>
      <w:r w:rsidR="00155B34">
        <w:rPr>
          <w:rFonts w:ascii="Verdana" w:hAnsi="Verdana"/>
          <w:lang w:val="en-GB"/>
        </w:rPr>
        <w:t xml:space="preserve"> </w:t>
      </w:r>
      <w:r w:rsidR="00375B02">
        <w:rPr>
          <w:rFonts w:ascii="Verdana" w:hAnsi="Verdana"/>
          <w:lang w:val="en-GB"/>
        </w:rPr>
        <w:t xml:space="preserve">inhibit the early stages of autophagy </w:t>
      </w:r>
      <w:r w:rsidR="00375B02" w:rsidRPr="00375B02">
        <w:rPr>
          <w:rFonts w:ascii="Verdana" w:hAnsi="Verdana"/>
          <w:i/>
          <w:iCs/>
          <w:lang w:val="en-GB"/>
        </w:rPr>
        <w:t>in v</w:t>
      </w:r>
      <w:r w:rsidR="006633B4">
        <w:rPr>
          <w:rFonts w:ascii="Verdana" w:hAnsi="Verdana"/>
          <w:i/>
          <w:iCs/>
          <w:lang w:val="en-GB"/>
        </w:rPr>
        <w:t>itr</w:t>
      </w:r>
      <w:r w:rsidR="00375B02" w:rsidRPr="00375B02">
        <w:rPr>
          <w:rFonts w:ascii="Verdana" w:hAnsi="Verdana"/>
          <w:i/>
          <w:iCs/>
          <w:lang w:val="en-GB"/>
        </w:rPr>
        <w:t>o</w:t>
      </w:r>
      <w:r w:rsidR="00C96E67">
        <w:rPr>
          <w:rFonts w:ascii="Verdana" w:hAnsi="Verdana"/>
          <w:i/>
          <w:iCs/>
          <w:lang w:val="en-GB"/>
        </w:rPr>
        <w:t xml:space="preserve"> </w:t>
      </w:r>
      <w:r w:rsidR="00C96E67">
        <w:rPr>
          <w:rFonts w:ascii="Verdana" w:hAnsi="Verdana"/>
          <w:i/>
          <w:iCs/>
          <w:lang w:val="en-GB"/>
        </w:rPr>
        <w:fldChar w:fldCharType="begin"/>
      </w:r>
      <w:r w:rsidR="00C96E67">
        <w:rPr>
          <w:rFonts w:ascii="Verdana" w:hAnsi="Verdana"/>
          <w:i/>
          <w:iCs/>
          <w:lang w:val="en-GB"/>
        </w:rPr>
        <w:instrText xml:space="preserve"> ADDIN ZOTERO_ITEM CSL_CITATION {"citationID":"k5ag9k4Q","properties":{"formattedCitation":"(Yan et al. 2014)","plainCitation":"(Yan et al. 2014)","noteIndex":0},"citationItems":[{"id":280,"uris":["http://zotero.org/users/9330673/items/CLMMNBK2"],"itemData":{"id":280,"type":"article-journal","container-title":"Molecular Neurobiology","DOI":"10.1007/s12035-014-8738-1","ISSN":"0893-7648, 1559-1182","issue":"2","journalAbbreviation":"Mol Neurobiol","language":"en","page":"685-701","source":"DOI.org (Crossref)","title":"Overexpression of Human E46K Mutant α-Synuclein Impairs Macroautophagy via Inactivation of JNK1-Bcl-2 Pathway","volume":"50","author":[{"family":"Yan","given":"Jia-Qing"},{"family":"Yuan","given":"Yu-He"},{"family":"Gao","given":"Yan-Na"},{"family":"Huang","given":"Ju-Yang"},{"family":"Ma","given":"Kai-Li"},{"family":"Gao","given":"Yan"},{"family":"Zhang","given":"Wan-Qing"},{"family":"Guo","given":"Xiao-Feng"},{"family":"Chen","given":"Nai-Hong"}],"issued":{"date-parts":[["2014",10]]}}}],"schema":"https://github.com/citation-style-language/schema/raw/master/csl-citation.json"} </w:instrText>
      </w:r>
      <w:r w:rsidR="00C96E67">
        <w:rPr>
          <w:rFonts w:ascii="Verdana" w:hAnsi="Verdana"/>
          <w:i/>
          <w:iCs/>
          <w:lang w:val="en-GB"/>
        </w:rPr>
        <w:fldChar w:fldCharType="separate"/>
      </w:r>
      <w:r w:rsidR="00C96E67" w:rsidRPr="00C96E67">
        <w:rPr>
          <w:rFonts w:ascii="Verdana" w:hAnsi="Verdana"/>
        </w:rPr>
        <w:t>(Yan et al. 2014)</w:t>
      </w:r>
      <w:r w:rsidR="00C96E67">
        <w:rPr>
          <w:rFonts w:ascii="Verdana" w:hAnsi="Verdana"/>
          <w:i/>
          <w:iCs/>
          <w:lang w:val="en-GB"/>
        </w:rPr>
        <w:fldChar w:fldCharType="end"/>
      </w:r>
      <w:r w:rsidR="00DC5238">
        <w:rPr>
          <w:rFonts w:ascii="Verdana" w:hAnsi="Verdana"/>
          <w:lang w:val="en-GB"/>
        </w:rPr>
        <w:t xml:space="preserve">, </w:t>
      </w:r>
      <w:r w:rsidR="00BC0E92">
        <w:rPr>
          <w:rFonts w:ascii="Verdana" w:hAnsi="Verdana"/>
          <w:lang w:val="en-GB"/>
        </w:rPr>
        <w:t xml:space="preserve">and to impair phagocytosis both </w:t>
      </w:r>
      <w:r w:rsidR="00BC0E92" w:rsidRPr="00BC0E92">
        <w:rPr>
          <w:rFonts w:ascii="Verdana" w:hAnsi="Verdana"/>
          <w:i/>
          <w:iCs/>
          <w:lang w:val="en-GB"/>
        </w:rPr>
        <w:t>in vi</w:t>
      </w:r>
      <w:r w:rsidR="00541C52">
        <w:rPr>
          <w:rFonts w:ascii="Verdana" w:hAnsi="Verdana"/>
          <w:i/>
          <w:iCs/>
          <w:lang w:val="en-GB"/>
        </w:rPr>
        <w:t>tro</w:t>
      </w:r>
      <w:r w:rsidR="00BC0E92">
        <w:rPr>
          <w:rFonts w:ascii="Verdana" w:hAnsi="Verdana"/>
          <w:lang w:val="en-GB"/>
        </w:rPr>
        <w:t xml:space="preserve"> and </w:t>
      </w:r>
      <w:r w:rsidR="00BC0E92" w:rsidRPr="00BC0E92">
        <w:rPr>
          <w:rFonts w:ascii="Verdana" w:hAnsi="Verdana"/>
          <w:i/>
          <w:iCs/>
          <w:lang w:val="en-GB"/>
        </w:rPr>
        <w:t>in vi</w:t>
      </w:r>
      <w:r w:rsidR="00541C52">
        <w:rPr>
          <w:rFonts w:ascii="Verdana" w:hAnsi="Verdana"/>
          <w:i/>
          <w:iCs/>
          <w:lang w:val="en-GB"/>
        </w:rPr>
        <w:t>v</w:t>
      </w:r>
      <w:r w:rsidR="00BC0E92" w:rsidRPr="00BC0E92">
        <w:rPr>
          <w:rFonts w:ascii="Verdana" w:hAnsi="Verdana"/>
          <w:i/>
          <w:iCs/>
          <w:lang w:val="en-GB"/>
        </w:rPr>
        <w:t>o</w:t>
      </w:r>
      <w:r w:rsidR="00BC0E92">
        <w:rPr>
          <w:rFonts w:ascii="Verdana" w:hAnsi="Verdana"/>
          <w:lang w:val="en-GB"/>
        </w:rPr>
        <w:t xml:space="preserve"> </w:t>
      </w:r>
      <w:r w:rsidR="00C96E67">
        <w:rPr>
          <w:rFonts w:ascii="Verdana" w:hAnsi="Verdana"/>
          <w:lang w:val="en-GB"/>
        </w:rPr>
        <w:fldChar w:fldCharType="begin"/>
      </w:r>
      <w:r w:rsidR="00C96E67">
        <w:rPr>
          <w:rFonts w:ascii="Verdana" w:hAnsi="Verdana"/>
          <w:lang w:val="en-GB"/>
        </w:rPr>
        <w:instrText xml:space="preserve"> ADDIN ZOTERO_ITEM CSL_CITATION {"citationID":"Yv8AD1wa","properties":{"formattedCitation":"(Gardai et al. 2013)","plainCitation":"(Gardai et al. 2013)","noteIndex":0},"citationItems":[{"id":37,"uris":["http://zotero.org/users/9330673/items/E6P9MC8U"],"itemData":{"id":37,"type":"article-journal","abstract":"Alpha-synuclein protein is strongly implicated in the pathogenesis Parkinson’s disease. Increased expression of a-synuclein due to genetic multiplication or point mutations leads to early onset disease. While a-synuclein is known to modulate membrane vesicle dynamics, it is not clear if this activity is involved in the pathogenic process or if measurable physiological effects of a-synuclein over-expression or mutation exist in vivo. Macrophages and microglia isolated from BAC a-synuclein transgenic mice, which overexpress a-synuclein under regulation of its own promoter, express a-synuclein and exhibit impaired cytokine release and phagocytosis. These processes were affected in vivo as well, both in peritoneal macrophages and microglia in the CNS. Extending these findings to humans, we found similar results with monocytes and fibroblasts isolated from idiopathic or familial Parkinson’s disease patients compared to age-matched controls. In summary, this paper provides 1) a new animal model to measure a-synuclein dysfunction; 2) a cellular system to measure synchronized mobilization of a-synuclein and its functional interactions; 3) observations regarding a potential role for innate immune cell function in the development and progression of Parkinson’s disease and other human synucleinopathies; 4) putative peripheral biomarkers to study and track these processes in human subjects. While altered neuronal function is a primary issue in PD, the widespread consequence of abnormal a-synuclein expression in other cell types, including immune cells, could play an important role in the neurodegenerative progression of PD and other synucleinopathies. Moreover, increased a-synuclein and altered phagocytosis may provide a useful biomarker for human PD.","container-title":"PLoS ONE","DOI":"10.1371/journal.pone.0071634","ISSN":"1932-6203","issue":"8","journalAbbreviation":"PLoS ONE","language":"en","page":"e71634","source":"DOI.org (Crossref)","title":"Elevated Alpha-Synuclein Impairs Innate Immune Cell Function and Provides a Potential Peripheral Biomarker for Parkinson's Disease","volume":"8","author":[{"family":"Gardai","given":"Shyra J."},{"family":"Mao","given":"Wenxian"},{"family":"Schüle","given":"Birgitt"},{"family":"Babcock","given":"Michael"},{"family":"Schoebel","given":"Sue"},{"family":"Lorenzana","given":"Carlos"},{"family":"Alexander","given":"Jeff"},{"family":"Kim","given":"Sam"},{"family":"Glick","given":"Heather"},{"family":"Hilton","given":"Kathryn"},{"family":"Fitzgerald","given":"J. Kent"},{"family":"Buttini","given":"Manuel"},{"family":"Chiou","given":"San-San"},{"family":"McConlogue","given":"Lisa"},{"family":"Anderson","given":"John P."},{"family":"Schenk","given":"Dale B."},{"family":"Bard","given":"Frederique"},{"family":"Langston","given":"J. William"},{"family":"Yednock","given":"Ted"},{"family":"Johnston","given":"Jennifer A."}],"editor":[{"family":"Vekrellis","given":"Kostas"}],"issued":{"date-parts":[["2013",8,23]]}}}],"schema":"https://github.com/citation-style-language/schema/raw/master/csl-citation.json"} </w:instrText>
      </w:r>
      <w:r w:rsidR="00C96E67">
        <w:rPr>
          <w:rFonts w:ascii="Verdana" w:hAnsi="Verdana"/>
          <w:lang w:val="en-GB"/>
        </w:rPr>
        <w:fldChar w:fldCharType="separate"/>
      </w:r>
      <w:r w:rsidR="00C96E67" w:rsidRPr="00C96E67">
        <w:rPr>
          <w:rFonts w:ascii="Verdana" w:hAnsi="Verdana"/>
        </w:rPr>
        <w:t>(Gardai et al. 2013)</w:t>
      </w:r>
      <w:r w:rsidR="00C96E67">
        <w:rPr>
          <w:rFonts w:ascii="Verdana" w:hAnsi="Verdana"/>
          <w:lang w:val="en-GB"/>
        </w:rPr>
        <w:fldChar w:fldCharType="end"/>
      </w:r>
      <w:r w:rsidR="00BC0E92">
        <w:rPr>
          <w:rFonts w:ascii="Verdana" w:hAnsi="Verdana"/>
          <w:lang w:val="en-GB"/>
        </w:rPr>
        <w:t xml:space="preserve">. </w:t>
      </w:r>
      <w:r w:rsidR="00986013" w:rsidRPr="006A353A">
        <w:rPr>
          <w:rFonts w:ascii="Verdana" w:hAnsi="Verdana"/>
          <w:i/>
          <w:iCs/>
          <w:lang w:val="en-GB"/>
        </w:rPr>
        <w:t>In vivo</w:t>
      </w:r>
      <w:r w:rsidR="00986013">
        <w:rPr>
          <w:rFonts w:ascii="Verdana" w:hAnsi="Verdana"/>
          <w:lang w:val="en-GB"/>
        </w:rPr>
        <w:t xml:space="preserve">, </w:t>
      </w:r>
      <w:r w:rsidR="00E40A0B">
        <w:rPr>
          <w:rFonts w:ascii="Verdana" w:hAnsi="Verdana"/>
          <w:lang w:val="en-GB"/>
        </w:rPr>
        <w:t>overexpression of E46K mutated alpha-synuclein has been shown to</w:t>
      </w:r>
      <w:r w:rsidR="006A353A">
        <w:rPr>
          <w:rFonts w:ascii="Verdana" w:hAnsi="Verdana"/>
          <w:lang w:val="en-GB"/>
        </w:rPr>
        <w:t xml:space="preserve"> cause</w:t>
      </w:r>
      <w:r w:rsidR="00110BF3">
        <w:rPr>
          <w:rFonts w:ascii="Verdana" w:hAnsi="Verdana"/>
          <w:lang w:val="en-GB"/>
        </w:rPr>
        <w:t xml:space="preserve"> increased sensitivity to oxidative stress,</w:t>
      </w:r>
      <w:r w:rsidR="006A353A">
        <w:rPr>
          <w:rFonts w:ascii="Verdana" w:hAnsi="Verdana"/>
          <w:lang w:val="en-GB"/>
        </w:rPr>
        <w:t xml:space="preserve"> </w:t>
      </w:r>
      <w:r w:rsidR="00A55FD6">
        <w:rPr>
          <w:rFonts w:ascii="Verdana" w:hAnsi="Verdana"/>
          <w:lang w:val="en-GB"/>
        </w:rPr>
        <w:t>leading to elevated</w:t>
      </w:r>
      <w:r w:rsidR="00AD32B8">
        <w:rPr>
          <w:rFonts w:ascii="Verdana" w:hAnsi="Verdana"/>
          <w:lang w:val="en-GB"/>
        </w:rPr>
        <w:t xml:space="preserve"> neuronal</w:t>
      </w:r>
      <w:r w:rsidR="00A55FD6">
        <w:rPr>
          <w:rFonts w:ascii="Verdana" w:hAnsi="Verdana"/>
          <w:lang w:val="en-GB"/>
        </w:rPr>
        <w:t xml:space="preserve"> susceptibility to </w:t>
      </w:r>
      <w:r w:rsidR="00AD32B8">
        <w:rPr>
          <w:rFonts w:ascii="Verdana" w:hAnsi="Verdana"/>
          <w:lang w:val="en-GB"/>
        </w:rPr>
        <w:t>neurotoxins</w:t>
      </w:r>
      <w:r w:rsidR="00680CC2">
        <w:rPr>
          <w:rFonts w:ascii="Verdana" w:hAnsi="Verdana"/>
          <w:lang w:val="en-GB"/>
        </w:rPr>
        <w:t xml:space="preserve"> </w:t>
      </w:r>
      <w:r w:rsidR="00680CC2">
        <w:rPr>
          <w:rFonts w:ascii="Verdana" w:hAnsi="Verdana"/>
          <w:lang w:val="en-GB"/>
        </w:rPr>
        <w:fldChar w:fldCharType="begin"/>
      </w:r>
      <w:r w:rsidR="00680CC2">
        <w:rPr>
          <w:rFonts w:ascii="Verdana" w:hAnsi="Verdana"/>
          <w:lang w:val="en-GB"/>
        </w:rPr>
        <w:instrText xml:space="preserve"> ADDIN ZOTERO_ITEM CSL_CITATION {"citationID":"kOm1JwCS","properties":{"formattedCitation":"(Cannon et al. 2013; Reiszadeh Jahromi et al. 2021)","plainCitation":"(Cannon et al. 2013; Reiszadeh Jahromi et al. 2021)","noteIndex":0},"citationItems":[{"id":282,"uris":["http://zotero.org/users/9330673/items/TEIMPPQT"],"itemData":{"id":282,"type":"article-journal","abstract":"Parkinson’s disease (PD), the second most common neurodegenerative disorder, is etiologically heterogeneous, with most cases thought to arise from a combination of environmental factors and genetic predisposition; about 10% of cases are caused by single gene mutations. While neurotoxin models replicate many of the key behavioral and neurological features, they often have limited relevance to human exposures. Genetic models replicate known disease-causing mutations, but are mostly unsuccessful in reproducing major features of PD. In this study, we created a BAC (bacterial artificial chromosome) transgenic rat model of PD expressing the E46K mutation of αsynuclein, which is pathogenic in humans. The mutant protein was expressed at levels ~2–3-fold above endogenous α-synuclein levels. At 12 months of age, there was no overt damage to the nigrostriatal dopamine system; however, (i) alterations in striatal neurotransmitter metabolism, (ii) accumulation and aggregation of α-synuclein in nigral dopamine neurons, and (iii) evidence of oxidative stress suggest this model replicates several preclinical features of PD. Further, when these animals were exposed to rotenone, a mitochondrial toxin linked to PD, they showed heightened sensitivity, indicating that α-synuclein expression modulates the vulnerability to mitochondrial impairment. We conclude that these animals are well-suited to examination of geneenvironment interactions that are relevant to PD.","container-title":"Experimental Neurology","DOI":"10.1016/j.expneurol.2012.11.007","ISSN":"00144886","journalAbbreviation":"Experimental Neurology","language":"en","page":"44-56","source":"DOI.org (Crossref)","title":"Expression of human E46K-mutated α-synuclein in BAC-transgenic rats replicates early-stage Parkinson's disease features and enhances vulnerability to mitochondrial impairment","volume":"240","author":[{"family":"Cannon","given":"Jason R."},{"family":"Geghman","given":"Kindiya D."},{"family":"Tapias","given":"Victor"},{"family":"Sew","given":"Thomas"},{"family":"Dail","given":"Michelle K."},{"family":"Li","given":"Chenjian"},{"family":"Greenamyre","given":"J. Timothy"}],"issued":{"date-parts":[["2013",2]]}}},{"id":772,"uris":["http://zotero.org/users/9330673/items/SHT4ZQZI"],"itemData":{"id":772,"type":"article-journal","abstract":"Parkinson’s disease (PD) is an age-associated neurodegenerative condition in which some genetic variants are known to increase disease susceptibility on interaction with environmental factors inducing oxidative stress. Different mutations in the SNCA gene are reported as the major genetic contributors to PD. E46K mutation pathogenicity has not been investigated as intensive as other SNCA gene mutations including A30P and A53T. In this study, based on the GAL4-UAS binary genetic tool, transgenic Drosophila melanogaster flies expressing wild-type and E46K-mutated copies of the human SNCA gene were constructed. Western blotting, immunohistochemical analysis, and light and confocal microscopy of flies’ brains were undertaken along with the survival rate measurement, locomotor function assay, and ethanol and paraquat (PQ) tolerance to study α-synuclein neurotoxicity. Biochemical bioassays were carried out to investigate the activity of antioxidant enzymes and alterations in levels of oxidative markers following damages induced by human α-synuclein to the neurons of the transgenic flies. Overexpression of human α-synuclein in the central nervous system of these transgenic flies led to disorganized ommatidia structures and loss of dopaminergic neurons. E46K α-synuclein caused remarkable climbing defects, reduced survivorship, higher ethanol sensitivity, and increased PQ-mediated mortality. A noticeable decline in activity of catalase and superoxide dismutase enzymes besides considerable increase in the levels of lipid peroxidation and reactive oxygen species was observed in head capsule homogenates of α-synuclein-expressing flies, which indicates obvious involvement of oxidative stress as a causal factor in SNCAE46K neurotoxicity. In all the investigations, E46K copy of the SNCA gene was found to impose more severe defects when compared to wild-type SNCA. It can be concluded that the constructed Drosophila models developed PD-like symptoms that facilitate comparative studies of molecular and cellular pathways implicated in the pathogenicity of different α-synuclein mutations.","container-title":"Parkinson's Disease","DOI":"10.1155/2021/6621507","ISSN":"2042-0080, 2090-8083","journalAbbreviation":"Parkinson's Disease","language":"en","page":"1-12","source":"DOI.org (Crossref)","title":"α-Synuclein E46K Mutation and Involvement of Oxidative Stress in a Drosophila Model of Parkinson’s Disease","volume":"2021","author":[{"family":"Reiszadeh Jahromi","given":"Samaneh"},{"family":"Ramesh","given":"S. R."},{"family":"Finkelstein","given":"David I."},{"family":"Haddadi","given":"Mohammad"}],"editor":[{"family":"Teive","given":"Hélio"}],"issued":{"date-parts":[["2021",7,3]]}}}],"schema":"https://github.com/citation-style-language/schema/raw/master/csl-citation.json"} </w:instrText>
      </w:r>
      <w:r w:rsidR="00680CC2">
        <w:rPr>
          <w:rFonts w:ascii="Verdana" w:hAnsi="Verdana"/>
          <w:lang w:val="en-GB"/>
        </w:rPr>
        <w:fldChar w:fldCharType="separate"/>
      </w:r>
      <w:r w:rsidR="00680CC2" w:rsidRPr="00680CC2">
        <w:rPr>
          <w:rFonts w:ascii="Verdana" w:hAnsi="Verdana"/>
        </w:rPr>
        <w:t>(Cannon et al. 2013; Reiszadeh Jahromi et al. 2021)</w:t>
      </w:r>
      <w:r w:rsidR="00680CC2">
        <w:rPr>
          <w:rFonts w:ascii="Verdana" w:hAnsi="Verdana"/>
          <w:lang w:val="en-GB"/>
        </w:rPr>
        <w:fldChar w:fldCharType="end"/>
      </w:r>
      <w:r w:rsidR="00B55B08">
        <w:rPr>
          <w:rFonts w:ascii="Verdana" w:hAnsi="Verdana"/>
          <w:lang w:val="en-GB"/>
        </w:rPr>
        <w:t>.</w:t>
      </w:r>
    </w:p>
    <w:p w14:paraId="7705C06E" w14:textId="2D01CF63" w:rsidR="0063545C" w:rsidRPr="00375B02" w:rsidRDefault="00341D48" w:rsidP="00291DAF">
      <w:pPr>
        <w:pStyle w:val="ListParagraph"/>
        <w:spacing w:line="360" w:lineRule="auto"/>
        <w:ind w:left="0"/>
        <w:contextualSpacing w:val="0"/>
        <w:jc w:val="both"/>
        <w:rPr>
          <w:rFonts w:ascii="Verdana" w:hAnsi="Verdana"/>
          <w:lang w:val="en-GB"/>
        </w:rPr>
      </w:pPr>
      <w:r>
        <w:rPr>
          <w:rFonts w:ascii="Verdana" w:hAnsi="Verdana"/>
          <w:lang w:val="en-GB"/>
        </w:rPr>
        <w:lastRenderedPageBreak/>
        <w:t>Alpha-synuclein triplications are causative of early-onset</w:t>
      </w:r>
      <w:r w:rsidR="00D36E1E">
        <w:rPr>
          <w:rFonts w:ascii="Verdana" w:hAnsi="Verdana"/>
          <w:lang w:val="en-GB"/>
        </w:rPr>
        <w:t xml:space="preserve"> DOPA-responsive</w:t>
      </w:r>
      <w:r>
        <w:rPr>
          <w:rFonts w:ascii="Verdana" w:hAnsi="Verdana"/>
          <w:lang w:val="en-GB"/>
        </w:rPr>
        <w:t xml:space="preserve"> parkinsonism</w:t>
      </w:r>
      <w:r w:rsidR="00CD14E0">
        <w:rPr>
          <w:rFonts w:ascii="Verdana" w:hAnsi="Verdana"/>
          <w:lang w:val="en-GB"/>
        </w:rPr>
        <w:t xml:space="preserve"> and a more aggressive disease course. </w:t>
      </w:r>
      <w:r w:rsidR="00743DA4" w:rsidRPr="000A1B95">
        <w:rPr>
          <w:rFonts w:ascii="Verdana" w:hAnsi="Verdana"/>
          <w:i/>
          <w:iCs/>
          <w:lang w:val="en-GB"/>
        </w:rPr>
        <w:t>SNCA</w:t>
      </w:r>
      <w:r w:rsidR="00743DA4">
        <w:rPr>
          <w:rFonts w:ascii="Verdana" w:hAnsi="Verdana"/>
          <w:lang w:val="en-GB"/>
        </w:rPr>
        <w:t xml:space="preserve"> triplication kindreds show severe</w:t>
      </w:r>
      <w:r w:rsidR="00AB2B78">
        <w:rPr>
          <w:rFonts w:ascii="Verdana" w:hAnsi="Verdana"/>
          <w:lang w:val="en-GB"/>
        </w:rPr>
        <w:t xml:space="preserve"> </w:t>
      </w:r>
      <w:r w:rsidR="00743DA4">
        <w:rPr>
          <w:rFonts w:ascii="Verdana" w:hAnsi="Verdana"/>
          <w:lang w:val="en-GB"/>
        </w:rPr>
        <w:t>degeneration</w:t>
      </w:r>
      <w:r w:rsidR="00AB2B78">
        <w:rPr>
          <w:rFonts w:ascii="Verdana" w:hAnsi="Verdana"/>
          <w:lang w:val="en-GB"/>
        </w:rPr>
        <w:t xml:space="preserve"> in </w:t>
      </w:r>
      <w:r w:rsidR="00AB2B78" w:rsidRPr="00AB2B78">
        <w:rPr>
          <w:rFonts w:ascii="Verdana" w:hAnsi="Verdana"/>
          <w:i/>
          <w:iCs/>
          <w:lang w:val="en-GB"/>
        </w:rPr>
        <w:t>Striatum</w:t>
      </w:r>
      <w:r w:rsidR="00AB2B78">
        <w:rPr>
          <w:rFonts w:ascii="Verdana" w:hAnsi="Verdana"/>
          <w:lang w:val="en-GB"/>
        </w:rPr>
        <w:t xml:space="preserve">, </w:t>
      </w:r>
      <w:r w:rsidR="00AB2B78" w:rsidRPr="00AB2B78">
        <w:rPr>
          <w:rFonts w:ascii="Verdana" w:hAnsi="Verdana"/>
          <w:i/>
          <w:iCs/>
          <w:lang w:val="en-GB"/>
        </w:rPr>
        <w:t>Substantia Nigra</w:t>
      </w:r>
      <w:r w:rsidR="00AB2B78">
        <w:rPr>
          <w:rFonts w:ascii="Verdana" w:hAnsi="Verdana"/>
          <w:lang w:val="en-GB"/>
        </w:rPr>
        <w:t xml:space="preserve"> and </w:t>
      </w:r>
      <w:r w:rsidR="00AB2B78" w:rsidRPr="00AB2B78">
        <w:rPr>
          <w:rFonts w:ascii="Verdana" w:hAnsi="Verdana"/>
          <w:i/>
          <w:iCs/>
          <w:lang w:val="en-GB"/>
        </w:rPr>
        <w:t>Locus Coeruleus</w:t>
      </w:r>
      <w:r w:rsidR="00743DA4">
        <w:rPr>
          <w:rFonts w:ascii="Verdana" w:hAnsi="Verdana"/>
          <w:lang w:val="en-GB"/>
        </w:rPr>
        <w:t>,</w:t>
      </w:r>
      <w:r w:rsidR="000A1B95">
        <w:rPr>
          <w:rFonts w:ascii="Verdana" w:hAnsi="Verdana"/>
          <w:lang w:val="en-GB"/>
        </w:rPr>
        <w:t xml:space="preserve"> and</w:t>
      </w:r>
      <w:r w:rsidR="00AB2B78">
        <w:rPr>
          <w:rFonts w:ascii="Verdana" w:hAnsi="Verdana"/>
          <w:lang w:val="en-GB"/>
        </w:rPr>
        <w:t xml:space="preserve"> widespread</w:t>
      </w:r>
      <w:r w:rsidR="000A1B95">
        <w:rPr>
          <w:rFonts w:ascii="Verdana" w:hAnsi="Verdana"/>
          <w:lang w:val="en-GB"/>
        </w:rPr>
        <w:t xml:space="preserve"> Lewy body </w:t>
      </w:r>
      <w:proofErr w:type="gramStart"/>
      <w:r w:rsidR="000A1B95">
        <w:rPr>
          <w:rFonts w:ascii="Verdana" w:hAnsi="Verdana"/>
          <w:lang w:val="en-GB"/>
        </w:rPr>
        <w:t>pathology</w:t>
      </w:r>
      <w:r w:rsidR="00680CC2">
        <w:rPr>
          <w:rFonts w:ascii="Verdana" w:hAnsi="Verdana"/>
          <w:lang w:val="en-GB"/>
        </w:rPr>
        <w:t xml:space="preserve"> </w:t>
      </w:r>
      <w:r w:rsidR="004454E8">
        <w:rPr>
          <w:rFonts w:ascii="Verdana" w:hAnsi="Verdana"/>
          <w:lang w:val="en-GB"/>
        </w:rPr>
        <w:t xml:space="preserve"> (</w:t>
      </w:r>
      <w:proofErr w:type="spellStart"/>
      <w:proofErr w:type="gramEnd"/>
      <w:r w:rsidR="004454E8">
        <w:rPr>
          <w:rFonts w:ascii="Verdana" w:hAnsi="Verdana"/>
          <w:lang w:val="en-GB"/>
        </w:rPr>
        <w:t>Muenter</w:t>
      </w:r>
      <w:proofErr w:type="spellEnd"/>
      <w:r w:rsidR="004454E8">
        <w:rPr>
          <w:rFonts w:ascii="Verdana" w:hAnsi="Verdana"/>
          <w:lang w:val="en-GB"/>
        </w:rPr>
        <w:t xml:space="preserve"> et al., </w:t>
      </w:r>
      <w:r w:rsidR="005339F0">
        <w:rPr>
          <w:rFonts w:ascii="Verdana" w:hAnsi="Verdana"/>
          <w:lang w:val="en-GB"/>
        </w:rPr>
        <w:t xml:space="preserve">1998; </w:t>
      </w:r>
      <w:r w:rsidR="002B1616">
        <w:rPr>
          <w:rFonts w:ascii="Verdana" w:hAnsi="Verdana"/>
          <w:lang w:val="en-GB"/>
        </w:rPr>
        <w:t xml:space="preserve">Farrer et al., 2004; </w:t>
      </w:r>
      <w:r w:rsidR="0062136E">
        <w:rPr>
          <w:rFonts w:ascii="Verdana" w:hAnsi="Verdana"/>
          <w:lang w:val="en-GB"/>
        </w:rPr>
        <w:t>Ibanez et al., 2009)</w:t>
      </w:r>
      <w:r w:rsidR="000A1B95">
        <w:rPr>
          <w:rFonts w:ascii="Verdana" w:hAnsi="Verdana"/>
          <w:lang w:val="en-GB"/>
        </w:rPr>
        <w:t>.</w:t>
      </w:r>
      <w:r w:rsidR="00CC2F03">
        <w:rPr>
          <w:rFonts w:ascii="Verdana" w:hAnsi="Verdana"/>
          <w:lang w:val="en-GB"/>
        </w:rPr>
        <w:t xml:space="preserve"> Dementia</w:t>
      </w:r>
      <w:r w:rsidR="003006C3">
        <w:rPr>
          <w:rFonts w:ascii="Verdana" w:hAnsi="Verdana"/>
          <w:lang w:val="en-GB"/>
        </w:rPr>
        <w:t>, visual and auditory hallucinations, and alterations of cognition</w:t>
      </w:r>
      <w:r w:rsidR="0038743D">
        <w:rPr>
          <w:rFonts w:ascii="Verdana" w:hAnsi="Verdana"/>
          <w:lang w:val="en-GB"/>
        </w:rPr>
        <w:t xml:space="preserve"> at different levels</w:t>
      </w:r>
      <w:r w:rsidR="003006C3">
        <w:rPr>
          <w:rFonts w:ascii="Verdana" w:hAnsi="Verdana"/>
          <w:lang w:val="en-GB"/>
        </w:rPr>
        <w:t xml:space="preserve"> are also present</w:t>
      </w:r>
      <w:r w:rsidR="00C17116">
        <w:rPr>
          <w:rFonts w:ascii="Verdana" w:hAnsi="Verdana"/>
          <w:lang w:val="en-GB"/>
        </w:rPr>
        <w:t xml:space="preserve"> (</w:t>
      </w:r>
      <w:proofErr w:type="spellStart"/>
      <w:r w:rsidR="00C17116">
        <w:rPr>
          <w:rFonts w:ascii="Verdana" w:hAnsi="Verdana"/>
          <w:lang w:val="en-GB"/>
        </w:rPr>
        <w:t>Muenter</w:t>
      </w:r>
      <w:proofErr w:type="spellEnd"/>
      <w:r w:rsidR="00C17116">
        <w:rPr>
          <w:rFonts w:ascii="Verdana" w:hAnsi="Verdana"/>
          <w:lang w:val="en-GB"/>
        </w:rPr>
        <w:t xml:space="preserve"> et al., 1998; Farrer et al., 2004)</w:t>
      </w:r>
      <w:r w:rsidR="003006C3">
        <w:rPr>
          <w:rFonts w:ascii="Verdana" w:hAnsi="Verdana"/>
          <w:lang w:val="en-GB"/>
        </w:rPr>
        <w:t>.</w:t>
      </w:r>
      <w:r w:rsidR="00B969C1">
        <w:rPr>
          <w:rFonts w:ascii="Verdana" w:hAnsi="Verdana"/>
          <w:lang w:val="en-GB"/>
        </w:rPr>
        <w:t xml:space="preserve"> </w:t>
      </w:r>
      <w:r w:rsidR="00B969C1" w:rsidRPr="0038743D">
        <w:rPr>
          <w:rFonts w:ascii="Verdana" w:hAnsi="Verdana"/>
          <w:i/>
          <w:iCs/>
          <w:lang w:val="en-GB"/>
        </w:rPr>
        <w:t>SNCA</w:t>
      </w:r>
      <w:r w:rsidR="00B969C1">
        <w:rPr>
          <w:rFonts w:ascii="Verdana" w:hAnsi="Verdana"/>
          <w:lang w:val="en-GB"/>
        </w:rPr>
        <w:t xml:space="preserve"> duplication kindreds have a more </w:t>
      </w:r>
      <w:r w:rsidR="0038743D">
        <w:rPr>
          <w:rFonts w:ascii="Verdana" w:hAnsi="Verdana"/>
          <w:lang w:val="en-GB"/>
        </w:rPr>
        <w:t xml:space="preserve">variable presentation, with some cases being undistinguishable from idiopathic PD, and others presenting with </w:t>
      </w:r>
      <w:r w:rsidR="00E73C4C">
        <w:rPr>
          <w:rFonts w:ascii="Verdana" w:hAnsi="Verdana"/>
          <w:lang w:val="en-GB"/>
        </w:rPr>
        <w:t xml:space="preserve">hallucinations, </w:t>
      </w:r>
      <w:proofErr w:type="gramStart"/>
      <w:r w:rsidR="00E73C4C">
        <w:rPr>
          <w:rFonts w:ascii="Verdana" w:hAnsi="Verdana"/>
          <w:lang w:val="en-GB"/>
        </w:rPr>
        <w:t>delusions</w:t>
      </w:r>
      <w:proofErr w:type="gramEnd"/>
      <w:r w:rsidR="00E73C4C">
        <w:rPr>
          <w:rFonts w:ascii="Verdana" w:hAnsi="Verdana"/>
          <w:lang w:val="en-GB"/>
        </w:rPr>
        <w:t xml:space="preserve"> or dementia</w:t>
      </w:r>
      <w:r w:rsidR="0036106C">
        <w:rPr>
          <w:rFonts w:ascii="Verdana" w:hAnsi="Verdana"/>
          <w:lang w:val="en-GB"/>
        </w:rPr>
        <w:t xml:space="preserve"> (</w:t>
      </w:r>
      <w:proofErr w:type="spellStart"/>
      <w:r w:rsidR="0036106C">
        <w:rPr>
          <w:rFonts w:ascii="Verdana" w:hAnsi="Verdana"/>
          <w:lang w:val="en-GB"/>
        </w:rPr>
        <w:t>Nishioka</w:t>
      </w:r>
      <w:proofErr w:type="spellEnd"/>
      <w:r w:rsidR="0036106C">
        <w:rPr>
          <w:rFonts w:ascii="Verdana" w:hAnsi="Verdana"/>
          <w:lang w:val="en-GB"/>
        </w:rPr>
        <w:t xml:space="preserve"> et al., 2009;</w:t>
      </w:r>
      <w:r w:rsidR="008460BA">
        <w:rPr>
          <w:rFonts w:ascii="Verdana" w:hAnsi="Verdana"/>
          <w:lang w:val="en-GB"/>
        </w:rPr>
        <w:t xml:space="preserve"> </w:t>
      </w:r>
      <w:proofErr w:type="spellStart"/>
      <w:r w:rsidR="008460BA">
        <w:rPr>
          <w:rFonts w:ascii="Verdana" w:hAnsi="Verdana"/>
          <w:lang w:val="en-GB"/>
        </w:rPr>
        <w:t>Ikeuchi</w:t>
      </w:r>
      <w:proofErr w:type="spellEnd"/>
      <w:r w:rsidR="008460BA">
        <w:rPr>
          <w:rFonts w:ascii="Verdana" w:hAnsi="Verdana"/>
          <w:lang w:val="en-GB"/>
        </w:rPr>
        <w:t xml:space="preserve"> et al., 2008)</w:t>
      </w:r>
      <w:r w:rsidR="00E73C4C">
        <w:rPr>
          <w:rFonts w:ascii="Verdana" w:hAnsi="Verdana"/>
          <w:lang w:val="en-GB"/>
        </w:rPr>
        <w:t>.</w:t>
      </w:r>
      <w:r w:rsidR="00915DC8">
        <w:rPr>
          <w:rFonts w:ascii="Verdana" w:hAnsi="Verdana"/>
          <w:lang w:val="en-GB"/>
        </w:rPr>
        <w:t xml:space="preserve"> Typically, d</w:t>
      </w:r>
      <w:r w:rsidR="0098256C">
        <w:rPr>
          <w:rFonts w:ascii="Verdana" w:hAnsi="Verdana"/>
          <w:lang w:val="en-GB"/>
        </w:rPr>
        <w:t>upli</w:t>
      </w:r>
      <w:r w:rsidR="00077369">
        <w:rPr>
          <w:rFonts w:ascii="Verdana" w:hAnsi="Verdana"/>
          <w:lang w:val="en-GB"/>
        </w:rPr>
        <w:t xml:space="preserve">cation cases </w:t>
      </w:r>
      <w:r w:rsidR="0098256C">
        <w:rPr>
          <w:rFonts w:ascii="Verdana" w:hAnsi="Verdana"/>
          <w:lang w:val="en-GB"/>
        </w:rPr>
        <w:t xml:space="preserve">have a </w:t>
      </w:r>
      <w:r w:rsidR="00915DC8">
        <w:rPr>
          <w:rFonts w:ascii="Verdana" w:hAnsi="Verdana"/>
          <w:lang w:val="en-GB"/>
        </w:rPr>
        <w:t xml:space="preserve">similar disease course to those </w:t>
      </w:r>
      <w:r w:rsidR="007013C2">
        <w:rPr>
          <w:rFonts w:ascii="Verdana" w:hAnsi="Verdana"/>
          <w:lang w:val="en-GB"/>
        </w:rPr>
        <w:t xml:space="preserve">with </w:t>
      </w:r>
      <w:r w:rsidR="007013C2" w:rsidRPr="007013C2">
        <w:rPr>
          <w:rFonts w:ascii="Verdana" w:hAnsi="Verdana"/>
          <w:i/>
          <w:iCs/>
          <w:lang w:val="en-GB"/>
        </w:rPr>
        <w:t>SNCA</w:t>
      </w:r>
      <w:r w:rsidR="00915DC8">
        <w:rPr>
          <w:rFonts w:ascii="Verdana" w:hAnsi="Verdana"/>
          <w:lang w:val="en-GB"/>
        </w:rPr>
        <w:t xml:space="preserve"> triplications, but a </w:t>
      </w:r>
      <w:r w:rsidR="0098256C">
        <w:rPr>
          <w:rFonts w:ascii="Verdana" w:hAnsi="Verdana"/>
          <w:lang w:val="en-GB"/>
        </w:rPr>
        <w:t xml:space="preserve">later </w:t>
      </w:r>
      <w:r w:rsidR="00915DC8">
        <w:rPr>
          <w:rFonts w:ascii="Verdana" w:hAnsi="Verdana"/>
          <w:lang w:val="en-GB"/>
        </w:rPr>
        <w:t xml:space="preserve">disease </w:t>
      </w:r>
      <w:r w:rsidR="0098256C">
        <w:rPr>
          <w:rFonts w:ascii="Verdana" w:hAnsi="Verdana"/>
          <w:lang w:val="en-GB"/>
        </w:rPr>
        <w:t>onset</w:t>
      </w:r>
      <w:r w:rsidR="00915DC8">
        <w:rPr>
          <w:rFonts w:ascii="Verdana" w:hAnsi="Verdana"/>
          <w:lang w:val="en-GB"/>
        </w:rPr>
        <w:t>.</w:t>
      </w:r>
      <w:r w:rsidR="007013C2">
        <w:rPr>
          <w:rFonts w:ascii="Verdana" w:hAnsi="Verdana"/>
          <w:lang w:val="en-GB"/>
        </w:rPr>
        <w:t xml:space="preserve"> Overall, dosage of alpha-synuclein seems to be the determining factor for disease initiation and</w:t>
      </w:r>
      <w:r w:rsidR="002929D5">
        <w:rPr>
          <w:rFonts w:ascii="Verdana" w:hAnsi="Verdana"/>
          <w:lang w:val="en-GB"/>
        </w:rPr>
        <w:t xml:space="preserve"> severity of progression.</w:t>
      </w:r>
    </w:p>
    <w:p w14:paraId="4A7B41E6" w14:textId="77777777" w:rsidR="00DC0FF0" w:rsidRPr="00B034DA" w:rsidRDefault="00DC0FF0" w:rsidP="00291DAF">
      <w:pPr>
        <w:pStyle w:val="ListParagraph"/>
        <w:spacing w:line="360" w:lineRule="auto"/>
        <w:ind w:left="0"/>
        <w:contextualSpacing w:val="0"/>
        <w:jc w:val="both"/>
        <w:rPr>
          <w:rFonts w:ascii="Verdana" w:hAnsi="Verdana"/>
          <w:lang w:val="en-GB"/>
        </w:rPr>
      </w:pPr>
    </w:p>
    <w:p w14:paraId="2647CF24" w14:textId="40AA579F" w:rsidR="00163B2A" w:rsidRPr="007A09C9" w:rsidRDefault="007A09C9" w:rsidP="00767F9D">
      <w:pPr>
        <w:pStyle w:val="Heading3"/>
        <w:numPr>
          <w:ilvl w:val="2"/>
          <w:numId w:val="13"/>
        </w:numPr>
        <w:rPr>
          <w:lang w:val="en-GB"/>
        </w:rPr>
      </w:pPr>
      <w:r>
        <w:rPr>
          <w:lang w:val="en-GB"/>
        </w:rPr>
        <w:t xml:space="preserve">  </w:t>
      </w:r>
      <w:bookmarkStart w:id="18" w:name="_Toc130223390"/>
      <w:r w:rsidR="00163B2A" w:rsidRPr="007A09C9">
        <w:rPr>
          <w:lang w:val="en-GB"/>
        </w:rPr>
        <w:t>DJ-1</w:t>
      </w:r>
      <w:bookmarkEnd w:id="18"/>
    </w:p>
    <w:p w14:paraId="4A393966" w14:textId="48332DA5" w:rsidR="00BF1BA0" w:rsidRPr="003A3FA4" w:rsidRDefault="00E83EB0" w:rsidP="007A09C9">
      <w:pPr>
        <w:pStyle w:val="ListParagraph"/>
        <w:spacing w:line="360" w:lineRule="auto"/>
        <w:ind w:left="0"/>
        <w:contextualSpacing w:val="0"/>
        <w:jc w:val="both"/>
        <w:rPr>
          <w:rFonts w:ascii="Verdana" w:hAnsi="Verdana"/>
          <w:lang w:val="en-GB"/>
        </w:rPr>
      </w:pPr>
      <w:r w:rsidRPr="003A3FA4">
        <w:rPr>
          <w:rFonts w:ascii="Verdana" w:hAnsi="Verdana"/>
          <w:lang w:val="en-GB"/>
        </w:rPr>
        <w:t xml:space="preserve">The DJ-1 </w:t>
      </w:r>
      <w:r w:rsidR="000C2113">
        <w:rPr>
          <w:rFonts w:ascii="Verdana" w:hAnsi="Verdana"/>
          <w:lang w:val="en-GB"/>
        </w:rPr>
        <w:t>protein is encoded by the gene PARK7.</w:t>
      </w:r>
      <w:r w:rsidRPr="003A3FA4">
        <w:rPr>
          <w:rFonts w:ascii="Verdana" w:hAnsi="Verdana"/>
          <w:lang w:val="en-GB"/>
        </w:rPr>
        <w:t xml:space="preserve"> </w:t>
      </w:r>
      <w:r w:rsidR="006D179A">
        <w:rPr>
          <w:rFonts w:ascii="Verdana" w:hAnsi="Verdana"/>
          <w:lang w:val="en-GB"/>
        </w:rPr>
        <w:t xml:space="preserve">DJ-1 is </w:t>
      </w:r>
      <w:proofErr w:type="gramStart"/>
      <w:r w:rsidR="006D179A">
        <w:rPr>
          <w:rFonts w:ascii="Verdana" w:hAnsi="Verdana"/>
          <w:lang w:val="en-GB"/>
        </w:rPr>
        <w:t>an</w:t>
      </w:r>
      <w:proofErr w:type="gramEnd"/>
      <w:r w:rsidR="006D179A">
        <w:rPr>
          <w:rFonts w:ascii="Verdana" w:hAnsi="Verdana"/>
          <w:lang w:val="en-GB"/>
        </w:rPr>
        <w:t xml:space="preserve"> </w:t>
      </w:r>
      <w:r w:rsidR="0032246D" w:rsidRPr="003A3FA4">
        <w:rPr>
          <w:rFonts w:ascii="Verdana" w:hAnsi="Verdana"/>
          <w:lang w:val="en-GB"/>
        </w:rPr>
        <w:t>ubiquitous</w:t>
      </w:r>
      <w:r w:rsidR="006D179A">
        <w:rPr>
          <w:rFonts w:ascii="Verdana" w:hAnsi="Verdana"/>
          <w:lang w:val="en-GB"/>
        </w:rPr>
        <w:t xml:space="preserve"> protein</w:t>
      </w:r>
      <w:r w:rsidR="0032246D" w:rsidRPr="003A3FA4">
        <w:rPr>
          <w:rFonts w:ascii="Verdana" w:hAnsi="Verdana"/>
          <w:lang w:val="en-GB"/>
        </w:rPr>
        <w:t>,</w:t>
      </w:r>
      <w:r w:rsidR="006D179A">
        <w:rPr>
          <w:rFonts w:ascii="Verdana" w:hAnsi="Verdana"/>
          <w:lang w:val="en-GB"/>
        </w:rPr>
        <w:t xml:space="preserve"> presenting many functions such as</w:t>
      </w:r>
      <w:r w:rsidR="00CD0528" w:rsidRPr="003A3FA4">
        <w:rPr>
          <w:rFonts w:ascii="Verdana" w:hAnsi="Verdana"/>
          <w:lang w:val="en-GB"/>
        </w:rPr>
        <w:t xml:space="preserve"> chaperone, protease, and oxidative stress sensor.</w:t>
      </w:r>
      <w:r w:rsidR="002B2203" w:rsidRPr="003A3FA4">
        <w:rPr>
          <w:rFonts w:ascii="Verdana" w:hAnsi="Verdana"/>
          <w:lang w:val="en-GB"/>
        </w:rPr>
        <w:t xml:space="preserve"> </w:t>
      </w:r>
      <w:r w:rsidR="00801E1E" w:rsidRPr="003A3FA4">
        <w:rPr>
          <w:rFonts w:ascii="Verdana" w:hAnsi="Verdana"/>
          <w:lang w:val="en-GB"/>
        </w:rPr>
        <w:t>A</w:t>
      </w:r>
      <w:r w:rsidR="00CF28DA" w:rsidRPr="003A3FA4">
        <w:rPr>
          <w:rFonts w:ascii="Verdana" w:hAnsi="Verdana"/>
          <w:lang w:val="en-GB"/>
        </w:rPr>
        <w:t>n early-onset, autosomal recessive form of PD</w:t>
      </w:r>
      <w:r w:rsidR="00901F9F" w:rsidRPr="003A3FA4">
        <w:rPr>
          <w:rFonts w:ascii="Verdana" w:hAnsi="Verdana"/>
          <w:lang w:val="en-GB"/>
        </w:rPr>
        <w:t xml:space="preserve"> indicated as PARK7 PD, </w:t>
      </w:r>
      <w:r w:rsidR="00FE49F2" w:rsidRPr="003A3FA4">
        <w:rPr>
          <w:rFonts w:ascii="Verdana" w:hAnsi="Verdana"/>
          <w:lang w:val="en-GB"/>
        </w:rPr>
        <w:t xml:space="preserve">was first shown to </w:t>
      </w:r>
      <w:r w:rsidR="00901F9F" w:rsidRPr="003A3FA4">
        <w:rPr>
          <w:rFonts w:ascii="Verdana" w:hAnsi="Verdana"/>
          <w:lang w:val="en-GB"/>
        </w:rPr>
        <w:t>co-segregate with</w:t>
      </w:r>
      <w:r w:rsidR="00FE49F2" w:rsidRPr="003A3FA4">
        <w:rPr>
          <w:rFonts w:ascii="Verdana" w:hAnsi="Verdana"/>
          <w:lang w:val="en-GB"/>
        </w:rPr>
        <w:t xml:space="preserve"> the DJ-1 gene in 2003 </w:t>
      </w:r>
      <w:r w:rsidR="00AB6798">
        <w:rPr>
          <w:rFonts w:ascii="Verdana" w:hAnsi="Verdana"/>
          <w:lang w:val="en-GB"/>
        </w:rPr>
        <w:fldChar w:fldCharType="begin"/>
      </w:r>
      <w:r w:rsidR="00AB6798">
        <w:rPr>
          <w:rFonts w:ascii="Verdana" w:hAnsi="Verdana"/>
          <w:lang w:val="en-GB"/>
        </w:rPr>
        <w:instrText xml:space="preserve"> ADDIN ZOTERO_ITEM CSL_CITATION {"citationID":"fEPYvYmQ","properties":{"formattedCitation":"(Bonifati et al. 2003)","plainCitation":"(Bonifati et al. 2003)","noteIndex":0},"citationItems":[{"id":727,"uris":["http://zotero.org/users/9330673/items/34B7NUHX"],"itemData":{"id":727,"type":"article-journal","abstract":"The\n              DJ-1\n              gene encodes a ubiquitous, highly conserved protein. Here, we show that\n              DJ-1\n              mutations are associated with PARK7, a monogenic form of human parkinsonism. The function of the DJ-1 protein remains unknown, but evidence suggests its involvement in the oxidative stress response. Our findings indicate that loss of DJ-1 function leads to neurodegeneration. Elucidating the physiological role of DJ-1 protein may promote understanding of the mechanisms of brain neuronal maintenance and pathogenesis of Parkinson's disease.","container-title":"Science","DOI":"10.1126/science.1077209","ISSN":"0036-8075, 1095-9203","issue":"5604","journalAbbreviation":"Science","language":"en","page":"256-259","source":"DOI.org (Crossref)","title":"Mutations in the &lt;i&gt;DJ-1&lt;/i&gt; Gene Associated with Autosomal Recessive Early-Onset Parkinsonism","volume":"299","author":[{"family":"Bonifati","given":"Vincenzo"},{"family":"Rizzu","given":"Patrizia"},{"family":"Baren","given":"Marijke J.","non-dropping-particle":"van"},{"family":"Schaap","given":"Onno"},{"family":"Breedveld","given":"Guido J."},{"family":"Krieger","given":"Elmar"},{"family":"Dekker","given":"Marieke C. J."},{"family":"Squitieri","given":"Ferdinando"},{"family":"Ibanez","given":"Pablo"},{"family":"Joosse","given":"Marijke"},{"family":"Dongen","given":"Jeroen W.","non-dropping-particle":"van"},{"family":"Vanacore","given":"Nicola"},{"family":"Swieten","given":"John C.","non-dropping-particle":"van"},{"family":"Brice","given":"Alexis"},{"family":"Meco","given":"Giuseppe"},{"family":"Duijn","given":"Cornelia M.","non-dropping-particle":"van"},{"family":"Oostra","given":"Ben A."},{"family":"Heutink","given":"Peter"}],"issued":{"date-parts":[["2003",1,10]]}}}],"schema":"https://github.com/citation-style-language/schema/raw/master/csl-citation.json"} </w:instrText>
      </w:r>
      <w:r w:rsidR="00AB6798">
        <w:rPr>
          <w:rFonts w:ascii="Verdana" w:hAnsi="Verdana"/>
          <w:lang w:val="en-GB"/>
        </w:rPr>
        <w:fldChar w:fldCharType="separate"/>
      </w:r>
      <w:r w:rsidR="00AB6798" w:rsidRPr="00AB6798">
        <w:rPr>
          <w:rFonts w:ascii="Verdana" w:hAnsi="Verdana"/>
        </w:rPr>
        <w:t>(Bonifati et al. 2003)</w:t>
      </w:r>
      <w:r w:rsidR="00AB6798">
        <w:rPr>
          <w:rFonts w:ascii="Verdana" w:hAnsi="Verdana"/>
          <w:lang w:val="en-GB"/>
        </w:rPr>
        <w:fldChar w:fldCharType="end"/>
      </w:r>
      <w:r w:rsidR="00FE49F2" w:rsidRPr="003A3FA4">
        <w:rPr>
          <w:rFonts w:ascii="Verdana" w:hAnsi="Verdana"/>
          <w:lang w:val="en-GB"/>
        </w:rPr>
        <w:t>.</w:t>
      </w:r>
      <w:r w:rsidR="00901F9F" w:rsidRPr="003A3FA4">
        <w:rPr>
          <w:rFonts w:ascii="Verdana" w:hAnsi="Verdana"/>
          <w:lang w:val="en-GB"/>
        </w:rPr>
        <w:t xml:space="preserve"> </w:t>
      </w:r>
      <w:r w:rsidR="00854722" w:rsidRPr="003A3FA4">
        <w:rPr>
          <w:rFonts w:ascii="Verdana" w:hAnsi="Verdana"/>
          <w:lang w:val="en-GB"/>
        </w:rPr>
        <w:t xml:space="preserve">In the two families investigated, the DJ-1 gene presented either a </w:t>
      </w:r>
      <w:r w:rsidR="00801E1E" w:rsidRPr="003A3FA4">
        <w:rPr>
          <w:rFonts w:ascii="Verdana" w:hAnsi="Verdana"/>
          <w:lang w:val="en-GB"/>
        </w:rPr>
        <w:t xml:space="preserve">homozygous genomic deletion </w:t>
      </w:r>
      <w:r w:rsidR="005F339C" w:rsidRPr="003A3FA4">
        <w:rPr>
          <w:rFonts w:ascii="Verdana" w:hAnsi="Verdana"/>
          <w:lang w:val="en-GB"/>
        </w:rPr>
        <w:t>of 14kb, or a homozygous point mutation</w:t>
      </w:r>
      <w:r w:rsidR="00F2406F" w:rsidRPr="003A3FA4">
        <w:rPr>
          <w:rFonts w:ascii="Verdana" w:hAnsi="Verdana"/>
          <w:lang w:val="en-GB"/>
        </w:rPr>
        <w:t xml:space="preserve"> resulting in the substitution of a leucine with a proline (L166P)</w:t>
      </w:r>
      <w:r w:rsidR="00B646EF" w:rsidRPr="003A3FA4">
        <w:rPr>
          <w:rFonts w:ascii="Verdana" w:hAnsi="Verdana"/>
          <w:lang w:val="en-GB"/>
        </w:rPr>
        <w:t xml:space="preserve"> </w:t>
      </w:r>
      <w:r w:rsidR="009D5798" w:rsidRPr="003A3FA4">
        <w:rPr>
          <w:rFonts w:ascii="Verdana" w:hAnsi="Verdana"/>
          <w:lang w:val="en-GB"/>
        </w:rPr>
        <w:t>(</w:t>
      </w:r>
      <w:proofErr w:type="spellStart"/>
      <w:r w:rsidR="009D5798" w:rsidRPr="003A3FA4">
        <w:rPr>
          <w:rFonts w:ascii="Verdana" w:hAnsi="Verdana"/>
          <w:lang w:val="en-GB"/>
        </w:rPr>
        <w:t>Bonifati</w:t>
      </w:r>
      <w:proofErr w:type="spellEnd"/>
      <w:r w:rsidR="009D5798" w:rsidRPr="003A3FA4">
        <w:rPr>
          <w:rFonts w:ascii="Verdana" w:hAnsi="Verdana"/>
          <w:lang w:val="en-GB"/>
        </w:rPr>
        <w:t xml:space="preserve"> et al. 2003). </w:t>
      </w:r>
      <w:r w:rsidR="0098784B" w:rsidRPr="003A3FA4">
        <w:rPr>
          <w:rFonts w:ascii="Verdana" w:hAnsi="Verdana"/>
          <w:lang w:val="en-GB"/>
        </w:rPr>
        <w:t>As a result, i</w:t>
      </w:r>
      <w:r w:rsidR="00F22A48" w:rsidRPr="003A3FA4">
        <w:rPr>
          <w:rFonts w:ascii="Verdana" w:hAnsi="Verdana"/>
          <w:lang w:val="en-GB"/>
        </w:rPr>
        <w:t>n the first case the</w:t>
      </w:r>
      <w:r w:rsidR="00C24E29" w:rsidRPr="003A3FA4">
        <w:rPr>
          <w:rFonts w:ascii="Verdana" w:hAnsi="Verdana"/>
          <w:lang w:val="en-GB"/>
        </w:rPr>
        <w:t xml:space="preserve"> DJ-1</w:t>
      </w:r>
      <w:r w:rsidR="00F22A48" w:rsidRPr="003A3FA4">
        <w:rPr>
          <w:rFonts w:ascii="Verdana" w:hAnsi="Verdana"/>
          <w:lang w:val="en-GB"/>
        </w:rPr>
        <w:t xml:space="preserve"> </w:t>
      </w:r>
      <w:r w:rsidR="003A6593" w:rsidRPr="003A3FA4">
        <w:rPr>
          <w:rFonts w:ascii="Verdana" w:hAnsi="Verdana"/>
          <w:lang w:val="en-GB"/>
        </w:rPr>
        <w:t>protein is lacking, while in the second one is functionally inactive</w:t>
      </w:r>
      <w:r w:rsidR="0053221E" w:rsidRPr="003A3FA4">
        <w:rPr>
          <w:rFonts w:ascii="Verdana" w:hAnsi="Verdana"/>
          <w:lang w:val="en-GB"/>
        </w:rPr>
        <w:t>, suggesting that the loss of DJ-1 activity is pathogenic in PD.</w:t>
      </w:r>
    </w:p>
    <w:p w14:paraId="24AAC061" w14:textId="7A0E3355" w:rsidR="00FE49F2" w:rsidRPr="003A3FA4" w:rsidRDefault="00CB43E3" w:rsidP="00291DAF">
      <w:pPr>
        <w:pStyle w:val="ListParagraph"/>
        <w:spacing w:line="360" w:lineRule="auto"/>
        <w:ind w:left="0"/>
        <w:jc w:val="both"/>
        <w:rPr>
          <w:rFonts w:ascii="Verdana" w:hAnsi="Verdana"/>
          <w:lang w:val="en-GB"/>
        </w:rPr>
      </w:pPr>
      <w:r w:rsidRPr="003A3FA4">
        <w:rPr>
          <w:rFonts w:ascii="Verdana" w:hAnsi="Verdana"/>
          <w:lang w:val="en-GB"/>
        </w:rPr>
        <w:t xml:space="preserve">Neurodegeneration in </w:t>
      </w:r>
      <w:r w:rsidR="002A4B75" w:rsidRPr="003A3FA4">
        <w:rPr>
          <w:rFonts w:ascii="Verdana" w:hAnsi="Verdana"/>
          <w:lang w:val="en-GB"/>
        </w:rPr>
        <w:t>PARK7 PD</w:t>
      </w:r>
      <w:r w:rsidR="00BF1BA0" w:rsidRPr="003A3FA4">
        <w:rPr>
          <w:rFonts w:ascii="Verdana" w:hAnsi="Verdana"/>
          <w:lang w:val="en-GB"/>
        </w:rPr>
        <w:t xml:space="preserve"> might be linked to </w:t>
      </w:r>
      <w:r w:rsidR="002A4B75" w:rsidRPr="003A3FA4">
        <w:rPr>
          <w:rFonts w:ascii="Verdana" w:hAnsi="Verdana"/>
          <w:lang w:val="en-GB"/>
        </w:rPr>
        <w:t>DJ-1</w:t>
      </w:r>
      <w:r w:rsidR="00BF1BA0" w:rsidRPr="003A3FA4">
        <w:rPr>
          <w:rFonts w:ascii="Verdana" w:hAnsi="Verdana"/>
          <w:lang w:val="en-GB"/>
        </w:rPr>
        <w:t xml:space="preserve"> activity as an oxidative stress sensor.</w:t>
      </w:r>
      <w:r w:rsidR="0053168B" w:rsidRPr="003A3FA4">
        <w:rPr>
          <w:rFonts w:ascii="Verdana" w:hAnsi="Verdana"/>
          <w:lang w:val="en-GB"/>
        </w:rPr>
        <w:t xml:space="preserve"> Upon ROS overproduction, DJ-1 is relocated to mitochondria</w:t>
      </w:r>
      <w:r w:rsidR="009E6316" w:rsidRPr="003A3FA4">
        <w:rPr>
          <w:rFonts w:ascii="Verdana" w:hAnsi="Verdana"/>
          <w:lang w:val="en-GB"/>
        </w:rPr>
        <w:t>, and at a later time point to the nucleus</w:t>
      </w:r>
      <w:r w:rsidR="00AB6798">
        <w:rPr>
          <w:rFonts w:ascii="Verdana" w:hAnsi="Verdana"/>
          <w:lang w:val="en-GB"/>
        </w:rPr>
        <w:t xml:space="preserve"> </w:t>
      </w:r>
      <w:r w:rsidR="00AB6798">
        <w:rPr>
          <w:rFonts w:ascii="Verdana" w:hAnsi="Verdana"/>
          <w:lang w:val="en-GB"/>
        </w:rPr>
        <w:fldChar w:fldCharType="begin"/>
      </w:r>
      <w:r w:rsidR="00AB6798">
        <w:rPr>
          <w:rFonts w:ascii="Verdana" w:hAnsi="Verdana"/>
          <w:lang w:val="en-GB"/>
        </w:rPr>
        <w:instrText xml:space="preserve"> ADDIN ZOTERO_ITEM CSL_CITATION {"citationID":"m4YeX0JV","properties":{"formattedCitation":"(Junn et al. 2009)","plainCitation":"(Junn et al. 2009)","noteIndex":0},"citationItems":[{"id":777,"uris":["http://zotero.org/users/9330673/items/M7A78RII"],"itemData":{"id":777,"type":"article-journal","container-title":"Journal of Neuroscience Research","DOI":"10.1002/jnr.21831","ISSN":"03604012, 10974547","issue":"1","journalAbbreviation":"J. Neurosci. Res.","language":"en","page":"123-129","source":"DOI.org (Crossref)","title":"Mitochondrial localization of DJ-1 leads to enhanced neuroprotection","volume":"87","author":[{"family":"Junn","given":"Eunsung"},{"family":"Jang","given":"Won Hee"},{"family":"Zhao","given":"Xin"},{"family":"Jeong","given":"Byeong Seon"},{"family":"Mouradian","given":"M. Maral"}],"issued":{"date-parts":[["2009",1]]}}}],"schema":"https://github.com/citation-style-language/schema/raw/master/csl-citation.json"} </w:instrText>
      </w:r>
      <w:r w:rsidR="00AB6798">
        <w:rPr>
          <w:rFonts w:ascii="Verdana" w:hAnsi="Verdana"/>
          <w:lang w:val="en-GB"/>
        </w:rPr>
        <w:fldChar w:fldCharType="separate"/>
      </w:r>
      <w:r w:rsidR="00AB6798" w:rsidRPr="00AB6798">
        <w:rPr>
          <w:rFonts w:ascii="Verdana" w:hAnsi="Verdana"/>
        </w:rPr>
        <w:t>(Junn et al. 2009)</w:t>
      </w:r>
      <w:r w:rsidR="00AB6798">
        <w:rPr>
          <w:rFonts w:ascii="Verdana" w:hAnsi="Verdana"/>
          <w:lang w:val="en-GB"/>
        </w:rPr>
        <w:fldChar w:fldCharType="end"/>
      </w:r>
      <w:r w:rsidR="00AF33F3" w:rsidRPr="003A3FA4">
        <w:rPr>
          <w:rFonts w:ascii="Verdana" w:hAnsi="Verdana"/>
          <w:lang w:val="en-GB"/>
        </w:rPr>
        <w:t>.</w:t>
      </w:r>
      <w:r w:rsidR="00BF1BA0" w:rsidRPr="003A3FA4">
        <w:rPr>
          <w:rFonts w:ascii="Verdana" w:hAnsi="Verdana"/>
          <w:lang w:val="en-GB"/>
        </w:rPr>
        <w:t xml:space="preserve"> </w:t>
      </w:r>
      <w:r w:rsidR="00BF1BA0" w:rsidRPr="003A3FA4">
        <w:rPr>
          <w:rFonts w:ascii="Verdana" w:hAnsi="Verdana"/>
          <w:i/>
          <w:iCs/>
          <w:lang w:val="en-GB"/>
        </w:rPr>
        <w:t>In</w:t>
      </w:r>
      <w:r w:rsidR="00BD2C14" w:rsidRPr="003A3FA4">
        <w:rPr>
          <w:rFonts w:ascii="Verdana" w:hAnsi="Verdana"/>
          <w:i/>
          <w:iCs/>
          <w:lang w:val="en-GB"/>
        </w:rPr>
        <w:t xml:space="preserve"> vitro</w:t>
      </w:r>
      <w:r w:rsidR="00BF1BA0" w:rsidRPr="003A3FA4">
        <w:rPr>
          <w:rFonts w:ascii="Verdana" w:hAnsi="Verdana"/>
          <w:lang w:val="en-GB"/>
        </w:rPr>
        <w:t xml:space="preserve">, </w:t>
      </w:r>
      <w:r w:rsidR="00577BCE" w:rsidRPr="003A3FA4">
        <w:rPr>
          <w:rFonts w:ascii="Verdana" w:hAnsi="Verdana"/>
          <w:lang w:val="en-GB"/>
        </w:rPr>
        <w:t xml:space="preserve">DJ-1 knock-out has been shown </w:t>
      </w:r>
      <w:r w:rsidR="00B65404" w:rsidRPr="003A3FA4">
        <w:rPr>
          <w:rFonts w:ascii="Verdana" w:hAnsi="Verdana"/>
          <w:lang w:val="en-GB"/>
        </w:rPr>
        <w:t xml:space="preserve">to </w:t>
      </w:r>
      <w:r w:rsidR="00BD2C14" w:rsidRPr="003A3FA4">
        <w:rPr>
          <w:rFonts w:ascii="Verdana" w:hAnsi="Verdana"/>
          <w:lang w:val="en-GB"/>
        </w:rPr>
        <w:t>alter</w:t>
      </w:r>
      <w:r w:rsidR="00875DDB" w:rsidRPr="003A3FA4">
        <w:rPr>
          <w:rFonts w:ascii="Verdana" w:hAnsi="Verdana"/>
          <w:lang w:val="en-GB"/>
        </w:rPr>
        <w:t xml:space="preserve"> mitochondrial</w:t>
      </w:r>
      <w:r w:rsidR="00BD2C14" w:rsidRPr="003A3FA4">
        <w:rPr>
          <w:rFonts w:ascii="Verdana" w:hAnsi="Verdana"/>
          <w:lang w:val="en-GB"/>
        </w:rPr>
        <w:t xml:space="preserve"> calcium flux, </w:t>
      </w:r>
      <w:r w:rsidR="004814C6" w:rsidRPr="003A3FA4">
        <w:rPr>
          <w:rFonts w:ascii="Verdana" w:hAnsi="Verdana"/>
          <w:lang w:val="en-GB"/>
        </w:rPr>
        <w:t>to decrease mitochondrial transmembrane potential</w:t>
      </w:r>
      <w:r w:rsidR="00BD2C14" w:rsidRPr="003A3FA4">
        <w:rPr>
          <w:rFonts w:ascii="Verdana" w:hAnsi="Verdana"/>
          <w:lang w:val="en-GB"/>
        </w:rPr>
        <w:t>, and to</w:t>
      </w:r>
      <w:r w:rsidR="004814C6" w:rsidRPr="003A3FA4">
        <w:rPr>
          <w:rFonts w:ascii="Verdana" w:hAnsi="Verdana"/>
          <w:lang w:val="en-GB"/>
        </w:rPr>
        <w:t xml:space="preserve"> </w:t>
      </w:r>
      <w:r w:rsidR="00BD2C14" w:rsidRPr="003A3FA4">
        <w:rPr>
          <w:rFonts w:ascii="Verdana" w:hAnsi="Verdana"/>
          <w:lang w:val="en-GB"/>
        </w:rPr>
        <w:t>increase ROS production</w:t>
      </w:r>
      <w:r w:rsidR="003B3305" w:rsidRPr="003A3FA4">
        <w:rPr>
          <w:rFonts w:ascii="Verdana" w:hAnsi="Verdana"/>
          <w:lang w:val="en-GB"/>
        </w:rPr>
        <w:t xml:space="preserve"> </w:t>
      </w:r>
      <w:r w:rsidR="002068F6">
        <w:rPr>
          <w:rFonts w:ascii="Verdana" w:hAnsi="Verdana"/>
          <w:lang w:val="en-GB"/>
        </w:rPr>
        <w:fldChar w:fldCharType="begin"/>
      </w:r>
      <w:r w:rsidR="002068F6">
        <w:rPr>
          <w:rFonts w:ascii="Verdana" w:hAnsi="Verdana"/>
          <w:lang w:val="en-GB"/>
        </w:rPr>
        <w:instrText xml:space="preserve"> ADDIN ZOTERO_ITEM CSL_CITATION {"citationID":"UAqChN3A","properties":{"formattedCitation":"(Giaime et al. 2012; Guzman et al. 2010; Krebiehl et al. 2010)","plainCitation":"(Giaime et al. 2012; Guzman et al. 2010; Krebiehl et al. 2010)","noteIndex":0},"citationItems":[{"id":304,"uris":["http://zotero.org/users/9330673/items/63Z22KQG"],"itemData":{"id":304,"type":"article-journal","abstract":"Background: Loss of function mutations in the DJ-1 gene have been linked to recessively inherited forms of Parkinsonism. Mitochondrial dysfunction and increased oxidative stress are thought to be key events in the pathogenesis of Parkinson’s disease. Although it has been reported that DJ-1 serves as scavenger for reactive oxidative species (ROS) by oxidation on its cysteine residues, how loss of DJ-1 affects mitochondrial function is less clear.\nMethodology/Principal Findings: Using primary mouse embryonic fibroblasts (MEFs) or brains from DJ-12/2 mice, we found that loss of DJ-1 does not affect mitochondrial respiration. Specifically, endogenous respiratory activity as well as basal and maximal respiration are normal in intact DJ-12/2 MEFs, and substrate-specific state 3 and state 4 mitochondrial respiration are also unaffected in permeabilized DJ-12/2 MEFs and in isolated mitochondria from the cerebral cortex of DJ12/2 mice at 3 months or 2 years of age. Expression levels and activities of all individual complexes composing the electron transport system are unchanged, but ATP production is reduced in DJ-12/2 MEFs. Mitochondrial transmembrane potential is decreased in the absence of DJ-1. Furthermore, mitochondrial permeability transition pore opening is increased, whereas mitochondrial calcium levels are unchanged in DJ-12/2 cells. Consistent with earlier reports, production of reactive oxygen species (ROS) is increased, though levels of antioxidative enzymes are unaltered. Interestingly, the decreased mitochondrial transmembrane potential and the increased mitochondrial permeability transition pore opening in DJ-12/2 MEFs can be restored by antioxidant treatment, whereas oxidative stress inducers have the opposite effects on mitochondrial transmembrane potential and mitochondrial permeability transition pore opening.\nConclusions/Significance: Our study shows that loss of DJ-1 does not affect mitochondrial respiration or mitochondrial calcium levels but increases ROS production, leading to elevated mitochondrial permeability transition pore opening and reduced mitochondrial transmembrane potential.","container-title":"PLoS ONE","DOI":"10.1371/journal.pone.0040501","ISSN":"1932-6203","issue":"7","journalAbbreviation":"PLoS ONE","language":"en","page":"e40501","source":"DOI.org (Crossref)","title":"Loss of DJ-1 Does Not Affect Mitochondrial Respiration but Increases ROS Production and Mitochondrial Permeability Transition Pore Opening","volume":"7","author":[{"family":"Giaime","given":"Emilie"},{"family":"Yamaguchi","given":"Hiroo"},{"family":"Gautier","given":"Clement A."},{"family":"Kitada","given":"Tohru"},{"family":"Shen","given":"Jie"}],"editor":[{"family":"Brug","given":"Marcel P.","non-dropping-particle":"van der"}],"issued":{"date-parts":[["2012",7,9]]}}},{"id":305,"uris":["http://zotero.org/users/9330673/items/Z2JKUGAU"],"itemData":{"id":305,"type":"article-journal","abstract":"Parkinson's disease (PD) is a pervasive, aging-related neurodegenerative disease whose cardinal motor symptoms reflect the loss of a small group of neurons – dopaminergic neurons in the substantia nigra pars compacta (SNc)1. Mitochondrial oxidant stress is widely viewed as responsible for this loss2, but why these particular neurons should be stressed is a mystery. Using transgenic mice that expressed a redox-sensitive variant of green fluorescent protein targeted to the mitochondrial matrix, it was discovered that the unusual engagement of plasma membrane Ltype calcium channels during normal autonomous pacemaking created an oxidant stress that was specific to vulnerable SNc dopaminergic neurons. This stress engaged defenses that induced transient, mild mitochondrial depolarization or uncoupling. The mild uncoupling was not affected by deletion of cyclophilin D, a component of the permeability transition pore, but was attenuated by genipin and purine nucleotides, antagonists of cloned uncoupling proteins. Knocking out DJ-1, a gene associated with an early onset form of PD, down-regulated the expression of two uncoupling proteins (UCP4, 5), compromised calcium-induced uncoupling and increased oxidation of matrix proteins specifically in SNc dopaminergic neurons. Because drugs approved for human use can antagonize calcium entry through L-type channels, these results point to a novel neuroprotective strategy for both idiopathic and familial forms of PD.","container-title":"Nature","DOI":"10.1038/nature09536","ISSN":"0028-0836, 1476-4687","issue":"7324","journalAbbreviation":"Nature","language":"en","page":"696-700","source":"DOI.org (Crossref)","title":"Oxidant stress evoked by pacemaking in dopaminergic neurons is attenuated by DJ-1","volume":"468","author":[{"family":"Guzman","given":"Jaime N."},{"family":"Sanchez-Padilla","given":"Javier"},{"family":"Wokosin","given":"David"},{"family":"Kondapalli","given":"Jyothisri"},{"family":"Ilijic","given":"Ema"},{"family":"Schumacker","given":"Paul T."},{"family":"Surmeier","given":"D. James"}],"issued":{"date-parts":[["2010",12,2]]}}},{"id":307,"uris":["http://zotero.org/users/9330673/items/E8E6BD6E"],"itemData":{"id":307,"type":"article-journal","abstract":"Background: Mitochondrial dysfunction and degradation takes a central role in current paradigms of neurodegeneration in Parkinson’s disease (PD). Loss of DJ-1 function is a rare cause of familial PD. Although a critical role of DJ-1 in oxidative stress response and mitochondrial function has been recognized, the effects on mitochondrial dynamics and downstream consequences remain to be determined.\nMethodology/Principal Findings: Using DJ-1 loss of function cellular models from knockout (KO) mice and human carriers of the E64D mutation in the DJ-1 gene we define a novel role of DJ-1 in the integrity of both cellular organelles, mitochondria and lysosomes. We show that loss of DJ-1 caused impaired mitochondrial respiration, increased intramitochondrial reactive oxygen species, reduced mitochondrial membrane potential and characteristic alterations of mitochondrial shape as shown by quantitative morphology. Importantly, ultrastructural imaging and subsequent detailed lysosomal activity analyses revealed reduced basal autophagic degradation and the accumulation of defective mitochondria in DJ-1 KO cells, that was linked with decreased levels of phospho-activated ERK2.\nConclusions/Significance: We show that loss of DJ-1 leads to impaired autophagy and accumulation of dysfunctional mitochondria that under physiological conditions would be compensated via lysosomal clearance. Our study provides evidence for a critical role of DJ-1 in mitochondrial homeostasis by connecting basal autophagy and mitochondrial integrity in Parkinson’s disease.","container-title":"PLoS ONE","DOI":"10.1371/journal.pone.0009367","ISSN":"1932-6203","issue":"2","journalAbbreviation":"PLoS ONE","language":"en","page":"e9367","source":"DOI.org (Crossref)","title":"Reduced Basal Autophagy and Impaired Mitochondrial Dynamics Due to Loss of Parkinson's Disease-Associated Protein DJ-1","volume":"5","author":[{"family":"Krebiehl","given":"Guido"},{"family":"Ruckerbauer","given":"Sabine"},{"family":"Burbulla","given":"Lena F."},{"family":"Kieper","given":"Nicole"},{"family":"Maurer","given":"Brigitte"},{"family":"Waak","given":"Jens"},{"family":"Wolburg","given":"Hartwig"},{"family":"Gizatullina","given":"Zemfira"},{"family":"Gellerich","given":"Frank N."},{"family":"Woitalla","given":"Dirk"},{"family":"Riess","given":"Olaf"},{"family":"Kahle","given":"Philipp J."},{"family":"Proikas-Cezanne","given":"Tassula"},{"family":"Krüger","given":"Rejko"}],"editor":[{"family":"Petrucelli","given":"Leonard"}],"issued":{"date-parts":[["2010",2,23]]}}}],"schema":"https://github.com/citation-style-language/schema/raw/master/csl-citation.json"} </w:instrText>
      </w:r>
      <w:r w:rsidR="002068F6">
        <w:rPr>
          <w:rFonts w:ascii="Verdana" w:hAnsi="Verdana"/>
          <w:lang w:val="en-GB"/>
        </w:rPr>
        <w:fldChar w:fldCharType="separate"/>
      </w:r>
      <w:r w:rsidR="002068F6" w:rsidRPr="002068F6">
        <w:rPr>
          <w:rFonts w:ascii="Verdana" w:hAnsi="Verdana"/>
        </w:rPr>
        <w:t>(Giaime et al. 2012; Guzman et al. 2010; Krebiehl et al. 2010)</w:t>
      </w:r>
      <w:r w:rsidR="002068F6">
        <w:rPr>
          <w:rFonts w:ascii="Verdana" w:hAnsi="Verdana"/>
          <w:lang w:val="en-GB"/>
        </w:rPr>
        <w:fldChar w:fldCharType="end"/>
      </w:r>
      <w:r w:rsidR="004814C6" w:rsidRPr="003A3FA4">
        <w:rPr>
          <w:rFonts w:ascii="Verdana" w:hAnsi="Verdana"/>
          <w:lang w:val="en-GB"/>
        </w:rPr>
        <w:t>.</w:t>
      </w:r>
      <w:r w:rsidR="00BE5944" w:rsidRPr="003A3FA4">
        <w:rPr>
          <w:rFonts w:ascii="Verdana" w:hAnsi="Verdana"/>
          <w:lang w:val="en-GB"/>
        </w:rPr>
        <w:t xml:space="preserve"> DJ-1 knock-out </w:t>
      </w:r>
      <w:r w:rsidR="003F1F83" w:rsidRPr="003A3FA4">
        <w:rPr>
          <w:rFonts w:ascii="Verdana" w:hAnsi="Verdana"/>
          <w:lang w:val="en-GB"/>
        </w:rPr>
        <w:t xml:space="preserve">mice present </w:t>
      </w:r>
      <w:r w:rsidR="00A408B4" w:rsidRPr="003A3FA4">
        <w:rPr>
          <w:rFonts w:ascii="Verdana" w:hAnsi="Verdana"/>
          <w:lang w:val="en-GB"/>
        </w:rPr>
        <w:t xml:space="preserve">compromised </w:t>
      </w:r>
      <w:r w:rsidR="003F1F83" w:rsidRPr="003A3FA4">
        <w:rPr>
          <w:rFonts w:ascii="Verdana" w:hAnsi="Verdana"/>
          <w:lang w:val="en-GB"/>
        </w:rPr>
        <w:t xml:space="preserve">mitochondrial </w:t>
      </w:r>
      <w:r w:rsidR="00A408B4" w:rsidRPr="003A3FA4">
        <w:rPr>
          <w:rFonts w:ascii="Verdana" w:hAnsi="Verdana"/>
          <w:lang w:val="en-GB"/>
        </w:rPr>
        <w:t>function</w:t>
      </w:r>
      <w:r w:rsidR="003F1F83" w:rsidRPr="003A3FA4">
        <w:rPr>
          <w:rFonts w:ascii="Verdana" w:hAnsi="Verdana"/>
          <w:lang w:val="en-GB"/>
        </w:rPr>
        <w:t xml:space="preserve">, and are hypersensitive to </w:t>
      </w:r>
      <w:r w:rsidR="00082BAA" w:rsidRPr="003A3FA4">
        <w:rPr>
          <w:rFonts w:ascii="Verdana" w:hAnsi="Verdana"/>
          <w:lang w:val="en-GB"/>
        </w:rPr>
        <w:t>1-methyl-4-phenyl-1,2,3,6-tetrahydropyridine (</w:t>
      </w:r>
      <w:r w:rsidR="003F1F83" w:rsidRPr="003A3FA4">
        <w:rPr>
          <w:rFonts w:ascii="Verdana" w:hAnsi="Verdana"/>
          <w:lang w:val="en-GB"/>
        </w:rPr>
        <w:t>MPTP</w:t>
      </w:r>
      <w:r w:rsidR="00082BAA" w:rsidRPr="003A3FA4">
        <w:rPr>
          <w:rFonts w:ascii="Verdana" w:hAnsi="Verdana"/>
          <w:lang w:val="en-GB"/>
        </w:rPr>
        <w:t>)</w:t>
      </w:r>
      <w:r w:rsidR="00A408B4" w:rsidRPr="003A3FA4">
        <w:rPr>
          <w:rFonts w:ascii="Verdana" w:hAnsi="Verdana"/>
          <w:lang w:val="en-GB"/>
        </w:rPr>
        <w:t xml:space="preserve"> stress</w:t>
      </w:r>
      <w:r w:rsidR="00AA4560" w:rsidRPr="003A3FA4">
        <w:rPr>
          <w:rFonts w:ascii="Verdana" w:hAnsi="Verdana"/>
          <w:lang w:val="en-GB"/>
        </w:rPr>
        <w:t xml:space="preserve"> </w:t>
      </w:r>
      <w:r w:rsidR="002068F6">
        <w:rPr>
          <w:rFonts w:ascii="Verdana" w:hAnsi="Verdana"/>
          <w:lang w:val="en-GB"/>
        </w:rPr>
        <w:lastRenderedPageBreak/>
        <w:fldChar w:fldCharType="begin"/>
      </w:r>
      <w:r w:rsidR="00435CE3">
        <w:rPr>
          <w:rFonts w:ascii="Verdana" w:hAnsi="Verdana"/>
          <w:lang w:val="en-GB"/>
        </w:rPr>
        <w:instrText xml:space="preserve"> ADDIN ZOTERO_ITEM CSL_CITATION {"citationID":"Wxv5nNfx","properties":{"formattedCitation":"(Hao, Giasson, and Bonini 2010; R. H. Kim et al. 2005)","plainCitation":"(Hao, Giasson, and Bonini 2010; R. H. Kim et al. 2005)","noteIndex":0},"citationItems":[{"id":768,"uris":["http://zotero.org/users/9330673/items/82JDAI3Z"],"itemData":{"id":768,"type":"article-journal","abstract":"Mutations or deletions in\n              PARKIN/PARK2\n              ,\n              PINK1/PARK6\n              , and\n              DJ-1/PARK7\n              lead to autosomal recessive parkinsonism. In\n              Drosophila\n              , deletions in\n              parkin\n              and\n              pink1\n              result in swollen and dysfunctional mitochondria in energy-demanding tissues. The relationship between\n              DJ-1\n              and mitochondria, however, remains unclear. We now report that\n              Drosophila\n              and mouse mutants in\n              DJ-1\n              show compromised mitochondrial function with age. Flies deleted for\n              DJ-1\n              manifest similar defects as\n              pink1\n              and\n              parkin\n              mutants: male sterility, shortened lifespan, and reduced climbing ability. We further found poorly coupled mitochondria in vitro and reduced ATP levels in fly and mouse\n              DJ-1\n              mutants. Surprisingly, up-regulation of\n              DJ-1\n              can ameliorate\n              pink1\n              , but not\n              parkin,\n              mutants in\n              Drosophila\n              ; cysteine C104 (analogous to C106 in human) is critical for this rescue, implicating the oxidative functions of DJ-1 in this property. These results suggest that\n              DJ-1\n              is important for proper mitochondrial function and acts downstream of, or in parallel to,\n              pink1\n              . These findings link\n              DJ-1\n              ,\n              pink1\n              , and\n              parkin\n              to mitochondrial integrity and provide the foundation for therapeutics that link bioenergetics and parkinsonism.","container-title":"Proceedings of the National Academy of Sciences","DOI":"10.1073/pnas.0911175107","ISSN":"0027-8424, 1091-6490","issue":"21","journalAbbreviation":"Proc. Natl. Acad. Sci. U.S.A.","language":"en","page":"9747-9752","source":"DOI.org (Crossref)","title":"DJ-1 is critical for mitochondrial function and rescues PINK1 loss of function","volume":"107","author":[{"family":"Hao","given":"Ling-Yang"},{"family":"Giasson","given":"Benoit I."},{"family":"Bonini","given":"Nancy M."}],"issued":{"date-parts":[["2010",5,25]]}}},{"id":782,"uris":["http://zotero.org/users/9330673/items/G9WHSCX7"],"itemData":{"id":782,"type":"article-journal","abstract":"Mutations of the\n              DJ-1\n              (PARK7) gene are linked to familial Parkinson's disease. We used gene targeting to generate DJ-1-deficient mice that were viable, fertile, and showed no gross anatomical or neuronal abnormalities. Dopaminergic neuron numbers in the\n              substantia nigra\n              and fiber densities and dopamine levels in the striatum were normal. However, DJ-1–/– mice showed hypolocomotion when subjected to amphetamine challenge and increased striatal denervation and dopaminergic neuron loss induced by 1-methyl-4-phenyl-1,2,3,6-tetrahydropyrindine. DJ-1–/–embryonic cortical neurons showed increased sensitivity to oxidative, but not nonoxidative, insults. Restoration of DJ-1 expression to DJ-1–/– mice or cells via adenoviral vector delivery mitigated all phenotypes. WT mice that received adenoviral delivery of DJ-1 resisted 1-methyl-4-phenyl-1,2,3,6-tetrahydropyrindine-induced striatal damage, and neurons overexpressing DJ-1 were protected from oxidative stress\n              in vitro\n              . Thus, DJ-1 protects against neuronal oxidative stress, and loss of DJ-1 may lead to Parkinson's disease by conferring hypersensitivity to dopaminergic insults.","container-title":"Proceedings of the National Academy of Sciences","DOI":"10.1073/pnas.0501282102","ISSN":"0027-8424, 1091-6490","issue":"14","journalAbbreviation":"Proc. Natl. Acad. Sci. U.S.A.","language":"en","page":"5215-5220","source":"DOI.org (Crossref)","title":"Hypersensitivity of DJ-1-deficient mice to 1-methyl-4-phenyl-1,2,3,6-tetrahydropyrindine (MPTP) and oxidative stress","volume":"102","author":[{"family":"Kim","given":"Raymond H."},{"family":"Smith","given":"Patrice D."},{"family":"Aleyasin","given":"Hossein"},{"family":"Hayley","given":"Shawn"},{"family":"Mount","given":"Matthew P."},{"family":"Pownall","given":"Scott"},{"family":"Wakeham","given":"Andrew"},{"family":"You-Ten","given":"Annick J."},{"family":"Kalia","given":"Suneil K."},{"family":"Horne","given":"Patrick"},{"family":"Westaway","given":"David"},{"family":"Lozano","given":"Andres M."},{"family":"Anisman","given":"Hymie"},{"family":"Park","given":"David S."},{"family":"Mak","given":"Tak W."}],"issued":{"date-parts":[["2005",4,5]]}}}],"schema":"https://github.com/citation-style-language/schema/raw/master/csl-citation.json"} </w:instrText>
      </w:r>
      <w:r w:rsidR="002068F6">
        <w:rPr>
          <w:rFonts w:ascii="Verdana" w:hAnsi="Verdana"/>
          <w:lang w:val="en-GB"/>
        </w:rPr>
        <w:fldChar w:fldCharType="separate"/>
      </w:r>
      <w:r w:rsidR="00435CE3" w:rsidRPr="00435CE3">
        <w:rPr>
          <w:rFonts w:ascii="Verdana" w:hAnsi="Verdana"/>
        </w:rPr>
        <w:t>(Hao, Giasson, and Bonini 2010; R. H. Kim et al. 2005)</w:t>
      </w:r>
      <w:r w:rsidR="002068F6">
        <w:rPr>
          <w:rFonts w:ascii="Verdana" w:hAnsi="Verdana"/>
          <w:lang w:val="en-GB"/>
        </w:rPr>
        <w:fldChar w:fldCharType="end"/>
      </w:r>
      <w:r w:rsidR="00A408B4" w:rsidRPr="003A3FA4">
        <w:rPr>
          <w:rFonts w:ascii="Verdana" w:hAnsi="Verdana"/>
          <w:lang w:val="en-GB"/>
        </w:rPr>
        <w:t>.</w:t>
      </w:r>
      <w:r w:rsidR="002A2862" w:rsidRPr="003A3FA4">
        <w:rPr>
          <w:rFonts w:ascii="Verdana" w:hAnsi="Verdana"/>
          <w:lang w:val="en-GB"/>
        </w:rPr>
        <w:t xml:space="preserve"> </w:t>
      </w:r>
      <w:r w:rsidR="00F8700F" w:rsidRPr="003A3FA4">
        <w:rPr>
          <w:rFonts w:ascii="Verdana" w:hAnsi="Verdana"/>
          <w:lang w:val="en-GB"/>
        </w:rPr>
        <w:t xml:space="preserve">In the nucleus, </w:t>
      </w:r>
      <w:r w:rsidR="008F6173" w:rsidRPr="003A3FA4">
        <w:rPr>
          <w:rFonts w:ascii="Verdana" w:hAnsi="Verdana"/>
          <w:lang w:val="en-GB"/>
        </w:rPr>
        <w:t xml:space="preserve">DJ-1 </w:t>
      </w:r>
      <w:r w:rsidR="00F8700F" w:rsidRPr="003A3FA4">
        <w:rPr>
          <w:rFonts w:ascii="Verdana" w:hAnsi="Verdana"/>
          <w:lang w:val="en-GB"/>
        </w:rPr>
        <w:t>acts as a co-activator of NF-</w:t>
      </w:r>
      <w:proofErr w:type="spellStart"/>
      <w:r w:rsidR="00F8700F" w:rsidRPr="003A3FA4">
        <w:rPr>
          <w:rFonts w:ascii="Verdana" w:hAnsi="Verdana"/>
          <w:lang w:val="en-GB"/>
        </w:rPr>
        <w:t>κ</w:t>
      </w:r>
      <w:r w:rsidR="001B2B90" w:rsidRPr="003A3FA4">
        <w:rPr>
          <w:rFonts w:ascii="Verdana" w:hAnsi="Verdana"/>
          <w:lang w:val="en-GB"/>
        </w:rPr>
        <w:t>B</w:t>
      </w:r>
      <w:proofErr w:type="spellEnd"/>
      <w:r w:rsidR="007E5708" w:rsidRPr="003A3FA4">
        <w:rPr>
          <w:rFonts w:ascii="Verdana" w:hAnsi="Verdana"/>
          <w:lang w:val="en-GB"/>
        </w:rPr>
        <w:t>, indirectly regulating mitochondrial membrane potential and cell viability</w:t>
      </w:r>
      <w:r w:rsidR="00623214">
        <w:rPr>
          <w:rFonts w:ascii="Verdana" w:hAnsi="Verdana"/>
          <w:lang w:val="en-GB"/>
        </w:rPr>
        <w:t xml:space="preserve"> </w:t>
      </w:r>
      <w:r w:rsidR="00623214">
        <w:rPr>
          <w:rFonts w:ascii="Verdana" w:hAnsi="Verdana"/>
          <w:lang w:val="en-GB"/>
        </w:rPr>
        <w:fldChar w:fldCharType="begin"/>
      </w:r>
      <w:r w:rsidR="00623214">
        <w:rPr>
          <w:rFonts w:ascii="Verdana" w:hAnsi="Verdana"/>
          <w:lang w:val="en-GB"/>
        </w:rPr>
        <w:instrText xml:space="preserve"> ADDIN ZOTERO_ITEM CSL_CITATION {"citationID":"YSUb1dOP","properties":{"formattedCitation":"(Xu et al. 2018)","plainCitation":"(Xu et al. 2018)","noteIndex":0},"citationItems":[{"id":845,"uris":["http://zotero.org/users/9330673/items/KD8T8WR4"],"itemData":{"id":845,"type":"article-journal","container-title":"Journal of Neurochemistry","DOI":"10.1111/jnc.14297","ISSN":"00223042","issue":"4","journalAbbreviation":"J. Neurochem.","language":"en","page":"312-322","source":"DOI.org (Crossref)","title":"Parkinson's disease-related DJ-1 modulates the expression of uncoupling protein 4 against oxidative stress","volume":"145","author":[{"family":"Xu","given":"Shaoqing"},{"family":"Yang","given":"Xiaodong"},{"family":"Qian","given":"Yiwei"},{"family":"Xiao","given":"Qin"}],"issued":{"date-parts":[["2018",5]]}}}],"schema":"https://github.com/citation-style-language/schema/raw/master/csl-citation.json"} </w:instrText>
      </w:r>
      <w:r w:rsidR="00623214">
        <w:rPr>
          <w:rFonts w:ascii="Verdana" w:hAnsi="Verdana"/>
          <w:lang w:val="en-GB"/>
        </w:rPr>
        <w:fldChar w:fldCharType="separate"/>
      </w:r>
      <w:r w:rsidR="00623214" w:rsidRPr="00623214">
        <w:rPr>
          <w:rFonts w:ascii="Verdana" w:hAnsi="Verdana"/>
        </w:rPr>
        <w:t>(Xu et al. 2018)</w:t>
      </w:r>
      <w:r w:rsidR="00623214">
        <w:rPr>
          <w:rFonts w:ascii="Verdana" w:hAnsi="Verdana"/>
          <w:lang w:val="en-GB"/>
        </w:rPr>
        <w:fldChar w:fldCharType="end"/>
      </w:r>
      <w:r w:rsidR="00A90F50" w:rsidRPr="003A3FA4">
        <w:rPr>
          <w:rFonts w:ascii="Verdana" w:hAnsi="Verdana"/>
          <w:lang w:val="en-GB"/>
        </w:rPr>
        <w:t>.</w:t>
      </w:r>
    </w:p>
    <w:p w14:paraId="2F080EF6" w14:textId="610E190A" w:rsidR="00DD1E2F" w:rsidRDefault="00FE49F2" w:rsidP="00291DAF">
      <w:pPr>
        <w:pStyle w:val="ListParagraph"/>
        <w:spacing w:line="360" w:lineRule="auto"/>
        <w:ind w:left="0"/>
        <w:jc w:val="both"/>
        <w:rPr>
          <w:rFonts w:ascii="Verdana" w:hAnsi="Verdana"/>
          <w:lang w:val="en-GB"/>
        </w:rPr>
      </w:pPr>
      <w:r w:rsidRPr="003A3FA4">
        <w:rPr>
          <w:rFonts w:ascii="Verdana" w:hAnsi="Verdana"/>
          <w:lang w:val="en-GB"/>
        </w:rPr>
        <w:t>Finally</w:t>
      </w:r>
      <w:r w:rsidR="001C5434" w:rsidRPr="003A3FA4">
        <w:rPr>
          <w:rFonts w:ascii="Verdana" w:hAnsi="Verdana"/>
          <w:lang w:val="en-GB"/>
        </w:rPr>
        <w:t>, DJ-1 m</w:t>
      </w:r>
      <w:r w:rsidR="00885279" w:rsidRPr="003A3FA4">
        <w:rPr>
          <w:rFonts w:ascii="Verdana" w:hAnsi="Verdana"/>
          <w:lang w:val="en-GB"/>
        </w:rPr>
        <w:t>ay</w:t>
      </w:r>
      <w:r w:rsidR="001C5434" w:rsidRPr="003A3FA4">
        <w:rPr>
          <w:rFonts w:ascii="Verdana" w:hAnsi="Verdana"/>
          <w:lang w:val="en-GB"/>
        </w:rPr>
        <w:t xml:space="preserve"> </w:t>
      </w:r>
      <w:r w:rsidR="00010913">
        <w:rPr>
          <w:rFonts w:ascii="Verdana" w:hAnsi="Verdana"/>
          <w:lang w:val="en-GB"/>
        </w:rPr>
        <w:t>act as a chaperone following</w:t>
      </w:r>
      <w:r w:rsidR="00CF18C9" w:rsidRPr="003A3FA4">
        <w:rPr>
          <w:rFonts w:ascii="Verdana" w:hAnsi="Verdana"/>
          <w:lang w:val="en-GB"/>
        </w:rPr>
        <w:t xml:space="preserve"> oxidative</w:t>
      </w:r>
      <w:r w:rsidR="00010913">
        <w:rPr>
          <w:rFonts w:ascii="Verdana" w:hAnsi="Verdana"/>
          <w:lang w:val="en-GB"/>
        </w:rPr>
        <w:t xml:space="preserve"> </w:t>
      </w:r>
      <w:r w:rsidR="00CF18C9" w:rsidRPr="003A3FA4">
        <w:rPr>
          <w:rFonts w:ascii="Verdana" w:hAnsi="Verdana"/>
          <w:lang w:val="en-GB"/>
        </w:rPr>
        <w:t>stress</w:t>
      </w:r>
      <w:r w:rsidR="00010913">
        <w:rPr>
          <w:rFonts w:ascii="Verdana" w:hAnsi="Verdana"/>
          <w:lang w:val="en-GB"/>
        </w:rPr>
        <w:t>.</w:t>
      </w:r>
      <w:r w:rsidR="001C5434" w:rsidRPr="003A3FA4">
        <w:rPr>
          <w:rFonts w:ascii="Verdana" w:hAnsi="Verdana"/>
          <w:lang w:val="en-GB"/>
        </w:rPr>
        <w:t xml:space="preserve"> </w:t>
      </w:r>
      <w:r w:rsidR="00010913">
        <w:rPr>
          <w:rFonts w:ascii="Verdana" w:hAnsi="Verdana"/>
          <w:lang w:val="en-GB"/>
        </w:rPr>
        <w:t>W</w:t>
      </w:r>
      <w:r w:rsidR="00D67312" w:rsidRPr="003A3FA4">
        <w:rPr>
          <w:rFonts w:ascii="Verdana" w:hAnsi="Verdana"/>
          <w:lang w:val="en-GB"/>
        </w:rPr>
        <w:t xml:space="preserve">hen oxidized at the cysteine </w:t>
      </w:r>
      <w:r w:rsidR="00415D3D" w:rsidRPr="003A3FA4">
        <w:rPr>
          <w:rFonts w:ascii="Verdana" w:hAnsi="Verdana"/>
          <w:lang w:val="en-GB"/>
        </w:rPr>
        <w:t>106,</w:t>
      </w:r>
      <w:r w:rsidR="001C5434" w:rsidRPr="003A3FA4">
        <w:rPr>
          <w:rFonts w:ascii="Verdana" w:hAnsi="Verdana"/>
          <w:lang w:val="en-GB"/>
        </w:rPr>
        <w:t xml:space="preserve"> </w:t>
      </w:r>
      <w:r w:rsidR="00415D3D" w:rsidRPr="003A3FA4">
        <w:rPr>
          <w:rFonts w:ascii="Verdana" w:hAnsi="Verdana"/>
          <w:lang w:val="en-GB"/>
        </w:rPr>
        <w:t>DJ-1</w:t>
      </w:r>
      <w:r w:rsidR="001C5434" w:rsidRPr="003A3FA4">
        <w:rPr>
          <w:rFonts w:ascii="Verdana" w:hAnsi="Verdana"/>
          <w:lang w:val="en-GB"/>
        </w:rPr>
        <w:t xml:space="preserve"> has been shown to </w:t>
      </w:r>
      <w:r w:rsidR="00A47ACF" w:rsidRPr="003A3FA4">
        <w:rPr>
          <w:rFonts w:ascii="Verdana" w:hAnsi="Verdana"/>
          <w:lang w:val="en-GB"/>
        </w:rPr>
        <w:t>prevent</w:t>
      </w:r>
      <w:r w:rsidR="001C5434" w:rsidRPr="003A3FA4">
        <w:rPr>
          <w:rFonts w:ascii="Verdana" w:hAnsi="Verdana"/>
          <w:lang w:val="en-GB"/>
        </w:rPr>
        <w:t xml:space="preserve"> alpha-synuclein aggregation</w:t>
      </w:r>
      <w:r w:rsidR="00623214">
        <w:rPr>
          <w:rFonts w:ascii="Verdana" w:hAnsi="Verdana"/>
          <w:lang w:val="en-GB"/>
        </w:rPr>
        <w:t xml:space="preserve"> </w:t>
      </w:r>
      <w:r w:rsidR="00623214">
        <w:rPr>
          <w:rFonts w:ascii="Verdana" w:hAnsi="Verdana"/>
          <w:lang w:val="en-GB"/>
        </w:rPr>
        <w:fldChar w:fldCharType="begin"/>
      </w:r>
      <w:r w:rsidR="00623214">
        <w:rPr>
          <w:rFonts w:ascii="Verdana" w:hAnsi="Verdana"/>
          <w:lang w:val="en-GB"/>
        </w:rPr>
        <w:instrText xml:space="preserve"> ADDIN ZOTERO_ITEM CSL_CITATION {"citationID":"M9AYvgGJ","properties":{"formattedCitation":"(Zhou et al. 2006)","plainCitation":"(Zhou et al. 2006)","noteIndex":0},"citationItems":[{"id":798,"uris":["http://zotero.org/users/9330673/items/J7DHVYNE"],"itemData":{"id":798,"type":"article-journal","container-title":"Journal of Molecular Biology","DOI":"10.1016/j.jmb.2005.12.030","ISSN":"00222836","issue":"4","journalAbbreviation":"Journal of Molecular Biology","language":"en","page":"1036-1048","source":"DOI.org (Crossref)","title":"The Oxidation State of DJ-1 Regulates its Chaperone Activity Toward α-Synuclein","volume":"356","author":[{"family":"Zhou","given":"Wenbo"},{"family":"Zhu","given":"Min"},{"family":"Wilson","given":"Mark A."},{"family":"Petsko","given":"Gregory A."},{"family":"Fink","given":"Anthony L."}],"issued":{"date-parts":[["2006",3]]}}}],"schema":"https://github.com/citation-style-language/schema/raw/master/csl-citation.json"} </w:instrText>
      </w:r>
      <w:r w:rsidR="00623214">
        <w:rPr>
          <w:rFonts w:ascii="Verdana" w:hAnsi="Verdana"/>
          <w:lang w:val="en-GB"/>
        </w:rPr>
        <w:fldChar w:fldCharType="separate"/>
      </w:r>
      <w:r w:rsidR="00623214" w:rsidRPr="00623214">
        <w:rPr>
          <w:rFonts w:ascii="Verdana" w:hAnsi="Verdana"/>
        </w:rPr>
        <w:t>(Zhou et al. 2006)</w:t>
      </w:r>
      <w:r w:rsidR="00623214">
        <w:rPr>
          <w:rFonts w:ascii="Verdana" w:hAnsi="Verdana"/>
          <w:lang w:val="en-GB"/>
        </w:rPr>
        <w:fldChar w:fldCharType="end"/>
      </w:r>
      <w:r w:rsidR="00632956" w:rsidRPr="003A3FA4">
        <w:rPr>
          <w:rFonts w:ascii="Verdana" w:hAnsi="Verdana"/>
          <w:lang w:val="en-GB"/>
        </w:rPr>
        <w:t>. Loss of DJ-1 might therefore contribute to neurodegeneration through increased Lewy pathology.</w:t>
      </w:r>
    </w:p>
    <w:p w14:paraId="6DEE5AD6" w14:textId="6C1FC0DF" w:rsidR="00563C8A" w:rsidRDefault="00563C8A" w:rsidP="00291DAF">
      <w:pPr>
        <w:pStyle w:val="ListParagraph"/>
        <w:spacing w:line="360" w:lineRule="auto"/>
        <w:ind w:left="0"/>
        <w:jc w:val="both"/>
        <w:rPr>
          <w:rFonts w:ascii="Verdana" w:hAnsi="Verdana"/>
          <w:lang w:val="en-GB"/>
        </w:rPr>
      </w:pPr>
    </w:p>
    <w:p w14:paraId="1937120A" w14:textId="70BBDA2E" w:rsidR="00563C8A" w:rsidRDefault="00563C8A" w:rsidP="00291DAF">
      <w:pPr>
        <w:pStyle w:val="ListParagraph"/>
        <w:spacing w:line="360" w:lineRule="auto"/>
        <w:ind w:left="0"/>
        <w:jc w:val="both"/>
        <w:rPr>
          <w:rFonts w:ascii="Verdana" w:hAnsi="Verdana"/>
          <w:lang w:val="en-GB"/>
        </w:rPr>
      </w:pPr>
    </w:p>
    <w:p w14:paraId="71ADFAAA" w14:textId="3A763196" w:rsidR="00563C8A" w:rsidRDefault="00563C8A" w:rsidP="00291DAF">
      <w:pPr>
        <w:pStyle w:val="ListParagraph"/>
        <w:spacing w:line="360" w:lineRule="auto"/>
        <w:ind w:left="0"/>
        <w:jc w:val="both"/>
        <w:rPr>
          <w:rFonts w:ascii="Verdana" w:hAnsi="Verdana"/>
          <w:lang w:val="en-GB"/>
        </w:rPr>
      </w:pPr>
    </w:p>
    <w:p w14:paraId="6C861561" w14:textId="62309025" w:rsidR="00563C8A" w:rsidRPr="009C3C88" w:rsidRDefault="004F0024" w:rsidP="004F0024">
      <w:pPr>
        <w:pStyle w:val="Heading2"/>
        <w:numPr>
          <w:ilvl w:val="1"/>
          <w:numId w:val="19"/>
        </w:numPr>
        <w:spacing w:line="360" w:lineRule="auto"/>
        <w:ind w:left="0" w:firstLine="720"/>
        <w:rPr>
          <w:lang w:val="en-GB"/>
        </w:rPr>
      </w:pPr>
      <w:r>
        <w:rPr>
          <w:lang w:val="en-GB"/>
        </w:rPr>
        <w:t xml:space="preserve">   </w:t>
      </w:r>
      <w:bookmarkStart w:id="19" w:name="_Toc130223391"/>
      <w:r w:rsidR="003B7C22">
        <w:rPr>
          <w:lang w:val="en-GB"/>
        </w:rPr>
        <w:t>The gut and PD</w:t>
      </w:r>
      <w:bookmarkEnd w:id="19"/>
    </w:p>
    <w:p w14:paraId="2DA00A98" w14:textId="2D256F5F" w:rsidR="006962F1" w:rsidRPr="006962F1" w:rsidRDefault="006962F1" w:rsidP="006962F1">
      <w:pPr>
        <w:pStyle w:val="ListParagraph"/>
        <w:spacing w:line="360" w:lineRule="auto"/>
        <w:ind w:left="0"/>
        <w:jc w:val="both"/>
        <w:rPr>
          <w:rFonts w:ascii="Verdana" w:hAnsi="Verdana"/>
          <w:lang w:val="en-GB"/>
        </w:rPr>
      </w:pPr>
      <w:r w:rsidRPr="006962F1">
        <w:rPr>
          <w:rFonts w:ascii="Verdana" w:hAnsi="Verdana"/>
          <w:lang w:val="en-GB"/>
        </w:rPr>
        <w:t>The presence of α-synuclein aggregates in sympathetic and parasympathetic ganglia, as well as in the enteric nervous system (ENS) has fuelled the idea that PD might originate in the periphery</w:t>
      </w:r>
      <w:r w:rsidR="006F198A">
        <w:rPr>
          <w:rFonts w:ascii="Verdana" w:hAnsi="Verdana"/>
          <w:lang w:val="en-GB"/>
        </w:rPr>
        <w:t xml:space="preserve"> </w:t>
      </w:r>
      <w:r w:rsidR="006F198A">
        <w:rPr>
          <w:rFonts w:ascii="Verdana" w:hAnsi="Verdana"/>
          <w:lang w:val="en-GB"/>
        </w:rPr>
        <w:fldChar w:fldCharType="begin"/>
      </w:r>
      <w:r w:rsidR="006F198A">
        <w:rPr>
          <w:rFonts w:ascii="Verdana" w:hAnsi="Verdana"/>
          <w:lang w:val="en-GB"/>
        </w:rPr>
        <w:instrText xml:space="preserve"> ADDIN ZOTERO_ITEM CSL_CITATION {"citationID":"ZHIggZsw","properties":{"formattedCitation":"(Cersosimo and Benarroch 2012; Hilton et al. 2014; Shannon et al. 2012)","plainCitation":"(Cersosimo and Benarroch 2012; Hilton et al. 2014; Shannon et al. 2012)","noteIndex":0},"citationItems":[{"id":1940,"uris":["http://zotero.org/users/9330673/items/QMI224UV"],"itemData":{"id":1940,"type":"article-journal","abstract":"Autonomic nervous system involvement occurs at early stages in both Parkinson's disease (PD) and incidental Lewy body disease (ILBD), and affects the sympathetic, parasympathetic, and enteric nervous systems (ENS).","container-title":"Journal of the Neurological Sciences","DOI":"10.1016/j.jns.2011.09.030","ISSN":"0022510X","issue":"1-2","journalAbbreviation":"Journal of the Neurological Sciences","language":"en","page":"57-63","source":"DOI.org (Crossref)","title":"Autonomic involvement in Parkinson's disease: Pathology, pathophysiology, clinical features and possible peripheral biomarkers","title-short":"Autonomic involvement in Parkinson's disease","volume":"313","author":[{"family":"Cersosimo","given":"Maria G."},{"family":"Benarroch","given":"Eduardo E."}],"issued":{"date-parts":[["2012",2]]}}},{"id":1946,"uris":["http://zotero.org/users/9330673/items/6UVED45G"],"itemData":{"id":1946,"type":"article-journal","container-title":"Acta Neuropathologica","DOI":"10.1007/s00401-013-1214-6","ISSN":"0001-6322, 1432-0533","issue":"2","journalAbbreviation":"Acta Neuropathol","language":"en","page":"235-241","source":"DOI.org (Crossref)","title":"Accumulation of α-synuclein in the bowel of patients in the pre-clinical phase of Parkinson’s disease","volume":"127","author":[{"family":"Hilton","given":"David"},{"family":"Stephens","given":"Madeleine"},{"family":"Kirk","given":"Leanne"},{"family":"Edwards","given":"Philip"},{"family":"Potter","given":"Ross"},{"family":"Zajicek","given":"John"},{"family":"Broughton","given":"Ellie"},{"family":"Hagan","given":"Hannah"},{"family":"Carroll","given":"Camille"}],"issued":{"date-parts":[["2014",2]]}}},{"id":1947,"uris":["http://zotero.org/users/9330673/items/RRRRCQ2F"],"itemData":{"id":1947,"type":"article-journal","container-title":"Movement Disorders","DOI":"10.1002/mds.23838","ISSN":"08853185","issue":"6","journalAbbreviation":"Mov. Disord.","language":"en","page":"709-715","source":"DOI.org (Crossref)","title":"Alpha-synuclein in colonic submucosa in early untreated Parkinson's disease: Colonic α-Synuclein in Parkinson's Disease","title-short":"Alpha-synuclein in colonic submucosa in early untreated Parkinson's disease","volume":"27","author":[{"family":"Shannon","given":"Kathleen M."},{"family":"Keshavarzian","given":"Ali"},{"family":"Mutlu","given":"Ece"},{"family":"Dodiya","given":"Hemraj B."},{"family":"Daian","given":"Delia"},{"family":"Jaglin","given":"Jean A."},{"family":"Kordower","given":"Jeffrey H."}],"issued":{"date-parts":[["2012",5]]}}}],"schema":"https://github.com/citation-style-language/schema/raw/master/csl-citation.json"} </w:instrText>
      </w:r>
      <w:r w:rsidR="006F198A">
        <w:rPr>
          <w:rFonts w:ascii="Verdana" w:hAnsi="Verdana"/>
          <w:lang w:val="en-GB"/>
        </w:rPr>
        <w:fldChar w:fldCharType="separate"/>
      </w:r>
      <w:r w:rsidR="006F198A" w:rsidRPr="006F198A">
        <w:rPr>
          <w:rFonts w:ascii="Verdana" w:hAnsi="Verdana"/>
        </w:rPr>
        <w:t>(Cersosimo and Benarroch 2012; Hilton et al. 2014; Shannon et al. 2012)</w:t>
      </w:r>
      <w:r w:rsidR="006F198A">
        <w:rPr>
          <w:rFonts w:ascii="Verdana" w:hAnsi="Verdana"/>
          <w:lang w:val="en-GB"/>
        </w:rPr>
        <w:fldChar w:fldCharType="end"/>
      </w:r>
      <w:r w:rsidRPr="006962F1">
        <w:rPr>
          <w:rFonts w:ascii="Verdana" w:hAnsi="Verdana"/>
          <w:lang w:val="en-GB"/>
        </w:rPr>
        <w:t>. Alpha-synuclein aggregation is thought to propagate through the vagus nerve to lower brainstem regions</w:t>
      </w:r>
      <w:r w:rsidR="00435CE3">
        <w:rPr>
          <w:rFonts w:ascii="Verdana" w:hAnsi="Verdana"/>
          <w:lang w:val="en-GB"/>
        </w:rPr>
        <w:t xml:space="preserve"> </w:t>
      </w:r>
      <w:r w:rsidR="00435CE3">
        <w:rPr>
          <w:rFonts w:ascii="Verdana" w:hAnsi="Verdana"/>
          <w:lang w:val="en-GB"/>
        </w:rPr>
        <w:fldChar w:fldCharType="begin"/>
      </w:r>
      <w:r w:rsidR="00435CE3">
        <w:rPr>
          <w:rFonts w:ascii="Verdana" w:hAnsi="Verdana"/>
          <w:lang w:val="en-GB"/>
        </w:rPr>
        <w:instrText xml:space="preserve"> ADDIN ZOTERO_ITEM CSL_CITATION {"citationID":"F1YbVhE7","properties":{"formattedCitation":"(Braak et al. 2003; Holmqvist et al. 2014; S. Kim et al. 2019; Liu et al. 2017)","plainCitation":"(Braak et al. 2003; Holmqvist et al. 2014; S. Kim et al. 2019; Liu et al. 2017)","noteIndex":0},"citationItems":[{"id":1939,"uris":["http://zotero.org/users/9330673/items/X8KWBW6X"],"itemData":{"id":1939,"type":"article-journal","abstract":"Sporadic Parkinson’s disease involves multiple neuronal systems and results from changes developing in a few susceptible types of nerve cells. Essential for neuropathological diagnosis are </w:instrText>
      </w:r>
      <w:r w:rsidR="00435CE3">
        <w:rPr>
          <w:rFonts w:ascii="MS Gothic" w:eastAsia="MS Gothic" w:hAnsi="MS Gothic" w:cs="MS Gothic" w:hint="eastAsia"/>
          <w:lang w:val="en-GB"/>
        </w:rPr>
        <w:instrText>␣</w:instrText>
      </w:r>
      <w:r w:rsidR="00435CE3">
        <w:rPr>
          <w:rFonts w:ascii="Verdana" w:hAnsi="Verdana"/>
          <w:lang w:val="en-GB"/>
        </w:rPr>
        <w:instrText xml:space="preserve">-synuclein-immunopositive Lewy neurites and Lewy bodies. The pathological process targets speciﬁc induction sites: lesions initially occur in the dorsal motor nucleus of the glossopharyngeal and vagal nerves and anterior olfactory nucleus. Thereafter, less vulnerable nuclear grays and cortical areas gradually become affected. The disease process in the brain stem pursues an ascending course with little interindividual variation. The pathology in the anterior olfactory nucleus makes fewer incursions into related areas than that developing in the brain stem. Cortical involvement ensues, beginning with the anteromedial temporal mesocortex. From there, the neocortex succumbs, commencing with high order sensory association and prefrontal areas. First order sensory association/premotor areas and primary sensory/motor ﬁelds then follow suit. This study traces the course of the pathology in incidental and symptomatic Parkinson cases proposing a staging procedure based upon the readily recognizable topographical extent of the lesions. © 2002 Published by Elsevier Science Inc.","container-title":"Neurobiology of Aging","DOI":"10.1016/S0197-4580(02)00065-9","ISSN":"01974580","issue":"2","journalAbbreviation":"Neurobiology of Aging","language":"en","page":"197-211","source":"DOI.org (Crossref)","title":"Staging of brain pathology related to sporadic Parkinson’s disease","volume":"24","author":[{"family":"Braak","given":"Heiko"},{"family":"Tredici","given":"Kelly Del"},{"family":"Rüb","given":"Udo"},{"family":"Vos","given":"Rob A.I","non-dropping-particle":"de"},{"family":"Jansen Steur","given":"Ernst N.H"},{"family":"Braak","given":"Eva"}],"issued":{"date-parts":[["2003",3]]}}},{"id":1957,"uris":["http://zotero.org/users/9330673/items/HWMJC8EU"],"itemData":{"id":1957,"type":"article-journal","container-title":"Acta Neuropathologica","DOI":"10.1007/s00401-014-1343-6","ISSN":"0001-6322, 1432-0533","issue":"6","journalAbbreviation":"Acta Neuropathol","language":"en","page":"805-820","source":"DOI.org (Crossref)","title":"Direct evidence of Parkinson pathology spread from the gastrointestinal tract to the brain in rats","volume":"128","author":[{"family":"Holmqvist","given":"Staffan"},{"family":"Chutna","given":"Oldriska"},{"family":"Bousset","given":"Luc"},{"family":"Aldrin-Kirk","given":"Patrick"},{"family":"Li","given":"Wen"},{"family":"Björklund","given":"Tomas"},{"family":"Wang","given":"Zhan-You"},{"family":"Roybon","given":"Laurent"},{"family":"Melki","given":"Ronald"},{"family":"Li","given":"Jia-Yi"}],"issued":{"date-parts":[["2014",12]]}}},{"id":1958,"uris":["http://zotero.org/users/9330673/items/7D6MTTIM"],"itemData":{"id":1958,"type":"article-journal","abstract":"Analysis of human pathology led Braak to postulate that α-synuclein (α-syn) pathology could spread from the gut to brain, via the vagus nerve. Here, we test this postulate by assessing αsynucleinopathy in the brain in a novel gut-to-brain α-syn transmission mouse model, where pathological α-syn preformed fibrils were injected into the duodenal and pyloric muscularis layer. Spread of pathologic α-syn in brain, as assessed by phosphorylation of serine 129 of α-syn, was observed first in the dorsal motor nucleus, then in caudal portions of the hindbrain including the locus coeruleus, and much later in basolateral amygdala, dorsal raphe nucleus, and the substantia nigra pars compacta. Moreover, loss of dopaminergic neurons, motor and non-motor symptoms were observed in a similar temporal manner. Truncal vagotomy and α-syn deficiency prevented the gut-to-brain spread of α-synucleinopathy and associated neurodegeneration and behavioral deficits. This study supports the Braak hypothesis in the etiology of idiopathic PD.","container-title":"Neuron","DOI":"10.1016/j.neuron.2019.05.035","ISSN":"08966273","issue":"4","journalAbbreviation":"Neuron","language":"en","page":"627-641.e7","source":"DOI.org (Crossref)","title":"Transneuronal Propagation of Pathologic α-Synuclein from the Gut to the Brain Models Parkinson’s Disease","volume":"103","author":[{"family":"Kim","given":"Sangjune"},{"family":"Kwon","given":"Seung-Hwan"},{"family":"Kam","given":"Tae-In"},{"family":"Panicker","given":"Nikhil"},{"family":"Karuppagounder","given":"Senthilkumar S."},{"family":"Lee","given":"Saebom"},{"family":"Lee","given":"Jun Hee"},{"family":"Kim","given":"Wonjoong Richard"},{"family":"Kook","given":"Minjee"},{"family":"Foss","given":"Catherine A."},{"family":"Shen","given":"Chentian"},{"family":"Lee","given":"Hojae"},{"family":"Kulkarni","given":"Subhash"},{"family":"Pasricha","given":"Pankaj J."},{"family":"Lee","given":"Gabsang"},{"family":"Pomper","given":"Martin G."},{"family":"Dawson","given":"Valina L."},{"family":"Dawson","given":"Ted M."},{"family":"Ko","given":"Han Seok"}],"issued":{"date-parts":[["2019",8]]}}},{"id":1948,"uris":["http://zotero.org/users/9330673/items/WMDYX5JC"],"itemData":{"id":1948,"type":"article-journal","abstract":"Objective: To examine whether vagotomy decreases the risk of Parkinson disease (PD).\nMethods: Using data from nationwide Swedish registers, we conducted a matched-cohort study of 9,430 vagotomized patients (3,445 truncal and 5,978 selective) identified between 1970 and 2010 and 377,200 reference individuals from the general population individually matched to vagotomized patients by sex and year of birth with a 40:1 ratio. Participants were followed up from the date of vagotomy until PD diagnosis, death, emigration out of Sweden, or December 31, 2010, whichever occurred first. Vagotomy and PD were identified from the Swedish Patient Register. We estimated hazard ratios (HRs) with 95% confidence intervals (CIs) using Cox models stratified by matching variables, adjusting for country of birth, chronic obstructive pulmonary disease, diabetes mellitus, vascular diseases, rheumatologic disease, osteoarthritis, and comorbidity index.\nResults: A total of 4,930 cases of incident PD were identified during 7.3 million person-years of follow-up. PD incidence (per 100,000 person-years) was 61.8 among vagotomized patients (80.4 for truncal and 55.1 for selective) and 67.5 among reference individuals. Overall, vagotomy was not associated with PD risk (HR 0.96, 95% CI 0.78–1.17). However, there was a suggestion of lower risk among patients with truncal vagotomy (HR 0.78, 95% CI 0.55–1.09), which may be driven by truncal vagotomy at least 5 years before PD diagnosis (HR 0.59, 95% CI 0.37–0.93). Selective vagotomy was not related to PD risk in any analyses.\nConclusions: Although overall vagotomy was not associated the risk of PD, we found suggestive evidence for a potential protective effect of truncal, but not selective, vagotomy against PD development. Neurology® 2017;88:1–7","container-title":"Neurology","DOI":"10.1212/WNL.0000000000003961","ISSN":"0028-3878, 1526-632X","issue":"21","journalAbbreviation":"Neurology","language":"en","page":"1996-2002","source":"DOI.org (Crossref)","title":"Vagotomy and Parkinson disease: A Swedish register–based matched-cohort study","title-short":"Vagotomy and Parkinson disease","volume":"88","author":[{"family":"Liu","given":"Bojing"},{"family":"Fang","given":"Fang"},{"family":"Pedersen","given":"Nancy L."},{"family":"Tillander","given":"Annika"},{"family":"Ludvigsson","given":"Jonas F."},{"family":"Ekbom","given":"Anders"},{"family":"Svenningsson","given":"Per"},{"family":"Chen","given":"Honglei"},{"family":"Wirdefeldt","given":"Karin"}],"issued":{"date-parts":[["2017",5,23]]}}}],"schema":"https://github.com/citation-style-language/schema/raw/master/csl-citation.json"} </w:instrText>
      </w:r>
      <w:r w:rsidR="00435CE3">
        <w:rPr>
          <w:rFonts w:ascii="Verdana" w:hAnsi="Verdana"/>
          <w:lang w:val="en-GB"/>
        </w:rPr>
        <w:fldChar w:fldCharType="separate"/>
      </w:r>
      <w:r w:rsidR="00435CE3" w:rsidRPr="00435CE3">
        <w:rPr>
          <w:rFonts w:ascii="Verdana" w:hAnsi="Verdana"/>
        </w:rPr>
        <w:t>(Braak et al. 2003; Holmqvist et al. 2014; S. Kim et al. 2019; Liu et al. 2017)</w:t>
      </w:r>
      <w:r w:rsidR="00435CE3">
        <w:rPr>
          <w:rFonts w:ascii="Verdana" w:hAnsi="Verdana"/>
          <w:lang w:val="en-GB"/>
        </w:rPr>
        <w:fldChar w:fldCharType="end"/>
      </w:r>
      <w:r w:rsidRPr="006962F1">
        <w:rPr>
          <w:rFonts w:ascii="Verdana" w:hAnsi="Verdana"/>
          <w:lang w:val="en-GB"/>
        </w:rPr>
        <w:t>. Furthermore, gastrointestinal symptoms such as constipation are common in the preclinical phase of the disease. Although still controversial, the body-first hypothesis seems to fit the neuropathological presentation of at least a set of idiopathic PD patients presented with RBD</w:t>
      </w:r>
      <w:r w:rsidR="00402C7D">
        <w:rPr>
          <w:rFonts w:ascii="Verdana" w:hAnsi="Verdana"/>
          <w:lang w:val="en-GB"/>
        </w:rPr>
        <w:t xml:space="preserve"> </w:t>
      </w:r>
      <w:r w:rsidR="00402C7D">
        <w:rPr>
          <w:rFonts w:ascii="Verdana" w:hAnsi="Verdana"/>
          <w:lang w:val="en-GB"/>
        </w:rPr>
        <w:fldChar w:fldCharType="begin"/>
      </w:r>
      <w:r w:rsidR="00402C7D">
        <w:rPr>
          <w:rFonts w:ascii="Verdana" w:hAnsi="Verdana"/>
          <w:lang w:val="en-GB"/>
        </w:rPr>
        <w:instrText xml:space="preserve"> ADDIN ZOTERO_ITEM CSL_CITATION {"citationID":"zcpzyzS9","properties":{"formattedCitation":"(Horsager et al. 2020)","plainCitation":"(Horsager et al. 2020)","noteIndex":0},"citationItems":[{"id":1945,"uris":["http://zotero.org/users/9330673/items/C9ID2RGT"],"itemData":{"id":1945,"type":"article-journal","abstract":"Abstract\n            Parkinson’s disease is characterized by the presence of abnormal, intraneuronal α-synuclein aggregates, which may propagate from cell-to-cell in a prion-like manner. However, it remains uncertain where the initial α-synuclein aggregates originate. We have hypothesized that Parkinson’s disease comprises two subtypes. A brain-first (top-down) type, where α-synuclein pathology initially arises in the brain with secondary spreading to the peripheral autonomic nervous system; and a body-first (bottom-up) type, where the pathology originates in the enteric or peripheral autonomic nervous system and then spreads to the brain. We also hypothesized that isolated REM sleep behaviour disorder (iRBD) is a prodromal phenotype for the body-first type. Using multimodal imaging, we tested the hypothesis by quantifying neuronal dysfunction in structures corresponding to Braak stages I, II and III involvement in three distinct patient groups. We included 37 consecutive de novo patients with Parkinson’s disease into this case-control PET study. Patients with Parkinson’s disease were divided into 24 RBD-negative (PDRBD−) and 13 RBD-positive cases (PDRBD+) and a comparator group of 22 iRBD patients. We used 11C-donepezil PET/CT to assess cholinergic (parasympathetic) innervation, 123I-metaiodobenzylguanidine (MIBG) scintigraphy to measure cardiac sympathetic innervation, neuromelanin-sensitive MRI to measure the integrity of locus coeruleus pigmented neurons, and 18F-dihydroxyphenylalanine (FDOPA) PET to assess putaminal dopamine storage capacity. Colon volume and transit times were assessed with CT scans and radiopaque markers. Imaging data from the three groups were interrogated with ANOVA and Kruskal-Wallis tests corrected for multiple comparisons. The PDRBD− and PDRBD+ groups showed similar marked reductions in putaminal FDOPA-specific uptake, whereas two-thirds of iRBD patients had normal scans (P</w:instrText>
      </w:r>
      <w:r w:rsidR="00402C7D">
        <w:rPr>
          <w:rFonts w:ascii="Arial" w:hAnsi="Arial" w:cs="Arial"/>
          <w:lang w:val="en-GB"/>
        </w:rPr>
        <w:instrText> </w:instrText>
      </w:r>
      <w:r w:rsidR="00402C7D">
        <w:rPr>
          <w:rFonts w:ascii="Verdana" w:hAnsi="Verdana"/>
          <w:lang w:val="en-GB"/>
        </w:rPr>
        <w:instrText>&amp;lt;</w:instrText>
      </w:r>
      <w:r w:rsidR="00402C7D">
        <w:rPr>
          <w:rFonts w:ascii="Arial" w:hAnsi="Arial" w:cs="Arial"/>
          <w:lang w:val="en-GB"/>
        </w:rPr>
        <w:instrText> </w:instrText>
      </w:r>
      <w:r w:rsidR="00402C7D">
        <w:rPr>
          <w:rFonts w:ascii="Verdana" w:hAnsi="Verdana"/>
          <w:lang w:val="en-GB"/>
        </w:rPr>
        <w:instrText>10</w:instrText>
      </w:r>
      <w:r w:rsidR="00402C7D">
        <w:rPr>
          <w:rFonts w:ascii="Verdana" w:hAnsi="Verdana" w:cs="Verdana"/>
          <w:lang w:val="en-GB"/>
        </w:rPr>
        <w:instrText>−</w:instrText>
      </w:r>
      <w:r w:rsidR="00402C7D">
        <w:rPr>
          <w:rFonts w:ascii="Verdana" w:hAnsi="Verdana"/>
          <w:lang w:val="en-GB"/>
        </w:rPr>
        <w:instrText>13, ANOVA). When compared to the PDRBD</w:instrText>
      </w:r>
      <w:r w:rsidR="00402C7D">
        <w:rPr>
          <w:rFonts w:ascii="Verdana" w:hAnsi="Verdana" w:cs="Verdana"/>
          <w:lang w:val="en-GB"/>
        </w:rPr>
        <w:instrText>−</w:instrText>
      </w:r>
      <w:r w:rsidR="00402C7D">
        <w:rPr>
          <w:rFonts w:ascii="Verdana" w:hAnsi="Verdana"/>
          <w:lang w:val="en-GB"/>
        </w:rPr>
        <w:instrText xml:space="preserve"> patients, the PDRBD+ and iRBD patients showed reduced mean MIBG heart:mediastinum ratios (P</w:instrText>
      </w:r>
      <w:r w:rsidR="00402C7D">
        <w:rPr>
          <w:rFonts w:ascii="Arial" w:hAnsi="Arial" w:cs="Arial"/>
          <w:lang w:val="en-GB"/>
        </w:rPr>
        <w:instrText> </w:instrText>
      </w:r>
      <w:r w:rsidR="00402C7D">
        <w:rPr>
          <w:rFonts w:ascii="Verdana" w:hAnsi="Verdana"/>
          <w:lang w:val="en-GB"/>
        </w:rPr>
        <w:instrText>&amp;lt;</w:instrText>
      </w:r>
      <w:r w:rsidR="00402C7D">
        <w:rPr>
          <w:rFonts w:ascii="Arial" w:hAnsi="Arial" w:cs="Arial"/>
          <w:lang w:val="en-GB"/>
        </w:rPr>
        <w:instrText> </w:instrText>
      </w:r>
      <w:r w:rsidR="00402C7D">
        <w:rPr>
          <w:rFonts w:ascii="Verdana" w:hAnsi="Verdana"/>
          <w:lang w:val="en-GB"/>
        </w:rPr>
        <w:instrText>10</w:instrText>
      </w:r>
      <w:r w:rsidR="00402C7D">
        <w:rPr>
          <w:rFonts w:ascii="Verdana" w:hAnsi="Verdana" w:cs="Verdana"/>
          <w:lang w:val="en-GB"/>
        </w:rPr>
        <w:instrText>−</w:instrText>
      </w:r>
      <w:r w:rsidR="00402C7D">
        <w:rPr>
          <w:rFonts w:ascii="Verdana" w:hAnsi="Verdana"/>
          <w:lang w:val="en-GB"/>
        </w:rPr>
        <w:instrText>5, ANOVA) and colon 11C-donepezil standard uptake values (P</w:instrText>
      </w:r>
      <w:r w:rsidR="00402C7D">
        <w:rPr>
          <w:rFonts w:ascii="Arial" w:hAnsi="Arial" w:cs="Arial"/>
          <w:lang w:val="en-GB"/>
        </w:rPr>
        <w:instrText> </w:instrText>
      </w:r>
      <w:r w:rsidR="00402C7D">
        <w:rPr>
          <w:rFonts w:ascii="Verdana" w:hAnsi="Verdana"/>
          <w:lang w:val="en-GB"/>
        </w:rPr>
        <w:instrText>=</w:instrText>
      </w:r>
      <w:r w:rsidR="00402C7D">
        <w:rPr>
          <w:rFonts w:ascii="Arial" w:hAnsi="Arial" w:cs="Arial"/>
          <w:lang w:val="en-GB"/>
        </w:rPr>
        <w:instrText> </w:instrText>
      </w:r>
      <w:r w:rsidR="00402C7D">
        <w:rPr>
          <w:rFonts w:ascii="Verdana" w:hAnsi="Verdana"/>
          <w:lang w:val="en-GB"/>
        </w:rPr>
        <w:instrText>0.008, ANOVA). The PDRBD+ group trended towards a reduced mean MRI locus coeruleus: pons ratio compared to PDRBD</w:instrText>
      </w:r>
      <w:r w:rsidR="00402C7D">
        <w:rPr>
          <w:rFonts w:ascii="Verdana" w:hAnsi="Verdana" w:cs="Verdana"/>
          <w:lang w:val="en-GB"/>
        </w:rPr>
        <w:instrText>−</w:instrText>
      </w:r>
      <w:r w:rsidR="00402C7D">
        <w:rPr>
          <w:rFonts w:ascii="Verdana" w:hAnsi="Verdana"/>
          <w:lang w:val="en-GB"/>
        </w:rPr>
        <w:instrText xml:space="preserve"> (P</w:instrText>
      </w:r>
      <w:r w:rsidR="00402C7D">
        <w:rPr>
          <w:rFonts w:ascii="Arial" w:hAnsi="Arial" w:cs="Arial"/>
          <w:lang w:val="en-GB"/>
        </w:rPr>
        <w:instrText> </w:instrText>
      </w:r>
      <w:r w:rsidR="00402C7D">
        <w:rPr>
          <w:rFonts w:ascii="Verdana" w:hAnsi="Verdana"/>
          <w:lang w:val="en-GB"/>
        </w:rPr>
        <w:instrText>=</w:instrText>
      </w:r>
      <w:r w:rsidR="00402C7D">
        <w:rPr>
          <w:rFonts w:ascii="Arial" w:hAnsi="Arial" w:cs="Arial"/>
          <w:lang w:val="en-GB"/>
        </w:rPr>
        <w:instrText> </w:instrText>
      </w:r>
      <w:r w:rsidR="00402C7D">
        <w:rPr>
          <w:rFonts w:ascii="Verdana" w:hAnsi="Verdana"/>
          <w:lang w:val="en-GB"/>
        </w:rPr>
        <w:instrText>0.07, t-test). In comparison to the other groups, the PDRBD+ group also had enlarged colon volumes (P</w:instrText>
      </w:r>
      <w:r w:rsidR="00402C7D">
        <w:rPr>
          <w:rFonts w:ascii="Arial" w:hAnsi="Arial" w:cs="Arial"/>
          <w:lang w:val="en-GB"/>
        </w:rPr>
        <w:instrText> </w:instrText>
      </w:r>
      <w:r w:rsidR="00402C7D">
        <w:rPr>
          <w:rFonts w:ascii="Verdana" w:hAnsi="Verdana"/>
          <w:lang w:val="en-GB"/>
        </w:rPr>
        <w:instrText>&amp;lt;</w:instrText>
      </w:r>
      <w:r w:rsidR="00402C7D">
        <w:rPr>
          <w:rFonts w:ascii="Arial" w:hAnsi="Arial" w:cs="Arial"/>
          <w:lang w:val="en-GB"/>
        </w:rPr>
        <w:instrText> </w:instrText>
      </w:r>
      <w:r w:rsidR="00402C7D">
        <w:rPr>
          <w:rFonts w:ascii="Verdana" w:hAnsi="Verdana"/>
          <w:lang w:val="en-GB"/>
        </w:rPr>
        <w:instrText>0.001, ANOVA) and delayed colonic transit times (P</w:instrText>
      </w:r>
      <w:r w:rsidR="00402C7D">
        <w:rPr>
          <w:rFonts w:ascii="Arial" w:hAnsi="Arial" w:cs="Arial"/>
          <w:lang w:val="en-GB"/>
        </w:rPr>
        <w:instrText> </w:instrText>
      </w:r>
      <w:r w:rsidR="00402C7D">
        <w:rPr>
          <w:rFonts w:ascii="Verdana" w:hAnsi="Verdana"/>
          <w:lang w:val="en-GB"/>
        </w:rPr>
        <w:instrText>=</w:instrText>
      </w:r>
      <w:r w:rsidR="00402C7D">
        <w:rPr>
          <w:rFonts w:ascii="Arial" w:hAnsi="Arial" w:cs="Arial"/>
          <w:lang w:val="en-GB"/>
        </w:rPr>
        <w:instrText> </w:instrText>
      </w:r>
      <w:r w:rsidR="00402C7D">
        <w:rPr>
          <w:rFonts w:ascii="Verdana" w:hAnsi="Verdana"/>
          <w:lang w:val="en-GB"/>
        </w:rPr>
        <w:instrText xml:space="preserve">0.01, Kruskal-Wallis). The combined iRBD and PDRBD+ patient data were compatible with a body-first trajectory, characterized by initial loss of cardiac MIBG signal and 11C-colonic donepezil signal followed by loss of putaminal FDOPA uptake. In contrast, the PDRBD− data were compatible with a brain-first trajectory, characterized by primary loss of putaminal FDOPA uptake followed by a secondary loss of cardiac MIBG signal and 11C-donepezil signal. These findings support the existence of brain-first and body-first subtypes of Parkinson’s disease.","container-title":"Brain","DOI":"10.1093/brain/awaa238","ISSN":"0006-8950, 1460-2156","issue":"10","language":"en","page":"3077-3088","source":"DOI.org (Crossref)","title":"Brain-first versus body-first Parkinson’s disease: a multimodal imaging case-control study","title-short":"Brain-first versus body-first Parkinson’s disease","volume":"143","author":[{"family":"Horsager","given":"Jacob"},{"family":"Andersen","given":"Katrine B"},{"family":"Knudsen","given":"Karoline"},{"family":"Skjærbæk","given":"Casper"},{"family":"Fedorova","given":"Tatyana D"},{"family":"Okkels","given":"Niels"},{"family":"Schaeffer","given":"Eva"},{"family":"Bonkat","given":"Sarah K"},{"family":"Geday","given":"Jacob"},{"family":"Otto","given":"Marit"},{"family":"Sommerauer","given":"Michael"},{"family":"Danielsen","given":"Erik H"},{"family":"Bech","given":"Einar"},{"family":"Kraft","given":"Jonas"},{"family":"Munk","given":"Ole L"},{"family":"Hansen","given":"Sandra D"},{"family":"Pavese","given":"Nicola"},{"family":"Göder","given":"Robert"},{"family":"Brooks","given":"David J"},{"family":"Berg","given":"Daniela"},{"family":"Borghammer","given":"Per"}],"issued":{"date-parts":[["2020",10,1]]}}}],"schema":"https://github.com/citation-style-language/schema/raw/master/csl-citation.json"} </w:instrText>
      </w:r>
      <w:r w:rsidR="00402C7D">
        <w:rPr>
          <w:rFonts w:ascii="Verdana" w:hAnsi="Verdana"/>
          <w:lang w:val="en-GB"/>
        </w:rPr>
        <w:fldChar w:fldCharType="separate"/>
      </w:r>
      <w:r w:rsidR="00402C7D" w:rsidRPr="00402C7D">
        <w:rPr>
          <w:rFonts w:ascii="Verdana" w:hAnsi="Verdana"/>
        </w:rPr>
        <w:t>(Horsager et al. 2020)</w:t>
      </w:r>
      <w:r w:rsidR="00402C7D">
        <w:rPr>
          <w:rFonts w:ascii="Verdana" w:hAnsi="Verdana"/>
          <w:lang w:val="en-GB"/>
        </w:rPr>
        <w:fldChar w:fldCharType="end"/>
      </w:r>
      <w:r w:rsidR="00402C7D">
        <w:rPr>
          <w:rFonts w:ascii="Verdana" w:hAnsi="Verdana"/>
          <w:lang w:val="en-GB"/>
        </w:rPr>
        <w:t xml:space="preserve">, </w:t>
      </w:r>
      <w:r w:rsidRPr="006962F1">
        <w:rPr>
          <w:rFonts w:ascii="Verdana" w:hAnsi="Verdana"/>
          <w:lang w:val="en-GB"/>
        </w:rPr>
        <w:t>where the gut has been proposed as the disease site of onset.</w:t>
      </w:r>
    </w:p>
    <w:p w14:paraId="63591BA3" w14:textId="3F30279C" w:rsidR="00563C8A" w:rsidRPr="003A3FA4" w:rsidRDefault="006962F1" w:rsidP="006962F1">
      <w:pPr>
        <w:pStyle w:val="ListParagraph"/>
        <w:spacing w:line="360" w:lineRule="auto"/>
        <w:ind w:left="0"/>
        <w:jc w:val="both"/>
        <w:rPr>
          <w:rFonts w:ascii="Verdana" w:hAnsi="Verdana"/>
          <w:lang w:val="en-GB"/>
        </w:rPr>
      </w:pPr>
      <w:r w:rsidRPr="006962F1">
        <w:rPr>
          <w:rFonts w:ascii="Verdana" w:hAnsi="Verdana"/>
          <w:lang w:val="en-GB"/>
        </w:rPr>
        <w:t>Microbial diversity and relative abundance play a key role in the maintenance of a healthy gut. Physiological changes in the gastrointestinal tract can affect microbiome composition, and thus increase disease risk. For example, fibre deprivation can cause a microbial shift, which in turn is responsible for colonic mucus erosion and decreased gut barrier integrity</w:t>
      </w:r>
      <w:r w:rsidR="00402C7D">
        <w:rPr>
          <w:rFonts w:ascii="Verdana" w:hAnsi="Verdana"/>
          <w:lang w:val="en-GB"/>
        </w:rPr>
        <w:t xml:space="preserve"> </w:t>
      </w:r>
      <w:r w:rsidR="00402C7D">
        <w:rPr>
          <w:rFonts w:ascii="Verdana" w:hAnsi="Verdana"/>
          <w:lang w:val="en-GB"/>
        </w:rPr>
        <w:fldChar w:fldCharType="begin"/>
      </w:r>
      <w:r w:rsidR="00402C7D">
        <w:rPr>
          <w:rFonts w:ascii="Verdana" w:hAnsi="Verdana"/>
          <w:lang w:val="en-GB"/>
        </w:rPr>
        <w:instrText xml:space="preserve"> ADDIN ZOTERO_ITEM CSL_CITATION {"citationID":"H4ZfDxyW","properties":{"formattedCitation":"(Desai et al. 2016)","plainCitation":"(Desai et al. 2016)","noteIndex":0},"citationItems":[{"id":1959,"uris":["http://zotero.org/users/9330673/items/ERIUL999"],"itemData":{"id":1959,"type":"article-journal","container-title":"Cell","DOI":"10.1016/j.cell.2016.10.043","ISSN":"00928674","issue":"5","journalAbbreviation":"Cell","language":"en","page":"1339-1353.e21","source":"DOI.org (Crossref)","title":"A Dietary Fiber-Deprived Gut Microbiota Degrades the Colonic Mucus Barrier and Enhances Pathogen Susceptibility","volume":"167","author":[{"family":"Desai","given":"Mahesh S."},{"family":"Seekatz","given":"Anna M."},{"family":"Koropatkin","given":"Nicole M."},{"family":"Kamada","given":"Nobuhiko"},{"family":"Hickey","given":"Christina A."},{"family":"Wolter","given":"Mathis"},{"family":"Pudlo","given":"Nicholas A."},{"family":"Kitamoto","given":"Sho"},{"family":"Terrapon","given":"Nicolas"},{"family":"Muller","given":"Arnaud"},{"family":"Young","given":"Vincent B."},{"family":"Henrissat","given":"Bernard"},{"family":"Wilmes","given":"Paul"},{"family":"Stappenbeck","given":"Thaddeus S."},{"family":"Núñez","given":"Gabriel"},{"family":"Martens","given":"Eric C."}],"issued":{"date-parts":[["2016",11]]}}}],"schema":"https://github.com/citation-style-language/schema/raw/master/csl-citation.json"} </w:instrText>
      </w:r>
      <w:r w:rsidR="00402C7D">
        <w:rPr>
          <w:rFonts w:ascii="Verdana" w:hAnsi="Verdana"/>
          <w:lang w:val="en-GB"/>
        </w:rPr>
        <w:fldChar w:fldCharType="separate"/>
      </w:r>
      <w:r w:rsidR="00402C7D" w:rsidRPr="00402C7D">
        <w:rPr>
          <w:rFonts w:ascii="Verdana" w:hAnsi="Verdana"/>
        </w:rPr>
        <w:t>(Desai et al. 2016)</w:t>
      </w:r>
      <w:r w:rsidR="00402C7D">
        <w:rPr>
          <w:rFonts w:ascii="Verdana" w:hAnsi="Verdana"/>
          <w:lang w:val="en-GB"/>
        </w:rPr>
        <w:fldChar w:fldCharType="end"/>
      </w:r>
      <w:r w:rsidR="00402C7D">
        <w:rPr>
          <w:rFonts w:ascii="Verdana" w:hAnsi="Verdana"/>
          <w:lang w:val="en-GB"/>
        </w:rPr>
        <w:t xml:space="preserve">. </w:t>
      </w:r>
      <w:r w:rsidRPr="006962F1">
        <w:rPr>
          <w:rFonts w:ascii="Verdana" w:hAnsi="Verdana"/>
          <w:lang w:val="en-GB"/>
        </w:rPr>
        <w:t xml:space="preserve">Furthermore, bacterial amyloids can induce alpha-synuclein oligomerisation in the ENS, thus initiating PD pathogenesis </w:t>
      </w:r>
      <w:r w:rsidR="00402C7D">
        <w:rPr>
          <w:rFonts w:ascii="Verdana" w:hAnsi="Verdana"/>
          <w:lang w:val="en-GB"/>
        </w:rPr>
        <w:fldChar w:fldCharType="begin"/>
      </w:r>
      <w:r w:rsidR="00402C7D">
        <w:rPr>
          <w:rFonts w:ascii="Verdana" w:hAnsi="Verdana"/>
          <w:lang w:val="en-GB"/>
        </w:rPr>
        <w:instrText xml:space="preserve"> ADDIN ZOTERO_ITEM CSL_CITATION {"citationID":"MptXf7ot","properties":{"formattedCitation":"(Chen et al. 2016; Haikal et al. 2021)","plainCitation":"(Chen et al. 2016; Haikal et al. 2021)","noteIndex":0},"citationItems":[{"id":1960,"uris":["http://zotero.org/users/9330673/items/P9UZQGUY"],"itemData":{"id":1960,"type":"article-journal","container-title":"Scientific Reports","DOI":"10.1038/srep34477","ISSN":"2045-2322","issue":"1","journalAbbreviation":"Sci Rep","language":"en","page":"34477","source":"DOI.org (Crossref)","title":"Exposure to the Functional Bacterial Amyloid Protein Curli Enhances Alpha-Synuclein Aggregation in Aged Fischer 344 Rats and Caenorhabditis elegans","volume":"6","author":[{"family":"Chen","given":"Shu G."},{"family":"Stribinskis","given":"Vilius"},{"family":"Rane","given":"Madhavi J."},{"family":"Demuth","given":"Donald R."},{"family":"Gozal","given":"Evelyne"},{"family":"Roberts","given":"Andrew M."},{"family":"Jagadapillai","given":"Rekha"},{"family":"Liu","given":"Ruolan"},{"family":"Choe","given":"Kyonghwan"},{"family":"Shivakumar","given":"Bhooma"},{"family":"Son","given":"Francheska"},{"family":"Jin","given":"Shunying"},{"family":"Kerber","given":"Richard"},{"family":"Adame","given":"Anthony"},{"family":"Masliah","given":"Eliezer"},{"family":"Friedland","given":"Robert P."}],"issued":{"date-parts":[["2016",12]]}}},{"id":1956,"uris":["http://zotero.org/users/9330673/items/2K4PCMNT"],"itemData":{"id":1956,"type":"article-journal","abstract":"Aggregated α-synuclein (α-syn) is the main constituent of Lewy bodies, which are a pathological hallmark of Parkinson’s disease (PD). Environmental factors are thought to be potential triggers capable of initiating the aggregation of the otherwise monomeric α-syn. Braak’s seminal work redirected attention to the intestine and recent reports of dysbiosis have highlighted the potential causative role of the microbiome in the initiation of pathology of PD. Staphylococcus aureus is a bacterium carried by 30–70% of the general population. It has been shown to produce functional amyloids, called phenol soluble modulins (PSMαs). Here, we studied the kinetics of α-syn aggregation under quiescent conditions in the presence or absence of four different PSMα peptides and observed a remarkable shortening of the lag phase in their presence. Whereas pure α-syn monomer did not aggregate up to 450 h after initiation of the experiment in neither neutral nor mildly acidic buffer, the addition of different PSMα peptides resulted in an almost immediate increase in the Thioﬂavin T (ThT) ﬂuorescence. Despite similar peptide sequences, the different PSMα peptides displayed distinct effects on the kinetics of α-syn aggregation. Kinetic analyses of the data suggest that all four peptides catalyze α-syn aggregation through heterogeneous primary nucleation. The immunogold electron microscopic analyses showed that the aggregates were ﬁbrillar and composed of α-syn. In addition of the co-aggregated materials to a cell model expressing the A53T α-syn variant fused to GFP was found to catalyze α-syn aggregation and phosphorylation in the cells. Our results provide evidence of a potential trigger of synucleinopathies and could have implications for the prevention of the diseases.","container-title":"International Journal of Molecular Sciences","DOI":"10.3390/ijms222111594","ISSN":"1422-0067","issue":"21","journalAbbreviation":"IJMS","language":"en","page":"11594","source":"DOI.org (Crossref)","title":"The Bacterial Amyloids Phenol Soluble Modulins from Staphylococcus aureus Catalyze Alpha-Synuclein Aggregation","volume":"22","author":[{"family":"Haikal","given":"Caroline"},{"family":"Ortigosa-Pascual","given":"Lei"},{"family":"Najarzadeh","given":"Zahra"},{"family":"Bernfur","given":"Katja"},{"family":"Svanbergsson","given":"Alexander"},{"family":"Otzen","given":"Daniel E."},{"family":"Linse","given":"Sara"},{"family":"Li","given":"Jia-Yi"}],"issued":{"date-parts":[["2021",10,27]]}}}],"schema":"https://github.com/citation-style-language/schema/raw/master/csl-citation.json"} </w:instrText>
      </w:r>
      <w:r w:rsidR="00402C7D">
        <w:rPr>
          <w:rFonts w:ascii="Verdana" w:hAnsi="Verdana"/>
          <w:lang w:val="en-GB"/>
        </w:rPr>
        <w:fldChar w:fldCharType="separate"/>
      </w:r>
      <w:r w:rsidR="00402C7D" w:rsidRPr="00402C7D">
        <w:rPr>
          <w:rFonts w:ascii="Verdana" w:hAnsi="Verdana"/>
        </w:rPr>
        <w:t>(Chen et al. 2016; Haikal et al. 2021)</w:t>
      </w:r>
      <w:r w:rsidR="00402C7D">
        <w:rPr>
          <w:rFonts w:ascii="Verdana" w:hAnsi="Verdana"/>
          <w:lang w:val="en-GB"/>
        </w:rPr>
        <w:fldChar w:fldCharType="end"/>
      </w:r>
      <w:r w:rsidR="003A4DBA">
        <w:rPr>
          <w:rFonts w:ascii="Verdana" w:hAnsi="Verdana"/>
          <w:lang w:val="en-GB"/>
        </w:rPr>
        <w:t>.</w:t>
      </w:r>
    </w:p>
    <w:p w14:paraId="488E8B08" w14:textId="6B476E13" w:rsidR="00DD1E2F" w:rsidRDefault="00DD2299" w:rsidP="00603EE3">
      <w:pPr>
        <w:ind w:firstLine="0"/>
        <w:jc w:val="both"/>
        <w:rPr>
          <w:rFonts w:ascii="Verdana" w:hAnsi="Verdana"/>
          <w:lang w:val="en-GB"/>
        </w:rPr>
      </w:pPr>
      <w:r>
        <w:rPr>
          <w:rFonts w:ascii="Verdana" w:hAnsi="Verdana"/>
          <w:lang w:val="en-GB"/>
        </w:rPr>
        <w:br w:type="page"/>
      </w:r>
    </w:p>
    <w:bookmarkStart w:id="20" w:name="_Toc130223392"/>
    <w:p w14:paraId="3967E879" w14:textId="202B92E6" w:rsidR="00DD2299" w:rsidRDefault="00DD1E2F" w:rsidP="0002375F">
      <w:pPr>
        <w:pStyle w:val="Heading1"/>
        <w:numPr>
          <w:ilvl w:val="0"/>
          <w:numId w:val="14"/>
        </w:numPr>
        <w:rPr>
          <w:lang w:val="en-GB"/>
        </w:rPr>
      </w:pPr>
      <w:r>
        <w:rPr>
          <w:noProof/>
          <w:lang w:val="en-GB"/>
        </w:rPr>
        <w:lastRenderedPageBreak/>
        <mc:AlternateContent>
          <mc:Choice Requires="wps">
            <w:drawing>
              <wp:anchor distT="0" distB="0" distL="114300" distR="114300" simplePos="0" relativeHeight="251673600" behindDoc="0" locked="0" layoutInCell="1" allowOverlap="1" wp14:anchorId="033CA6F1" wp14:editId="1FCFF441">
                <wp:simplePos x="0" y="0"/>
                <wp:positionH relativeFrom="column">
                  <wp:posOffset>412913</wp:posOffset>
                </wp:positionH>
                <wp:positionV relativeFrom="paragraph">
                  <wp:posOffset>2540</wp:posOffset>
                </wp:positionV>
                <wp:extent cx="0" cy="457200"/>
                <wp:effectExtent l="19050" t="0" r="19050" b="19050"/>
                <wp:wrapNone/>
                <wp:docPr id="8" name="Straight Connector 8"/>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AF3D3BD" id="Straight Connector 8"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2.5pt,.2pt" to="32.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" strokecolor="black [3200]" strokeweight="2.25pt">
                <v:stroke joinstyle="miter"/>
              </v:line>
            </w:pict>
          </mc:Fallback>
        </mc:AlternateContent>
      </w:r>
      <w:r w:rsidR="0042725C">
        <w:rPr>
          <w:lang w:val="en-GB"/>
        </w:rPr>
        <w:t xml:space="preserve">   </w:t>
      </w:r>
      <w:r>
        <w:rPr>
          <w:lang w:val="en-GB"/>
        </w:rPr>
        <w:t>Dementia in P</w:t>
      </w:r>
      <w:r w:rsidR="00597A35">
        <w:rPr>
          <w:lang w:val="en-GB"/>
        </w:rPr>
        <w:t>D</w:t>
      </w:r>
      <w:bookmarkEnd w:id="20"/>
    </w:p>
    <w:p w14:paraId="17877421" w14:textId="333ACC8C" w:rsidR="00DD2299" w:rsidRDefault="00DD2299" w:rsidP="00DD2299">
      <w:pPr>
        <w:rPr>
          <w:lang w:val="en-GB"/>
        </w:rPr>
      </w:pPr>
    </w:p>
    <w:p w14:paraId="71C5EA2D" w14:textId="50B5BFF3" w:rsidR="009C3C88" w:rsidRDefault="009C3C88" w:rsidP="00DD2299">
      <w:pPr>
        <w:rPr>
          <w:lang w:val="en-GB"/>
        </w:rPr>
      </w:pPr>
    </w:p>
    <w:p w14:paraId="6791B400" w14:textId="6F74B4FA" w:rsidR="009C3C88" w:rsidRDefault="009C3C88" w:rsidP="00DD2299">
      <w:pPr>
        <w:rPr>
          <w:lang w:val="en-GB"/>
        </w:rPr>
      </w:pPr>
    </w:p>
    <w:p w14:paraId="6B4FE00A" w14:textId="7252DE55" w:rsidR="003A2D5C" w:rsidRDefault="003A2D5C" w:rsidP="00DD2299">
      <w:pPr>
        <w:rPr>
          <w:lang w:val="en-GB"/>
        </w:rPr>
      </w:pPr>
    </w:p>
    <w:p w14:paraId="025FD091" w14:textId="77777777" w:rsidR="003A2D5C" w:rsidRPr="00DD2299" w:rsidRDefault="003A2D5C" w:rsidP="00DD2299">
      <w:pPr>
        <w:rPr>
          <w:lang w:val="en-GB"/>
        </w:rPr>
      </w:pPr>
    </w:p>
    <w:p w14:paraId="264E9A25" w14:textId="692A3EE2" w:rsidR="0024544C" w:rsidRPr="00486A73" w:rsidRDefault="005613CA" w:rsidP="004F0024">
      <w:pPr>
        <w:pStyle w:val="Heading2"/>
        <w:numPr>
          <w:ilvl w:val="3"/>
          <w:numId w:val="14"/>
        </w:numPr>
        <w:spacing w:line="360" w:lineRule="auto"/>
        <w:ind w:left="0" w:firstLine="720"/>
        <w:rPr>
          <w:lang w:val="en-GB"/>
        </w:rPr>
      </w:pPr>
      <w:bookmarkStart w:id="21" w:name="_Toc130223393"/>
      <w:r w:rsidRPr="00486A73">
        <w:rPr>
          <w:lang w:val="en-GB"/>
        </w:rPr>
        <w:t xml:space="preserve">Prevalence and clinical manifestation of </w:t>
      </w:r>
      <w:r w:rsidR="0024544C" w:rsidRPr="00486A73">
        <w:rPr>
          <w:lang w:val="en-GB"/>
        </w:rPr>
        <w:t>dementia</w:t>
      </w:r>
      <w:bookmarkEnd w:id="21"/>
    </w:p>
    <w:p w14:paraId="16F1EAC1" w14:textId="40E76B27" w:rsidR="00532E22" w:rsidRDefault="00A76373" w:rsidP="00291DAF">
      <w:pPr>
        <w:spacing w:line="360" w:lineRule="auto"/>
        <w:jc w:val="both"/>
        <w:rPr>
          <w:rFonts w:ascii="Verdana" w:hAnsi="Verdana"/>
          <w:lang w:val="en-GB"/>
        </w:rPr>
      </w:pPr>
      <w:r>
        <w:rPr>
          <w:rFonts w:ascii="Verdana" w:hAnsi="Verdana"/>
          <w:lang w:val="en-GB"/>
        </w:rPr>
        <w:t>About 90% of PD patients present at least one neuropsychiatric symptom, making cognitive impairment one of the most widespread non-motor symptoms of PD</w:t>
      </w:r>
      <w:r w:rsidR="003A4DBA">
        <w:rPr>
          <w:rFonts w:ascii="Verdana" w:hAnsi="Verdana"/>
          <w:lang w:val="en-GB"/>
        </w:rPr>
        <w:t xml:space="preserve"> </w:t>
      </w:r>
      <w:r w:rsidR="003A4DBA">
        <w:rPr>
          <w:rFonts w:ascii="Verdana" w:hAnsi="Verdana"/>
          <w:lang w:val="en-GB"/>
        </w:rPr>
        <w:fldChar w:fldCharType="begin"/>
      </w:r>
      <w:r w:rsidR="00303842">
        <w:rPr>
          <w:rFonts w:ascii="Verdana" w:hAnsi="Verdana"/>
          <w:lang w:val="en-GB"/>
        </w:rPr>
        <w:instrText xml:space="preserve"> ADDIN ZOTERO_ITEM CSL_CITATION {"citationID":"mxD3GSOA","properties":{"formattedCitation":"(D Aarsland et al. 2007)","plainCitation":"(D Aarsland et al. 2007)","noteIndex":0},"citationItems":[{"id":411,"uris":["http://zotero.org/users/9330673/items/VC9346UF"],"itemData":{"id":411,"type":"article-journal","abstract":"Objective: To explore the profile of neuropsychiatric symptoms in patients with dementia associated with Parkinson’s disease (PDD).\nMethods: 537 patients with PDD drawn from an international multicentre clinical trial of rivastigmine were assessed using the 10-item Neuropsychiatric Inventory (NPI). A cluster analysis was used to investigate the inter-relationship of NPI items. Associations between the clusters and demographic and clinical variables were analysed.\nResults: 89% of the patients presented at least one symptom on the NPI, 77% had two or more symptoms and 64% had at least one symptom with a score &gt;4. The most common symptoms were depression (58%), apathy (54%), anxiety (49%) and hallucinations (44%). Patients with more severe dementia and advanced Parkinson’s disease had more neuropsychiatric symptoms. Nearly 60% of the care givers reported at least one NPI symptom to be of at least moderate severe distress. Five NPI clusters were identified: one group with few and mild symptoms (52%); a mood cluster (11%, high scores on depression, anxiety and apathy); apathy (24%; high apathy and low scores on other items); agitation (5%, high score on agitation and high total NPI score); and a psychosis cluster (8%; high scores on delusions and hallucinations). The psychosis and agitation clusters had the lowest Mini-Mental State Examination score and the highest Unified Parkinson’s Disease Rating Scale and care giver distress scores.\nConclusion: Neuropsychiatric symptoms are common in patients with PDD. The profile of these symptoms differs from that in other types of dementia. Subgroups with different neuropsychiatric profiles were identified. These subgroups may be associated with distinct neurobiological changes, which should be explored in future studies.","container-title":"Journal of Neurology, Neurosurgery &amp; Psychiatry","DOI":"10.1136/jnnp.2005.083113","ISSN":"0022-3050","issue":"1","journalAbbreviation":"Journal of Neurology, Neurosurgery &amp; Psychiatry","language":"en","page":"36-42","source":"DOI.org (Crossref)","title":"Neuropsychiatric symptoms in patients with Parkinson's disease and dementia: frequency, profile and associated care giver stress","title-short":"Neuropsychiatric symptoms in patients with Parkinson's disease and dementia","volume":"78","author":[{"family":"Aarsland","given":"D"},{"family":"Bronnick","given":"K"},{"family":"Ehrt","given":"U"},{"family":"De Deyn","given":"P P"},{"family":"Tekin","given":"S"},{"family":"Emre","given":"M"},{"family":"Cummings","given":"J L"}],"issued":{"date-parts":[["2007",1,1]]}}}],"schema":"https://github.com/citation-style-language/schema/raw/master/csl-citation.json"} </w:instrText>
      </w:r>
      <w:r w:rsidR="003A4DBA">
        <w:rPr>
          <w:rFonts w:ascii="Verdana" w:hAnsi="Verdana"/>
          <w:lang w:val="en-GB"/>
        </w:rPr>
        <w:fldChar w:fldCharType="separate"/>
      </w:r>
      <w:r w:rsidR="00303842" w:rsidRPr="00303842">
        <w:rPr>
          <w:rFonts w:ascii="Verdana" w:hAnsi="Verdana"/>
        </w:rPr>
        <w:t>(D Aarsland et al. 2007)</w:t>
      </w:r>
      <w:r w:rsidR="003A4DBA">
        <w:rPr>
          <w:rFonts w:ascii="Verdana" w:hAnsi="Verdana"/>
          <w:lang w:val="en-GB"/>
        </w:rPr>
        <w:fldChar w:fldCharType="end"/>
      </w:r>
      <w:r>
        <w:rPr>
          <w:rFonts w:ascii="Verdana" w:hAnsi="Verdana"/>
          <w:lang w:val="en-GB"/>
        </w:rPr>
        <w:t xml:space="preserve">. </w:t>
      </w:r>
      <w:r w:rsidR="00935427">
        <w:rPr>
          <w:rFonts w:ascii="Verdana" w:hAnsi="Verdana"/>
          <w:lang w:val="en-GB"/>
        </w:rPr>
        <w:t>Within a timeframe of 5 years from PD diagnosis, about half of PD patients that had normal cognition at baseline will develop mild cognitive impairment</w:t>
      </w:r>
      <w:r w:rsidR="00A42DF5">
        <w:rPr>
          <w:rFonts w:ascii="Verdana" w:hAnsi="Verdana"/>
          <w:lang w:val="en-GB"/>
        </w:rPr>
        <w:t xml:space="preserve"> </w:t>
      </w:r>
      <w:r w:rsidR="00F4457F">
        <w:rPr>
          <w:rFonts w:ascii="Verdana" w:hAnsi="Verdana"/>
          <w:lang w:val="en-GB"/>
        </w:rPr>
        <w:t>(MCI)</w:t>
      </w:r>
      <w:r w:rsidR="003A4DBA">
        <w:rPr>
          <w:rFonts w:ascii="Verdana" w:hAnsi="Verdana"/>
          <w:lang w:val="en-GB"/>
        </w:rPr>
        <w:t xml:space="preserve"> </w:t>
      </w:r>
      <w:r w:rsidR="003A4DBA">
        <w:rPr>
          <w:rFonts w:ascii="Verdana" w:hAnsi="Verdana"/>
          <w:lang w:val="en-GB"/>
        </w:rPr>
        <w:fldChar w:fldCharType="begin"/>
      </w:r>
      <w:r w:rsidR="003A4DBA">
        <w:rPr>
          <w:rFonts w:ascii="Verdana" w:hAnsi="Verdana"/>
          <w:lang w:val="en-GB"/>
        </w:rPr>
        <w:instrText xml:space="preserve"> ADDIN ZOTERO_ITEM CSL_CITATION {"citationID":"s71mubTZ","properties":{"formattedCitation":"(Pigott et al. 2015)","plainCitation":"(Pigott et al. 2015)","noteIndex":0},"citationItems":[{"id":392,"uris":["http://zotero.org/users/9330673/items/7TPUJZEV"],"itemData":{"id":392,"type":"article-journal","abstract":"Objective: To report the rates and predictors of progression from normal cognition to either mild cognitive impairment (MCI) or dementia using standardized neuropsychological methods.\nMethods: A prospective cohort of patients diagnosed with Parkinson disease (PD) and baseline normal cognition was assessed for cognitive decline, performance, and function for a minimum of 2 years, and up to 6. A panel of movement disorders experts classified patients as having normal cognition, MCI, or dementia, with 55/68 (80.9%) of eligible patients seen at year 6. Kaplan-Meier curves and Cox proportional hazard models were used to examine cognitive decline and its predictors.\nResults: We enrolled 141 patients, who averaged 68.8 years of age, 63% men, who had PD on average for 5 years. The cumulative incidence of cognitive impairment was 8.5% at year 1, increasing to 47.4% by year 6. All incident MCI cases had progressed to dementia by year 5. In a multivariate analysis, predictors of future decline were male sex (p 5 0.02), higher Unified Parkinson’s Disease Rating Scale motor score (p # 0.001), and worse global cognitive score (p , 0.001).\nConclusions: Approximately half of patients with PD with normal cognition at baseline develop cognitive impairment within 6 years and all new MCI cases progress to dementia within 5 years. Our results show that the transition from normal cognition to cognitive impairment, including dementia, occurs frequently and quickly. Certain clinical and cognitive variables may be useful in predicting progression to cognitive impairment in PD. Neurology® 2015;85:1276–1282","container-title":"Neurology","DOI":"10.1212/WNL.0000000000002001","ISSN":"0028-3878, 1526-632X","issue":"15","journalAbbreviation":"Neurology","language":"en","page":"1276-1282","source":"DOI.org (Crossref)","title":"Longitudinal study of normal cognition in Parkinson disease","volume":"85","author":[{"family":"Pigott","given":"Kara"},{"family":"Rick","given":"Jacqueline"},{"family":"Xie","given":"Sharon X."},{"family":"Hurtig","given":"Howard"},{"family":"Chen-Plotkin","given":"Alice"},{"family":"Duda","given":"John E."},{"family":"Morley","given":"James F."},{"family":"Chahine","given":"Lama M."},{"family":"Dahodwala","given":"Nabila"},{"family":"Akhtar","given":"Rizwan S."},{"family":"Siderowf","given":"Andrew"},{"family":"Trojanowski","given":"John Q."},{"family":"Weintraub","given":"Daniel"}],"issued":{"date-parts":[["2015",10,13]]}}}],"schema":"https://github.com/citation-style-language/schema/raw/master/csl-citation.json"} </w:instrText>
      </w:r>
      <w:r w:rsidR="003A4DBA">
        <w:rPr>
          <w:rFonts w:ascii="Verdana" w:hAnsi="Verdana"/>
          <w:lang w:val="en-GB"/>
        </w:rPr>
        <w:fldChar w:fldCharType="separate"/>
      </w:r>
      <w:r w:rsidR="003A4DBA" w:rsidRPr="003A4DBA">
        <w:rPr>
          <w:rFonts w:ascii="Verdana" w:hAnsi="Verdana"/>
        </w:rPr>
        <w:t>(Pigott et al. 2015)</w:t>
      </w:r>
      <w:r w:rsidR="003A4DBA">
        <w:rPr>
          <w:rFonts w:ascii="Verdana" w:hAnsi="Verdana"/>
          <w:lang w:val="en-GB"/>
        </w:rPr>
        <w:fldChar w:fldCharType="end"/>
      </w:r>
      <w:r w:rsidR="0017665C">
        <w:rPr>
          <w:rFonts w:ascii="Verdana" w:hAnsi="Verdana"/>
          <w:lang w:val="en-GB"/>
        </w:rPr>
        <w:t>.</w:t>
      </w:r>
      <w:r w:rsidR="002F74F3">
        <w:rPr>
          <w:rFonts w:ascii="Verdana" w:hAnsi="Verdana"/>
          <w:lang w:val="en-GB"/>
        </w:rPr>
        <w:t xml:space="preserve"> </w:t>
      </w:r>
      <w:r w:rsidR="008A6F84">
        <w:rPr>
          <w:rFonts w:ascii="Verdana" w:hAnsi="Verdana"/>
          <w:lang w:val="en-GB"/>
        </w:rPr>
        <w:t xml:space="preserve">Additionally, over </w:t>
      </w:r>
      <w:r w:rsidR="003D48BA">
        <w:rPr>
          <w:rFonts w:ascii="Verdana" w:hAnsi="Verdana"/>
          <w:lang w:val="en-GB"/>
        </w:rPr>
        <w:t>30% of newly diagnosed patients</w:t>
      </w:r>
      <w:r w:rsidR="0003752E">
        <w:rPr>
          <w:rFonts w:ascii="Verdana" w:hAnsi="Verdana"/>
          <w:lang w:val="en-GB"/>
        </w:rPr>
        <w:t xml:space="preserve"> </w:t>
      </w:r>
      <w:r w:rsidR="00D32F8A">
        <w:rPr>
          <w:rFonts w:ascii="Verdana" w:hAnsi="Verdana"/>
          <w:lang w:val="en-GB"/>
        </w:rPr>
        <w:t xml:space="preserve">are reported to present MCI already at diagnosis </w:t>
      </w:r>
      <w:r w:rsidR="00B51F34">
        <w:rPr>
          <w:rFonts w:ascii="Verdana" w:hAnsi="Verdana"/>
          <w:lang w:val="en-GB"/>
        </w:rPr>
        <w:fldChar w:fldCharType="begin"/>
      </w:r>
      <w:r w:rsidR="00B51F34">
        <w:rPr>
          <w:rFonts w:ascii="Verdana" w:hAnsi="Verdana"/>
          <w:lang w:val="en-GB"/>
        </w:rPr>
        <w:instrText xml:space="preserve"> ADDIN ZOTERO_ITEM CSL_CITATION {"citationID":"thHFasWC","properties":{"formattedCitation":"(Santangelo et al. 2015)","plainCitation":"(Santangelo et al. 2015)","noteIndex":0},"citationItems":[{"id":395,"uris":["http://zotero.org/users/9330673/items/ZY88UVRJ"],"itemData":{"id":395,"type":"article-journal","abstract":"Introduction: In PD, Mild Cognitive Impairment (PD-MCI) occurs since early stages of disease. The aims were to assess presence of PD-MCI in untreated, drug-naive PD patients, and to follow-up the sample over 4 years to ascertain evolution of neurocognitive proﬁle.\nMethods: Seventy-six patients underwent neuropsychological testing at baseline (T0), and after 2 (T1:n ¼ 62) and 4 years (T2:n ¼ 55). Diagnosis of PD-MCI and PD-associated dementia (PDD) was made according to current consensus criteria.\nResults: PD-MCI occurred in 25/76 patients (32.9%) at baseline, and 4 of them reverted from PD-MCI to Normal Cognition (Reverters), 7 remained stable (Non-Reverters) and 2 developed PDD at T2; 12 patients were lost to the follow-up. Among the 51 patients with normal cognition (PD-CN) at T0, 27 had normal cognition at T2 (5 of them were Reverters with respect to diagnosis at T1), 5 had MCI at T1 and T2 (NonReverters), 9 had MCI at T2 only, whereas 1 developed PDD; 9 patients were lost to the follow-up. At baseline, Reverters (n ¼ 9) had younger age at onset and better performance on constructional visuospatial task than Non-Reverters (n ¼ 12). Compared to patients without PD-MCI at all evaluations (n ¼ 19), Reverters had poorer performance on verbal immediate recall and attention tasks and higher level of apathy at T0. Reduced performance on the Stroop Test at baseline predicted PD-MCI at T2.\nConclusion: Executive dysfunctions predicted development of PD-MCI after few years from onset. Reversal from PD-MCI to PD-CN was related to young age at onset and high level of apathy at baseline evaluation.","container-title":"Parkinsonism &amp; Related Disorders","DOI":"10.1016/j.parkreldis.2015.08.024","ISSN":"13538020","issue":"10","journalAbbreviation":"Parkinsonism &amp; Related Disorders","language":"en","page":"1219-1226","source":"DOI.org (Crossref)","title":"Mild Cognitive Impairment in newly diagnosed Parkinson's disease: A longitudinal prospective study","title-short":"Mild Cognitive Impairment in newly diagnosed Parkinson's disease","volume":"21","author":[{"family":"Santangelo","given":"Gabriella"},{"family":"Vitale","given":"Carmine"},{"family":"Picillo","given":"Marina"},{"family":"Moccia","given":"Marcello"},{"family":"Cuoco","given":"Sofia"},{"family":"Longo","given":"Katia"},{"family":"Pezzella","given":"Domenica"},{"family":"Grazia","given":"Assunta","non-dropping-particle":"di"},{"family":"Erro","given":"Roberto"},{"family":"Pellecchia","given":"Maria Teresa"},{"family":"Amboni","given":"Marianna"},{"family":"Trojano","given":"Luigi"},{"family":"Barone","given":"Paolo"}],"issued":{"date-parts":[["2015",10]]}}}],"schema":"https://github.com/citation-style-language/schema/raw/master/csl-citation.json"} </w:instrText>
      </w:r>
      <w:r w:rsidR="00B51F34">
        <w:rPr>
          <w:rFonts w:ascii="Verdana" w:hAnsi="Verdana"/>
          <w:lang w:val="en-GB"/>
        </w:rPr>
        <w:fldChar w:fldCharType="separate"/>
      </w:r>
      <w:r w:rsidR="00B51F34" w:rsidRPr="00B51F34">
        <w:rPr>
          <w:rFonts w:ascii="Verdana" w:hAnsi="Verdana"/>
        </w:rPr>
        <w:t>(Santangelo et al. 2015)</w:t>
      </w:r>
      <w:r w:rsidR="00B51F34">
        <w:rPr>
          <w:rFonts w:ascii="Verdana" w:hAnsi="Verdana"/>
          <w:lang w:val="en-GB"/>
        </w:rPr>
        <w:fldChar w:fldCharType="end"/>
      </w:r>
      <w:r w:rsidR="003D48BA">
        <w:rPr>
          <w:rFonts w:ascii="Verdana" w:hAnsi="Verdana"/>
          <w:lang w:val="en-GB"/>
        </w:rPr>
        <w:t>.</w:t>
      </w:r>
      <w:r w:rsidR="005D254F">
        <w:rPr>
          <w:rFonts w:ascii="Verdana" w:hAnsi="Verdana"/>
          <w:lang w:val="en-GB"/>
        </w:rPr>
        <w:t xml:space="preserve"> </w:t>
      </w:r>
      <w:r w:rsidR="00805CB4">
        <w:rPr>
          <w:rFonts w:ascii="Verdana" w:hAnsi="Verdana"/>
          <w:lang w:val="en-GB"/>
        </w:rPr>
        <w:t>Patient</w:t>
      </w:r>
      <w:r w:rsidR="00D32F8A">
        <w:rPr>
          <w:rFonts w:ascii="Verdana" w:hAnsi="Verdana"/>
          <w:lang w:val="en-GB"/>
        </w:rPr>
        <w:t>s</w:t>
      </w:r>
      <w:r w:rsidR="00805CB4">
        <w:rPr>
          <w:rFonts w:ascii="Verdana" w:hAnsi="Verdana"/>
          <w:lang w:val="en-GB"/>
        </w:rPr>
        <w:t xml:space="preserve"> presenting with MCI have higher chances to develop dementia</w:t>
      </w:r>
      <w:r w:rsidR="00B51F34">
        <w:rPr>
          <w:rFonts w:ascii="Verdana" w:hAnsi="Verdana"/>
          <w:lang w:val="en-GB"/>
        </w:rPr>
        <w:t xml:space="preserve"> </w:t>
      </w:r>
      <w:r w:rsidR="00B51F34">
        <w:rPr>
          <w:rFonts w:ascii="Verdana" w:hAnsi="Verdana"/>
          <w:lang w:val="en-GB"/>
        </w:rPr>
        <w:fldChar w:fldCharType="begin"/>
      </w:r>
      <w:r w:rsidR="00B51F34">
        <w:rPr>
          <w:rFonts w:ascii="Verdana" w:hAnsi="Verdana"/>
          <w:lang w:val="en-GB"/>
        </w:rPr>
        <w:instrText xml:space="preserve"> ADDIN ZOTERO_ITEM CSL_CITATION {"citationID":"T6s3AtCX","properties":{"formattedCitation":"(Pedersen et al. 2013)","plainCitation":"(Pedersen et al. 2013)","noteIndex":0},"citationItems":[{"id":394,"uris":["http://zotero.org/users/9330673/items/HHWJ7VXM"],"itemData":{"id":394,"type":"article-journal","container-title":"JAMA Neurology","DOI":"10.1001/jamaneurol.2013.2110","ISSN":"2168-6149","issue":"5","journalAbbreviation":"JAMA Neurol","language":"en","page":"580","source":"DOI.org (Crossref)","title":"Prognosis of Mild Cognitive Impairment in Early Parkinson Disease: The Norwegian ParkWest Study","title-short":"Prognosis of Mild Cognitive Impairment in Early Parkinson Disease","volume":"70","author":[{"family":"Pedersen","given":"Kenn Freddy"},{"family":"Larsen","given":"Jan Petter"},{"family":"Tysnes","given":"Ole-Bjorn"},{"family":"Alves","given":"Guido"}],"issued":{"date-parts":[["2013",5,1]]}}}],"schema":"https://github.com/citation-style-language/schema/raw/master/csl-citation.json"} </w:instrText>
      </w:r>
      <w:r w:rsidR="00B51F34">
        <w:rPr>
          <w:rFonts w:ascii="Verdana" w:hAnsi="Verdana"/>
          <w:lang w:val="en-GB"/>
        </w:rPr>
        <w:fldChar w:fldCharType="separate"/>
      </w:r>
      <w:r w:rsidR="00B51F34" w:rsidRPr="00B51F34">
        <w:rPr>
          <w:rFonts w:ascii="Verdana" w:hAnsi="Verdana"/>
        </w:rPr>
        <w:t>(Pedersen et al. 2013)</w:t>
      </w:r>
      <w:r w:rsidR="00B51F34">
        <w:rPr>
          <w:rFonts w:ascii="Verdana" w:hAnsi="Verdana"/>
          <w:lang w:val="en-GB"/>
        </w:rPr>
        <w:fldChar w:fldCharType="end"/>
      </w:r>
      <w:r w:rsidR="009D48F4">
        <w:rPr>
          <w:rFonts w:ascii="Verdana" w:hAnsi="Verdana"/>
          <w:lang w:val="en-GB"/>
        </w:rPr>
        <w:t>. G</w:t>
      </w:r>
      <w:r w:rsidR="00655C68">
        <w:rPr>
          <w:rFonts w:ascii="Verdana" w:hAnsi="Verdana"/>
          <w:lang w:val="en-GB"/>
        </w:rPr>
        <w:t>lobally</w:t>
      </w:r>
      <w:r w:rsidR="009D48F4">
        <w:rPr>
          <w:rFonts w:ascii="Verdana" w:hAnsi="Verdana"/>
          <w:lang w:val="en-GB"/>
        </w:rPr>
        <w:t>,</w:t>
      </w:r>
      <w:r w:rsidR="00655C68">
        <w:rPr>
          <w:rFonts w:ascii="Verdana" w:hAnsi="Verdana"/>
          <w:lang w:val="en-GB"/>
        </w:rPr>
        <w:t xml:space="preserve"> </w:t>
      </w:r>
      <w:r w:rsidR="009D48F4">
        <w:rPr>
          <w:rFonts w:ascii="Verdana" w:hAnsi="Verdana"/>
          <w:lang w:val="en-GB"/>
        </w:rPr>
        <w:t>dementia</w:t>
      </w:r>
      <w:r w:rsidR="00160482">
        <w:rPr>
          <w:rFonts w:ascii="Verdana" w:hAnsi="Verdana"/>
          <w:lang w:val="en-GB"/>
        </w:rPr>
        <w:t xml:space="preserve"> in PD</w:t>
      </w:r>
      <w:r w:rsidR="009D48F4">
        <w:rPr>
          <w:rFonts w:ascii="Verdana" w:hAnsi="Verdana"/>
          <w:lang w:val="en-GB"/>
        </w:rPr>
        <w:t xml:space="preserve"> has</w:t>
      </w:r>
      <w:r w:rsidR="00655C68">
        <w:rPr>
          <w:rFonts w:ascii="Verdana" w:hAnsi="Verdana"/>
          <w:lang w:val="en-GB"/>
        </w:rPr>
        <w:t xml:space="preserve"> a point prevalence </w:t>
      </w:r>
      <w:r w:rsidR="005276BD">
        <w:rPr>
          <w:rFonts w:ascii="Verdana" w:hAnsi="Verdana"/>
          <w:lang w:val="en-GB"/>
        </w:rPr>
        <w:t>of about 30%</w:t>
      </w:r>
      <w:r w:rsidR="00914BD8">
        <w:rPr>
          <w:rFonts w:ascii="Verdana" w:hAnsi="Verdana"/>
          <w:lang w:val="en-GB"/>
        </w:rPr>
        <w:t xml:space="preserve"> (Pigott et al., 2015)</w:t>
      </w:r>
      <w:r w:rsidR="0084386D">
        <w:rPr>
          <w:rFonts w:ascii="Verdana" w:hAnsi="Verdana"/>
          <w:lang w:val="en-GB"/>
        </w:rPr>
        <w:t>, but the cumulative prevalence can be way higher than that</w:t>
      </w:r>
      <w:r w:rsidR="00914BD8">
        <w:rPr>
          <w:rFonts w:ascii="Verdana" w:hAnsi="Verdana"/>
          <w:lang w:val="en-GB"/>
        </w:rPr>
        <w:t>.</w:t>
      </w:r>
      <w:r w:rsidR="005276BD">
        <w:rPr>
          <w:rFonts w:ascii="Verdana" w:hAnsi="Verdana"/>
          <w:lang w:val="en-GB"/>
        </w:rPr>
        <w:t xml:space="preserve"> </w:t>
      </w:r>
      <w:r w:rsidR="0084386D">
        <w:rPr>
          <w:rFonts w:ascii="Verdana" w:hAnsi="Verdana"/>
          <w:lang w:val="en-GB"/>
        </w:rPr>
        <w:t>S</w:t>
      </w:r>
      <w:r w:rsidR="00123803">
        <w:rPr>
          <w:rFonts w:ascii="Verdana" w:hAnsi="Verdana"/>
          <w:lang w:val="en-GB"/>
        </w:rPr>
        <w:t>everal longitudinal studies</w:t>
      </w:r>
      <w:r w:rsidR="0084386D">
        <w:rPr>
          <w:rFonts w:ascii="Verdana" w:hAnsi="Verdana"/>
          <w:lang w:val="en-GB"/>
        </w:rPr>
        <w:t xml:space="preserve"> </w:t>
      </w:r>
      <w:r w:rsidR="00123803">
        <w:rPr>
          <w:rFonts w:ascii="Verdana" w:hAnsi="Verdana"/>
          <w:lang w:val="en-GB"/>
        </w:rPr>
        <w:t>such as the Sidney Multicentre Study</w:t>
      </w:r>
      <w:r w:rsidR="00340FB4">
        <w:rPr>
          <w:rFonts w:ascii="Verdana" w:hAnsi="Verdana"/>
          <w:lang w:val="en-GB"/>
        </w:rPr>
        <w:t>,</w:t>
      </w:r>
      <w:r w:rsidR="0084386D">
        <w:rPr>
          <w:rFonts w:ascii="Verdana" w:hAnsi="Verdana"/>
          <w:lang w:val="en-GB"/>
        </w:rPr>
        <w:t xml:space="preserve"> have shown that</w:t>
      </w:r>
      <w:r w:rsidR="00123803">
        <w:rPr>
          <w:rFonts w:ascii="Verdana" w:hAnsi="Verdana"/>
          <w:lang w:val="en-GB"/>
        </w:rPr>
        <w:t xml:space="preserve"> the prevalence of dementia</w:t>
      </w:r>
      <w:r w:rsidR="0084386D">
        <w:rPr>
          <w:rFonts w:ascii="Verdana" w:hAnsi="Verdana"/>
          <w:lang w:val="en-GB"/>
        </w:rPr>
        <w:t xml:space="preserve"> in PD</w:t>
      </w:r>
      <w:r w:rsidR="00160482">
        <w:rPr>
          <w:rFonts w:ascii="Verdana" w:hAnsi="Verdana"/>
          <w:lang w:val="en-GB"/>
        </w:rPr>
        <w:t xml:space="preserve"> increases with disease duration</w:t>
      </w:r>
      <w:r w:rsidR="007E2B19">
        <w:rPr>
          <w:rFonts w:ascii="Verdana" w:hAnsi="Verdana"/>
          <w:lang w:val="en-GB"/>
        </w:rPr>
        <w:t>, reaching</w:t>
      </w:r>
      <w:r w:rsidR="00B668C4">
        <w:rPr>
          <w:rFonts w:ascii="Verdana" w:hAnsi="Verdana"/>
          <w:lang w:val="en-GB"/>
        </w:rPr>
        <w:t xml:space="preserve"> about</w:t>
      </w:r>
      <w:r w:rsidR="007E2B19">
        <w:rPr>
          <w:rFonts w:ascii="Verdana" w:hAnsi="Verdana"/>
          <w:lang w:val="en-GB"/>
        </w:rPr>
        <w:t xml:space="preserve"> 80% in surviving patients at 20 years from diagnosis</w:t>
      </w:r>
      <w:r w:rsidR="00B51F34">
        <w:rPr>
          <w:rFonts w:ascii="Verdana" w:hAnsi="Verdana"/>
          <w:lang w:val="en-GB"/>
        </w:rPr>
        <w:t xml:space="preserve"> </w:t>
      </w:r>
      <w:r w:rsidR="00B51F34">
        <w:rPr>
          <w:rFonts w:ascii="Verdana" w:hAnsi="Verdana"/>
          <w:lang w:val="en-GB"/>
        </w:rPr>
        <w:fldChar w:fldCharType="begin"/>
      </w:r>
      <w:r w:rsidR="00B51F34">
        <w:rPr>
          <w:rFonts w:ascii="Verdana" w:hAnsi="Verdana"/>
          <w:lang w:val="en-GB"/>
        </w:rPr>
        <w:instrText xml:space="preserve"> ADDIN ZOTERO_ITEM CSL_CITATION {"citationID":"jLhrmgjI","properties":{"formattedCitation":"(Hely et al. 2008)","plainCitation":"(Hely et al. 2008)","noteIndex":0},"citationItems":[{"id":442,"uris":["http://zotero.org/users/9330673/items/SHNBPIG9"],"itemData":{"id":442,"type":"article-journal","abstract":"After 20 years follow-up of newly diagnosed patients with Parkinson’s disease (PD), 100 of 136 (74%) have died. The mortality rate fell in the ﬁrst 3 years of treatment, then rose compared to the general population, the standardized mortality ratio from 15 to 20 years reaching 3.1. Drug induced dyskinesia and end of dose failure were experienced by most patients, but the main current problems relate to the non-levodopa responsive features of the disease. Dementia is present in 83% of 20-year survivors. Dementia correlates with increasing age and probably reﬂects an interplay of multiple pathologies. Seventeen people with dementia had postmortems. Eight had diffuse Lewy bodies as the only cause of dementia, while others had mixed neuropathology.","container-title":"Movement Disorders","DOI":"10.1002/mds.21956","ISSN":"08853185","issue":"6","journalAbbreviation":"Mov. Disord.","language":"en","page":"837-844","source":"DOI.org (Crossref)","title":"The Sydney multicenter study of Parkinson's disease: The inevitability of dementia at 20 years: Twenty Year Sydney Parkinson's Study","title-short":"The Sydney multicenter study of Parkinson's disease","volume":"23","author":[{"family":"Hely","given":"Mariese A."},{"family":"Reid","given":"Wayne G.J."},{"family":"Adena","given":"Michael A."},{"family":"Halliday","given":"Glenda M."},{"family":"Morris","given":"John G.L."}],"issued":{"date-parts":[["2008",4,30]]}}}],"schema":"https://github.com/citation-style-language/schema/raw/master/csl-citation.json"} </w:instrText>
      </w:r>
      <w:r w:rsidR="00B51F34">
        <w:rPr>
          <w:rFonts w:ascii="Verdana" w:hAnsi="Verdana"/>
          <w:lang w:val="en-GB"/>
        </w:rPr>
        <w:fldChar w:fldCharType="separate"/>
      </w:r>
      <w:r w:rsidR="00B51F34" w:rsidRPr="00B51F34">
        <w:rPr>
          <w:rFonts w:ascii="Verdana" w:hAnsi="Verdana"/>
        </w:rPr>
        <w:t>(Hely et al. 2008)</w:t>
      </w:r>
      <w:r w:rsidR="00B51F34">
        <w:rPr>
          <w:rFonts w:ascii="Verdana" w:hAnsi="Verdana"/>
          <w:lang w:val="en-GB"/>
        </w:rPr>
        <w:fldChar w:fldCharType="end"/>
      </w:r>
      <w:r w:rsidR="007E2B19">
        <w:rPr>
          <w:rFonts w:ascii="Verdana" w:hAnsi="Verdana"/>
          <w:lang w:val="en-GB"/>
        </w:rPr>
        <w:t>.</w:t>
      </w:r>
    </w:p>
    <w:p w14:paraId="1A739687" w14:textId="6D56647F" w:rsidR="00977B66" w:rsidRDefault="00F328D2" w:rsidP="00251BB0">
      <w:pPr>
        <w:spacing w:line="360" w:lineRule="auto"/>
        <w:jc w:val="both"/>
        <w:rPr>
          <w:rFonts w:ascii="Verdana" w:hAnsi="Verdana"/>
          <w:lang w:val="en-GB"/>
        </w:rPr>
      </w:pPr>
      <w:r>
        <w:rPr>
          <w:rFonts w:ascii="Verdana" w:hAnsi="Verdana"/>
          <w:lang w:val="en-GB"/>
        </w:rPr>
        <w:t>MCI in PD is associated with a stronger motor phenotype and</w:t>
      </w:r>
      <w:r w:rsidR="00B668C4">
        <w:rPr>
          <w:rFonts w:ascii="Verdana" w:hAnsi="Verdana"/>
          <w:lang w:val="en-GB"/>
        </w:rPr>
        <w:t xml:space="preserve"> a</w:t>
      </w:r>
      <w:r>
        <w:rPr>
          <w:rFonts w:ascii="Verdana" w:hAnsi="Verdana"/>
          <w:lang w:val="en-GB"/>
        </w:rPr>
        <w:t xml:space="preserve"> higher mortality</w:t>
      </w:r>
      <w:r w:rsidR="00974D21">
        <w:rPr>
          <w:rFonts w:ascii="Verdana" w:hAnsi="Verdana"/>
          <w:lang w:val="en-GB"/>
        </w:rPr>
        <w:t xml:space="preserve"> </w:t>
      </w:r>
      <w:r w:rsidR="00974D21">
        <w:rPr>
          <w:rFonts w:ascii="Verdana" w:hAnsi="Verdana"/>
          <w:lang w:val="en-GB"/>
        </w:rPr>
        <w:fldChar w:fldCharType="begin"/>
      </w:r>
      <w:r w:rsidR="00AA73D7">
        <w:rPr>
          <w:rFonts w:ascii="Verdana" w:hAnsi="Verdana"/>
          <w:lang w:val="en-GB"/>
        </w:rPr>
        <w:instrText xml:space="preserve"> ADDIN ZOTERO_ITEM CSL_CITATION {"citationID":"Q9vhXICO","properties":{"formattedCitation":"(Levy, Stern, and Marder n.d.)","plainCitation":"(Levy, Stern, and Marder n.d.)","dontUpdate":true,"noteIndex":0},"citationItems":[{"id":343,"uris":["http://zotero.org/users/9330673/items/T2EM8ELX"],"itemData":{"id":343,"type":"article-journal","abstract":"Objective: To evaluate the association of incident dementia with mortality in a cohort of patients with idiopathic PD who were nondemented at baseline evaluation, controlling for extrapyramidal sign (EPS) severity at each study visit. Background: The development of dementia has been associated with reduced survival in PD. Because EPS severity is associated with both dementia and mortality in PD, the association of dementia with mortality may be confounded by disease severity. Methods: A cohort of patients with PD was followed annually with neurologic and neuropsychological evaluations. The association of incident dementia and the total Unified PD Rating Scale (UPDRS) motor score with mortality in PD was examined using Cox proportional hazards models with time-dependent covariates. All analyses were adjusted for age at baseline, sex, years of education, ethnicity, and duration of PD. Results: Of 180 PD patients, 41 (22.8%) died during a mean follow-up period of 3.9 </w:instrText>
      </w:r>
      <w:r w:rsidR="00AA73D7">
        <w:rPr>
          <w:rFonts w:ascii="Calibri" w:hAnsi="Calibri" w:cs="Calibri"/>
          <w:lang w:val="en-GB"/>
        </w:rPr>
        <w:instrText>Ϯ</w:instrText>
      </w:r>
      <w:r w:rsidR="00AA73D7">
        <w:rPr>
          <w:rFonts w:ascii="Verdana" w:hAnsi="Verdana"/>
          <w:lang w:val="en-GB"/>
        </w:rPr>
        <w:instrText xml:space="preserve"> 2.2 years. Among those who died during the study period, 48.8% (20 of 41) became demented during follow-up, as compared to 23.0% (32 of 139) of those who remained alive. Both incident dementia (RR: 2.2, 95% CI: 1.1 to 4.5, p </w:instrText>
      </w:r>
      <w:r w:rsidR="00AA73D7">
        <w:rPr>
          <w:rFonts w:ascii="Calibri" w:hAnsi="Calibri" w:cs="Calibri"/>
          <w:lang w:val="en-GB"/>
        </w:rPr>
        <w:instrText>ϭ</w:instrText>
      </w:r>
      <w:r w:rsidR="00AA73D7">
        <w:rPr>
          <w:rFonts w:ascii="Verdana" w:hAnsi="Verdana"/>
          <w:lang w:val="en-GB"/>
        </w:rPr>
        <w:instrText xml:space="preserve"> 0.04) and the total UPDRS motor score at each study visit (RR: 1.04, 95% CI: 1.02 to 1.07, p </w:instrText>
      </w:r>
      <w:r w:rsidR="00AA73D7">
        <w:rPr>
          <w:rFonts w:ascii="Calibri" w:hAnsi="Calibri" w:cs="Calibri"/>
          <w:lang w:val="en-GB"/>
        </w:rPr>
        <w:instrText>ϭ</w:instrText>
      </w:r>
      <w:r w:rsidR="00AA73D7">
        <w:rPr>
          <w:rFonts w:ascii="Verdana" w:hAnsi="Verdana"/>
          <w:lang w:val="en-GB"/>
        </w:rPr>
        <w:instrText xml:space="preserve"> 0.001) were associated with mortality in PD when included in the same Cox model. Conclusions: Incident dementia has an independent effect on mortality when controlling for EPS severity. The development of dementia is associated with a twofold increased mortality risk in PD.","language":"en","page":"7","source":"Zotero","title":"The association of incident dementia with mortality in PD","author":[{"family":"Levy","given":"G"},{"family":"Stern","given":"Y"},{"family":"Marder","given":"K"}]}}],"schema":"https://github.com/citation-style-language/schema/raw/master/csl-citation.json"} </w:instrText>
      </w:r>
      <w:r w:rsidR="00974D21">
        <w:rPr>
          <w:rFonts w:ascii="Verdana" w:hAnsi="Verdana"/>
          <w:lang w:val="en-GB"/>
        </w:rPr>
        <w:fldChar w:fldCharType="separate"/>
      </w:r>
      <w:r w:rsidR="00974D21" w:rsidRPr="00974D21">
        <w:rPr>
          <w:rFonts w:ascii="Verdana" w:hAnsi="Verdana"/>
        </w:rPr>
        <w:t xml:space="preserve">(Levy, Stern, and Marder </w:t>
      </w:r>
      <w:r w:rsidR="00974D21">
        <w:rPr>
          <w:rFonts w:ascii="Verdana" w:hAnsi="Verdana"/>
        </w:rPr>
        <w:t>2002</w:t>
      </w:r>
      <w:r w:rsidR="00974D21" w:rsidRPr="00974D21">
        <w:rPr>
          <w:rFonts w:ascii="Verdana" w:hAnsi="Verdana"/>
        </w:rPr>
        <w:t>)</w:t>
      </w:r>
      <w:r w:rsidR="00974D21">
        <w:rPr>
          <w:rFonts w:ascii="Verdana" w:hAnsi="Verdana"/>
          <w:lang w:val="en-GB"/>
        </w:rPr>
        <w:fldChar w:fldCharType="end"/>
      </w:r>
      <w:r w:rsidR="00974D21">
        <w:rPr>
          <w:rFonts w:ascii="Verdana" w:hAnsi="Verdana"/>
          <w:lang w:val="en-GB"/>
        </w:rPr>
        <w:t xml:space="preserve">. </w:t>
      </w:r>
      <w:r w:rsidR="00F16F6C">
        <w:rPr>
          <w:rFonts w:ascii="Verdana" w:hAnsi="Verdana"/>
          <w:lang w:val="en-GB"/>
        </w:rPr>
        <w:t xml:space="preserve">Older age at onset and longer disease duration are the biggest risk factors for </w:t>
      </w:r>
      <w:r w:rsidR="00451B0E">
        <w:rPr>
          <w:rFonts w:ascii="Verdana" w:hAnsi="Verdana"/>
          <w:lang w:val="en-GB"/>
        </w:rPr>
        <w:t>progression from PD to Parkinson’s Disease with Dementia (PDD)</w:t>
      </w:r>
      <w:r w:rsidR="00974D21">
        <w:rPr>
          <w:rFonts w:ascii="Verdana" w:hAnsi="Verdana"/>
          <w:lang w:val="en-GB"/>
        </w:rPr>
        <w:t xml:space="preserve"> </w:t>
      </w:r>
      <w:r w:rsidR="00974D21">
        <w:rPr>
          <w:rFonts w:ascii="Verdana" w:hAnsi="Verdana"/>
          <w:lang w:val="en-GB"/>
        </w:rPr>
        <w:fldChar w:fldCharType="begin"/>
      </w:r>
      <w:r w:rsidR="00974D21">
        <w:rPr>
          <w:rFonts w:ascii="Verdana" w:hAnsi="Verdana"/>
          <w:lang w:val="en-GB"/>
        </w:rPr>
        <w:instrText xml:space="preserve"> ADDIN ZOTERO_ITEM CSL_CITATION {"citationID":"5fXgUCnx","properties":{"formattedCitation":"(Giladi et al. 2000)","plainCitation":"(Giladi et al. 2000)","noteIndex":0},"citationItems":[{"id":439,"uris":["http://zotero.org/users/9330673/items/2YT99S7B"],"itemData":{"id":439,"type":"article-journal","abstract":"Objectives. To study the relationships between clinical features of Parkinson’s disease (PD) and the development of dementia, depression or psychosis in patients with long-standing disease.","language":"en","page":"13","source":"Zotero","title":"Risk factors for dementia, depression and psychosis in long-standing Parkinson’s disease","author":[{"family":"Giladi","given":"N"},{"family":"Treves","given":"T A"},{"family":"Paleacu","given":"D"},{"family":"Shabtai","given":"H"},{"family":"Orlov","given":"Y"},{"family":"Kandinov","given":"B"},{"family":"Simon","given":"E S"},{"family":"Korczyn","given":"A D"}],"issued":{"date-parts":[["2000"]]}}}],"schema":"https://github.com/citation-style-language/schema/raw/master/csl-citation.json"} </w:instrText>
      </w:r>
      <w:r w:rsidR="00974D21">
        <w:rPr>
          <w:rFonts w:ascii="Verdana" w:hAnsi="Verdana"/>
          <w:lang w:val="en-GB"/>
        </w:rPr>
        <w:fldChar w:fldCharType="separate"/>
      </w:r>
      <w:r w:rsidR="00974D21" w:rsidRPr="00974D21">
        <w:rPr>
          <w:rFonts w:ascii="Verdana" w:hAnsi="Verdana"/>
        </w:rPr>
        <w:t>(Giladi et al. 2000)</w:t>
      </w:r>
      <w:r w:rsidR="00974D21">
        <w:rPr>
          <w:rFonts w:ascii="Verdana" w:hAnsi="Verdana"/>
          <w:lang w:val="en-GB"/>
        </w:rPr>
        <w:fldChar w:fldCharType="end"/>
      </w:r>
      <w:r w:rsidR="00451B0E">
        <w:rPr>
          <w:rFonts w:ascii="Verdana" w:hAnsi="Verdana"/>
          <w:lang w:val="en-GB"/>
        </w:rPr>
        <w:t>.</w:t>
      </w:r>
      <w:r>
        <w:rPr>
          <w:rFonts w:ascii="Verdana" w:hAnsi="Verdana"/>
          <w:lang w:val="en-GB"/>
        </w:rPr>
        <w:t xml:space="preserve"> Other factors</w:t>
      </w:r>
      <w:r w:rsidR="004807AF">
        <w:rPr>
          <w:rFonts w:ascii="Verdana" w:hAnsi="Verdana"/>
          <w:lang w:val="en-GB"/>
        </w:rPr>
        <w:t xml:space="preserve"> </w:t>
      </w:r>
      <w:r w:rsidR="009846D3">
        <w:rPr>
          <w:rFonts w:ascii="Verdana" w:hAnsi="Verdana"/>
          <w:lang w:val="en-GB"/>
        </w:rPr>
        <w:t xml:space="preserve">associated with dementia </w:t>
      </w:r>
      <w:r w:rsidR="004807AF">
        <w:rPr>
          <w:rFonts w:ascii="Verdana" w:hAnsi="Verdana"/>
          <w:lang w:val="en-GB"/>
        </w:rPr>
        <w:t>include</w:t>
      </w:r>
      <w:r w:rsidR="00B30A48">
        <w:rPr>
          <w:rFonts w:ascii="Verdana" w:hAnsi="Verdana"/>
          <w:lang w:val="en-GB"/>
        </w:rPr>
        <w:t xml:space="preserve"> the </w:t>
      </w:r>
      <w:r w:rsidR="00480F56">
        <w:rPr>
          <w:rFonts w:ascii="Verdana" w:hAnsi="Verdana"/>
          <w:lang w:val="en-GB"/>
        </w:rPr>
        <w:t>postural instability and gait disorder (PIGD) subtype</w:t>
      </w:r>
      <w:r w:rsidR="004807AF">
        <w:rPr>
          <w:rFonts w:ascii="Verdana" w:hAnsi="Verdana"/>
          <w:lang w:val="en-GB"/>
        </w:rPr>
        <w:t xml:space="preserve"> </w:t>
      </w:r>
      <w:r w:rsidR="004C7E17">
        <w:rPr>
          <w:rFonts w:ascii="Verdana" w:hAnsi="Verdana"/>
          <w:lang w:val="en-GB"/>
        </w:rPr>
        <w:fldChar w:fldCharType="begin"/>
      </w:r>
      <w:r w:rsidR="004C7E17">
        <w:rPr>
          <w:rFonts w:ascii="Verdana" w:hAnsi="Verdana"/>
          <w:lang w:val="en-GB"/>
        </w:rPr>
        <w:instrText xml:space="preserve"> ADDIN ZOTERO_ITEM CSL_CITATION {"citationID":"zXLvLKC3","properties":{"formattedCitation":"(Lichter, Benedict, and Hershey 2018)","plainCitation":"(Lichter, Benedict, and Hershey 2018)","noteIndex":0},"citationItems":[{"id":427,"uris":["http://zotero.org/users/9330673/items/7K42TIAP"],"itemData":{"id":427,"type":"article-journal","language":"en","page":"14","source":"Zotero","title":"2 Importance of Balance-Gait Disorder 3 as a Risk Factor for Cognitive Impairment, 4 Dementia and Related Non-Motor 5 Symptoms in Parkinson’s Disease","author":[{"family":"Lichter","given":"David Gordon"},{"family":"Benedict","given":"Ralph Holmes Boring"},{"family":"Hershey","given":"Linda Ann"}],"issued":{"date-parts":[["2018"]]}}}],"schema":"https://github.com/citation-style-language/schema/raw/master/csl-citation.json"} </w:instrText>
      </w:r>
      <w:r w:rsidR="004C7E17">
        <w:rPr>
          <w:rFonts w:ascii="Verdana" w:hAnsi="Verdana"/>
          <w:lang w:val="en-GB"/>
        </w:rPr>
        <w:fldChar w:fldCharType="separate"/>
      </w:r>
      <w:r w:rsidR="004C7E17" w:rsidRPr="004C7E17">
        <w:rPr>
          <w:rFonts w:ascii="Verdana" w:hAnsi="Verdana"/>
        </w:rPr>
        <w:t>(Lichter, Benedict, and Hershey 2018)</w:t>
      </w:r>
      <w:r w:rsidR="004C7E17">
        <w:rPr>
          <w:rFonts w:ascii="Verdana" w:hAnsi="Verdana"/>
          <w:lang w:val="en-GB"/>
        </w:rPr>
        <w:fldChar w:fldCharType="end"/>
      </w:r>
      <w:r w:rsidR="004807AF">
        <w:rPr>
          <w:rFonts w:ascii="Verdana" w:hAnsi="Verdana"/>
          <w:lang w:val="en-GB"/>
        </w:rPr>
        <w:t xml:space="preserve">, </w:t>
      </w:r>
      <w:r w:rsidR="009846D3">
        <w:rPr>
          <w:rFonts w:ascii="Verdana" w:hAnsi="Verdana"/>
          <w:lang w:val="en-GB"/>
        </w:rPr>
        <w:t>worse response to dopaminergic treatment</w:t>
      </w:r>
      <w:r w:rsidR="000A1BB9">
        <w:rPr>
          <w:rFonts w:ascii="Verdana" w:hAnsi="Verdana"/>
          <w:lang w:val="en-GB"/>
        </w:rPr>
        <w:t xml:space="preserve"> </w:t>
      </w:r>
      <w:r w:rsidR="004C7E17">
        <w:rPr>
          <w:rFonts w:ascii="Verdana" w:hAnsi="Verdana"/>
          <w:lang w:val="en-GB"/>
        </w:rPr>
        <w:fldChar w:fldCharType="begin"/>
      </w:r>
      <w:r w:rsidR="004C7E17">
        <w:rPr>
          <w:rFonts w:ascii="Verdana" w:hAnsi="Verdana"/>
          <w:lang w:val="en-GB"/>
        </w:rPr>
        <w:instrText xml:space="preserve"> ADDIN ZOTERO_ITEM CSL_CITATION {"citationID":"zJ53aBVa","properties":{"formattedCitation":"(Marder et al. 1995)","plainCitation":"(Marder et al. 1995)","noteIndex":0},"citationItems":[{"id":438,"uris":["http://zotero.org/users/9330673/items/ZD7M94JZ"],"itemData":{"id":438,"type":"article-journal","container-title":"Archives of Neurology","DOI":"10.1001/archneur.1995.00540310069018","ISSN":"0003-9942","issue":"7","journalAbbreviation":"Archives of Neurology","language":"en","page":"695-701","source":"DOI.org (Crossref)","title":"The Frequency and Associated Risk Factors for Dementia in Patients With Parkinson's Disease","volume":"52","author":[{"family":"Marder","given":"K."},{"family":"Tang","given":"M.-X."},{"family":"Cote","given":"L."},{"family":"Stern","given":"Y."},{"family":"Mayeux","given":"R."}],"issued":{"date-parts":[["1995",7,1]]}}}],"schema":"https://github.com/citation-style-language/schema/raw/master/csl-citation.json"} </w:instrText>
      </w:r>
      <w:r w:rsidR="004C7E17">
        <w:rPr>
          <w:rFonts w:ascii="Verdana" w:hAnsi="Verdana"/>
          <w:lang w:val="en-GB"/>
        </w:rPr>
        <w:fldChar w:fldCharType="separate"/>
      </w:r>
      <w:r w:rsidR="004C7E17" w:rsidRPr="004C7E17">
        <w:rPr>
          <w:rFonts w:ascii="Verdana" w:hAnsi="Verdana"/>
        </w:rPr>
        <w:t>(Marder et al. 1995)</w:t>
      </w:r>
      <w:r w:rsidR="004C7E17">
        <w:rPr>
          <w:rFonts w:ascii="Verdana" w:hAnsi="Verdana"/>
          <w:lang w:val="en-GB"/>
        </w:rPr>
        <w:fldChar w:fldCharType="end"/>
      </w:r>
      <w:r w:rsidR="000A1BB9">
        <w:rPr>
          <w:rFonts w:ascii="Verdana" w:hAnsi="Verdana"/>
          <w:lang w:val="en-GB"/>
        </w:rPr>
        <w:t>,</w:t>
      </w:r>
      <w:r w:rsidR="009846D3">
        <w:rPr>
          <w:rFonts w:ascii="Verdana" w:hAnsi="Verdana"/>
          <w:lang w:val="en-GB"/>
        </w:rPr>
        <w:t xml:space="preserve"> </w:t>
      </w:r>
      <w:r w:rsidR="004807AF">
        <w:rPr>
          <w:rFonts w:ascii="Verdana" w:hAnsi="Verdana"/>
          <w:lang w:val="en-GB"/>
        </w:rPr>
        <w:t xml:space="preserve">presence of REM sleep behaviour </w:t>
      </w:r>
      <w:r w:rsidR="009846D3">
        <w:rPr>
          <w:rFonts w:ascii="Verdana" w:hAnsi="Verdana"/>
          <w:lang w:val="en-GB"/>
        </w:rPr>
        <w:t xml:space="preserve">disorder </w:t>
      </w:r>
      <w:r w:rsidR="000847AD">
        <w:rPr>
          <w:rFonts w:ascii="Verdana" w:hAnsi="Verdana"/>
          <w:lang w:val="en-GB"/>
        </w:rPr>
        <w:fldChar w:fldCharType="begin"/>
      </w:r>
      <w:r w:rsidR="000847AD">
        <w:rPr>
          <w:rFonts w:ascii="Verdana" w:hAnsi="Verdana"/>
          <w:lang w:val="en-GB"/>
        </w:rPr>
        <w:instrText xml:space="preserve"> ADDIN ZOTERO_ITEM CSL_CITATION {"citationID":"V1Jilv87","properties":{"formattedCitation":"(Marion et al. 2008)","plainCitation":"(Marion et al. 2008)","noteIndex":0},"citationItems":[{"id":429,"uris":["http://zotero.org/users/9330673/items/TCCLFWU3"],"itemData":{"id":429,"type":"article-journal","container-title":"Journal of Neurology","DOI":"10.1007/s00415-008-0629-9","ISSN":"0340-5354, 1432-1459","issue":"2","journalAbbreviation":"J Neurol","language":"en","page":"192-196","source":"DOI.org (Crossref)","title":"Is REM sleep Behaviour Disorder (RBD) a risk factor of dementia in idiopathic Parkinson's disease?","volume":"255","author":[{"family":"Marion","given":"M.-H."},{"family":"Qurashi","given":"M."},{"family":"Marshall","given":"G."},{"family":"Foster","given":"O."}],"issued":{"date-parts":[["2008",2]]}}}],"schema":"https://github.com/citation-style-language/schema/raw/master/csl-citation.json"} </w:instrText>
      </w:r>
      <w:r w:rsidR="000847AD">
        <w:rPr>
          <w:rFonts w:ascii="Verdana" w:hAnsi="Verdana"/>
          <w:lang w:val="en-GB"/>
        </w:rPr>
        <w:fldChar w:fldCharType="separate"/>
      </w:r>
      <w:r w:rsidR="000847AD" w:rsidRPr="000847AD">
        <w:rPr>
          <w:rFonts w:ascii="Verdana" w:hAnsi="Verdana"/>
        </w:rPr>
        <w:t>(Marion et al. 2008)</w:t>
      </w:r>
      <w:r w:rsidR="000847AD">
        <w:rPr>
          <w:rFonts w:ascii="Verdana" w:hAnsi="Verdana"/>
          <w:lang w:val="en-GB"/>
        </w:rPr>
        <w:fldChar w:fldCharType="end"/>
      </w:r>
      <w:r w:rsidR="000A1BB9">
        <w:rPr>
          <w:rFonts w:ascii="Verdana" w:hAnsi="Verdana"/>
          <w:lang w:val="en-GB"/>
        </w:rPr>
        <w:t xml:space="preserve"> and </w:t>
      </w:r>
      <w:r w:rsidR="00594997">
        <w:rPr>
          <w:rFonts w:ascii="Verdana" w:hAnsi="Verdana"/>
          <w:lang w:val="en-GB"/>
        </w:rPr>
        <w:t xml:space="preserve">visual </w:t>
      </w:r>
      <w:r w:rsidR="000A1BB9">
        <w:rPr>
          <w:rFonts w:ascii="Verdana" w:hAnsi="Verdana"/>
          <w:lang w:val="en-GB"/>
        </w:rPr>
        <w:t>hallucinations</w:t>
      </w:r>
      <w:r w:rsidR="000847AD">
        <w:rPr>
          <w:rFonts w:ascii="Verdana" w:hAnsi="Verdana"/>
          <w:lang w:val="en-GB"/>
        </w:rPr>
        <w:t xml:space="preserve"> </w:t>
      </w:r>
      <w:r w:rsidR="000847AD">
        <w:rPr>
          <w:rFonts w:ascii="Verdana" w:hAnsi="Verdana"/>
          <w:lang w:val="en-GB"/>
        </w:rPr>
        <w:fldChar w:fldCharType="begin"/>
      </w:r>
      <w:r w:rsidR="00AA73D7">
        <w:rPr>
          <w:rFonts w:ascii="Verdana" w:hAnsi="Verdana"/>
          <w:lang w:val="en-GB"/>
        </w:rPr>
        <w:instrText xml:space="preserve"> ADDIN ZOTERO_ITEM CSL_CITATION {"citationID":"cdxvZMWM","properties":{"formattedCitation":"(Fenelon 2000)","plainCitation":"(Fenelon 2000)","dontUpdate":true,"noteIndex":0},"citationItems":[{"id":377,"uris":["http://zotero.org/users/9330673/items/RZFYC5XY"],"itemData":{"id":377,"type":"article-journal","container-title":"Brain","DOI":"10.1093/brain/123.4.733","ISSN":"14602156","issue":"4","language":"en","page":"733-745","source":"DOI.org (Crossref)","title":"Hallucinations in Parkinson's disease: Prevalence, phenomenology and risk factors","title-short":"Hallucinations in Parkinson's disease","volume":"123","author":[{"family":"Fenelon","given":"G."}],"issued":{"date-parts":[["2000",4,1]]}}}],"schema":"https://github.com/citation-style-language/schema/raw/master/csl-citation.json"} </w:instrText>
      </w:r>
      <w:r w:rsidR="000847AD">
        <w:rPr>
          <w:rFonts w:ascii="Verdana" w:hAnsi="Verdana"/>
          <w:lang w:val="en-GB"/>
        </w:rPr>
        <w:fldChar w:fldCharType="separate"/>
      </w:r>
      <w:r w:rsidR="000847AD" w:rsidRPr="000847AD">
        <w:rPr>
          <w:rFonts w:ascii="Verdana" w:hAnsi="Verdana"/>
        </w:rPr>
        <w:t>(Fenelon</w:t>
      </w:r>
      <w:r w:rsidR="000847AD">
        <w:rPr>
          <w:rFonts w:ascii="Verdana" w:hAnsi="Verdana"/>
        </w:rPr>
        <w:t xml:space="preserve"> et al.</w:t>
      </w:r>
      <w:r w:rsidR="000847AD" w:rsidRPr="000847AD">
        <w:rPr>
          <w:rFonts w:ascii="Verdana" w:hAnsi="Verdana"/>
        </w:rPr>
        <w:t xml:space="preserve"> 2000)</w:t>
      </w:r>
      <w:r w:rsidR="000847AD">
        <w:rPr>
          <w:rFonts w:ascii="Verdana" w:hAnsi="Verdana"/>
          <w:lang w:val="en-GB"/>
        </w:rPr>
        <w:fldChar w:fldCharType="end"/>
      </w:r>
      <w:r w:rsidR="000A1BB9">
        <w:rPr>
          <w:rFonts w:ascii="Verdana" w:hAnsi="Verdana"/>
          <w:lang w:val="en-GB"/>
        </w:rPr>
        <w:t>.</w:t>
      </w:r>
      <w:r w:rsidR="00251BB0">
        <w:rPr>
          <w:rFonts w:ascii="Verdana" w:hAnsi="Verdana"/>
          <w:lang w:val="en-GB"/>
        </w:rPr>
        <w:t xml:space="preserve"> </w:t>
      </w:r>
      <w:r w:rsidR="00532042">
        <w:rPr>
          <w:rFonts w:ascii="Verdana" w:hAnsi="Verdana"/>
          <w:lang w:val="en-GB"/>
        </w:rPr>
        <w:t xml:space="preserve">The initial clinical manifestation of MCI is linked to </w:t>
      </w:r>
      <w:r w:rsidR="00842A26">
        <w:rPr>
          <w:rFonts w:ascii="Verdana" w:hAnsi="Verdana"/>
          <w:lang w:val="en-GB"/>
        </w:rPr>
        <w:t>the</w:t>
      </w:r>
      <w:r w:rsidR="008A5FFF">
        <w:rPr>
          <w:rFonts w:ascii="Verdana" w:hAnsi="Verdana"/>
          <w:lang w:val="en-GB"/>
        </w:rPr>
        <w:t xml:space="preserve"> </w:t>
      </w:r>
      <w:proofErr w:type="spellStart"/>
      <w:r w:rsidR="008A5FFF">
        <w:rPr>
          <w:rFonts w:ascii="Verdana" w:hAnsi="Verdana"/>
          <w:lang w:val="en-GB"/>
        </w:rPr>
        <w:t>fronto</w:t>
      </w:r>
      <w:proofErr w:type="spellEnd"/>
      <w:r w:rsidR="008A5FFF">
        <w:rPr>
          <w:rFonts w:ascii="Verdana" w:hAnsi="Verdana"/>
          <w:lang w:val="en-GB"/>
        </w:rPr>
        <w:t xml:space="preserve">-striatal </w:t>
      </w:r>
      <w:r w:rsidR="00532042">
        <w:rPr>
          <w:rFonts w:ascii="Verdana" w:hAnsi="Verdana"/>
          <w:lang w:val="en-GB"/>
        </w:rPr>
        <w:t xml:space="preserve">degeneration, and it is </w:t>
      </w:r>
      <w:r w:rsidR="004F0310">
        <w:rPr>
          <w:rFonts w:ascii="Verdana" w:hAnsi="Verdana"/>
          <w:lang w:val="en-GB"/>
        </w:rPr>
        <w:t>characterised by dysexecutive syndrome and phonemic verbal fluency impairment</w:t>
      </w:r>
      <w:r w:rsidR="000847AD">
        <w:rPr>
          <w:rFonts w:ascii="Verdana" w:hAnsi="Verdana"/>
          <w:lang w:val="en-GB"/>
        </w:rPr>
        <w:t xml:space="preserve"> </w:t>
      </w:r>
      <w:r w:rsidR="000847AD">
        <w:rPr>
          <w:rFonts w:ascii="Verdana" w:hAnsi="Verdana"/>
          <w:lang w:val="en-GB"/>
        </w:rPr>
        <w:fldChar w:fldCharType="begin"/>
      </w:r>
      <w:r w:rsidR="000847AD">
        <w:rPr>
          <w:rFonts w:ascii="Verdana" w:hAnsi="Verdana"/>
          <w:lang w:val="en-GB"/>
        </w:rPr>
        <w:instrText xml:space="preserve"> ADDIN ZOTERO_ITEM CSL_CITATION {"citationID":"VOCQz8ck","properties":{"formattedCitation":"(Hanagasi, Tufekcioglu, and Emre 2017; Pagonabarraga and Kulisevsky 2012)","plainCitation":"(Hanagasi, Tufekcioglu, and Emre 2017; Pagonabarraga and Kulisevsky 2012)","noteIndex":0},"citationItems":[{"id":370,"uris":["http://zotero.org/users/9330673/items/SWBPYLSQ"],"itemData":{"id":370,"type":"article-journal","abstract":"Dementia can occur in a substantial number of patients with Parkinson's disease with a point prevalence close to 30%. The cognitive proﬁle is characterized by predominant deﬁcits in executive, visuospatial functions, attention and memory. Behavioral symptoms are frequent such as apathy, visual hallucinations and delusions. The most prominent associated pathology is Lewy body-type and biochemical deﬁcit is cholinergic. Placebo-controlled randomized trials with cholinesterase inhibitors demonstrated modest but signiﬁcant beneﬁts in cognition, behavioral symptoms and global functions.","container-title":"Journal of the Neurological Sciences","DOI":"10.1016/j.jns.2017.01.012","ISSN":"0022510X","journalAbbreviation":"Journal of the Neurological Sciences","language":"en","page":"26-31","source":"DOI.org (Crossref)","title":"Dementia in Parkinson's disease","volume":"374","author":[{"family":"Hanagasi","given":"Hasmet A."},{"family":"Tufekcioglu","given":"Zeynep"},{"family":"Emre","given":"Murat"}],"issued":{"date-parts":[["2017",3]]}}},{"id":268,"uris":["http://zotero.org/users/9330673/items/WKJHF8T4"],"itemData":{"id":268,"type":"article-journal","abstract":"Relatively subtle cognitive disturbances may be present from the initial stages of Parkinson's disease (PD) that progress in many patients to a more severe cognitive impairment and dementia. Several of the initial deﬁcits are ascribed to failure in the frontal–striatal basal ganglia circuits and involve executive defects in planning, initiation, monitoring of goal-directed behaviors and working-memory. Other non-demented PD patients also exhibit visuospatial and memory deﬁcits more representative of posterior cortical functioning and fail performing naming or copying tasks. Major differences in the overall rate of cognitive decline among PD patients support the co-existence of at least two patterns of involution, differentiating a relatively slow decline of fronto-striatal deﬁcits from a more rapid decline of posterior–cortical deﬁcits, with different pathophysiological substrates, genetics, prognosis and response to drugs used to treat the motor symptoms of PD.","container-title":"Neurobiology of Disease","DOI":"10.1016/j.nbd.2012.03.029","ISSN":"09699961","issue":"3","journalAbbreviation":"Neurobiology of Disease","language":"en","page":"590-596","source":"DOI.org (Crossref)","title":"Cognitive impairment and dementia in Parkinson's disease","volume":"46","author":[{"family":"Pagonabarraga","given":"Javier"},{"family":"Kulisevsky","given":"Jaime"}],"issued":{"date-parts":[["2012",6]]}}}],"schema":"https://github.com/citation-style-language/schema/raw/master/csl-citation.json"} </w:instrText>
      </w:r>
      <w:r w:rsidR="000847AD">
        <w:rPr>
          <w:rFonts w:ascii="Verdana" w:hAnsi="Verdana"/>
          <w:lang w:val="en-GB"/>
        </w:rPr>
        <w:fldChar w:fldCharType="separate"/>
      </w:r>
      <w:r w:rsidR="000847AD" w:rsidRPr="000847AD">
        <w:rPr>
          <w:rFonts w:ascii="Verdana" w:hAnsi="Verdana"/>
        </w:rPr>
        <w:t>(Hanagasi, Tufekcioglu, and Emre 2017; Pagonabarraga and Kulisevsky 2012)</w:t>
      </w:r>
      <w:r w:rsidR="000847AD">
        <w:rPr>
          <w:rFonts w:ascii="Verdana" w:hAnsi="Verdana"/>
          <w:lang w:val="en-GB"/>
        </w:rPr>
        <w:fldChar w:fldCharType="end"/>
      </w:r>
      <w:r w:rsidR="00532042">
        <w:rPr>
          <w:rFonts w:ascii="Verdana" w:hAnsi="Verdana"/>
          <w:lang w:val="en-GB"/>
        </w:rPr>
        <w:t xml:space="preserve">. </w:t>
      </w:r>
      <w:r w:rsidR="007264D8">
        <w:rPr>
          <w:rFonts w:ascii="Verdana" w:hAnsi="Verdana"/>
          <w:lang w:val="en-GB"/>
        </w:rPr>
        <w:t xml:space="preserve">In the progression to dementia, it appears that </w:t>
      </w:r>
      <w:r w:rsidR="001C3A3F">
        <w:rPr>
          <w:rFonts w:ascii="Verdana" w:hAnsi="Verdana"/>
          <w:lang w:val="en-GB"/>
        </w:rPr>
        <w:t xml:space="preserve">the </w:t>
      </w:r>
      <w:proofErr w:type="spellStart"/>
      <w:r w:rsidR="001C3A3F">
        <w:rPr>
          <w:rFonts w:ascii="Verdana" w:hAnsi="Verdana"/>
          <w:lang w:val="en-GB"/>
        </w:rPr>
        <w:t>fronto</w:t>
      </w:r>
      <w:proofErr w:type="spellEnd"/>
      <w:r w:rsidR="001C3A3F">
        <w:rPr>
          <w:rFonts w:ascii="Verdana" w:hAnsi="Verdana"/>
          <w:lang w:val="en-GB"/>
        </w:rPr>
        <w:t>-</w:t>
      </w:r>
      <w:r w:rsidR="001C3A3F">
        <w:rPr>
          <w:rFonts w:ascii="Verdana" w:hAnsi="Verdana"/>
          <w:lang w:val="en-GB"/>
        </w:rPr>
        <w:lastRenderedPageBreak/>
        <w:t xml:space="preserve">striatal dysfunction is accompanied by a </w:t>
      </w:r>
      <w:r w:rsidR="00A95587">
        <w:rPr>
          <w:rFonts w:ascii="Verdana" w:hAnsi="Verdana"/>
          <w:lang w:val="en-GB"/>
        </w:rPr>
        <w:t xml:space="preserve">posterior-cortical </w:t>
      </w:r>
      <w:r w:rsidR="00517F7F">
        <w:rPr>
          <w:rFonts w:ascii="Verdana" w:hAnsi="Verdana"/>
          <w:lang w:val="en-GB"/>
        </w:rPr>
        <w:t>dysfunction</w:t>
      </w:r>
      <w:r w:rsidR="007B22AB">
        <w:rPr>
          <w:rFonts w:ascii="Verdana" w:hAnsi="Verdana"/>
          <w:lang w:val="en-GB"/>
        </w:rPr>
        <w:t xml:space="preserve">, which manifests </w:t>
      </w:r>
      <w:r w:rsidR="00EB11C2">
        <w:rPr>
          <w:rFonts w:ascii="Verdana" w:hAnsi="Verdana"/>
          <w:lang w:val="en-GB"/>
        </w:rPr>
        <w:t xml:space="preserve">as </w:t>
      </w:r>
      <w:r w:rsidR="004F0310">
        <w:rPr>
          <w:rFonts w:ascii="Verdana" w:hAnsi="Verdana"/>
          <w:lang w:val="en-GB"/>
        </w:rPr>
        <w:t xml:space="preserve">impairment of </w:t>
      </w:r>
      <w:r w:rsidR="00480C18">
        <w:rPr>
          <w:rFonts w:ascii="Verdana" w:hAnsi="Verdana"/>
          <w:lang w:val="en-GB"/>
        </w:rPr>
        <w:t>attention and visuo-spatial functions, semantic verbal fluency impairment</w:t>
      </w:r>
      <w:r w:rsidR="00323376">
        <w:rPr>
          <w:rFonts w:ascii="Verdana" w:hAnsi="Verdana"/>
          <w:lang w:val="en-GB"/>
        </w:rPr>
        <w:t>, and impairment of episodic and visual memory</w:t>
      </w:r>
      <w:r w:rsidR="00282E43">
        <w:rPr>
          <w:rFonts w:ascii="Verdana" w:hAnsi="Verdana"/>
          <w:lang w:val="en-GB"/>
        </w:rPr>
        <w:t xml:space="preserve"> </w:t>
      </w:r>
      <w:r w:rsidR="0095622C">
        <w:rPr>
          <w:rFonts w:ascii="Verdana" w:hAnsi="Verdana"/>
          <w:lang w:val="en-GB"/>
        </w:rPr>
        <w:t>(</w:t>
      </w:r>
      <w:proofErr w:type="spellStart"/>
      <w:r w:rsidR="0095622C">
        <w:rPr>
          <w:rFonts w:ascii="Verdana" w:hAnsi="Verdana"/>
          <w:lang w:val="en-GB"/>
        </w:rPr>
        <w:t>Pagonabarraga</w:t>
      </w:r>
      <w:proofErr w:type="spellEnd"/>
      <w:r w:rsidR="0095622C">
        <w:rPr>
          <w:rFonts w:ascii="Verdana" w:hAnsi="Verdana"/>
          <w:lang w:val="en-GB"/>
        </w:rPr>
        <w:t xml:space="preserve"> and </w:t>
      </w:r>
      <w:proofErr w:type="spellStart"/>
      <w:r w:rsidR="0095622C">
        <w:rPr>
          <w:rFonts w:ascii="Verdana" w:hAnsi="Verdana"/>
          <w:lang w:val="en-GB"/>
        </w:rPr>
        <w:t>Kulisevsky</w:t>
      </w:r>
      <w:proofErr w:type="spellEnd"/>
      <w:r w:rsidR="0095622C">
        <w:rPr>
          <w:rFonts w:ascii="Verdana" w:hAnsi="Verdana"/>
          <w:lang w:val="en-GB"/>
        </w:rPr>
        <w:t xml:space="preserve">, 2012; </w:t>
      </w:r>
      <w:proofErr w:type="spellStart"/>
      <w:r w:rsidR="0095622C">
        <w:rPr>
          <w:rFonts w:ascii="Verdana" w:hAnsi="Verdana"/>
          <w:lang w:val="en-GB"/>
        </w:rPr>
        <w:t>Hanagasi</w:t>
      </w:r>
      <w:proofErr w:type="spellEnd"/>
      <w:r w:rsidR="0095622C">
        <w:rPr>
          <w:rFonts w:ascii="Verdana" w:hAnsi="Verdana"/>
          <w:lang w:val="en-GB"/>
        </w:rPr>
        <w:t xml:space="preserve"> et al., 2017)</w:t>
      </w:r>
      <w:r w:rsidR="00323376">
        <w:rPr>
          <w:rFonts w:ascii="Verdana" w:hAnsi="Verdana"/>
          <w:lang w:val="en-GB"/>
        </w:rPr>
        <w:t>.</w:t>
      </w:r>
    </w:p>
    <w:p w14:paraId="44B875F1" w14:textId="25BB8091" w:rsidR="002148B1" w:rsidRDefault="002148B1" w:rsidP="00291DAF">
      <w:pPr>
        <w:spacing w:line="360" w:lineRule="auto"/>
        <w:jc w:val="both"/>
        <w:rPr>
          <w:rFonts w:ascii="Verdana" w:hAnsi="Verdana"/>
          <w:lang w:val="en-GB"/>
        </w:rPr>
      </w:pPr>
    </w:p>
    <w:p w14:paraId="253FFEDD" w14:textId="77777777" w:rsidR="00837B74" w:rsidRDefault="00837B74" w:rsidP="00291DAF">
      <w:pPr>
        <w:spacing w:line="360" w:lineRule="auto"/>
        <w:jc w:val="both"/>
        <w:rPr>
          <w:rFonts w:ascii="Verdana" w:hAnsi="Verdana"/>
          <w:lang w:val="en-GB"/>
        </w:rPr>
      </w:pPr>
    </w:p>
    <w:p w14:paraId="2DD3D502" w14:textId="335B4AF9" w:rsidR="003B097F" w:rsidRPr="009C3C88" w:rsidRDefault="003B097F" w:rsidP="004F0024">
      <w:pPr>
        <w:pStyle w:val="Heading2"/>
        <w:numPr>
          <w:ilvl w:val="3"/>
          <w:numId w:val="14"/>
        </w:numPr>
        <w:spacing w:line="360" w:lineRule="auto"/>
        <w:ind w:left="0" w:firstLine="720"/>
        <w:rPr>
          <w:lang w:val="en-GB"/>
        </w:rPr>
      </w:pPr>
      <w:bookmarkStart w:id="22" w:name="_Toc130223394"/>
      <w:r w:rsidRPr="00486A73">
        <w:rPr>
          <w:lang w:val="en-GB"/>
        </w:rPr>
        <w:t>Diagnosis and Treatment</w:t>
      </w:r>
      <w:bookmarkEnd w:id="22"/>
    </w:p>
    <w:p w14:paraId="4769E52F" w14:textId="602A887D" w:rsidR="00AC095A" w:rsidRDefault="007A5A6B" w:rsidP="00291DAF">
      <w:pPr>
        <w:spacing w:line="360" w:lineRule="auto"/>
        <w:jc w:val="both"/>
        <w:rPr>
          <w:rFonts w:ascii="Verdana" w:hAnsi="Verdana"/>
          <w:lang w:val="en-GB"/>
        </w:rPr>
      </w:pPr>
      <w:r>
        <w:rPr>
          <w:rFonts w:ascii="Verdana" w:hAnsi="Verdana"/>
          <w:lang w:val="en-GB"/>
        </w:rPr>
        <w:t>Diagnosis of</w:t>
      </w:r>
      <w:r w:rsidR="00E6655B">
        <w:rPr>
          <w:rFonts w:ascii="Verdana" w:hAnsi="Verdana"/>
          <w:lang w:val="en-GB"/>
        </w:rPr>
        <w:t xml:space="preserve"> PD-MCI</w:t>
      </w:r>
      <w:r>
        <w:rPr>
          <w:rFonts w:ascii="Verdana" w:hAnsi="Verdana"/>
          <w:lang w:val="en-GB"/>
        </w:rPr>
        <w:t xml:space="preserve"> and PDD is made upon the evaluation of impairment in</w:t>
      </w:r>
      <w:r w:rsidR="00D32869">
        <w:rPr>
          <w:rFonts w:ascii="Verdana" w:hAnsi="Verdana"/>
          <w:lang w:val="en-GB"/>
        </w:rPr>
        <w:t xml:space="preserve"> the domains of</w:t>
      </w:r>
      <w:r>
        <w:rPr>
          <w:rFonts w:ascii="Verdana" w:hAnsi="Verdana"/>
          <w:lang w:val="en-GB"/>
        </w:rPr>
        <w:t xml:space="preserve"> </w:t>
      </w:r>
      <w:r w:rsidR="007F564D">
        <w:rPr>
          <w:rFonts w:ascii="Verdana" w:hAnsi="Verdana"/>
          <w:lang w:val="en-GB"/>
        </w:rPr>
        <w:t>attention</w:t>
      </w:r>
      <w:r w:rsidR="00B1668A">
        <w:rPr>
          <w:rFonts w:ascii="Verdana" w:hAnsi="Verdana"/>
          <w:lang w:val="en-GB"/>
        </w:rPr>
        <w:t xml:space="preserve">, </w:t>
      </w:r>
      <w:r w:rsidR="00E53954">
        <w:rPr>
          <w:rFonts w:ascii="Verdana" w:hAnsi="Verdana"/>
          <w:lang w:val="en-GB"/>
        </w:rPr>
        <w:t>executive</w:t>
      </w:r>
      <w:r w:rsidR="00B1668A">
        <w:rPr>
          <w:rFonts w:ascii="Verdana" w:hAnsi="Verdana"/>
          <w:lang w:val="en-GB"/>
        </w:rPr>
        <w:t xml:space="preserve"> function</w:t>
      </w:r>
      <w:r w:rsidR="00E53954">
        <w:rPr>
          <w:rFonts w:ascii="Verdana" w:hAnsi="Verdana"/>
          <w:lang w:val="en-GB"/>
        </w:rPr>
        <w:t xml:space="preserve">, </w:t>
      </w:r>
      <w:r w:rsidR="00B1668A">
        <w:rPr>
          <w:rFonts w:ascii="Verdana" w:hAnsi="Verdana"/>
          <w:lang w:val="en-GB"/>
        </w:rPr>
        <w:t xml:space="preserve">visuospatial function, and </w:t>
      </w:r>
      <w:r w:rsidR="00AD0BAA">
        <w:rPr>
          <w:rFonts w:ascii="Verdana" w:hAnsi="Verdana"/>
          <w:lang w:val="en-GB"/>
        </w:rPr>
        <w:t>memor</w:t>
      </w:r>
      <w:r w:rsidR="00B1668A">
        <w:rPr>
          <w:rFonts w:ascii="Verdana" w:hAnsi="Verdana"/>
          <w:lang w:val="en-GB"/>
        </w:rPr>
        <w:t>y</w:t>
      </w:r>
      <w:r w:rsidR="00861639">
        <w:rPr>
          <w:rFonts w:ascii="Verdana" w:hAnsi="Verdana"/>
          <w:lang w:val="en-GB"/>
        </w:rPr>
        <w:t xml:space="preserve">, </w:t>
      </w:r>
      <w:r w:rsidR="001955AC">
        <w:rPr>
          <w:rFonts w:ascii="Verdana" w:hAnsi="Verdana"/>
          <w:lang w:val="en-GB"/>
        </w:rPr>
        <w:t>over an already present diagnosis of PD</w:t>
      </w:r>
      <w:r w:rsidR="00AD0BAA">
        <w:rPr>
          <w:rFonts w:ascii="Verdana" w:hAnsi="Verdana"/>
          <w:lang w:val="en-GB"/>
        </w:rPr>
        <w:t>.</w:t>
      </w:r>
      <w:r w:rsidR="00E6655B">
        <w:rPr>
          <w:rFonts w:ascii="Verdana" w:hAnsi="Verdana"/>
          <w:lang w:val="en-GB"/>
        </w:rPr>
        <w:t xml:space="preserve"> Diagnostic criteria proposed by the Movement Disorder Society</w:t>
      </w:r>
      <w:r w:rsidR="0049337F">
        <w:rPr>
          <w:rFonts w:ascii="Verdana" w:hAnsi="Verdana"/>
          <w:lang w:val="en-GB"/>
        </w:rPr>
        <w:t xml:space="preserve"> </w:t>
      </w:r>
      <w:r w:rsidR="004630E8">
        <w:rPr>
          <w:rFonts w:ascii="Verdana" w:hAnsi="Verdana"/>
          <w:lang w:val="en-GB"/>
        </w:rPr>
        <w:t xml:space="preserve">conceive two </w:t>
      </w:r>
      <w:r w:rsidR="0013150A">
        <w:rPr>
          <w:rFonts w:ascii="Verdana" w:hAnsi="Verdana"/>
          <w:lang w:val="en-GB"/>
        </w:rPr>
        <w:t>levels</w:t>
      </w:r>
      <w:r w:rsidR="001E479D">
        <w:rPr>
          <w:rFonts w:ascii="Verdana" w:hAnsi="Verdana"/>
          <w:lang w:val="en-GB"/>
        </w:rPr>
        <w:t xml:space="preserve"> based </w:t>
      </w:r>
      <w:r w:rsidR="00B22F5A">
        <w:rPr>
          <w:rFonts w:ascii="Verdana" w:hAnsi="Verdana"/>
          <w:lang w:val="en-GB"/>
        </w:rPr>
        <w:t>on the comprehensiveness of the assessment and the confidence of the diagnosis.</w:t>
      </w:r>
    </w:p>
    <w:p w14:paraId="196DC33A" w14:textId="7F1EA722" w:rsidR="00FA18FF" w:rsidRDefault="00B22F5A" w:rsidP="00602B1E">
      <w:pPr>
        <w:spacing w:line="360" w:lineRule="auto"/>
        <w:jc w:val="both"/>
        <w:rPr>
          <w:rFonts w:ascii="Verdana" w:hAnsi="Verdana"/>
          <w:lang w:val="en-GB"/>
        </w:rPr>
      </w:pPr>
      <w:r>
        <w:rPr>
          <w:rFonts w:ascii="Verdana" w:hAnsi="Verdana"/>
          <w:lang w:val="en-GB"/>
        </w:rPr>
        <w:t>PD-MCI is</w:t>
      </w:r>
      <w:r w:rsidR="004E716B">
        <w:rPr>
          <w:rFonts w:ascii="Verdana" w:hAnsi="Verdana"/>
          <w:lang w:val="en-GB"/>
        </w:rPr>
        <w:t xml:space="preserve"> characterised by reduced cognitive abilities</w:t>
      </w:r>
      <w:r w:rsidR="004E716B" w:rsidRPr="004E716B">
        <w:rPr>
          <w:rFonts w:ascii="Verdana" w:hAnsi="Verdana"/>
          <w:lang w:val="en-GB"/>
        </w:rPr>
        <w:t xml:space="preserve"> </w:t>
      </w:r>
      <w:r w:rsidR="004E716B">
        <w:rPr>
          <w:rFonts w:ascii="Verdana" w:hAnsi="Verdana"/>
          <w:lang w:val="en-GB"/>
        </w:rPr>
        <w:t xml:space="preserve">that do not </w:t>
      </w:r>
      <w:proofErr w:type="spellStart"/>
      <w:r w:rsidR="004E716B">
        <w:rPr>
          <w:rFonts w:ascii="Verdana" w:hAnsi="Verdana"/>
          <w:lang w:val="en-GB"/>
        </w:rPr>
        <w:t>significally</w:t>
      </w:r>
      <w:proofErr w:type="spellEnd"/>
      <w:r w:rsidR="004E716B">
        <w:rPr>
          <w:rFonts w:ascii="Verdana" w:hAnsi="Verdana"/>
          <w:lang w:val="en-GB"/>
        </w:rPr>
        <w:t xml:space="preserve"> impair the patient’s independence, and is normally reported by the patient itself, the caretaker or the clinician, </w:t>
      </w:r>
      <w:r w:rsidR="004E716B">
        <w:rPr>
          <w:rFonts w:ascii="Verdana" w:hAnsi="Verdana"/>
          <w:lang w:val="en-GB"/>
        </w:rPr>
        <w:fldChar w:fldCharType="begin"/>
      </w:r>
      <w:r w:rsidR="004E716B">
        <w:rPr>
          <w:rFonts w:ascii="Verdana" w:hAnsi="Verdana"/>
          <w:lang w:val="en-GB"/>
        </w:rPr>
        <w:instrText xml:space="preserve"> ADDIN ZOTERO_ITEM CSL_CITATION {"citationID":"UoHmKHlo","properties":{"formattedCitation":"(Litvan et al. 2012)","plainCitation":"(Litvan et al. 2012)","noteIndex":0},"citationItems":[{"id":1805,"uris":["http://zotero.org/users/9330673/items/ZLJRKB8I"],"itemData":{"id":1805,"type":"article-journal","abstract":"Mild cognitive impairment is common in nondemented Parkinson’s disease (PD) patients and may be a harbinger of dementia. In view of its importance, the Movement Disorder Society commissioned a task force to delineate diagnostic criteria for mild cognitive impairment in PD. The proposed diagnostic criteria are based on a literature review and expert consensus. This article provides guidelines to characterize the clinical syndrome and methods for its diagnosis. The criteria will require validation, and possibly refinement, as additional research improves our understanding of the epidemiology, presentation, neurobiology, assessment, and long-term course of this clinical syndrome. These diagnostic criteria will support future research efforts to identify at the earliest stage those PD patients at increased risk of progressive cognitive decline and dementia who may benefit from clinical interventions at a predementia stage.","container-title":"Movement Disorders","DOI":"10.1002/mds.24893","ISSN":"08853185","issue":"3","journalAbbreviation":"Mov. Disord.","language":"en","page":"349-356","source":"DOI.org (Crossref)","title":"Diagnostic criteria for mild cognitive impairment in Parkinson's disease: &lt;i&gt;Movement&lt;/i&gt; Disorder Society Task Force guidelines: PD-MCI Diagnostic Criteria","title-short":"Diagnostic criteria for mild cognitive impairment in Parkinson's disease","volume":"27","author":[{"family":"Litvan","given":"Irene"},{"family":"Goldman","given":"Jennifer G."},{"family":"Tröster","given":"Alexander I."},{"family":"Schmand","given":"Ben A."},{"family":"Weintraub","given":"Daniel"},{"family":"Petersen","given":"Ronald C."},{"family":"Mollenhauer","given":"Brit"},{"family":"Adler","given":"Charles H."},{"family":"Marder","given":"Karen"},{"family":"Williams-Gray","given":"Caroline H."},{"family":"Aarsland","given":"Dag"},{"family":"Kulisevsky","given":"Jaime"},{"family":"Rodriguez-Oroz","given":"Maria C."},{"family":"Burn","given":"David J."},{"family":"Barker","given":"Roger A."},{"family":"Emre","given":"Murat"}],"issued":{"date-parts":[["2012",3]]}}}],"schema":"https://github.com/citation-style-language/schema/raw/master/csl-citation.json"} </w:instrText>
      </w:r>
      <w:r w:rsidR="004E716B">
        <w:rPr>
          <w:rFonts w:ascii="Verdana" w:hAnsi="Verdana"/>
          <w:lang w:val="en-GB"/>
        </w:rPr>
        <w:fldChar w:fldCharType="separate"/>
      </w:r>
      <w:r w:rsidR="004E716B" w:rsidRPr="000160F5">
        <w:rPr>
          <w:rFonts w:ascii="Verdana" w:hAnsi="Verdana"/>
        </w:rPr>
        <w:t>(Litvan et al. 2012)</w:t>
      </w:r>
      <w:r w:rsidR="004E716B">
        <w:rPr>
          <w:rFonts w:ascii="Verdana" w:hAnsi="Verdana"/>
          <w:lang w:val="en-GB"/>
        </w:rPr>
        <w:fldChar w:fldCharType="end"/>
      </w:r>
      <w:r w:rsidR="004E716B">
        <w:rPr>
          <w:rFonts w:ascii="Verdana" w:hAnsi="Verdana"/>
          <w:lang w:val="en-GB"/>
        </w:rPr>
        <w:t>.</w:t>
      </w:r>
      <w:r w:rsidR="00DF2F7A">
        <w:rPr>
          <w:rFonts w:ascii="Verdana" w:hAnsi="Verdana"/>
          <w:lang w:val="en-GB"/>
        </w:rPr>
        <w:t xml:space="preserve"> Level I assessment is based on</w:t>
      </w:r>
      <w:r w:rsidR="00347FBC">
        <w:rPr>
          <w:rFonts w:ascii="Verdana" w:hAnsi="Verdana"/>
          <w:lang w:val="en-GB"/>
        </w:rPr>
        <w:t xml:space="preserve"> impairment in </w:t>
      </w:r>
      <w:r w:rsidR="00393480">
        <w:rPr>
          <w:rFonts w:ascii="Verdana" w:hAnsi="Verdana"/>
          <w:lang w:val="en-GB"/>
        </w:rPr>
        <w:t>at least two</w:t>
      </w:r>
      <w:r w:rsidR="00090FA1">
        <w:rPr>
          <w:rFonts w:ascii="Verdana" w:hAnsi="Verdana"/>
          <w:lang w:val="en-GB"/>
        </w:rPr>
        <w:t xml:space="preserve"> neuropsychological tests</w:t>
      </w:r>
      <w:r w:rsidR="00C1350E">
        <w:rPr>
          <w:rFonts w:ascii="Verdana" w:hAnsi="Verdana"/>
          <w:lang w:val="en-GB"/>
        </w:rPr>
        <w:t xml:space="preserve"> </w:t>
      </w:r>
      <w:r w:rsidR="00393480">
        <w:rPr>
          <w:rFonts w:ascii="Verdana" w:hAnsi="Verdana"/>
          <w:lang w:val="en-GB"/>
        </w:rPr>
        <w:t xml:space="preserve">out of a small cognitive test selection </w:t>
      </w:r>
      <w:r w:rsidR="00C1350E">
        <w:rPr>
          <w:rFonts w:ascii="Verdana" w:hAnsi="Verdana"/>
          <w:lang w:val="en-GB"/>
        </w:rPr>
        <w:t>(</w:t>
      </w:r>
      <w:proofErr w:type="spellStart"/>
      <w:r w:rsidR="00C1350E">
        <w:rPr>
          <w:rFonts w:ascii="Verdana" w:hAnsi="Verdana"/>
          <w:lang w:val="en-GB"/>
        </w:rPr>
        <w:t>Litvan</w:t>
      </w:r>
      <w:proofErr w:type="spellEnd"/>
      <w:r w:rsidR="00C1350E">
        <w:rPr>
          <w:rFonts w:ascii="Verdana" w:hAnsi="Verdana"/>
          <w:lang w:val="en-GB"/>
        </w:rPr>
        <w:t xml:space="preserve"> et al., 2012)</w:t>
      </w:r>
      <w:r w:rsidR="009B37C9">
        <w:rPr>
          <w:rFonts w:ascii="Verdana" w:hAnsi="Verdana"/>
          <w:lang w:val="en-GB"/>
        </w:rPr>
        <w:t>. Level II assessment is</w:t>
      </w:r>
      <w:r w:rsidR="00CF7069">
        <w:rPr>
          <w:rFonts w:ascii="Verdana" w:hAnsi="Verdana"/>
          <w:lang w:val="en-GB"/>
        </w:rPr>
        <w:t xml:space="preserve"> more comprehensive and includes</w:t>
      </w:r>
      <w:r w:rsidR="00A710BC">
        <w:rPr>
          <w:rFonts w:ascii="Verdana" w:hAnsi="Verdana"/>
          <w:lang w:val="en-GB"/>
        </w:rPr>
        <w:t xml:space="preserve"> at least 2 tests per cognitive domain; </w:t>
      </w:r>
      <w:r w:rsidR="00CF7069">
        <w:rPr>
          <w:rFonts w:ascii="Verdana" w:hAnsi="Verdana"/>
          <w:lang w:val="en-GB"/>
        </w:rPr>
        <w:t>if deficits are</w:t>
      </w:r>
      <w:r w:rsidR="00A710BC">
        <w:rPr>
          <w:rFonts w:ascii="Verdana" w:hAnsi="Verdana"/>
          <w:lang w:val="en-GB"/>
        </w:rPr>
        <w:t xml:space="preserve"> present in at least two test</w:t>
      </w:r>
      <w:r w:rsidR="00380D04">
        <w:rPr>
          <w:rFonts w:ascii="Verdana" w:hAnsi="Verdana"/>
          <w:lang w:val="en-GB"/>
        </w:rPr>
        <w:t>s</w:t>
      </w:r>
      <w:r w:rsidR="00A710BC">
        <w:rPr>
          <w:rFonts w:ascii="Verdana" w:hAnsi="Verdana"/>
          <w:lang w:val="en-GB"/>
        </w:rPr>
        <w:t xml:space="preserve"> </w:t>
      </w:r>
      <w:r w:rsidR="00CF7069">
        <w:rPr>
          <w:rFonts w:ascii="Verdana" w:hAnsi="Verdana"/>
          <w:lang w:val="en-GB"/>
        </w:rPr>
        <w:t>for</w:t>
      </w:r>
      <w:r w:rsidR="00A710BC">
        <w:rPr>
          <w:rFonts w:ascii="Verdana" w:hAnsi="Verdana"/>
          <w:lang w:val="en-GB"/>
        </w:rPr>
        <w:t xml:space="preserve"> the same </w:t>
      </w:r>
      <w:r w:rsidR="00CF7069">
        <w:rPr>
          <w:rFonts w:ascii="Verdana" w:hAnsi="Verdana"/>
          <w:lang w:val="en-GB"/>
        </w:rPr>
        <w:t xml:space="preserve">cognitive </w:t>
      </w:r>
      <w:r w:rsidR="00A710BC">
        <w:rPr>
          <w:rFonts w:ascii="Verdana" w:hAnsi="Verdana"/>
          <w:lang w:val="en-GB"/>
        </w:rPr>
        <w:t>domain</w:t>
      </w:r>
      <w:r w:rsidR="00CF7069">
        <w:rPr>
          <w:rFonts w:ascii="Verdana" w:hAnsi="Verdana"/>
          <w:lang w:val="en-GB"/>
        </w:rPr>
        <w:t xml:space="preserve">, a </w:t>
      </w:r>
      <w:r w:rsidR="00CA126D">
        <w:rPr>
          <w:rFonts w:ascii="Verdana" w:hAnsi="Verdana"/>
          <w:lang w:val="en-GB"/>
        </w:rPr>
        <w:t xml:space="preserve">single-domain </w:t>
      </w:r>
      <w:r w:rsidR="00CF7069">
        <w:rPr>
          <w:rFonts w:ascii="Verdana" w:hAnsi="Verdana"/>
          <w:lang w:val="en-GB"/>
        </w:rPr>
        <w:t>PD-MCI is diagnosed,</w:t>
      </w:r>
      <w:r w:rsidR="00484CF7">
        <w:rPr>
          <w:rFonts w:ascii="Verdana" w:hAnsi="Verdana"/>
          <w:lang w:val="en-GB"/>
        </w:rPr>
        <w:t xml:space="preserve"> while</w:t>
      </w:r>
      <w:r w:rsidR="00CF7069">
        <w:rPr>
          <w:rFonts w:ascii="Verdana" w:hAnsi="Verdana"/>
          <w:lang w:val="en-GB"/>
        </w:rPr>
        <w:t xml:space="preserve"> if </w:t>
      </w:r>
      <w:r w:rsidR="00484CF7">
        <w:rPr>
          <w:rFonts w:ascii="Verdana" w:hAnsi="Verdana"/>
          <w:lang w:val="en-GB"/>
        </w:rPr>
        <w:t xml:space="preserve">deficits are present </w:t>
      </w:r>
      <w:r w:rsidR="00F66FAD">
        <w:rPr>
          <w:rFonts w:ascii="Verdana" w:hAnsi="Verdana"/>
          <w:lang w:val="en-GB"/>
        </w:rPr>
        <w:t>across different domains</w:t>
      </w:r>
      <w:r w:rsidR="00484CF7">
        <w:rPr>
          <w:rFonts w:ascii="Verdana" w:hAnsi="Verdana"/>
          <w:lang w:val="en-GB"/>
        </w:rPr>
        <w:t xml:space="preserve">, a </w:t>
      </w:r>
      <w:r w:rsidR="00F66FAD">
        <w:rPr>
          <w:rFonts w:ascii="Verdana" w:hAnsi="Verdana"/>
          <w:lang w:val="en-GB"/>
        </w:rPr>
        <w:t>multiple domain subtype</w:t>
      </w:r>
      <w:r w:rsidR="00484CF7">
        <w:rPr>
          <w:rFonts w:ascii="Verdana" w:hAnsi="Verdana"/>
          <w:lang w:val="en-GB"/>
        </w:rPr>
        <w:t xml:space="preserve"> is diagnosed </w:t>
      </w:r>
      <w:r w:rsidR="00C1350E">
        <w:rPr>
          <w:rFonts w:ascii="Verdana" w:hAnsi="Verdana"/>
          <w:lang w:val="en-GB"/>
        </w:rPr>
        <w:t>(</w:t>
      </w:r>
      <w:proofErr w:type="spellStart"/>
      <w:r w:rsidR="00C1350E">
        <w:rPr>
          <w:rFonts w:ascii="Verdana" w:hAnsi="Verdana"/>
          <w:lang w:val="en-GB"/>
        </w:rPr>
        <w:t>Litvan</w:t>
      </w:r>
      <w:proofErr w:type="spellEnd"/>
      <w:r w:rsidR="00C1350E">
        <w:rPr>
          <w:rFonts w:ascii="Verdana" w:hAnsi="Verdana"/>
          <w:lang w:val="en-GB"/>
        </w:rPr>
        <w:t xml:space="preserve"> et al., 2012)</w:t>
      </w:r>
      <w:r w:rsidR="00F66FAD">
        <w:rPr>
          <w:rFonts w:ascii="Verdana" w:hAnsi="Verdana"/>
          <w:lang w:val="en-GB"/>
        </w:rPr>
        <w:t>.</w:t>
      </w:r>
      <w:r w:rsidR="00251BB0">
        <w:rPr>
          <w:rFonts w:ascii="Verdana" w:hAnsi="Verdana"/>
          <w:lang w:val="en-GB"/>
        </w:rPr>
        <w:t xml:space="preserve"> </w:t>
      </w:r>
      <w:r w:rsidR="001955AC">
        <w:rPr>
          <w:rFonts w:ascii="Verdana" w:hAnsi="Verdana"/>
          <w:lang w:val="en-GB"/>
        </w:rPr>
        <w:t xml:space="preserve">PDD is </w:t>
      </w:r>
      <w:r w:rsidR="00106307">
        <w:rPr>
          <w:rFonts w:ascii="Verdana" w:hAnsi="Verdana"/>
          <w:lang w:val="en-GB"/>
        </w:rPr>
        <w:t xml:space="preserve">defined </w:t>
      </w:r>
      <w:r w:rsidR="0052257B">
        <w:rPr>
          <w:rFonts w:ascii="Verdana" w:hAnsi="Verdana"/>
          <w:lang w:val="en-GB"/>
        </w:rPr>
        <w:t xml:space="preserve">as a robust impairment of at least two </w:t>
      </w:r>
      <w:r w:rsidR="00602B1E">
        <w:rPr>
          <w:rFonts w:ascii="Verdana" w:hAnsi="Verdana"/>
          <w:lang w:val="en-GB"/>
        </w:rPr>
        <w:t xml:space="preserve">cognitive domains that is progressive and significantly halts the patient’s </w:t>
      </w:r>
      <w:r w:rsidR="00AC63BD">
        <w:rPr>
          <w:rFonts w:ascii="Verdana" w:hAnsi="Verdana"/>
          <w:lang w:val="en-GB"/>
        </w:rPr>
        <w:t>independence</w:t>
      </w:r>
      <w:r w:rsidR="000160F5">
        <w:rPr>
          <w:rFonts w:ascii="Verdana" w:hAnsi="Verdana"/>
          <w:lang w:val="en-GB"/>
        </w:rPr>
        <w:t xml:space="preserve"> </w:t>
      </w:r>
      <w:r w:rsidR="000160F5">
        <w:rPr>
          <w:rFonts w:ascii="Verdana" w:hAnsi="Verdana"/>
          <w:lang w:val="en-GB"/>
        </w:rPr>
        <w:fldChar w:fldCharType="begin"/>
      </w:r>
      <w:r w:rsidR="000160F5">
        <w:rPr>
          <w:rFonts w:ascii="Verdana" w:hAnsi="Verdana"/>
          <w:lang w:val="en-GB"/>
        </w:rPr>
        <w:instrText xml:space="preserve"> ADDIN ZOTERO_ITEM CSL_CITATION {"citationID":"3r5Ca18u","properties":{"formattedCitation":"(Goetz, Emre, and Dubois 2009)","plainCitation":"(Goetz, Emre, and Dubois 2009)","noteIndex":0},"citationItems":[{"id":1836,"uris":["http://zotero.org/users/9330673/items/Q82U8DCD"],"itemData":{"id":1836,"type":"article-journal","container-title":"Annals of Neurology","DOI":"10.1002/ana.21455","ISSN":"03645134, 15318249","issue":"S2","journalAbbreviation":"Ann Neurol.","language":"en","page":"S81-S92","source":"DOI.org (Crossref)","title":"Parkinson's disease dementia: Definitions, guidelines, and research perspectives in diagnosis","title-short":"Parkinson's disease dementia","volume":"64","author":[{"family":"Goetz","given":"Christopher G."},{"family":"Emre","given":"Murat"},{"family":"Dubois","given":"Bruno"}],"issued":{"date-parts":[["2009",1,6]]}}}],"schema":"https://github.com/citation-style-language/schema/raw/master/csl-citation.json"} </w:instrText>
      </w:r>
      <w:r w:rsidR="000160F5">
        <w:rPr>
          <w:rFonts w:ascii="Verdana" w:hAnsi="Verdana"/>
          <w:lang w:val="en-GB"/>
        </w:rPr>
        <w:fldChar w:fldCharType="separate"/>
      </w:r>
      <w:r w:rsidR="000160F5" w:rsidRPr="000160F5">
        <w:rPr>
          <w:rFonts w:ascii="Verdana" w:hAnsi="Verdana"/>
        </w:rPr>
        <w:t>(Goetz, Emre, and Dubois 2009)</w:t>
      </w:r>
      <w:r w:rsidR="000160F5">
        <w:rPr>
          <w:rFonts w:ascii="Verdana" w:hAnsi="Verdana"/>
          <w:lang w:val="en-GB"/>
        </w:rPr>
        <w:fldChar w:fldCharType="end"/>
      </w:r>
      <w:r w:rsidR="00AC63BD">
        <w:rPr>
          <w:rFonts w:ascii="Verdana" w:hAnsi="Verdana"/>
          <w:lang w:val="en-GB"/>
        </w:rPr>
        <w:t xml:space="preserve">. </w:t>
      </w:r>
      <w:r w:rsidR="00E00784">
        <w:rPr>
          <w:rFonts w:ascii="Verdana" w:hAnsi="Verdana"/>
          <w:lang w:val="en-GB"/>
        </w:rPr>
        <w:t>Behavioural disturbances such as hallucinations, delu</w:t>
      </w:r>
      <w:r w:rsidR="00747B33">
        <w:rPr>
          <w:rFonts w:ascii="Verdana" w:hAnsi="Verdana"/>
          <w:lang w:val="en-GB"/>
        </w:rPr>
        <w:t>s</w:t>
      </w:r>
      <w:r w:rsidR="00E00784">
        <w:rPr>
          <w:rFonts w:ascii="Verdana" w:hAnsi="Verdana"/>
          <w:lang w:val="en-GB"/>
        </w:rPr>
        <w:t xml:space="preserve">ions, </w:t>
      </w:r>
      <w:proofErr w:type="gramStart"/>
      <w:r w:rsidR="00E00784">
        <w:rPr>
          <w:rFonts w:ascii="Verdana" w:hAnsi="Verdana"/>
          <w:lang w:val="en-GB"/>
        </w:rPr>
        <w:t>apathy</w:t>
      </w:r>
      <w:proofErr w:type="gramEnd"/>
      <w:r w:rsidR="00E00784">
        <w:rPr>
          <w:rFonts w:ascii="Verdana" w:hAnsi="Verdana"/>
          <w:lang w:val="en-GB"/>
        </w:rPr>
        <w:t xml:space="preserve"> a</w:t>
      </w:r>
      <w:r w:rsidR="00747B33">
        <w:rPr>
          <w:rFonts w:ascii="Verdana" w:hAnsi="Verdana"/>
          <w:lang w:val="en-GB"/>
        </w:rPr>
        <w:t>nd sleep disturbances, are a frequent feature of PDD, but their presence is not required for diagnosis.</w:t>
      </w:r>
      <w:r w:rsidR="004E2A3A">
        <w:rPr>
          <w:rFonts w:ascii="Verdana" w:hAnsi="Verdana"/>
          <w:lang w:val="en-GB"/>
        </w:rPr>
        <w:t xml:space="preserve"> </w:t>
      </w:r>
      <w:r w:rsidR="009C5FF1">
        <w:rPr>
          <w:rFonts w:ascii="Verdana" w:hAnsi="Verdana"/>
          <w:lang w:val="en-GB"/>
        </w:rPr>
        <w:t xml:space="preserve">The presence of other diseases or </w:t>
      </w:r>
      <w:r w:rsidR="00F332FB">
        <w:rPr>
          <w:rFonts w:ascii="Verdana" w:hAnsi="Verdana"/>
          <w:lang w:val="en-GB"/>
        </w:rPr>
        <w:t>abnormalities that can be the cause of mental impairment has to be excluded</w:t>
      </w:r>
      <w:r w:rsidR="004026B1">
        <w:rPr>
          <w:rFonts w:ascii="Verdana" w:hAnsi="Verdana"/>
          <w:lang w:val="en-GB"/>
        </w:rPr>
        <w:t xml:space="preserve"> (Goetz</w:t>
      </w:r>
      <w:r w:rsidR="00B06FA6">
        <w:rPr>
          <w:rFonts w:ascii="Verdana" w:hAnsi="Verdana"/>
          <w:lang w:val="en-GB"/>
        </w:rPr>
        <w:t xml:space="preserve">, Emre </w:t>
      </w:r>
      <w:proofErr w:type="spellStart"/>
      <w:r w:rsidR="00B06FA6">
        <w:rPr>
          <w:rFonts w:ascii="Verdana" w:hAnsi="Verdana"/>
          <w:lang w:val="en-GB"/>
        </w:rPr>
        <w:t>abd</w:t>
      </w:r>
      <w:proofErr w:type="spellEnd"/>
      <w:r w:rsidR="00B06FA6">
        <w:rPr>
          <w:rFonts w:ascii="Verdana" w:hAnsi="Verdana"/>
          <w:lang w:val="en-GB"/>
        </w:rPr>
        <w:t xml:space="preserve"> Dubois</w:t>
      </w:r>
      <w:r w:rsidR="004026B1">
        <w:rPr>
          <w:rFonts w:ascii="Verdana" w:hAnsi="Verdana"/>
          <w:lang w:val="en-GB"/>
        </w:rPr>
        <w:t xml:space="preserve"> 200</w:t>
      </w:r>
      <w:r w:rsidR="00B06FA6">
        <w:rPr>
          <w:rFonts w:ascii="Verdana" w:hAnsi="Verdana"/>
          <w:lang w:val="en-GB"/>
        </w:rPr>
        <w:t>9</w:t>
      </w:r>
      <w:r w:rsidR="004026B1">
        <w:rPr>
          <w:rFonts w:ascii="Verdana" w:hAnsi="Verdana"/>
          <w:lang w:val="en-GB"/>
        </w:rPr>
        <w:t>)</w:t>
      </w:r>
      <w:r w:rsidR="00F332FB">
        <w:rPr>
          <w:rFonts w:ascii="Verdana" w:hAnsi="Verdana"/>
          <w:lang w:val="en-GB"/>
        </w:rPr>
        <w:t xml:space="preserve">. </w:t>
      </w:r>
      <w:r w:rsidR="001B14BF">
        <w:rPr>
          <w:rFonts w:ascii="Verdana" w:hAnsi="Verdana"/>
          <w:lang w:val="en-GB"/>
        </w:rPr>
        <w:t>For a diagnosis of probable PDD, patients must present</w:t>
      </w:r>
      <w:r w:rsidR="00F960D3">
        <w:rPr>
          <w:rFonts w:ascii="Verdana" w:hAnsi="Verdana"/>
          <w:lang w:val="en-GB"/>
        </w:rPr>
        <w:t xml:space="preserve"> typical PDD features in absence of features of uncertainty. </w:t>
      </w:r>
      <w:r w:rsidR="00182BAB">
        <w:rPr>
          <w:rFonts w:ascii="Verdana" w:hAnsi="Verdana"/>
          <w:lang w:val="en-GB"/>
        </w:rPr>
        <w:t>If the patient presents with atypical features</w:t>
      </w:r>
      <w:r w:rsidR="00741CAF">
        <w:rPr>
          <w:rFonts w:ascii="Verdana" w:hAnsi="Verdana"/>
          <w:lang w:val="en-GB"/>
        </w:rPr>
        <w:t>, and/or issues of uncertainty, only a diagnosis of possible PD can be made</w:t>
      </w:r>
      <w:r w:rsidR="004026B1">
        <w:rPr>
          <w:rFonts w:ascii="Verdana" w:hAnsi="Verdana"/>
          <w:lang w:val="en-GB"/>
        </w:rPr>
        <w:t xml:space="preserve"> (Goetz,</w:t>
      </w:r>
      <w:r w:rsidR="00B06FA6">
        <w:rPr>
          <w:rFonts w:ascii="Verdana" w:hAnsi="Verdana"/>
          <w:lang w:val="en-GB"/>
        </w:rPr>
        <w:t xml:space="preserve"> Emre and Dubois</w:t>
      </w:r>
      <w:r w:rsidR="004026B1">
        <w:rPr>
          <w:rFonts w:ascii="Verdana" w:hAnsi="Verdana"/>
          <w:lang w:val="en-GB"/>
        </w:rPr>
        <w:t xml:space="preserve"> 200</w:t>
      </w:r>
      <w:r w:rsidR="00B06FA6">
        <w:rPr>
          <w:rFonts w:ascii="Verdana" w:hAnsi="Verdana"/>
          <w:lang w:val="en-GB"/>
        </w:rPr>
        <w:t>9</w:t>
      </w:r>
      <w:r w:rsidR="004026B1">
        <w:rPr>
          <w:rFonts w:ascii="Verdana" w:hAnsi="Verdana"/>
          <w:lang w:val="en-GB"/>
        </w:rPr>
        <w:t>)</w:t>
      </w:r>
      <w:r w:rsidR="00741CAF">
        <w:rPr>
          <w:rFonts w:ascii="Verdana" w:hAnsi="Verdana"/>
          <w:lang w:val="en-GB"/>
        </w:rPr>
        <w:t>.</w:t>
      </w:r>
      <w:r w:rsidR="00A90DF6">
        <w:rPr>
          <w:rFonts w:ascii="Verdana" w:hAnsi="Verdana"/>
          <w:lang w:val="en-GB"/>
        </w:rPr>
        <w:t xml:space="preserve"> </w:t>
      </w:r>
      <w:r w:rsidR="00D05926">
        <w:rPr>
          <w:rFonts w:ascii="Verdana" w:hAnsi="Verdana"/>
          <w:lang w:val="en-GB"/>
        </w:rPr>
        <w:t>PDD exists on a spectrum within the</w:t>
      </w:r>
      <w:r w:rsidR="006745A7">
        <w:rPr>
          <w:rFonts w:ascii="Verdana" w:hAnsi="Verdana"/>
          <w:lang w:val="en-GB"/>
        </w:rPr>
        <w:t xml:space="preserve"> group of diseases addressed as</w:t>
      </w:r>
      <w:r w:rsidR="00D05926">
        <w:rPr>
          <w:rFonts w:ascii="Verdana" w:hAnsi="Verdana"/>
          <w:lang w:val="en-GB"/>
        </w:rPr>
        <w:t xml:space="preserve"> Lewy Body Dementia</w:t>
      </w:r>
      <w:r w:rsidR="006745A7">
        <w:rPr>
          <w:rFonts w:ascii="Verdana" w:hAnsi="Verdana"/>
          <w:lang w:val="en-GB"/>
        </w:rPr>
        <w:t>s (LBD), and it is n</w:t>
      </w:r>
      <w:r w:rsidR="00167C4D">
        <w:rPr>
          <w:rFonts w:ascii="Verdana" w:hAnsi="Verdana"/>
          <w:lang w:val="en-GB"/>
        </w:rPr>
        <w:t>europathologically</w:t>
      </w:r>
      <w:r w:rsidR="008D0E70">
        <w:rPr>
          <w:rFonts w:ascii="Verdana" w:hAnsi="Verdana"/>
          <w:lang w:val="en-GB"/>
        </w:rPr>
        <w:t xml:space="preserve"> indistinguishable from Dementia with Lewy </w:t>
      </w:r>
      <w:r w:rsidR="008D0E70">
        <w:rPr>
          <w:rFonts w:ascii="Verdana" w:hAnsi="Verdana"/>
          <w:lang w:val="en-GB"/>
        </w:rPr>
        <w:lastRenderedPageBreak/>
        <w:t>Bodies (DLB)</w:t>
      </w:r>
      <w:r w:rsidR="006745A7">
        <w:rPr>
          <w:rFonts w:ascii="Verdana" w:hAnsi="Verdana"/>
          <w:lang w:val="en-GB"/>
        </w:rPr>
        <w:t>. Indeed, the two pathologies are currently only separated clinically based on the 1-year rule</w:t>
      </w:r>
      <w:r w:rsidR="005648C4">
        <w:rPr>
          <w:rFonts w:ascii="Verdana" w:hAnsi="Verdana"/>
          <w:lang w:val="en-GB"/>
        </w:rPr>
        <w:t>, diagnosing as DLB those cases</w:t>
      </w:r>
      <w:r w:rsidR="00B254AA">
        <w:rPr>
          <w:rFonts w:ascii="Verdana" w:hAnsi="Verdana"/>
          <w:lang w:val="en-GB"/>
        </w:rPr>
        <w:t xml:space="preserve"> whe</w:t>
      </w:r>
      <w:r w:rsidR="005648C4">
        <w:rPr>
          <w:rFonts w:ascii="Verdana" w:hAnsi="Verdana"/>
          <w:lang w:val="en-GB"/>
        </w:rPr>
        <w:t>re</w:t>
      </w:r>
      <w:r w:rsidR="00B254AA">
        <w:rPr>
          <w:rFonts w:ascii="Verdana" w:hAnsi="Verdana"/>
          <w:lang w:val="en-GB"/>
        </w:rPr>
        <w:t xml:space="preserve"> dementia occurs before or </w:t>
      </w:r>
      <w:r w:rsidR="005648C4">
        <w:rPr>
          <w:rFonts w:ascii="Verdana" w:hAnsi="Verdana"/>
          <w:lang w:val="en-GB"/>
        </w:rPr>
        <w:t>within one year from the onset of parkinsonis</w:t>
      </w:r>
      <w:r w:rsidR="00A90DF6">
        <w:rPr>
          <w:rFonts w:ascii="Verdana" w:hAnsi="Verdana"/>
          <w:lang w:val="en-GB"/>
        </w:rPr>
        <w:t>m.</w:t>
      </w:r>
    </w:p>
    <w:p w14:paraId="434AA207" w14:textId="10B2A261" w:rsidR="003B097F" w:rsidRDefault="00B24F5C" w:rsidP="00291DAF">
      <w:pPr>
        <w:spacing w:line="360" w:lineRule="auto"/>
        <w:jc w:val="both"/>
        <w:rPr>
          <w:rFonts w:ascii="Verdana" w:hAnsi="Verdana"/>
          <w:lang w:val="en-GB"/>
        </w:rPr>
      </w:pPr>
      <w:r>
        <w:rPr>
          <w:rFonts w:ascii="Verdana" w:hAnsi="Verdana"/>
          <w:lang w:val="en-GB"/>
        </w:rPr>
        <w:t>To date, no approved pharmacological treatment exists for PD-MCI</w:t>
      </w:r>
      <w:r w:rsidR="0042714B">
        <w:rPr>
          <w:rFonts w:ascii="Verdana" w:hAnsi="Verdana"/>
          <w:lang w:val="en-GB"/>
        </w:rPr>
        <w:t>.</w:t>
      </w:r>
      <w:r w:rsidR="00FF7398">
        <w:rPr>
          <w:rFonts w:ascii="Verdana" w:hAnsi="Verdana"/>
          <w:lang w:val="en-GB"/>
        </w:rPr>
        <w:t xml:space="preserve"> </w:t>
      </w:r>
      <w:r w:rsidR="0042714B">
        <w:rPr>
          <w:rFonts w:ascii="Verdana" w:hAnsi="Verdana"/>
          <w:lang w:val="en-GB"/>
        </w:rPr>
        <w:t>O</w:t>
      </w:r>
      <w:r w:rsidR="00FF7398">
        <w:rPr>
          <w:rFonts w:ascii="Verdana" w:hAnsi="Verdana"/>
          <w:lang w:val="en-GB"/>
        </w:rPr>
        <w:t>nly one drug, the cholinesterase inhibitor ri</w:t>
      </w:r>
      <w:r w:rsidR="00E91468">
        <w:rPr>
          <w:rFonts w:ascii="Verdana" w:hAnsi="Verdana"/>
          <w:lang w:val="en-GB"/>
        </w:rPr>
        <w:t>vastigmine</w:t>
      </w:r>
      <w:r w:rsidR="0042714B">
        <w:rPr>
          <w:rFonts w:ascii="Verdana" w:hAnsi="Verdana"/>
          <w:lang w:val="en-GB"/>
        </w:rPr>
        <w:t>,</w:t>
      </w:r>
      <w:r w:rsidR="00E91468">
        <w:rPr>
          <w:rFonts w:ascii="Verdana" w:hAnsi="Verdana"/>
          <w:lang w:val="en-GB"/>
        </w:rPr>
        <w:t xml:space="preserve"> has shown clinically significant albeit modest </w:t>
      </w:r>
      <w:r w:rsidR="0042714B">
        <w:rPr>
          <w:rFonts w:ascii="Verdana" w:hAnsi="Verdana"/>
          <w:lang w:val="en-GB"/>
        </w:rPr>
        <w:t>effects in PDD</w:t>
      </w:r>
      <w:r w:rsidR="00B06FA6">
        <w:rPr>
          <w:rFonts w:ascii="Verdana" w:hAnsi="Verdana"/>
          <w:lang w:val="en-GB"/>
        </w:rPr>
        <w:t xml:space="preserve"> </w:t>
      </w:r>
      <w:r w:rsidR="00B06FA6">
        <w:rPr>
          <w:rFonts w:ascii="Verdana" w:hAnsi="Verdana"/>
          <w:lang w:val="en-GB"/>
        </w:rPr>
        <w:fldChar w:fldCharType="begin"/>
      </w:r>
      <w:r w:rsidR="00B06FA6">
        <w:rPr>
          <w:rFonts w:ascii="Verdana" w:hAnsi="Verdana"/>
          <w:lang w:val="en-GB"/>
        </w:rPr>
        <w:instrText xml:space="preserve"> ADDIN ZOTERO_ITEM CSL_CITATION {"citationID":"49amxiJ4","properties":{"formattedCitation":"(Emre 2004)","plainCitation":"(Emre 2004)","noteIndex":0},"citationItems":[{"id":222,"uris":["http://zotero.org/users/9330673/items/JK3K4IQN"],"itemData":{"id":222,"type":"article-journal","abstract":"Dementia is highly prevalent in Parkinson’s disease. The prototype of dementia in Parkinson’s disease is a dysexecutive syndrome with impaired attention, executive functions and secondarily impaired memory. Neurochemically the most significant deficit seems to be cholinergic; dementia seems to correlate best with cortical and limbic Lewy bodies. Preliminary evidence suggests that cholinesterase inhibitors may be effective in Parkinson’s disease dementia, and the results of large-scale, randomized and controlled studies are awaited to confirm these findings.","container-title":"Current Opinion in Neurology","DOI":"10.1097/01.wco.0000137529.30750.ab","ISSN":"1350-7540","issue":"4","language":"en","page":"399-404","source":"DOI.org (Crossref)","title":"Dementia in Parkinson's disease: cause and treatment","title-short":"Dementia in Parkinson's disease","volume":"17","author":[{"family":"Emre","given":"Murat"}],"issued":{"date-parts":[["2004",8]]}}}],"schema":"https://github.com/citation-style-language/schema/raw/master/csl-citation.json"} </w:instrText>
      </w:r>
      <w:r w:rsidR="00B06FA6">
        <w:rPr>
          <w:rFonts w:ascii="Verdana" w:hAnsi="Verdana"/>
          <w:lang w:val="en-GB"/>
        </w:rPr>
        <w:fldChar w:fldCharType="separate"/>
      </w:r>
      <w:r w:rsidR="00B06FA6" w:rsidRPr="00B06FA6">
        <w:rPr>
          <w:rFonts w:ascii="Verdana" w:hAnsi="Verdana"/>
        </w:rPr>
        <w:t>(Emre 2004)</w:t>
      </w:r>
      <w:r w:rsidR="00B06FA6">
        <w:rPr>
          <w:rFonts w:ascii="Verdana" w:hAnsi="Verdana"/>
          <w:lang w:val="en-GB"/>
        </w:rPr>
        <w:fldChar w:fldCharType="end"/>
      </w:r>
      <w:r w:rsidR="00293831">
        <w:rPr>
          <w:rFonts w:ascii="Verdana" w:hAnsi="Verdana"/>
          <w:lang w:val="en-GB"/>
        </w:rPr>
        <w:t>,</w:t>
      </w:r>
      <w:r w:rsidR="00E2459B">
        <w:rPr>
          <w:rFonts w:ascii="Verdana" w:hAnsi="Verdana"/>
          <w:lang w:val="en-GB"/>
        </w:rPr>
        <w:t xml:space="preserve"> and is currently approved for treatment.</w:t>
      </w:r>
      <w:r w:rsidR="0008371B">
        <w:rPr>
          <w:rFonts w:ascii="Verdana" w:hAnsi="Verdana"/>
          <w:lang w:val="en-GB"/>
        </w:rPr>
        <w:t xml:space="preserve"> </w:t>
      </w:r>
      <w:r w:rsidR="007753D1">
        <w:rPr>
          <w:rFonts w:ascii="Verdana" w:hAnsi="Verdana"/>
          <w:lang w:val="en-GB"/>
        </w:rPr>
        <w:t>Therefore, c</w:t>
      </w:r>
      <w:r w:rsidR="0008371B">
        <w:rPr>
          <w:rFonts w:ascii="Verdana" w:hAnsi="Verdana"/>
          <w:lang w:val="en-GB"/>
        </w:rPr>
        <w:t xml:space="preserve">ognition in PD is mostly </w:t>
      </w:r>
      <w:r w:rsidR="00D038D1">
        <w:rPr>
          <w:rFonts w:ascii="Verdana" w:hAnsi="Verdana"/>
          <w:lang w:val="en-GB"/>
        </w:rPr>
        <w:t>treated with non-pharmacological approaches</w:t>
      </w:r>
      <w:r w:rsidR="004A0034">
        <w:rPr>
          <w:rFonts w:ascii="Verdana" w:hAnsi="Verdana"/>
          <w:lang w:val="en-GB"/>
        </w:rPr>
        <w:t>. Cognitive training</w:t>
      </w:r>
      <w:r w:rsidR="00BA24B3">
        <w:rPr>
          <w:rFonts w:ascii="Verdana" w:hAnsi="Verdana"/>
          <w:lang w:val="en-GB"/>
        </w:rPr>
        <w:t xml:space="preserve"> such as engagement in social activities</w:t>
      </w:r>
      <w:r w:rsidR="00B21550">
        <w:rPr>
          <w:rFonts w:ascii="Verdana" w:hAnsi="Verdana"/>
          <w:lang w:val="en-GB"/>
        </w:rPr>
        <w:t xml:space="preserve"> and guided tasks,</w:t>
      </w:r>
      <w:r w:rsidR="004A0034">
        <w:rPr>
          <w:rFonts w:ascii="Verdana" w:hAnsi="Verdana"/>
          <w:lang w:val="en-GB"/>
        </w:rPr>
        <w:t xml:space="preserve"> and physical exercise</w:t>
      </w:r>
      <w:r w:rsidR="00B21550">
        <w:rPr>
          <w:rFonts w:ascii="Verdana" w:hAnsi="Verdana"/>
          <w:lang w:val="en-GB"/>
        </w:rPr>
        <w:t xml:space="preserve"> such as treadmill training,</w:t>
      </w:r>
      <w:r w:rsidR="00282D2D">
        <w:rPr>
          <w:rFonts w:ascii="Verdana" w:hAnsi="Verdana"/>
          <w:lang w:val="en-GB"/>
        </w:rPr>
        <w:t xml:space="preserve"> have </w:t>
      </w:r>
      <w:r w:rsidR="007C4451">
        <w:rPr>
          <w:rFonts w:ascii="Verdana" w:hAnsi="Verdana"/>
          <w:lang w:val="en-GB"/>
        </w:rPr>
        <w:t xml:space="preserve">been </w:t>
      </w:r>
      <w:r w:rsidR="00282D2D">
        <w:rPr>
          <w:rFonts w:ascii="Verdana" w:hAnsi="Verdana"/>
          <w:lang w:val="en-GB"/>
        </w:rPr>
        <w:t>shown</w:t>
      </w:r>
      <w:r w:rsidR="007C4451">
        <w:rPr>
          <w:rFonts w:ascii="Verdana" w:hAnsi="Verdana"/>
          <w:lang w:val="en-GB"/>
        </w:rPr>
        <w:t xml:space="preserve"> to </w:t>
      </w:r>
      <w:r w:rsidR="00DE4A94">
        <w:rPr>
          <w:rFonts w:ascii="Verdana" w:hAnsi="Verdana"/>
          <w:lang w:val="en-GB"/>
        </w:rPr>
        <w:t>pro</w:t>
      </w:r>
      <w:r w:rsidR="007F2D6C">
        <w:rPr>
          <w:rFonts w:ascii="Verdana" w:hAnsi="Verdana"/>
          <w:lang w:val="en-GB"/>
        </w:rPr>
        <w:t>mote</w:t>
      </w:r>
      <w:r w:rsidR="00524457">
        <w:rPr>
          <w:rFonts w:ascii="Verdana" w:hAnsi="Verdana"/>
          <w:lang w:val="en-GB"/>
        </w:rPr>
        <w:t xml:space="preserve"> short-term improvement of attention, mental flexibility</w:t>
      </w:r>
      <w:r w:rsidR="00F24738">
        <w:rPr>
          <w:rFonts w:ascii="Verdana" w:hAnsi="Verdana"/>
          <w:lang w:val="en-GB"/>
        </w:rPr>
        <w:t>,</w:t>
      </w:r>
      <w:r w:rsidR="00524457">
        <w:rPr>
          <w:rFonts w:ascii="Verdana" w:hAnsi="Verdana"/>
          <w:lang w:val="en-GB"/>
        </w:rPr>
        <w:t xml:space="preserve"> and</w:t>
      </w:r>
      <w:r w:rsidR="00882975">
        <w:rPr>
          <w:rFonts w:ascii="Verdana" w:hAnsi="Verdana"/>
          <w:lang w:val="en-GB"/>
        </w:rPr>
        <w:t xml:space="preserve"> overall cognition</w:t>
      </w:r>
      <w:r w:rsidR="00303842">
        <w:rPr>
          <w:rFonts w:ascii="Verdana" w:hAnsi="Verdana"/>
          <w:lang w:val="en-GB"/>
        </w:rPr>
        <w:t xml:space="preserve"> </w:t>
      </w:r>
      <w:r w:rsidR="00303842">
        <w:rPr>
          <w:rFonts w:ascii="Verdana" w:hAnsi="Verdana"/>
          <w:lang w:val="en-GB"/>
        </w:rPr>
        <w:fldChar w:fldCharType="begin"/>
      </w:r>
      <w:r w:rsidR="00303842">
        <w:rPr>
          <w:rFonts w:ascii="Verdana" w:hAnsi="Verdana"/>
          <w:lang w:val="en-GB"/>
        </w:rPr>
        <w:instrText xml:space="preserve"> ADDIN ZOTERO_ITEM CSL_CITATION {"citationID":"yhyw720v","properties":{"formattedCitation":"(da Silva et al. 2018)","plainCitation":"(da Silva et al. 2018)","noteIndex":0},"citationItems":[{"id":1906,"uris":["http://zotero.org/users/9330673/items/V5NEE42F"],"itemData":{"id":1906,"type":"article-journal","container-title":"PLOS ONE","DOI":"10.1371/journal.pone.0193113","ISSN":"1932-6203","issue":"2","journalAbbreviation":"PLoS ONE","language":"en","page":"e0193113","source":"DOI.org (Crossref)","title":"Effects of physical exercise programs on cognitive function in Parkinson’s disease patients: A systematic review of randomized controlled trials of the last 10 years","title-short":"Effects of physical exercise programs on cognitive function in Parkinson’s disease patients","volume":"13","author":[{"family":"Silva","given":"Franciele Cascaes","non-dropping-particle":"da"},{"family":"Iop","given":"Rodrigo da Rosa"},{"family":"Oliveira","given":"Laiana Cândido","non-dropping-particle":"de"},{"family":"Boll","given":"Alice Mathea"},{"family":"Alvarenga","given":"José Gustavo Souza","non-dropping-particle":"de"},{"family":"Gutierres Filho","given":"Paulo José Barbosa"},{"family":"Melo","given":"Lídia Mara Aguiar Bezerra","non-dropping-particle":"de"},{"family":"Xavier","given":"André Junqueira"},{"family":"Silva","given":"Rudney","non-dropping-particle":"da"}],"editor":[{"family":"Ginsberg","given":"Stephen D"}],"issued":{"date-parts":[["2018",2,27]]}}}],"schema":"https://github.com/citation-style-language/schema/raw/master/csl-citation.json"} </w:instrText>
      </w:r>
      <w:r w:rsidR="00303842">
        <w:rPr>
          <w:rFonts w:ascii="Verdana" w:hAnsi="Verdana"/>
          <w:lang w:val="en-GB"/>
        </w:rPr>
        <w:fldChar w:fldCharType="separate"/>
      </w:r>
      <w:r w:rsidR="00303842" w:rsidRPr="00303842">
        <w:rPr>
          <w:rFonts w:ascii="Verdana" w:hAnsi="Verdana"/>
        </w:rPr>
        <w:t>(da Silva et al. 2018)</w:t>
      </w:r>
      <w:r w:rsidR="00303842">
        <w:rPr>
          <w:rFonts w:ascii="Verdana" w:hAnsi="Verdana"/>
          <w:lang w:val="en-GB"/>
        </w:rPr>
        <w:fldChar w:fldCharType="end"/>
      </w:r>
      <w:r w:rsidR="00F24738">
        <w:rPr>
          <w:rFonts w:ascii="Verdana" w:hAnsi="Verdana"/>
          <w:lang w:val="en-GB"/>
        </w:rPr>
        <w:t>.</w:t>
      </w:r>
    </w:p>
    <w:p w14:paraId="49B94137" w14:textId="23212301" w:rsidR="003B097F" w:rsidRDefault="003B097F" w:rsidP="00291DAF">
      <w:pPr>
        <w:spacing w:line="360" w:lineRule="auto"/>
        <w:jc w:val="both"/>
        <w:rPr>
          <w:rFonts w:ascii="Verdana" w:hAnsi="Verdana"/>
          <w:lang w:val="en-GB"/>
        </w:rPr>
      </w:pPr>
    </w:p>
    <w:p w14:paraId="4948921D" w14:textId="77777777" w:rsidR="00837B74" w:rsidRPr="003B097F" w:rsidRDefault="00837B74" w:rsidP="00291DAF">
      <w:pPr>
        <w:spacing w:line="360" w:lineRule="auto"/>
        <w:jc w:val="both"/>
        <w:rPr>
          <w:rFonts w:ascii="Verdana" w:hAnsi="Verdana"/>
          <w:lang w:val="en-GB"/>
        </w:rPr>
      </w:pPr>
    </w:p>
    <w:p w14:paraId="657BEEB6" w14:textId="4572010C" w:rsidR="0092667A" w:rsidRPr="009C3C88" w:rsidRDefault="003B097F" w:rsidP="004F0024">
      <w:pPr>
        <w:pStyle w:val="Heading2"/>
        <w:numPr>
          <w:ilvl w:val="3"/>
          <w:numId w:val="14"/>
        </w:numPr>
        <w:spacing w:line="360" w:lineRule="auto"/>
        <w:ind w:left="0" w:firstLine="720"/>
        <w:rPr>
          <w:lang w:val="en-GB"/>
        </w:rPr>
      </w:pPr>
      <w:bookmarkStart w:id="23" w:name="_Toc130223395"/>
      <w:r w:rsidRPr="00486A73">
        <w:rPr>
          <w:lang w:val="en-GB"/>
        </w:rPr>
        <w:t>Neurodegeneration</w:t>
      </w:r>
      <w:bookmarkEnd w:id="23"/>
    </w:p>
    <w:p w14:paraId="06E80913" w14:textId="6ED75D7E" w:rsidR="0092667A" w:rsidRDefault="00AA6DC4" w:rsidP="00291DAF">
      <w:pPr>
        <w:spacing w:line="360" w:lineRule="auto"/>
        <w:jc w:val="both"/>
        <w:rPr>
          <w:rFonts w:ascii="Verdana" w:hAnsi="Verdana"/>
          <w:lang w:val="en-GB"/>
        </w:rPr>
      </w:pPr>
      <w:r>
        <w:rPr>
          <w:rFonts w:ascii="Verdana" w:hAnsi="Verdana"/>
          <w:lang w:val="en-GB"/>
        </w:rPr>
        <w:t xml:space="preserve">The molecular events underlying dementia in PD are still poorly understood. Contrarily to the classic manifestation of PD, which has been long linked to degeneration in the </w:t>
      </w:r>
      <w:r w:rsidR="00977047">
        <w:rPr>
          <w:rFonts w:ascii="Verdana" w:hAnsi="Verdana"/>
          <w:lang w:val="en-GB"/>
        </w:rPr>
        <w:t>nigrostriatal</w:t>
      </w:r>
      <w:r>
        <w:rPr>
          <w:rFonts w:ascii="Verdana" w:hAnsi="Verdana"/>
          <w:lang w:val="en-GB"/>
        </w:rPr>
        <w:t xml:space="preserve"> pathway, several neuronal networks seem to contribute to PDD pathophysiology</w:t>
      </w:r>
      <w:r w:rsidR="00303842">
        <w:rPr>
          <w:rFonts w:ascii="Verdana" w:hAnsi="Verdana"/>
          <w:lang w:val="en-GB"/>
        </w:rPr>
        <w:t xml:space="preserve"> </w:t>
      </w:r>
      <w:r w:rsidR="00303842">
        <w:rPr>
          <w:rFonts w:ascii="Verdana" w:hAnsi="Verdana"/>
          <w:lang w:val="en-GB"/>
        </w:rPr>
        <w:fldChar w:fldCharType="begin"/>
      </w:r>
      <w:r w:rsidR="00163782">
        <w:rPr>
          <w:rFonts w:ascii="Verdana" w:hAnsi="Verdana"/>
          <w:lang w:val="en-GB"/>
        </w:rPr>
        <w:instrText xml:space="preserve"> ADDIN ZOTERO_ITEM CSL_CITATION {"citationID":"Fr0j9Gg5","properties":{"formattedCitation":"(Dag Aarsland et al. 2021; Halliday et al. 2014)","plainCitation":"(Dag Aarsland et al. 2021; Halliday et al. 2014)","dontUpdate":true,"noteIndex":0},"citationItems":[{"id":422,"uris":["http://zotero.org/users/9330673/items/86D59QH5"],"itemData":{"id":422,"type":"article-journal","abstract":"Parkinson disease (PD) is the second most common neurodegenerative disorder, affecting &gt;1% of the population ≥65 years of age and with a prevalence set to double by 2030. In addition to the defining motor symptoms of PD, multiple non-motor symptoms occur; among them, cognitive impairment is common and can potentially occur at any disease stage. Cognitive decline is usually slow and insidious, but rapid in some cases. Recently, the focus has been on the early cognitive changes, where executive and visuospatial impairments are typical and can be accompanied by memory impairment, increasing the risk for early progression to dementia.","container-title":"Nature Reviews Disease Primers","DOI":"10.1038/s41572-021-00280-3","ISSN":"2056-676X","issue":"1","journalAbbreviation":"Nat Rev Dis Primers","language":"en","page":"47","source":"DOI.org (Crossref)","title":"Parkinson disease-associated cognitive impairment","volume":"7","author":[{"family":"Aarsland","given":"Dag"},{"family":"Batzu","given":"Lucia"},{"family":"Halliday","given":"Glenda M."},{"family":"Geurtsen","given":"Gert J."},{"family":"Ballard","given":"Clive"},{"family":"Ray Chaudhuri","given":"K."},{"family":"Weintraub","given":"Daniel"}],"issued":{"date-parts":[["2021",12]]}}},{"id":409,"uris":["http://zotero.org/users/9330673/items/QMR34ECN"],"itemData":{"id":409,"type":"article-journal","abstract":"The recent formalization of clinical criteria for PD with dementia (PD-D) codifies many studies on this topic, including those assessing biological correlates. These studies show that the emergence of PD-D occurs on the background of severe dopamine deficits with the main pathological drivers of cognitive decline being a synergistic effect between α -synuclein and Alzheimer's disease pathology. The presence of these pathologies correlates with a marked loss of limbic and cortically projecting dopamine, noradrenaline, serotonin and acetylcholine neurons, although the exact timing of these relationships remains to be determined. Genetic factors, such as triplications in the α-synuclein gene, lead to a clear increased risk of PD-D, while others, such as parkin mutations, are associated with a reduced risk of PD-D. The very recent formalization of clinical criteria for PD with mild cognitive impairment (PD-MCI) allows only speculation on its biological and genetic bases. Critical assessment of animal models shows that chronic low dose MPTP treatment in primates recapitulates PD-MCI over time, enhancing the current biological concept of PD-MCI as having enhanced dopamine deficiency in frontostriatal pathways as well as involvement of other neurotransmitter systems. Data from other animal models support multiple transmitter involvement in cognitive impairment in PD. While dopamine dysfunction has been highlighted because of its obvious role in PD, the role of the other neurotransmitter systems, neurodegenerative pathologies and genetic factors in PD-MCI remain to be fully elucidated.","container-title":"Movement Disorders","DOI":"10.1002/mds.25857","ISSN":"08853185","issue":"5","journalAbbreviation":"Mov Disord.","language":"en","page":"634-650","source":"DOI.org (Crossref)","title":"The neurobiological basis of cognitive impairment in Parkinson's disease: Neurobiology of Parkinson's Disease Dementia","title-short":"The neurobiological basis of cognitive impairment in Parkinson's disease","volume":"29","author":[{"family":"Halliday","given":"Glenda M."},{"family":"Leverenz","given":"James B."},{"family":"Schneider","given":"Jay S."},{"family":"Adler","given":"Charles H."}],"issued":{"date-parts":[["2014",4,15]]}}}],"schema":"https://github.com/citation-style-language/schema/raw/master/csl-citation.json"} </w:instrText>
      </w:r>
      <w:r w:rsidR="00303842">
        <w:rPr>
          <w:rFonts w:ascii="Verdana" w:hAnsi="Verdana"/>
          <w:lang w:val="en-GB"/>
        </w:rPr>
        <w:fldChar w:fldCharType="separate"/>
      </w:r>
      <w:r w:rsidR="00303842" w:rsidRPr="00303842">
        <w:rPr>
          <w:rFonts w:ascii="Verdana" w:hAnsi="Verdana"/>
        </w:rPr>
        <w:t>(Aarsland et al. 2021; Halliday et al. 2014)</w:t>
      </w:r>
      <w:r w:rsidR="00303842">
        <w:rPr>
          <w:rFonts w:ascii="Verdana" w:hAnsi="Verdana"/>
          <w:lang w:val="en-GB"/>
        </w:rPr>
        <w:fldChar w:fldCharType="end"/>
      </w:r>
      <w:r>
        <w:rPr>
          <w:rFonts w:ascii="Verdana" w:hAnsi="Verdana"/>
          <w:lang w:val="en-GB"/>
        </w:rPr>
        <w:t>.</w:t>
      </w:r>
      <w:r w:rsidR="000154FE">
        <w:rPr>
          <w:rFonts w:ascii="Verdana" w:hAnsi="Verdana"/>
          <w:lang w:val="en-GB"/>
        </w:rPr>
        <w:t xml:space="preserve"> Degeneration in PDD </w:t>
      </w:r>
      <w:r w:rsidR="0001583A">
        <w:rPr>
          <w:rFonts w:ascii="Verdana" w:hAnsi="Verdana"/>
          <w:lang w:val="en-GB"/>
        </w:rPr>
        <w:t>is reported to affect dopaminergic, noradrenergic, and cholinergic nuclei that pro</w:t>
      </w:r>
      <w:r w:rsidR="00935812">
        <w:rPr>
          <w:rFonts w:ascii="Verdana" w:hAnsi="Verdana"/>
          <w:lang w:val="en-GB"/>
        </w:rPr>
        <w:t xml:space="preserve">vide neurotransmitter input to the limbic region and </w:t>
      </w:r>
      <w:r w:rsidR="000B732B">
        <w:rPr>
          <w:rFonts w:ascii="Verdana" w:hAnsi="Verdana"/>
          <w:lang w:val="en-GB"/>
        </w:rPr>
        <w:t>the neocortex</w:t>
      </w:r>
      <w:r w:rsidR="00475938">
        <w:rPr>
          <w:rFonts w:ascii="Verdana" w:hAnsi="Verdana"/>
          <w:lang w:val="en-GB"/>
        </w:rPr>
        <w:t xml:space="preserve"> (Figure 4)</w:t>
      </w:r>
      <w:r w:rsidR="000B732B">
        <w:rPr>
          <w:rFonts w:ascii="Verdana" w:hAnsi="Verdana"/>
          <w:lang w:val="en-GB"/>
        </w:rPr>
        <w:t>.</w:t>
      </w:r>
      <w:r w:rsidR="00B91D36">
        <w:rPr>
          <w:rFonts w:ascii="Verdana" w:hAnsi="Verdana"/>
          <w:lang w:val="en-GB"/>
        </w:rPr>
        <w:t xml:space="preserve"> </w:t>
      </w:r>
      <w:r w:rsidR="004444E6">
        <w:rPr>
          <w:rFonts w:ascii="Verdana" w:hAnsi="Verdana"/>
          <w:lang w:val="en-GB"/>
        </w:rPr>
        <w:t xml:space="preserve">The neurotransmitter deficits are widespread, and their </w:t>
      </w:r>
      <w:r w:rsidR="00285D95">
        <w:rPr>
          <w:rFonts w:ascii="Verdana" w:hAnsi="Verdana"/>
          <w:lang w:val="en-GB"/>
        </w:rPr>
        <w:t xml:space="preserve">severity increases with </w:t>
      </w:r>
      <w:r w:rsidR="00AE3A53">
        <w:rPr>
          <w:rFonts w:ascii="Verdana" w:hAnsi="Verdana"/>
          <w:lang w:val="en-GB"/>
        </w:rPr>
        <w:t xml:space="preserve">the worsening of </w:t>
      </w:r>
      <w:r w:rsidR="00285D95">
        <w:rPr>
          <w:rFonts w:ascii="Verdana" w:hAnsi="Verdana"/>
          <w:lang w:val="en-GB"/>
        </w:rPr>
        <w:t>cognitive decline</w:t>
      </w:r>
      <w:r w:rsidR="00200315">
        <w:rPr>
          <w:rFonts w:ascii="Verdana" w:hAnsi="Verdana"/>
          <w:lang w:val="en-GB"/>
        </w:rPr>
        <w:t xml:space="preserve"> </w:t>
      </w:r>
      <w:r w:rsidR="00163782">
        <w:rPr>
          <w:rFonts w:ascii="Verdana" w:hAnsi="Verdana"/>
          <w:lang w:val="en-GB"/>
        </w:rPr>
        <w:fldChar w:fldCharType="begin"/>
      </w:r>
      <w:r w:rsidR="00163782">
        <w:rPr>
          <w:rFonts w:ascii="Verdana" w:hAnsi="Verdana"/>
          <w:lang w:val="en-GB"/>
        </w:rPr>
        <w:instrText xml:space="preserve"> ADDIN ZOTERO_ITEM CSL_CITATION {"citationID":"NOn4esuu","properties":{"formattedCitation":"(Dag Aarsland et al. 2021; Halliday et al. 2014)","plainCitation":"(Dag Aarsland et al. 2021; Halliday et al. 2014)","dontUpdate":true,"noteIndex":0},"citationItems":[{"id":422,"uris":["http://zotero.org/users/9330673/items/86D59QH5"],"itemData":{"id":422,"type":"article-journal","abstract":"Parkinson disease (PD) is the second most common neurodegenerative disorder, affecting &gt;1% of the population ≥65 years of age and with a prevalence set to double by 2030. In addition to the defining motor symptoms of PD, multiple non-motor symptoms occur; among them, cognitive impairment is common and can potentially occur at any disease stage. Cognitive decline is usually slow and insidious, but rapid in some cases. Recently, the focus has been on the early cognitive changes, where executive and visuospatial impairments are typical and can be accompanied by memory impairment, increasing the risk for early progression to dementia.","container-title":"Nature Reviews Disease Primers","DOI":"10.1038/s41572-021-00280-3","ISSN":"2056-676X","issue":"1","journalAbbreviation":"Nat Rev Dis Primers","language":"en","page":"47","source":"DOI.org (Crossref)","title":"Parkinson disease-associated cognitive impairment","volume":"7","author":[{"family":"Aarsland","given":"Dag"},{"family":"Batzu","given":"Lucia"},{"family":"Halliday","given":"Glenda M."},{"family":"Geurtsen","given":"Gert J."},{"family":"Ballard","given":"Clive"},{"family":"Ray Chaudhuri","given":"K."},{"family":"Weintraub","given":"Daniel"}],"issued":{"date-parts":[["2021",12]]}}},{"id":409,"uris":["http://zotero.org/users/9330673/items/QMR34ECN"],"itemData":{"id":409,"type":"article-journal","abstract":"The recent formalization of clinical criteria for PD with dementia (PD-D) codifies many studies on this topic, including those assessing biological correlates. These studies show that the emergence of PD-D occurs on the background of severe dopamine deficits with the main pathological drivers of cognitive decline being a synergistic effect between α -synuclein and Alzheimer's disease pathology. The presence of these pathologies correlates with a marked loss of limbic and cortically projecting dopamine, noradrenaline, serotonin and acetylcholine neurons, although the exact timing of these relationships remains to be determined. Genetic factors, such as triplications in the α-synuclein gene, lead to a clear increased risk of PD-D, while others, such as parkin mutations, are associated with a reduced risk of PD-D. The very recent formalization of clinical criteria for PD with mild cognitive impairment (PD-MCI) allows only speculation on its biological and genetic bases. Critical assessment of animal models shows that chronic low dose MPTP treatment in primates recapitulates PD-MCI over time, enhancing the current biological concept of PD-MCI as having enhanced dopamine deficiency in frontostriatal pathways as well as involvement of other neurotransmitter systems. Data from other animal models support multiple transmitter involvement in cognitive impairment in PD. While dopamine dysfunction has been highlighted because of its obvious role in PD, the role of the other neurotransmitter systems, neurodegenerative pathologies and genetic factors in PD-MCI remain to be fully elucidated.","container-title":"Movement Disorders","DOI":"10.1002/mds.25857","ISSN":"08853185","issue":"5","journalAbbreviation":"Mov Disord.","language":"en","page":"634-650","source":"DOI.org (Crossref)","title":"The neurobiological basis of cognitive impairment in Parkinson's disease: Neurobiology of Parkinson's Disease Dementia","title-short":"The neurobiological basis of cognitive impairment in Parkinson's disease","volume":"29","author":[{"family":"Halliday","given":"Glenda M."},{"family":"Leverenz","given":"James B."},{"family":"Schneider","given":"Jay S."},{"family":"Adler","given":"Charles H."}],"issued":{"date-parts":[["2014",4,15]]}}}],"schema":"https://github.com/citation-style-language/schema/raw/master/csl-citation.json"} </w:instrText>
      </w:r>
      <w:r w:rsidR="00163782">
        <w:rPr>
          <w:rFonts w:ascii="Verdana" w:hAnsi="Verdana"/>
          <w:lang w:val="en-GB"/>
        </w:rPr>
        <w:fldChar w:fldCharType="separate"/>
      </w:r>
      <w:r w:rsidR="00163782" w:rsidRPr="00303842">
        <w:rPr>
          <w:rFonts w:ascii="Verdana" w:hAnsi="Verdana"/>
        </w:rPr>
        <w:t>(Aarsland et al. 2021; Halliday et al. 2014)</w:t>
      </w:r>
      <w:r w:rsidR="00163782">
        <w:rPr>
          <w:rFonts w:ascii="Verdana" w:hAnsi="Verdana"/>
          <w:lang w:val="en-GB"/>
        </w:rPr>
        <w:fldChar w:fldCharType="end"/>
      </w:r>
      <w:r w:rsidR="00163782">
        <w:rPr>
          <w:rFonts w:ascii="Verdana" w:hAnsi="Verdana"/>
          <w:lang w:val="en-GB"/>
        </w:rPr>
        <w:t xml:space="preserve">. </w:t>
      </w:r>
      <w:r w:rsidR="004F4013">
        <w:rPr>
          <w:rFonts w:ascii="Verdana" w:hAnsi="Verdana"/>
          <w:lang w:val="en-GB"/>
        </w:rPr>
        <w:t>The dementia-associated neurodegeneration</w:t>
      </w:r>
      <w:r w:rsidR="002F6976">
        <w:rPr>
          <w:rFonts w:ascii="Verdana" w:hAnsi="Verdana"/>
          <w:lang w:val="en-GB"/>
        </w:rPr>
        <w:t xml:space="preserve"> in PDD patients</w:t>
      </w:r>
      <w:r w:rsidR="004F4013">
        <w:rPr>
          <w:rFonts w:ascii="Verdana" w:hAnsi="Verdana"/>
          <w:lang w:val="en-GB"/>
        </w:rPr>
        <w:t xml:space="preserve"> is reflected in the atrophy of brain regions</w:t>
      </w:r>
      <w:r w:rsidR="002F6976">
        <w:rPr>
          <w:rFonts w:ascii="Verdana" w:hAnsi="Verdana"/>
          <w:lang w:val="en-GB"/>
        </w:rPr>
        <w:t xml:space="preserve"> involved with memory processing and consolidation, specifically the hippocampus and the </w:t>
      </w:r>
      <w:r w:rsidR="00C80FAB">
        <w:rPr>
          <w:rFonts w:ascii="Verdana" w:hAnsi="Verdana"/>
          <w:lang w:val="en-GB"/>
        </w:rPr>
        <w:t xml:space="preserve">prefrontal </w:t>
      </w:r>
      <w:r w:rsidR="002F6976">
        <w:rPr>
          <w:rFonts w:ascii="Verdana" w:hAnsi="Verdana"/>
          <w:lang w:val="en-GB"/>
        </w:rPr>
        <w:t>cortex</w:t>
      </w:r>
      <w:r w:rsidR="00732E78">
        <w:rPr>
          <w:rFonts w:ascii="Verdana" w:hAnsi="Verdana"/>
          <w:lang w:val="en-GB"/>
        </w:rPr>
        <w:t xml:space="preserve"> </w:t>
      </w:r>
      <w:r w:rsidR="00163782">
        <w:rPr>
          <w:rFonts w:ascii="Verdana" w:hAnsi="Verdana"/>
          <w:lang w:val="en-GB"/>
        </w:rPr>
        <w:fldChar w:fldCharType="begin"/>
      </w:r>
      <w:r w:rsidR="00163782">
        <w:rPr>
          <w:rFonts w:ascii="Verdana" w:hAnsi="Verdana"/>
          <w:lang w:val="en-GB"/>
        </w:rPr>
        <w:instrText xml:space="preserve"> ADDIN ZOTERO_ITEM CSL_CITATION {"citationID":"otcQiB7m","properties":{"formattedCitation":"(Nagano-Saito et al. 2005)","plainCitation":"(Nagano-Saito et al. 2005)","noteIndex":0},"citationItems":[{"id":877,"uris":["http://zotero.org/users/9330673/items/ZJ2EFVFQ"],"itemData":{"id":877,"type":"article-journal","abstract":"Objective: Voxel-based morphometry was used to compare the amounts of gray matter in the brains of patients with Parkinson disease (PD) and normal control subjects (NCs) and to identify the specific regions responsible for cognitive dysfunction in PD. Methods: Patients were classified into nondemented (ND) and demented (D) groups according to the criteria of the Diagnostic and Statistical Manual of Mental Disorders (4th ed.), and a group comparison was performed. In the ND patients, a correlation was also performed between local gray matter density and the score on Raven Colored Progressive Matrices (RCPM), a test of executive and visuospatial function. Results: In patients with advanced ND-PD vs NCs, atrophic changes were observed in the limbic/paralimbic areas and the prefrontal cortex. In D vs ND patients, atrophic change was observed widely in the limbic/paralimbic system, including the anterior cingulate gyrus and hippocampus as well as the temporal lobe, dorsolateral prefrontal cortex, thalamus, and caudate nucleus. The RCPM score was positively correlated with the gray matter density in the dorsolateral prefrontal cortex and the parahippocampal gyrus. Conclusions: In patients with Parkinson disease (PD), atrophic changes occur mainly in the limbic/paralimbic and prefrontal areas. These atrophic changes may be related to the development of dementia in PD.","container-title":"Neurology","DOI":"10.1212/01.WNL.0000149510.41793.50","ISSN":"0028-3878, 1526-632X","issue":"2","journalAbbreviation":"Neurology","language":"en","page":"224-229","source":"DOI.org (Crossref)","title":"Cerebral atrophy and its relation to cognitive impairment in Parkinson disease","volume":"64","author":[{"family":"Nagano-Saito","given":"A."},{"family":"Washimi","given":"Y."},{"family":"Arahata","given":"Y."},{"family":"Kachi","given":"T."},{"family":"Lerch","given":"J. P."},{"family":"Evans","given":"A. C."},{"family":"Dagher","given":"A."},{"family":"Ito","given":"K."}],"issued":{"date-parts":[["2005",1,25]]}}}],"schema":"https://github.com/citation-style-language/schema/raw/master/csl-citation.json"} </w:instrText>
      </w:r>
      <w:r w:rsidR="00163782">
        <w:rPr>
          <w:rFonts w:ascii="Verdana" w:hAnsi="Verdana"/>
          <w:lang w:val="en-GB"/>
        </w:rPr>
        <w:fldChar w:fldCharType="separate"/>
      </w:r>
      <w:r w:rsidR="00163782" w:rsidRPr="00163782">
        <w:rPr>
          <w:rFonts w:ascii="Verdana" w:hAnsi="Verdana"/>
        </w:rPr>
        <w:t>(Nagano-Saito et al. 2005)</w:t>
      </w:r>
      <w:r w:rsidR="00163782">
        <w:rPr>
          <w:rFonts w:ascii="Verdana" w:hAnsi="Verdana"/>
          <w:lang w:val="en-GB"/>
        </w:rPr>
        <w:fldChar w:fldCharType="end"/>
      </w:r>
      <w:r w:rsidR="00732E78">
        <w:rPr>
          <w:rFonts w:ascii="Verdana" w:hAnsi="Verdana"/>
          <w:lang w:val="en-GB"/>
        </w:rPr>
        <w:t>.</w:t>
      </w:r>
    </w:p>
    <w:p w14:paraId="7CF4A40D" w14:textId="77777777" w:rsidR="00E73E51" w:rsidRDefault="00E73E51" w:rsidP="00291DAF">
      <w:pPr>
        <w:spacing w:line="360" w:lineRule="auto"/>
        <w:jc w:val="both"/>
        <w:rPr>
          <w:rFonts w:ascii="Verdana" w:hAnsi="Verdana"/>
          <w:lang w:val="en-GB"/>
        </w:rPr>
      </w:pPr>
    </w:p>
    <w:p w14:paraId="2F04576E" w14:textId="5A280607" w:rsidR="0092667A" w:rsidRPr="009C3C88" w:rsidRDefault="00E73E51" w:rsidP="00767F9D">
      <w:pPr>
        <w:pStyle w:val="Heading3"/>
        <w:numPr>
          <w:ilvl w:val="3"/>
          <w:numId w:val="15"/>
        </w:numPr>
        <w:rPr>
          <w:lang w:val="en-GB"/>
        </w:rPr>
      </w:pPr>
      <w:bookmarkStart w:id="24" w:name="_Toc130223396"/>
      <w:r w:rsidRPr="009C3C88">
        <w:rPr>
          <w:lang w:val="en-GB"/>
        </w:rPr>
        <w:t>Neurotransmitter systems</w:t>
      </w:r>
      <w:bookmarkEnd w:id="24"/>
    </w:p>
    <w:p w14:paraId="47A69B2C" w14:textId="7D7CEEE4" w:rsidR="007B5486" w:rsidRDefault="00BD0191" w:rsidP="00291DAF">
      <w:pPr>
        <w:spacing w:line="360" w:lineRule="auto"/>
        <w:jc w:val="both"/>
        <w:rPr>
          <w:rFonts w:ascii="Verdana" w:hAnsi="Verdana"/>
          <w:lang w:val="en-GB"/>
        </w:rPr>
      </w:pPr>
      <w:r>
        <w:rPr>
          <w:rFonts w:ascii="Verdana" w:hAnsi="Verdana"/>
          <w:lang w:val="en-GB"/>
        </w:rPr>
        <w:t>Dementia develops o</w:t>
      </w:r>
      <w:r w:rsidR="00405D0F">
        <w:rPr>
          <w:rFonts w:ascii="Verdana" w:hAnsi="Verdana"/>
          <w:lang w:val="en-GB"/>
        </w:rPr>
        <w:t>ver the presence of severe dopaminergic degeneration</w:t>
      </w:r>
      <w:r w:rsidR="0004366A">
        <w:rPr>
          <w:rFonts w:ascii="Verdana" w:hAnsi="Verdana"/>
          <w:lang w:val="en-GB"/>
        </w:rPr>
        <w:t xml:space="preserve">. In PDD patients, additional degeneration of dopaminergic neurons in the medial SN </w:t>
      </w:r>
      <w:r w:rsidR="00ED6650">
        <w:rPr>
          <w:rFonts w:ascii="Verdana" w:hAnsi="Verdana"/>
          <w:lang w:val="en-GB"/>
        </w:rPr>
        <w:t>has been shown</w:t>
      </w:r>
      <w:r w:rsidR="009444BA">
        <w:rPr>
          <w:rFonts w:ascii="Verdana" w:hAnsi="Verdana"/>
          <w:lang w:val="en-GB"/>
        </w:rPr>
        <w:t xml:space="preserve"> </w:t>
      </w:r>
      <w:r w:rsidR="009444BA">
        <w:rPr>
          <w:rFonts w:ascii="Verdana" w:hAnsi="Verdana"/>
          <w:lang w:val="en-GB"/>
        </w:rPr>
        <w:fldChar w:fldCharType="begin"/>
      </w:r>
      <w:r w:rsidR="009444BA">
        <w:rPr>
          <w:rFonts w:ascii="Verdana" w:hAnsi="Verdana"/>
          <w:lang w:val="en-GB"/>
        </w:rPr>
        <w:instrText xml:space="preserve"> ADDIN ZOTERO_ITEM CSL_CITATION {"citationID":"zxDxdK5L","properties":{"formattedCitation":"(Rinne et al. 1989)","plainCitation":"(Rinne et al. 1989)","noteIndex":0},"citationItems":[{"id":1160,"uris":["http://zotero.org/users/9330673/items/ZGTFG5S4"],"itemData":{"id":1160,"type":"article-journal","container-title":"Annals of Neurology","DOI":"10.1002/ana.410260107","ISSN":"03645134","issue":"1","journalAbbreviation":"Ann Neurol.","language":"en","page":"47-50","source":"DOI.org (Crossref)","title":"Dementia in Parkinson's disease is related to neuronal loss in the medial substantia nigra: Dementia in Nigral Degeneration","title-short":"Dementia in Parkinson's disease is related to neuronal loss in the medial substantia nigra","volume":"26","author":[{"family":"Rinne","given":"Juha O."},{"family":"Mlic","given":"Jaana Rummukainen"},{"family":"Paljärvi","given":"Leo"},{"family":"Rinne","given":"Urpo K."}],"issued":{"date-parts":[["1989",7]]}}}],"schema":"https://github.com/citation-style-language/schema/raw/master/csl-citation.json"} </w:instrText>
      </w:r>
      <w:r w:rsidR="009444BA">
        <w:rPr>
          <w:rFonts w:ascii="Verdana" w:hAnsi="Verdana"/>
          <w:lang w:val="en-GB"/>
        </w:rPr>
        <w:fldChar w:fldCharType="separate"/>
      </w:r>
      <w:r w:rsidR="009444BA" w:rsidRPr="009444BA">
        <w:rPr>
          <w:rFonts w:ascii="Verdana" w:hAnsi="Verdana"/>
        </w:rPr>
        <w:t>(Rinne et al. 1989)</w:t>
      </w:r>
      <w:r w:rsidR="009444BA">
        <w:rPr>
          <w:rFonts w:ascii="Verdana" w:hAnsi="Verdana"/>
          <w:lang w:val="en-GB"/>
        </w:rPr>
        <w:fldChar w:fldCharType="end"/>
      </w:r>
      <w:r w:rsidR="00D5749E">
        <w:rPr>
          <w:rFonts w:ascii="Verdana" w:hAnsi="Verdana"/>
          <w:lang w:val="en-GB"/>
        </w:rPr>
        <w:t xml:space="preserve">, and </w:t>
      </w:r>
      <w:r w:rsidR="00D5749E" w:rsidRPr="006133C4">
        <w:rPr>
          <w:rFonts w:ascii="Verdana" w:hAnsi="Verdana"/>
          <w:i/>
          <w:iCs/>
          <w:lang w:val="en-GB"/>
        </w:rPr>
        <w:t>in vivo</w:t>
      </w:r>
      <w:r w:rsidR="00D5749E">
        <w:rPr>
          <w:rFonts w:ascii="Verdana" w:hAnsi="Verdana"/>
          <w:lang w:val="en-GB"/>
        </w:rPr>
        <w:t xml:space="preserve"> </w:t>
      </w:r>
      <w:r w:rsidR="00D5749E">
        <w:rPr>
          <w:rFonts w:ascii="Verdana" w:hAnsi="Verdana"/>
          <w:lang w:val="en-GB"/>
        </w:rPr>
        <w:lastRenderedPageBreak/>
        <w:t>imaging</w:t>
      </w:r>
      <w:r w:rsidR="00AA0983">
        <w:rPr>
          <w:rFonts w:ascii="Verdana" w:hAnsi="Verdana"/>
          <w:lang w:val="en-GB"/>
        </w:rPr>
        <w:t xml:space="preserve"> </w:t>
      </w:r>
      <w:r w:rsidR="00D5749E">
        <w:rPr>
          <w:rFonts w:ascii="Verdana" w:hAnsi="Verdana"/>
          <w:lang w:val="en-GB"/>
        </w:rPr>
        <w:t>suggests a reduction in cortical dopamine levels</w:t>
      </w:r>
      <w:r w:rsidR="009444BA">
        <w:rPr>
          <w:rFonts w:ascii="Verdana" w:hAnsi="Verdana"/>
          <w:lang w:val="en-GB"/>
        </w:rPr>
        <w:t xml:space="preserve"> </w:t>
      </w:r>
      <w:r w:rsidR="009444BA">
        <w:rPr>
          <w:rFonts w:ascii="Verdana" w:hAnsi="Verdana"/>
          <w:lang w:val="en-GB"/>
        </w:rPr>
        <w:fldChar w:fldCharType="begin"/>
      </w:r>
      <w:r w:rsidR="009444BA">
        <w:rPr>
          <w:rFonts w:ascii="Verdana" w:hAnsi="Verdana"/>
          <w:lang w:val="en-GB"/>
        </w:rPr>
        <w:instrText xml:space="preserve"> ADDIN ZOTERO_ITEM CSL_CITATION {"citationID":"rH0eaFIs","properties":{"formattedCitation":"(Sasikumar and Strafella 2020)","plainCitation":"(Sasikumar and Strafella 2020)","noteIndex":0},"citationItems":[{"id":1156,"uris":["http://zotero.org/users/9330673/items/23BHIMZ8"],"itemData":{"id":1156,"type":"article-journal","abstract":"Cognitive dysfunction is a signiﬁcant non-motor feature of Parkinson’s disease, with the risk of dementia increasing with prolonged disease duration. Multiple cognitive domains are affected, and the pathophysiology cannot be explained by dopaminergic loss alone. Sophisticated neuroimaging techniques can detect the nature and extent of extra-nigral involvement by targeting neurotransmitters, abnormal protein aggregates and tissue metabolism. This review identiﬁes the functional and anatomical imaging characteristics that predict cognitive impairment in PD, the limitations that challenge this process, and the avenues of potential research.","container-title":"Frontiers in Neurology","DOI":"10.3389/fneur.2020.00047","ISSN":"1664-2295","journalAbbreviation":"Front. Neurol.","language":"en","page":"47","source":"DOI.org (Crossref)","title":"Imaging Mild Cognitive Impairment and Dementia in Parkinson's Disease","volume":"11","author":[{"family":"Sasikumar","given":"Sanskriti"},{"family":"Strafella","given":"Antonio P."}],"issued":{"date-parts":[["2020",1,31]]}}}],"schema":"https://github.com/citation-style-language/schema/raw/master/csl-citation.json"} </w:instrText>
      </w:r>
      <w:r w:rsidR="009444BA">
        <w:rPr>
          <w:rFonts w:ascii="Verdana" w:hAnsi="Verdana"/>
          <w:lang w:val="en-GB"/>
        </w:rPr>
        <w:fldChar w:fldCharType="separate"/>
      </w:r>
      <w:r w:rsidR="009444BA" w:rsidRPr="009444BA">
        <w:rPr>
          <w:rFonts w:ascii="Verdana" w:hAnsi="Verdana"/>
        </w:rPr>
        <w:t>(Sasikumar and Strafella 2020)</w:t>
      </w:r>
      <w:r w:rsidR="009444BA">
        <w:rPr>
          <w:rFonts w:ascii="Verdana" w:hAnsi="Verdana"/>
          <w:lang w:val="en-GB"/>
        </w:rPr>
        <w:fldChar w:fldCharType="end"/>
      </w:r>
      <w:r w:rsidR="00187185">
        <w:rPr>
          <w:rFonts w:ascii="Verdana" w:hAnsi="Verdana"/>
          <w:lang w:val="en-GB"/>
        </w:rPr>
        <w:t>.</w:t>
      </w:r>
    </w:p>
    <w:p w14:paraId="6BDA31C6" w14:textId="71CE5F0A" w:rsidR="007B5486" w:rsidRDefault="00030244" w:rsidP="00291DAF">
      <w:pPr>
        <w:spacing w:line="360" w:lineRule="auto"/>
        <w:jc w:val="both"/>
        <w:rPr>
          <w:rFonts w:ascii="Verdana" w:hAnsi="Verdana"/>
          <w:lang w:val="en-GB"/>
        </w:rPr>
      </w:pPr>
      <w:r>
        <w:rPr>
          <w:rFonts w:ascii="Verdana" w:hAnsi="Verdana"/>
          <w:lang w:val="en-GB"/>
        </w:rPr>
        <w:t xml:space="preserve">The contribution of noradrenergic degeneration to the </w:t>
      </w:r>
      <w:r w:rsidR="00A34DB1">
        <w:rPr>
          <w:rFonts w:ascii="Verdana" w:hAnsi="Verdana"/>
          <w:lang w:val="en-GB"/>
        </w:rPr>
        <w:t>development</w:t>
      </w:r>
      <w:r>
        <w:rPr>
          <w:rFonts w:ascii="Verdana" w:hAnsi="Verdana"/>
          <w:lang w:val="en-GB"/>
        </w:rPr>
        <w:t xml:space="preserve"> of dementia is</w:t>
      </w:r>
      <w:r w:rsidR="00DE4C2A">
        <w:rPr>
          <w:rFonts w:ascii="Verdana" w:hAnsi="Verdana"/>
          <w:lang w:val="en-GB"/>
        </w:rPr>
        <w:t xml:space="preserve"> less investigated. PDD patients present degeneration of</w:t>
      </w:r>
      <w:r w:rsidR="00B00CFA">
        <w:rPr>
          <w:rFonts w:ascii="Verdana" w:hAnsi="Verdana"/>
          <w:lang w:val="en-GB"/>
        </w:rPr>
        <w:t xml:space="preserve"> </w:t>
      </w:r>
      <w:r w:rsidR="00DE4C2A">
        <w:rPr>
          <w:rFonts w:ascii="Verdana" w:hAnsi="Verdana"/>
          <w:lang w:val="en-GB"/>
        </w:rPr>
        <w:t xml:space="preserve">noradrenergic neurons </w:t>
      </w:r>
      <w:r w:rsidR="00B00CFA">
        <w:rPr>
          <w:rFonts w:ascii="Verdana" w:hAnsi="Verdana"/>
          <w:lang w:val="en-GB"/>
        </w:rPr>
        <w:t>in the locus coeruleus</w:t>
      </w:r>
      <w:r w:rsidR="00187185">
        <w:rPr>
          <w:rFonts w:ascii="Verdana" w:hAnsi="Verdana"/>
          <w:lang w:val="en-GB"/>
        </w:rPr>
        <w:t xml:space="preserve"> </w:t>
      </w:r>
      <w:r w:rsidR="00187185">
        <w:rPr>
          <w:rFonts w:ascii="Verdana" w:hAnsi="Verdana"/>
          <w:lang w:val="en-GB"/>
        </w:rPr>
        <w:fldChar w:fldCharType="begin"/>
      </w:r>
      <w:r w:rsidR="00187185">
        <w:rPr>
          <w:rFonts w:ascii="Verdana" w:hAnsi="Verdana"/>
          <w:lang w:val="en-GB"/>
        </w:rPr>
        <w:instrText xml:space="preserve"> ADDIN ZOTERO_ITEM CSL_CITATION {"citationID":"b9N57nNR","properties":{"formattedCitation":"(Brunnstr\\uc0\\u246{}m et al. 2011; Chan-Palay and Asan 1989)","plainCitation":"(Brunnström et al. 2011; Chan-Palay and Asan 1989)","noteIndex":0},"citationItems":[{"id":1164,"uris":["http://zotero.org/users/9330673/items/RLUI47GB"],"itemData":{"id":1164,"type":"article-journal","abstract":"Objective: Neuronal loss in the locus coeruleus (LC) is common in Alzheimer’s disease (AD), dementia with Lewy bodies (DLB) and Parkinson’s disease dementia (PDD). The aims of the present study were to investigate LC degeneration in different dementia disorders including vascular dementia (VaD) and frontotemporal lobar degeneration (FTLD), to compare LC degeneration with severity of pathology in AD and DLB/PDD, to further evaluate the usefulness of a previously presented scoring system and to examine the predictive value of macroscopic assessment of the LC. Methods: A horizontal mid-level section of the pons was examined in 200 neuropathologically examined cases with clinical dementia. A previous macroscopic assessment of the LC was performed in 149 of the cases. Results: Cases with DLB/ PDD and AD presented with the highest microscopic LC degeneration scores, with significant differences compared to combined AD + VaD, in turn with a higher score than VaD, FTLD and other dementia disorders. Interrater agreement (weighted k) for LC degeneration scoring was 0.83 – 0.91. DLB/ PDD, AD and AD + VaD were the diagnoses for 85% of the cases with macroscopic LC depigmentation. Conclusion: LC degeneration, which may be macroscopically noted, often indicates synuclein and/or Alzheimer pathology among demented. When clinical information is scarce or inconsistent, a macroscopic assessment of the LC may facilitate focusing of the subsequent neuropathological investigation. Also, the semiquantitative scoring system is a reliable tool for histological assessment of LC degeneration.","container-title":"Clinical Neuropathology","DOI":"10.5414/NPP30104","ISSN":"0722-5091","issue":"05","journalAbbreviation":"NP","language":"en","page":"104-110","source":"DOI.org (Crossref)","title":"Differential degeneration of the locus coeruleus in dementia subtypes","volume":"30","author":[{"family":"Brunnström","given":"H."},{"family":"Friberg","given":"N."},{"family":"Lindberg","given":"E."},{"family":"Englund","given":"E."}],"issued":{"date-parts":[["2011",5,1]]}}},{"id":1162,"uris":["http://zotero.org/users/9330673/items/69YQ5ZJQ"],"itemData":{"id":1162,"type":"article-journal","abstract":"The present study provides qualitative and quantitative investigations of the norepinephrine (NE) neurons in the locus coeruleus (LC) in two neurodegenerative disorders, the senile dementia of the Alzheimer type (SDAT) and Parkinson’s disease (PD).The group of PD subjects was subdivided into cases without dementia (P-D), cases with dementia, L-dopa responsive (P+D), and cases with fulminant dementia whose motor disorder symptoms were L-dopa nonresponsive (P+D/L-dopa non-responsive). NE neurons were demonstrated by immunocytochemistry against tyrosine hydroxylase (TH).Quantitations of neuronal parameters and cell numbers and three-dimensional reconstructions of the LC were carried out with a computer-assisted system. In SDAT cases, the rostrocaudal LC length (13 L 2.2 mm) is shorter than in controls (14.9 +- 1.4 mm). The four basic LC neuron classes found in the normal human brain (large multipolar, large “bipolar,” small multipolar, and small “bipolar” neurons; Chan-Palay and Asan: J. Comp. Neurol. this issue) are recognizable, but many cell somata are swollen and misshapen with foreshortened, thick, and less branched dendrites. LC neuron numbers are reduced (between -3.5% and -87.5%). Neuron loss is greatest in the rostra1 part, less in the middle, and least in the caudal part.","container-title":"The Journal of Comparative Neurology","DOI":"10.1002/cne.902870308","ISSN":"0021-9967, 1096-9861","issue":"3","journalAbbreviation":"J. Comp. Neurol.","language":"en","page":"373-392","source":"DOI.org (Crossref)","title":"Alterations in catecholamine neurons of the locus coeruleus in senile dementia of the Alzheimer type and in Parkinson's disease with and without dementia and depression","volume":"287","author":[{"family":"Chan-Palay","given":"V."},{"family":"Asan","given":"E."}],"issued":{"date-parts":[["1989",9,15]]}}}],"schema":"https://github.com/citation-style-language/schema/raw/master/csl-citation.json"} </w:instrText>
      </w:r>
      <w:r w:rsidR="00187185">
        <w:rPr>
          <w:rFonts w:ascii="Verdana" w:hAnsi="Verdana"/>
          <w:lang w:val="en-GB"/>
        </w:rPr>
        <w:fldChar w:fldCharType="separate"/>
      </w:r>
      <w:r w:rsidR="00187185" w:rsidRPr="00187185">
        <w:rPr>
          <w:rFonts w:ascii="Verdana" w:hAnsi="Verdana" w:cs="Times New Roman"/>
          <w:szCs w:val="24"/>
        </w:rPr>
        <w:t>(Brunnström et al. 2011; Chan-Palay and Asan 1989)</w:t>
      </w:r>
      <w:r w:rsidR="00187185">
        <w:rPr>
          <w:rFonts w:ascii="Verdana" w:hAnsi="Verdana"/>
          <w:lang w:val="en-GB"/>
        </w:rPr>
        <w:fldChar w:fldCharType="end"/>
      </w:r>
      <w:r w:rsidR="002F67EE">
        <w:rPr>
          <w:rFonts w:ascii="Verdana" w:hAnsi="Verdana"/>
          <w:lang w:val="en-GB"/>
        </w:rPr>
        <w:t>,</w:t>
      </w:r>
      <w:r w:rsidR="008C0A02">
        <w:rPr>
          <w:rFonts w:ascii="Verdana" w:hAnsi="Verdana"/>
          <w:lang w:val="en-GB"/>
        </w:rPr>
        <w:t xml:space="preserve"> and</w:t>
      </w:r>
      <w:r w:rsidR="002F67EE">
        <w:rPr>
          <w:rFonts w:ascii="Verdana" w:hAnsi="Verdana"/>
          <w:lang w:val="en-GB"/>
        </w:rPr>
        <w:t xml:space="preserve"> increased alterations in noradrenergic markers in serum and CSF</w:t>
      </w:r>
      <w:r w:rsidR="005779C7">
        <w:rPr>
          <w:rFonts w:ascii="Verdana" w:hAnsi="Verdana"/>
          <w:lang w:val="en-GB"/>
        </w:rPr>
        <w:t xml:space="preserve"> </w:t>
      </w:r>
      <w:r w:rsidR="005779C7">
        <w:rPr>
          <w:rFonts w:ascii="Verdana" w:hAnsi="Verdana"/>
          <w:lang w:val="en-GB"/>
        </w:rPr>
        <w:fldChar w:fldCharType="begin"/>
      </w:r>
      <w:r w:rsidR="005779C7">
        <w:rPr>
          <w:rFonts w:ascii="Verdana" w:hAnsi="Verdana"/>
          <w:lang w:val="en-GB"/>
        </w:rPr>
        <w:instrText xml:space="preserve"> ADDIN ZOTERO_ITEM CSL_CITATION {"citationID":"9hfbNA3Y","properties":{"formattedCitation":"(van der Zee et al. 2018)","plainCitation":"(van der Zee et al. 2018)","noteIndex":0},"citationItems":[{"id":2087,"uris":["http://zotero.org/users/9330673/items/6NHQT74T"],"itemData":{"id":2087,"type":"article-journal","abstract":"Background: Lewy body disorders, including Parkinson’s disease (PD), Parkinson’s disease dementia (PDD) and dementia with Lewy bodies (DLB), are characterized by profound central and peripheral monoaminergic dysfunction. Objective: To investigate whether these alterations depend on dementia status, we measured cerebrospinal ﬂuid (CSF) and serum monoamine and metabolite levels across subgroups of the cognitive spectrum, and evaluated their marker potential afterwards.","container-title":"Journal of Parkinson's Disease","DOI":"10.3233/JPD-171228","ISSN":"18777171, 1877718X","issue":"1","journalAbbreviation":"JPD","language":"en","page":"71-84","source":"DOI.org (Crossref)","title":"Monoaminergic Markers Across the Cognitive Spectrum of Lewy Body Disease","volume":"8","author":[{"family":"Zee","given":"Sygrid","non-dropping-particle":"van der"},{"family":"Vermeiren","given":"Yannick"},{"family":"Fransen","given":"Erik"},{"family":"Van Dam","given":"Debby"},{"family":"Aerts","given":"Tony"},{"family":"Gerritsen","given":"Marleen J."},{"family":"Spikman","given":"Jacoba M."},{"family":"Laar","given":"Teus","non-dropping-particle":"van"},{"family":"De Deyn","given":"Peter P."}],"issued":{"date-parts":[["2018",2,17]]}}}],"schema":"https://github.com/citation-style-language/schema/raw/master/csl-citation.json"} </w:instrText>
      </w:r>
      <w:r w:rsidR="005779C7">
        <w:rPr>
          <w:rFonts w:ascii="Verdana" w:hAnsi="Verdana"/>
          <w:lang w:val="en-GB"/>
        </w:rPr>
        <w:fldChar w:fldCharType="separate"/>
      </w:r>
      <w:r w:rsidR="005779C7" w:rsidRPr="005779C7">
        <w:rPr>
          <w:rFonts w:ascii="Verdana" w:hAnsi="Verdana"/>
        </w:rPr>
        <w:t>(van der Zee et al. 2018)</w:t>
      </w:r>
      <w:r w:rsidR="005779C7">
        <w:rPr>
          <w:rFonts w:ascii="Verdana" w:hAnsi="Verdana"/>
          <w:lang w:val="en-GB"/>
        </w:rPr>
        <w:fldChar w:fldCharType="end"/>
      </w:r>
      <w:r w:rsidR="005A4979">
        <w:rPr>
          <w:rFonts w:ascii="Verdana" w:hAnsi="Verdana"/>
          <w:lang w:val="en-GB"/>
        </w:rPr>
        <w:t>.</w:t>
      </w:r>
    </w:p>
    <w:p w14:paraId="5B8E9C30" w14:textId="795386B8" w:rsidR="007B5486" w:rsidRDefault="007B5486" w:rsidP="00291DAF">
      <w:pPr>
        <w:spacing w:line="360" w:lineRule="auto"/>
        <w:jc w:val="both"/>
        <w:rPr>
          <w:rFonts w:ascii="Verdana" w:hAnsi="Verdana"/>
          <w:lang w:val="en-GB"/>
        </w:rPr>
      </w:pPr>
      <w:r w:rsidRPr="008942FF">
        <w:rPr>
          <w:rFonts w:ascii="Verdana" w:hAnsi="Verdana"/>
          <w:lang w:val="en-GB"/>
        </w:rPr>
        <w:t>Deficits in the cholinergic system have long been correlated with cognitive impairment in A</w:t>
      </w:r>
      <w:r>
        <w:rPr>
          <w:rFonts w:ascii="Verdana" w:hAnsi="Verdana"/>
          <w:lang w:val="en-GB"/>
        </w:rPr>
        <w:t>lzheimer’s and Parkinson’s disease</w:t>
      </w:r>
      <w:r w:rsidR="005779C7">
        <w:rPr>
          <w:rFonts w:ascii="Verdana" w:hAnsi="Verdana"/>
          <w:lang w:val="en-GB"/>
        </w:rPr>
        <w:t xml:space="preserve"> </w:t>
      </w:r>
      <w:r w:rsidR="005779C7">
        <w:rPr>
          <w:rFonts w:ascii="Verdana" w:hAnsi="Verdana"/>
          <w:lang w:val="en-GB"/>
        </w:rPr>
        <w:fldChar w:fldCharType="begin"/>
      </w:r>
      <w:r w:rsidR="005779C7">
        <w:rPr>
          <w:rFonts w:ascii="Verdana" w:hAnsi="Verdana"/>
          <w:lang w:val="en-GB"/>
        </w:rPr>
        <w:instrText xml:space="preserve"> ADDIN ZOTERO_ITEM CSL_CITATION {"citationID":"tW3zctSV","properties":{"formattedCitation":"(Mattila et al. 2001; Perry et al. 1978)","plainCitation":"(Mattila et al. 2001; Perry et al. 1978)","noteIndex":0},"citationItems":[{"id":335,"uris":["http://zotero.org/users/9330673/items/2JDP39XD"],"itemData":{"id":335,"type":"article-journal","container-title":"Acta Neuropathologica","DOI":"10.1007/s004010100372","ISSN":"0001-6322, 1432-0533","issue":"2","journalAbbreviation":"Acta Neuropathol","language":"en","page":"160-166","source":"DOI.org (Crossref)","title":"Choline acetyltransferase activity and striatal dopamine receptors in Parkinson's disease in relation to cognitive impairment","volume":"102","author":[{"family":"Mattila","given":"Petri M."},{"family":"Röyttä","given":"Matias"},{"family":"Lönnberg","given":"Pirkko"},{"family":"Marjamäki","given":"Päivi"},{"family":"Helenius","given":"Hans"},{"family":"Rinne","given":"Juha O."}],"issued":{"date-parts":[["2001",8]]}}},{"id":357,"uris":["http://zotero.org/users/9330673/items/HPVL75IW"],"itemData":{"id":357,"type":"article-journal","container-title":"BMJ","DOI":"10.1136/bmj.2.6150.1457","ISSN":"0959-8138, 1468-5833","issue":"6150","journalAbbreviation":"BMJ","language":"en","page":"1457-1459","source":"DOI.org (Crossref)","title":"Correlation of cholinergic abnormalities with senile plaques and mental test scores in senile dementia.","volume":"2","author":[{"family":"Perry","given":"E K"},{"family":"Tomlinson","given":"B E"},{"family":"Blessed","given":"G"},{"family":"Bergmann","given":"K"},{"family":"Gibson","given":"P H"},{"family":"Perry","given":"R H"}],"issued":{"date-parts":[["1978",11,25]]}}}],"schema":"https://github.com/citation-style-language/schema/raw/master/csl-citation.json"} </w:instrText>
      </w:r>
      <w:r w:rsidR="005779C7">
        <w:rPr>
          <w:rFonts w:ascii="Verdana" w:hAnsi="Verdana"/>
          <w:lang w:val="en-GB"/>
        </w:rPr>
        <w:fldChar w:fldCharType="separate"/>
      </w:r>
      <w:r w:rsidR="005779C7" w:rsidRPr="005779C7">
        <w:rPr>
          <w:rFonts w:ascii="Verdana" w:hAnsi="Verdana"/>
        </w:rPr>
        <w:t>(Mattila et al. 2001; Perry et al. 1978)</w:t>
      </w:r>
      <w:r w:rsidR="005779C7">
        <w:rPr>
          <w:rFonts w:ascii="Verdana" w:hAnsi="Verdana"/>
          <w:lang w:val="en-GB"/>
        </w:rPr>
        <w:fldChar w:fldCharType="end"/>
      </w:r>
      <w:r w:rsidRPr="008942FF">
        <w:rPr>
          <w:rFonts w:ascii="Verdana" w:hAnsi="Verdana"/>
          <w:lang w:val="en-GB"/>
        </w:rPr>
        <w:t>.</w:t>
      </w:r>
      <w:r>
        <w:rPr>
          <w:rFonts w:ascii="Verdana" w:hAnsi="Verdana"/>
          <w:lang w:val="en-GB"/>
        </w:rPr>
        <w:t xml:space="preserve"> </w:t>
      </w:r>
      <w:r w:rsidRPr="00F9728E">
        <w:rPr>
          <w:rFonts w:ascii="Verdana" w:hAnsi="Verdana"/>
          <w:lang w:val="en-GB"/>
        </w:rPr>
        <w:t>Cholinergic degeneration is present in both PD with and without dementia, but in PDD the cholinergic circuit is more strongly impacted, with the degeneration extending to the lateral cholinergic system, which innervates frontal, parietal</w:t>
      </w:r>
      <w:r>
        <w:rPr>
          <w:rFonts w:ascii="Verdana" w:hAnsi="Verdana"/>
          <w:lang w:val="en-GB"/>
        </w:rPr>
        <w:t>,</w:t>
      </w:r>
      <w:r w:rsidRPr="00F9728E">
        <w:rPr>
          <w:rFonts w:ascii="Verdana" w:hAnsi="Verdana"/>
          <w:lang w:val="en-GB"/>
        </w:rPr>
        <w:t xml:space="preserve"> and temporal cortices </w:t>
      </w:r>
      <w:r w:rsidR="009E2EE2">
        <w:rPr>
          <w:rFonts w:ascii="Verdana" w:hAnsi="Verdana"/>
          <w:lang w:val="en-GB"/>
        </w:rPr>
        <w:fldChar w:fldCharType="begin"/>
      </w:r>
      <w:r w:rsidR="009E2EE2">
        <w:rPr>
          <w:rFonts w:ascii="Verdana" w:hAnsi="Verdana"/>
          <w:lang w:val="en-GB"/>
        </w:rPr>
        <w:instrText xml:space="preserve"> ADDIN ZOTERO_ITEM CSL_CITATION {"citationID":"GjeSAh5F","properties":{"formattedCitation":"(Hirano, Shinotoh, and Eidelberg 2012)","plainCitation":"(Hirano, Shinotoh, and Eidelberg 2012)","noteIndex":0},"citationItems":[{"id":201,"uris":["http://zotero.org/users/9330673/items/DZ6PQEJT"],"itemData":{"id":201,"type":"article-journal","abstract":"Multiple factors are involved in the development of cognitive impairment in Parkinson’s disease (PD) and related disorders. Notably, several underlying factors, such as monoaminergic dysfunction, Lewy body pathology, Alzheimer disease-like pathology and cerebrovascular disease are implied in the PD pathophysiology of cognitive impairment. The mesocortical dopaminergic system is associated with executive functions which are frequently affected in PD and are inﬂuenced by local levodopa concentration, dopamine metabolism and baseline performance status. The ventral striatum and frontal cortex are associated with impulse control disorders reported in PD patients treated with dopamine replacement therapy. Cholinergic impairment in PD plays a cardinal role in the development of dementia. Acetylcholinesterase positron emission tomography demonstrates that posterior brain areas are related to cognitive decline in PD patients. Amyloid radiotracer illustrates that patients with PD with severe cognitive impairment were prone to accompanied cortical amyloid deposition. Metabolism/perfusion change associated with cognitive impairment in PD, socalled PD related cognitive pattern, is characterised by reduced frontoparietal activity and is an effective way to differentiate and monitor cognitive function of individual PD patients. Cognitive impairment in PD cannot be explained by a single mechanism and is entangled by multiple factors. Imaging studies can unravel each pathological domain, further shed light on the interrelation between different pathomechanisms, not only in PD but also in other dementia related disorders, and thereby integrate its interpretation to apply to therapeutics in individual patients.","container-title":"Journal of Neurology, Neurosurgery &amp; Psychiatry","DOI":"10.1136/jnnp-2011-301818","ISSN":"0022-3050, 1468-330X","issue":"10","journalAbbreviation":"J Neurol Neurosurg Psychiatry","language":"en","page":"963-969","source":"DOI.org (Crossref)","title":"Functional brain imaging of cognitive dysfunction in Parkinson's disease","volume":"83","author":[{"family":"Hirano","given":"Shigeki"},{"family":"Shinotoh","given":"Hitoshi"},{"family":"Eidelberg","given":"David"}],"issued":{"date-parts":[["2012",10]]}}}],"schema":"https://github.com/citation-style-language/schema/raw/master/csl-citation.json"} </w:instrText>
      </w:r>
      <w:r w:rsidR="009E2EE2">
        <w:rPr>
          <w:rFonts w:ascii="Verdana" w:hAnsi="Verdana"/>
          <w:lang w:val="en-GB"/>
        </w:rPr>
        <w:fldChar w:fldCharType="separate"/>
      </w:r>
      <w:r w:rsidR="009E2EE2" w:rsidRPr="009E2EE2">
        <w:rPr>
          <w:rFonts w:ascii="Verdana" w:hAnsi="Verdana"/>
        </w:rPr>
        <w:t>(Hirano, Shinotoh, and Eidelberg 2012)</w:t>
      </w:r>
      <w:r w:rsidR="009E2EE2">
        <w:rPr>
          <w:rFonts w:ascii="Verdana" w:hAnsi="Verdana"/>
          <w:lang w:val="en-GB"/>
        </w:rPr>
        <w:fldChar w:fldCharType="end"/>
      </w:r>
      <w:r w:rsidRPr="00F9728E">
        <w:rPr>
          <w:rFonts w:ascii="Verdana" w:hAnsi="Verdana"/>
          <w:lang w:val="en-GB"/>
        </w:rPr>
        <w:t>.</w:t>
      </w:r>
      <w:r>
        <w:rPr>
          <w:rFonts w:ascii="Verdana" w:hAnsi="Verdana"/>
          <w:b/>
          <w:bCs/>
          <w:lang w:val="en-GB"/>
        </w:rPr>
        <w:t xml:space="preserve"> </w:t>
      </w:r>
      <w:r w:rsidR="00945ACE" w:rsidRPr="00BB25BB">
        <w:rPr>
          <w:rFonts w:ascii="Verdana" w:hAnsi="Verdana"/>
          <w:lang w:val="en-GB"/>
        </w:rPr>
        <w:t xml:space="preserve">PD patients with MCI and dementia present degeneration of the nucleus basalis of </w:t>
      </w:r>
      <w:proofErr w:type="spellStart"/>
      <w:r w:rsidR="00945ACE" w:rsidRPr="00BB25BB">
        <w:rPr>
          <w:rFonts w:ascii="Verdana" w:hAnsi="Verdana"/>
          <w:lang w:val="en-GB"/>
        </w:rPr>
        <w:t>Meynert</w:t>
      </w:r>
      <w:proofErr w:type="spellEnd"/>
      <w:r w:rsidR="00945ACE" w:rsidRPr="00BB25BB">
        <w:rPr>
          <w:rFonts w:ascii="Verdana" w:hAnsi="Verdana"/>
          <w:lang w:val="en-GB"/>
        </w:rPr>
        <w:t>, the major source of cholinergic innervation to cortex and amygdala</w:t>
      </w:r>
      <w:r w:rsidR="00945ACE">
        <w:rPr>
          <w:rFonts w:ascii="Verdana" w:hAnsi="Verdana"/>
          <w:lang w:val="en-GB"/>
        </w:rPr>
        <w:t xml:space="preserve">, </w:t>
      </w:r>
      <w:r w:rsidR="00945ACE" w:rsidRPr="00BB25BB">
        <w:rPr>
          <w:rFonts w:ascii="Verdana" w:hAnsi="Verdana"/>
          <w:lang w:val="en-GB"/>
        </w:rPr>
        <w:t>and of the</w:t>
      </w:r>
      <w:r w:rsidR="000066C4">
        <w:rPr>
          <w:rFonts w:ascii="Verdana" w:hAnsi="Verdana"/>
          <w:lang w:val="en-GB"/>
        </w:rPr>
        <w:t xml:space="preserve"> </w:t>
      </w:r>
      <w:r w:rsidR="00945ACE" w:rsidRPr="00BB25BB">
        <w:rPr>
          <w:rFonts w:ascii="Verdana" w:hAnsi="Verdana"/>
          <w:lang w:val="en-GB"/>
        </w:rPr>
        <w:t>medial septum, responsible for the cholinergic innervation of the hippocampus</w:t>
      </w:r>
      <w:r w:rsidR="009E2EE2">
        <w:rPr>
          <w:rFonts w:ascii="Verdana" w:hAnsi="Verdana"/>
          <w:lang w:val="en-GB"/>
        </w:rPr>
        <w:t xml:space="preserve"> </w:t>
      </w:r>
      <w:r w:rsidR="009E2EE2">
        <w:rPr>
          <w:rFonts w:ascii="Verdana" w:hAnsi="Verdana"/>
          <w:lang w:val="en-GB"/>
        </w:rPr>
        <w:fldChar w:fldCharType="begin"/>
      </w:r>
      <w:r w:rsidR="009E2EE2">
        <w:rPr>
          <w:rFonts w:ascii="Verdana" w:hAnsi="Verdana"/>
          <w:lang w:val="en-GB"/>
        </w:rPr>
        <w:instrText xml:space="preserve"> ADDIN ZOTERO_ITEM CSL_CITATION {"citationID":"0YSTSQfz","properties":{"formattedCitation":"(Pereira et al. 2020)","plainCitation":"(Pereira et al. 2020)","noteIndex":0},"citationItems":[{"id":368,"uris":["http://zotero.org/users/9330673/items/U7M9ITEZ"],"itemData":{"id":368,"type":"article-journal","abstract":"Objectives: Cholinergic dysfunction plays a prominent role in cognitive impairment in Parkinson's disease (PD). The aim of this study was to assess the relationship of baseline and longitudinal basal forebrain atrophy with cognitive decline and dementia in PD.\nMethods: We included 106 non-demented PD patients, 19 PD dementia (PDD) patients and 42 controls with longitudinal structural MRI and cognitive testing. After 4.2 ± 1.8 years, 20 non-demented PD patients were diagnosed with dementia (PD-dementia converters), whereas the rest of PD patients remained non-demented (stable-PD). We compared MRI volumes of the medial septum/diagonal band (Ch1/Ch2) and nucleus basalis of Meynert (Ch4) between groups. Cox regression analyses were applied to test whether Ch1/Ch2 or Ch4 atrophy could predict future dementia and linear mixed models assessed their association with cognitive decline.\nResults: Compared to controls, we found reduced Ch4 baseline volumes in PD-dementia converters (p = .003) and those who already had PDD (p &lt; .001) but not in stable-PD. Over time, there was a greater loss in Ch1/Ch2 volumes in PD-dementia converters and PDD compared to the other groups (p = .004). Baseline and longitudinal Ch4 volumes were associated with cognition (p &lt; .002) and longitudinal Ch4 atrophy predicted future dementia (p = .009).\nConclusions: Atrophy of Ch4 precedes and predicts future dementia in PD and is followed by changes in Ch1/ Ch2, reﬂecting a posterior-anterior pattern of basal forebrain atrophy. This pattern could be used to track the spread of cholinergic degeneration and identify patients at risk of developing dementia.","container-title":"Neurobiology of Disease","DOI":"10.1016/j.nbd.2020.104831","ISSN":"09699961","journalAbbreviation":"Neurobiology of Disease","language":"en","page":"104831","source":"DOI.org (Crossref)","title":"Longitudinal degeneration of the basal forebrain predicts subsequent dementia in Parkinson's disease","volume":"139","author":[{"family":"Pereira","given":"Joana B."},{"family":"Hall","given":"Sara"},{"family":"Jalakas","given":"Mattis"},{"family":"Grothe","given":"Michel J."},{"family":"Strandberg","given":"Olof"},{"family":"Stomrud","given":"Erik"},{"family":"Westman","given":"Eric"},{"family":"Westen","given":"Danielle","non-dropping-particle":"van"},{"family":"Hansson","given":"Oskar"}],"issued":{"date-parts":[["2020",6]]}}}],"schema":"https://github.com/citation-style-language/schema/raw/master/csl-citation.json"} </w:instrText>
      </w:r>
      <w:r w:rsidR="009E2EE2">
        <w:rPr>
          <w:rFonts w:ascii="Verdana" w:hAnsi="Verdana"/>
          <w:lang w:val="en-GB"/>
        </w:rPr>
        <w:fldChar w:fldCharType="separate"/>
      </w:r>
      <w:r w:rsidR="009E2EE2" w:rsidRPr="009E2EE2">
        <w:rPr>
          <w:rFonts w:ascii="Verdana" w:hAnsi="Verdana"/>
        </w:rPr>
        <w:t>(Pereira et al. 2020)</w:t>
      </w:r>
      <w:r w:rsidR="009E2EE2">
        <w:rPr>
          <w:rFonts w:ascii="Verdana" w:hAnsi="Verdana"/>
          <w:lang w:val="en-GB"/>
        </w:rPr>
        <w:fldChar w:fldCharType="end"/>
      </w:r>
      <w:r w:rsidR="00945ACE" w:rsidRPr="00BB25BB">
        <w:rPr>
          <w:rFonts w:ascii="Verdana" w:hAnsi="Verdana"/>
          <w:lang w:val="en-GB"/>
        </w:rPr>
        <w:t>.</w:t>
      </w:r>
    </w:p>
    <w:p w14:paraId="253669EC" w14:textId="479C8AA0" w:rsidR="00C96633" w:rsidRDefault="00C77DB8" w:rsidP="00291DAF">
      <w:pPr>
        <w:spacing w:line="360" w:lineRule="auto"/>
        <w:jc w:val="both"/>
        <w:rPr>
          <w:rFonts w:ascii="Verdana" w:hAnsi="Verdana"/>
          <w:lang w:val="en-GB"/>
        </w:rPr>
      </w:pPr>
      <w:r>
        <w:rPr>
          <w:rFonts w:ascii="Verdana" w:hAnsi="Verdana"/>
          <w:lang w:val="en-GB"/>
        </w:rPr>
        <w:t>PDD patients show reduced synaptic density in cortex and SN</w:t>
      </w:r>
      <w:r w:rsidR="00536A7F">
        <w:rPr>
          <w:rFonts w:ascii="Verdana" w:hAnsi="Verdana"/>
          <w:lang w:val="en-GB"/>
        </w:rPr>
        <w:t xml:space="preserve">, with </w:t>
      </w:r>
      <w:r w:rsidR="00F95F82">
        <w:rPr>
          <w:rFonts w:ascii="Verdana" w:hAnsi="Verdana"/>
          <w:lang w:val="en-GB"/>
        </w:rPr>
        <w:t xml:space="preserve">reductions in </w:t>
      </w:r>
      <w:r w:rsidR="00122BB7">
        <w:rPr>
          <w:rFonts w:ascii="Verdana" w:hAnsi="Verdana"/>
          <w:lang w:val="en-GB"/>
        </w:rPr>
        <w:t xml:space="preserve">frontal, </w:t>
      </w:r>
      <w:r w:rsidR="00C1492D">
        <w:rPr>
          <w:rFonts w:ascii="Verdana" w:hAnsi="Verdana"/>
          <w:lang w:val="en-GB"/>
        </w:rPr>
        <w:t>occipital, parietal and temporal cortices discriminating between PD cases with and without dementia</w:t>
      </w:r>
      <w:r w:rsidR="00A80938">
        <w:rPr>
          <w:rFonts w:ascii="Verdana" w:hAnsi="Verdana"/>
          <w:lang w:val="en-GB"/>
        </w:rPr>
        <w:t xml:space="preserve"> </w:t>
      </w:r>
      <w:r w:rsidR="00A80938">
        <w:rPr>
          <w:rFonts w:ascii="Verdana" w:hAnsi="Verdana"/>
          <w:lang w:val="en-GB"/>
        </w:rPr>
        <w:fldChar w:fldCharType="begin"/>
      </w:r>
      <w:r w:rsidR="00A80938">
        <w:rPr>
          <w:rFonts w:ascii="Verdana" w:hAnsi="Verdana"/>
          <w:lang w:val="en-GB"/>
        </w:rPr>
        <w:instrText xml:space="preserve"> ADDIN ZOTERO_ITEM CSL_CITATION {"citationID":"WyRH3Qgt","properties":{"formattedCitation":"(Andersen et al. 2021)","plainCitation":"(Andersen et al. 2021)","noteIndex":0},"citationItems":[{"id":2044,"uris":["http://zotero.org/users/9330673/items/RAUD4U7V"],"itemData":{"id":2044,"type":"article-journal","container-title":"Movement Disorders","DOI":"10.1002/mds.28617","ISSN":"0885-3185, 1531-8257","issue":"9","journalAbbreviation":"Movement Disorders","language":"en","page":"2057-2065","source":"DOI.org (Crossref)","title":"Reduced Synaptic Density in Patients with Lewy Body Dementia: An [ &lt;span style=\"font-variant:small-caps;\"&gt; &lt;sup&gt;11&lt;/sup&gt; C &lt;/span&gt; ] &lt;span style=\"font-variant:small-caps;\"&gt;UCB</w:instrText>
      </w:r>
      <w:r w:rsidR="00A80938">
        <w:rPr>
          <w:rFonts w:ascii="Cambria Math" w:hAnsi="Cambria Math" w:cs="Cambria Math"/>
          <w:lang w:val="en-GB"/>
        </w:rPr>
        <w:instrText>‐</w:instrText>
      </w:r>
      <w:r w:rsidR="00A80938">
        <w:rPr>
          <w:rFonts w:ascii="Verdana" w:hAnsi="Verdana"/>
          <w:lang w:val="en-GB"/>
        </w:rPr>
        <w:instrText xml:space="preserve">J PET&lt;/span&gt; Imaging Study","title-short":"Reduced Synaptic Density in Patients with Lewy Body Dementia","volume":"36","author":[{"family":"Andersen","given":"Katrine B."},{"family":"Hansen","given":"Allan K."},{"family":"Damholdt","given":"Malene F."},{"family":"Horsager","given":"Jacob"},{"family":"Skjærbæk","given":"Casper"},{"family":"Gottrup","given":"Hanne"},{"family":"Klit","given":"Henriette"},{"family":"Schacht","given":"Anna Christina"},{"family":"Danielsen","given":"Erik H."},{"family":"Brooks","given":"David J."},{"family":"Borghammer","given":"Per"}],"issued":{"date-parts":[["2021",9]]}}}],"schema":"https://github.com/citation-style-language/schema/raw/master/csl-citation.json"} </w:instrText>
      </w:r>
      <w:r w:rsidR="00A80938">
        <w:rPr>
          <w:rFonts w:ascii="Verdana" w:hAnsi="Verdana"/>
          <w:lang w:val="en-GB"/>
        </w:rPr>
        <w:fldChar w:fldCharType="separate"/>
      </w:r>
      <w:r w:rsidR="00A80938" w:rsidRPr="00A80938">
        <w:rPr>
          <w:rFonts w:ascii="Verdana" w:hAnsi="Verdana"/>
        </w:rPr>
        <w:t>(Andersen et al. 2021)</w:t>
      </w:r>
      <w:r w:rsidR="00A80938">
        <w:rPr>
          <w:rFonts w:ascii="Verdana" w:hAnsi="Verdana"/>
          <w:lang w:val="en-GB"/>
        </w:rPr>
        <w:fldChar w:fldCharType="end"/>
      </w:r>
      <w:r w:rsidR="004C41C7">
        <w:rPr>
          <w:rFonts w:ascii="Verdana" w:hAnsi="Verdana"/>
          <w:lang w:val="en-GB"/>
        </w:rPr>
        <w:t xml:space="preserve">. </w:t>
      </w:r>
      <w:r w:rsidR="00C2592C">
        <w:rPr>
          <w:rFonts w:ascii="Verdana" w:hAnsi="Verdana"/>
          <w:lang w:val="en-GB"/>
        </w:rPr>
        <w:t>Accordingly, PDD patients present reduced cortical levels of pre- and post-synaptic proteins</w:t>
      </w:r>
      <w:r w:rsidR="00A80938">
        <w:rPr>
          <w:rFonts w:ascii="Verdana" w:hAnsi="Verdana"/>
          <w:lang w:val="en-GB"/>
        </w:rPr>
        <w:t xml:space="preserve"> </w:t>
      </w:r>
      <w:r w:rsidR="00A80938">
        <w:rPr>
          <w:rFonts w:ascii="Verdana" w:hAnsi="Verdana"/>
          <w:lang w:val="en-GB"/>
        </w:rPr>
        <w:fldChar w:fldCharType="begin"/>
      </w:r>
      <w:r w:rsidR="00A80938">
        <w:rPr>
          <w:rFonts w:ascii="Verdana" w:hAnsi="Verdana"/>
          <w:lang w:val="en-GB"/>
        </w:rPr>
        <w:instrText xml:space="preserve"> ADDIN ZOTERO_ITEM CSL_CITATION {"citationID":"L3TjooM4","properties":{"formattedCitation":"(Bereczki et al. 2016)","plainCitation":"(Bereczki et al. 2016)","noteIndex":0},"citationItems":[{"id":2047,"uris":["http://zotero.org/users/9330673/items/GRS9QFYZ"],"itemData":{"id":2047,"type":"article-journal","container-title":"Alzheimer's &amp; Dementia","DOI":"10.1016/j.jalz.2016.04.005","ISSN":"1552-5260, 1552-5279","issue":"11","journalAbbreviation":"Alzheimer's &amp;amp; Dementia","language":"en","page":"1149-1158","source":"DOI.org (Crossref)","title":"Synaptic proteins predict cognitive decline in Alzheimer's disease and Lewy body dementia","volume":"12","author":[{"family":"Bereczki","given":"Erika"},{"family":"Francis","given":"Paul T."},{"family":"Howlett","given":"David"},{"family":"Pereira","given":"Joana B."},{"family":"Höglund","given":"Kina"},{"family":"Bogstedt","given":"Anna"},{"family":"Cedazo</w:instrText>
      </w:r>
      <w:r w:rsidR="00A80938">
        <w:rPr>
          <w:rFonts w:ascii="Cambria Math" w:hAnsi="Cambria Math" w:cs="Cambria Math"/>
          <w:lang w:val="en-GB"/>
        </w:rPr>
        <w:instrText>‐</w:instrText>
      </w:r>
      <w:r w:rsidR="00A80938">
        <w:rPr>
          <w:rFonts w:ascii="Verdana" w:hAnsi="Verdana"/>
          <w:lang w:val="en-GB"/>
        </w:rPr>
        <w:instrText>Minguez","given":"Angel"},{"family":"Baek","given":"Jean</w:instrText>
      </w:r>
      <w:r w:rsidR="00A80938">
        <w:rPr>
          <w:rFonts w:ascii="Cambria Math" w:hAnsi="Cambria Math" w:cs="Cambria Math"/>
          <w:lang w:val="en-GB"/>
        </w:rPr>
        <w:instrText>‐</w:instrText>
      </w:r>
      <w:r w:rsidR="00A80938">
        <w:rPr>
          <w:rFonts w:ascii="Verdana" w:hAnsi="Verdana"/>
          <w:lang w:val="en-GB"/>
        </w:rPr>
        <w:instrText>Ha"},{"family":"Hortob</w:instrText>
      </w:r>
      <w:r w:rsidR="00A80938">
        <w:rPr>
          <w:rFonts w:ascii="Verdana" w:hAnsi="Verdana" w:cs="Verdana"/>
          <w:lang w:val="en-GB"/>
        </w:rPr>
        <w:instrText>á</w:instrText>
      </w:r>
      <w:r w:rsidR="00A80938">
        <w:rPr>
          <w:rFonts w:ascii="Verdana" w:hAnsi="Verdana"/>
          <w:lang w:val="en-GB"/>
        </w:rPr>
        <w:instrText xml:space="preserve">gyi","given":"Tibor"},{"family":"Attems","given":"Johannes"},{"family":"Ballard","given":"Clive"},{"family":"Aarsland","given":"Dag"}],"issued":{"date-parts":[["2016",11]]}}}],"schema":"https://github.com/citation-style-language/schema/raw/master/csl-citation.json"} </w:instrText>
      </w:r>
      <w:r w:rsidR="00A80938">
        <w:rPr>
          <w:rFonts w:ascii="Verdana" w:hAnsi="Verdana"/>
          <w:lang w:val="en-GB"/>
        </w:rPr>
        <w:fldChar w:fldCharType="separate"/>
      </w:r>
      <w:r w:rsidR="00A80938" w:rsidRPr="00A80938">
        <w:rPr>
          <w:rFonts w:ascii="Verdana" w:hAnsi="Verdana"/>
        </w:rPr>
        <w:t>(Bereczki et al. 2016)</w:t>
      </w:r>
      <w:r w:rsidR="00A80938">
        <w:rPr>
          <w:rFonts w:ascii="Verdana" w:hAnsi="Verdana"/>
          <w:lang w:val="en-GB"/>
        </w:rPr>
        <w:fldChar w:fldCharType="end"/>
      </w:r>
      <w:r w:rsidR="004F2E33">
        <w:rPr>
          <w:rFonts w:ascii="Verdana" w:hAnsi="Verdana"/>
          <w:lang w:val="en-GB"/>
        </w:rPr>
        <w:t xml:space="preserve">. </w:t>
      </w:r>
      <w:r w:rsidR="00485642">
        <w:rPr>
          <w:rFonts w:ascii="Verdana" w:hAnsi="Verdana"/>
          <w:lang w:val="en-GB"/>
        </w:rPr>
        <w:t xml:space="preserve">A positive correlation has been found between synaptic density and performance in </w:t>
      </w:r>
      <w:r w:rsidR="009C4C66">
        <w:rPr>
          <w:rFonts w:ascii="Verdana" w:hAnsi="Verdana"/>
          <w:lang w:val="en-GB"/>
        </w:rPr>
        <w:t>executive functioning, attention</w:t>
      </w:r>
      <w:r w:rsidR="008D4D63">
        <w:rPr>
          <w:rFonts w:ascii="Verdana" w:hAnsi="Verdana"/>
          <w:lang w:val="en-GB"/>
        </w:rPr>
        <w:t>,</w:t>
      </w:r>
      <w:r w:rsidR="009C4C66">
        <w:rPr>
          <w:rFonts w:ascii="Verdana" w:hAnsi="Verdana"/>
          <w:lang w:val="en-GB"/>
        </w:rPr>
        <w:t xml:space="preserve"> and visuospatial domains (Andersen et al. 2021).</w:t>
      </w:r>
    </w:p>
    <w:p w14:paraId="15CB459D" w14:textId="65791A1C" w:rsidR="000066C4" w:rsidRDefault="000066C4" w:rsidP="00291DAF">
      <w:pPr>
        <w:spacing w:line="360" w:lineRule="auto"/>
        <w:jc w:val="both"/>
        <w:rPr>
          <w:rFonts w:ascii="Verdana" w:hAnsi="Verdana"/>
          <w:lang w:val="en-GB"/>
        </w:rPr>
      </w:pPr>
      <w:r>
        <w:rPr>
          <w:noProof/>
        </w:rPr>
        <w:lastRenderedPageBreak/>
        <mc:AlternateContent>
          <mc:Choice Requires="wps">
            <w:drawing>
              <wp:anchor distT="0" distB="0" distL="114300" distR="114300" simplePos="0" relativeHeight="251685888" behindDoc="0" locked="0" layoutInCell="1" allowOverlap="1" wp14:anchorId="65757115" wp14:editId="07DA1312">
                <wp:simplePos x="0" y="0"/>
                <wp:positionH relativeFrom="margin">
                  <wp:posOffset>-1270</wp:posOffset>
                </wp:positionH>
                <wp:positionV relativeFrom="paragraph">
                  <wp:posOffset>4664312</wp:posOffset>
                </wp:positionV>
                <wp:extent cx="5577840" cy="424815"/>
                <wp:effectExtent l="0" t="0" r="3810" b="0"/>
                <wp:wrapTopAndBottom/>
                <wp:docPr id="10" name="Text Box 10"/>
                <wp:cNvGraphicFramePr/>
                <a:graphic xmlns:a="http://schemas.openxmlformats.org/drawingml/2006/main">
                  <a:graphicData uri="http://schemas.microsoft.com/office/word/2010/wordprocessingShape">
                    <wps:wsp>
                      <wps:cNvSpPr txBox="1"/>
                      <wps:spPr>
                        <a:xfrm>
                          <a:off x="0" y="0"/>
                          <a:ext cx="5577840" cy="424815"/>
                        </a:xfrm>
                        <a:prstGeom prst="rect">
                          <a:avLst/>
                        </a:prstGeom>
                        <a:solidFill>
                          <a:prstClr val="white"/>
                        </a:solidFill>
                        <a:ln>
                          <a:noFill/>
                        </a:ln>
                      </wps:spPr>
                      <wps:txbx>
                        <w:txbxContent>
                          <w:p w14:paraId="68B0E981" w14:textId="48CAB8A6" w:rsidR="00FB303C" w:rsidRPr="00C64AD3" w:rsidRDefault="00FB303C" w:rsidP="008152EC">
                            <w:pPr>
                              <w:pStyle w:val="Caption"/>
                              <w:ind w:firstLine="0"/>
                              <w:jc w:val="both"/>
                              <w:rPr>
                                <w:rFonts w:ascii="Verdana" w:hAnsi="Verdana"/>
                                <w:i w:val="0"/>
                                <w:iCs w:val="0"/>
                                <w:noProof/>
                                <w:color w:val="auto"/>
                              </w:rPr>
                            </w:pPr>
                            <w:bookmarkStart w:id="25" w:name="_Toc131412746"/>
                            <w:r w:rsidRPr="00C64AD3">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4</w:t>
                            </w:r>
                            <w:r w:rsidR="00FC184D">
                              <w:rPr>
                                <w:rFonts w:ascii="Verdana" w:hAnsi="Verdana"/>
                                <w:b/>
                                <w:bCs/>
                                <w:i w:val="0"/>
                                <w:iCs w:val="0"/>
                                <w:color w:val="auto"/>
                              </w:rPr>
                              <w:fldChar w:fldCharType="end"/>
                            </w:r>
                            <w:r w:rsidRPr="00C64AD3">
                              <w:rPr>
                                <w:rFonts w:ascii="Verdana" w:hAnsi="Verdana"/>
                                <w:i w:val="0"/>
                                <w:iCs w:val="0"/>
                                <w:color w:val="auto"/>
                              </w:rPr>
                              <w:t xml:space="preserve"> Neurotransmitter deficits associated with cognitive decline (modified from </w:t>
                            </w:r>
                            <w:proofErr w:type="spellStart"/>
                            <w:r w:rsidRPr="00C64AD3">
                              <w:rPr>
                                <w:rFonts w:ascii="Verdana" w:hAnsi="Verdana"/>
                                <w:i w:val="0"/>
                                <w:iCs w:val="0"/>
                                <w:color w:val="auto"/>
                              </w:rPr>
                              <w:t>Aarsland</w:t>
                            </w:r>
                            <w:proofErr w:type="spellEnd"/>
                            <w:r w:rsidRPr="00C64AD3">
                              <w:rPr>
                                <w:rFonts w:ascii="Verdana" w:hAnsi="Verdana"/>
                                <w:i w:val="0"/>
                                <w:iCs w:val="0"/>
                                <w:color w:val="auto"/>
                              </w:rPr>
                              <w:t xml:space="preserve"> et al., 2021)</w:t>
                            </w:r>
                            <w:r>
                              <w:rPr>
                                <w:rFonts w:ascii="Verdana" w:hAnsi="Verdana"/>
                                <w:i w:val="0"/>
                                <w:iCs w:val="0"/>
                                <w:color w:val="auto"/>
                              </w:rPr>
                              <w:t>. NC, normal cognition; MCI, mild cognitive impairment, VTA, ventral tegmental area.</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57115" id="Text Box 10" o:spid="_x0000_s1029" type="#_x0000_t202" style="position:absolute;left:0;text-align:left;margin-left:-.1pt;margin-top:367.25pt;width:439.2pt;height:33.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" stroked="f">
                <v:textbox inset="0,0,0,0">
                  <w:txbxContent>
                    <w:p w14:paraId="68B0E981" w14:textId="48CAB8A6" w:rsidR="00FB303C" w:rsidRPr="00C64AD3" w:rsidRDefault="00FB303C" w:rsidP="008152EC">
                      <w:pPr>
                        <w:pStyle w:val="Caption"/>
                        <w:ind w:firstLine="0"/>
                        <w:jc w:val="both"/>
                        <w:rPr>
                          <w:rFonts w:ascii="Verdana" w:hAnsi="Verdana"/>
                          <w:i w:val="0"/>
                          <w:iCs w:val="0"/>
                          <w:noProof/>
                          <w:color w:val="auto"/>
                        </w:rPr>
                      </w:pPr>
                      <w:bookmarkStart w:id="26" w:name="_Toc131412746"/>
                      <w:r w:rsidRPr="00C64AD3">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4</w:t>
                      </w:r>
                      <w:r w:rsidR="00FC184D">
                        <w:rPr>
                          <w:rFonts w:ascii="Verdana" w:hAnsi="Verdana"/>
                          <w:b/>
                          <w:bCs/>
                          <w:i w:val="0"/>
                          <w:iCs w:val="0"/>
                          <w:color w:val="auto"/>
                        </w:rPr>
                        <w:fldChar w:fldCharType="end"/>
                      </w:r>
                      <w:r w:rsidRPr="00C64AD3">
                        <w:rPr>
                          <w:rFonts w:ascii="Verdana" w:hAnsi="Verdana"/>
                          <w:i w:val="0"/>
                          <w:iCs w:val="0"/>
                          <w:color w:val="auto"/>
                        </w:rPr>
                        <w:t xml:space="preserve"> Neurotransmitter deficits associated with cognitive decline (modified from </w:t>
                      </w:r>
                      <w:proofErr w:type="spellStart"/>
                      <w:r w:rsidRPr="00C64AD3">
                        <w:rPr>
                          <w:rFonts w:ascii="Verdana" w:hAnsi="Verdana"/>
                          <w:i w:val="0"/>
                          <w:iCs w:val="0"/>
                          <w:color w:val="auto"/>
                        </w:rPr>
                        <w:t>Aarsland</w:t>
                      </w:r>
                      <w:proofErr w:type="spellEnd"/>
                      <w:r w:rsidRPr="00C64AD3">
                        <w:rPr>
                          <w:rFonts w:ascii="Verdana" w:hAnsi="Verdana"/>
                          <w:i w:val="0"/>
                          <w:iCs w:val="0"/>
                          <w:color w:val="auto"/>
                        </w:rPr>
                        <w:t xml:space="preserve"> et al., 2021)</w:t>
                      </w:r>
                      <w:r>
                        <w:rPr>
                          <w:rFonts w:ascii="Verdana" w:hAnsi="Verdana"/>
                          <w:i w:val="0"/>
                          <w:iCs w:val="0"/>
                          <w:color w:val="auto"/>
                        </w:rPr>
                        <w:t>. NC, normal cognition; MCI, mild cognitive impairment, VTA, ventral tegmental area.</w:t>
                      </w:r>
                      <w:bookmarkEnd w:id="26"/>
                    </w:p>
                  </w:txbxContent>
                </v:textbox>
                <w10:wrap type="topAndBottom" anchorx="margin"/>
              </v:shape>
            </w:pict>
          </mc:Fallback>
        </mc:AlternateContent>
      </w:r>
      <w:r>
        <w:rPr>
          <w:rFonts w:ascii="Verdana" w:hAnsi="Verdana"/>
          <w:noProof/>
          <w:lang w:val="en-GB"/>
        </w:rPr>
        <w:drawing>
          <wp:anchor distT="0" distB="0" distL="114300" distR="114300" simplePos="0" relativeHeight="251686912" behindDoc="0" locked="0" layoutInCell="1" allowOverlap="1" wp14:anchorId="7FD7E1D1" wp14:editId="541A5405">
            <wp:simplePos x="0" y="0"/>
            <wp:positionH relativeFrom="margin">
              <wp:align>center</wp:align>
            </wp:positionH>
            <wp:positionV relativeFrom="paragraph">
              <wp:posOffset>3279</wp:posOffset>
            </wp:positionV>
            <wp:extent cx="5448300" cy="4484370"/>
            <wp:effectExtent l="0" t="0" r="0" b="0"/>
            <wp:wrapTopAndBottom/>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58" cstate="print">
                      <a:extLst>
                        <a:ext uri="{28A0092B-C50C-407E-A947-70E740481C1C}">
                          <a14:useLocalDpi xmlns:a14="http://schemas.microsoft.com/office/drawing/2010/main" val="0"/>
                        </a:ext>
                      </a:extLst>
                    </a:blip>
                    <a:srcRect t="1763" b="12865"/>
                    <a:stretch/>
                  </pic:blipFill>
                  <pic:spPr bwMode="auto">
                    <a:xfrm>
                      <a:off x="0" y="0"/>
                      <a:ext cx="5448300" cy="4484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73780" w14:textId="463FB0BF" w:rsidR="00C96633" w:rsidRDefault="00C96633" w:rsidP="00291DAF">
      <w:pPr>
        <w:spacing w:line="360" w:lineRule="auto"/>
        <w:jc w:val="both"/>
        <w:rPr>
          <w:rFonts w:ascii="Verdana" w:hAnsi="Verdana"/>
          <w:lang w:val="en-GB"/>
        </w:rPr>
      </w:pPr>
    </w:p>
    <w:p w14:paraId="5238DA89" w14:textId="287BCA72" w:rsidR="00C96633" w:rsidRPr="00F16765" w:rsidRDefault="00C96633" w:rsidP="00291DAF">
      <w:pPr>
        <w:spacing w:line="360" w:lineRule="auto"/>
        <w:jc w:val="both"/>
        <w:rPr>
          <w:rFonts w:ascii="Verdana" w:hAnsi="Verdana"/>
          <w:lang w:val="en-GB"/>
        </w:rPr>
      </w:pPr>
    </w:p>
    <w:p w14:paraId="7528EEED" w14:textId="52377514" w:rsidR="00575A89" w:rsidRPr="00AF19DE" w:rsidRDefault="00AF19DE" w:rsidP="00767F9D">
      <w:pPr>
        <w:pStyle w:val="Heading3"/>
        <w:numPr>
          <w:ilvl w:val="2"/>
          <w:numId w:val="15"/>
        </w:numPr>
      </w:pPr>
      <w:r>
        <w:t xml:space="preserve">  </w:t>
      </w:r>
      <w:bookmarkStart w:id="27" w:name="_Toc130223397"/>
      <w:r w:rsidR="00895F90" w:rsidRPr="00AF19DE">
        <w:t>Brain atrophy</w:t>
      </w:r>
      <w:bookmarkEnd w:id="27"/>
    </w:p>
    <w:p w14:paraId="4A075B2F" w14:textId="7FCE39A3" w:rsidR="001671DF" w:rsidRDefault="00BF52E4" w:rsidP="00291DAF">
      <w:pPr>
        <w:spacing w:line="360" w:lineRule="auto"/>
        <w:jc w:val="both"/>
        <w:rPr>
          <w:rFonts w:ascii="Verdana" w:hAnsi="Verdana"/>
          <w:lang w:val="en-GB"/>
        </w:rPr>
      </w:pPr>
      <w:r>
        <w:rPr>
          <w:rFonts w:ascii="Verdana" w:hAnsi="Verdana"/>
          <w:lang w:val="en-GB"/>
        </w:rPr>
        <w:t xml:space="preserve">Since </w:t>
      </w:r>
      <w:r w:rsidR="00CA4A62">
        <w:rPr>
          <w:rFonts w:ascii="Verdana" w:hAnsi="Verdana"/>
          <w:lang w:val="en-GB"/>
        </w:rPr>
        <w:t>the pathophysiological presentation of dementia in PD consists in impairment of spatial and working memory, it is not surprising that PDD patients show grey matter (GM) alterations in brain regions involved in memory encoding and</w:t>
      </w:r>
      <w:r w:rsidR="002A48E9">
        <w:rPr>
          <w:rFonts w:ascii="Verdana" w:hAnsi="Verdana"/>
          <w:lang w:val="en-GB"/>
        </w:rPr>
        <w:t xml:space="preserve"> consolidation</w:t>
      </w:r>
      <w:r w:rsidR="00CA4A62">
        <w:rPr>
          <w:rFonts w:ascii="Verdana" w:hAnsi="Verdana"/>
          <w:lang w:val="en-GB"/>
        </w:rPr>
        <w:t>.</w:t>
      </w:r>
      <w:r w:rsidR="007F3EC4">
        <w:rPr>
          <w:rFonts w:ascii="Verdana" w:hAnsi="Verdana"/>
          <w:lang w:val="en-GB"/>
        </w:rPr>
        <w:t xml:space="preserve"> </w:t>
      </w:r>
      <w:r w:rsidR="001F771D">
        <w:rPr>
          <w:rFonts w:ascii="Verdana" w:hAnsi="Verdana"/>
          <w:lang w:val="en-GB"/>
        </w:rPr>
        <w:t>GM atrophy</w:t>
      </w:r>
      <w:r w:rsidR="00CF3948">
        <w:rPr>
          <w:rFonts w:ascii="Verdana" w:hAnsi="Verdana"/>
          <w:lang w:val="en-GB"/>
        </w:rPr>
        <w:t xml:space="preserve"> in PD</w:t>
      </w:r>
      <w:r w:rsidR="00CD0095">
        <w:rPr>
          <w:rFonts w:ascii="Verdana" w:hAnsi="Verdana"/>
          <w:lang w:val="en-GB"/>
        </w:rPr>
        <w:t>-MCI and PDD</w:t>
      </w:r>
      <w:r w:rsidR="001F771D">
        <w:rPr>
          <w:rFonts w:ascii="Verdana" w:hAnsi="Verdana"/>
          <w:lang w:val="en-GB"/>
        </w:rPr>
        <w:t xml:space="preserve"> has bee</w:t>
      </w:r>
      <w:r w:rsidR="00284FCB">
        <w:rPr>
          <w:rFonts w:ascii="Verdana" w:hAnsi="Verdana"/>
          <w:lang w:val="en-GB"/>
        </w:rPr>
        <w:t xml:space="preserve">n reported </w:t>
      </w:r>
      <w:r w:rsidR="007F3EC4">
        <w:rPr>
          <w:rFonts w:ascii="Verdana" w:hAnsi="Verdana"/>
          <w:lang w:val="en-GB"/>
        </w:rPr>
        <w:t>in</w:t>
      </w:r>
      <w:r w:rsidR="001950F0">
        <w:rPr>
          <w:rFonts w:ascii="Verdana" w:hAnsi="Verdana"/>
          <w:lang w:val="en-GB"/>
        </w:rPr>
        <w:t xml:space="preserve"> prefrontal cortex,</w:t>
      </w:r>
      <w:r w:rsidR="007F3EC4">
        <w:rPr>
          <w:rFonts w:ascii="Verdana" w:hAnsi="Verdana"/>
          <w:lang w:val="en-GB"/>
        </w:rPr>
        <w:t xml:space="preserve"> medial temporal lobe</w:t>
      </w:r>
      <w:r w:rsidR="001950F0">
        <w:rPr>
          <w:rFonts w:ascii="Verdana" w:hAnsi="Verdana"/>
          <w:lang w:val="en-GB"/>
        </w:rPr>
        <w:t>, thalamus, and caudate</w:t>
      </w:r>
      <w:r w:rsidR="00A80938">
        <w:rPr>
          <w:rFonts w:ascii="Verdana" w:hAnsi="Verdana"/>
          <w:lang w:val="en-GB"/>
        </w:rPr>
        <w:t xml:space="preserve"> </w:t>
      </w:r>
      <w:r w:rsidR="00A80938">
        <w:rPr>
          <w:rFonts w:ascii="Verdana" w:hAnsi="Verdana"/>
          <w:lang w:val="en-GB"/>
        </w:rPr>
        <w:fldChar w:fldCharType="begin"/>
      </w:r>
      <w:r w:rsidR="00A80938">
        <w:rPr>
          <w:rFonts w:ascii="Verdana" w:hAnsi="Verdana"/>
          <w:lang w:val="en-GB"/>
        </w:rPr>
        <w:instrText xml:space="preserve"> ADDIN ZOTERO_ITEM CSL_CITATION {"citationID":"PnT0sPrs","properties":{"formattedCitation":"(Kunst et al. 2019; Nagano-Saito et al. 2005; Pan et al. 2013)","plainCitation":"(Kunst et al. 2019; Nagano-Saito et al. 2005; Pan et al. 2013)","noteIndex":0},"citationItems":[{"id":890,"uris":["http://zotero.org/users/9330673/items/A3BZN2AT"],"itemData":{"id":890,"type":"article-journal","abstract":"Using MRI, a characteristic pattern of grey matter (GM) atrophy has been described in the early stages of Alzheimer’s disease (AD); GM patterns at different stages of Parkinson’s disease (PD) have been inconclusive. Few studies have directly compared structural changes in groups with mild cognitive impairment (MCI) caused by different pathologies (AD, PD). We used several analytical methods to determine GM changes at different stages of both PD and AD. We also evaluated associations between GM changes and cognitive measurements. Altogether 144 subjects were evaluated: PD with normal cognition (PD-NC; n</w:instrText>
      </w:r>
      <w:r w:rsidR="00A80938">
        <w:rPr>
          <w:rFonts w:ascii="Arial" w:hAnsi="Arial" w:cs="Arial"/>
          <w:lang w:val="en-GB"/>
        </w:rPr>
        <w:instrText> </w:instrText>
      </w:r>
      <w:r w:rsidR="00A80938">
        <w:rPr>
          <w:rFonts w:ascii="Verdana" w:hAnsi="Verdana"/>
          <w:lang w:val="en-GB"/>
        </w:rPr>
        <w:instrText>=</w:instrText>
      </w:r>
      <w:r w:rsidR="00A80938">
        <w:rPr>
          <w:rFonts w:ascii="Arial" w:hAnsi="Arial" w:cs="Arial"/>
          <w:lang w:val="en-GB"/>
        </w:rPr>
        <w:instrText> </w:instrText>
      </w:r>
      <w:r w:rsidR="00A80938">
        <w:rPr>
          <w:rFonts w:ascii="Verdana" w:hAnsi="Verdana"/>
          <w:lang w:val="en-GB"/>
        </w:rPr>
        <w:instrText>23), PD with MCI (PD-MCI; n</w:instrText>
      </w:r>
      <w:r w:rsidR="00A80938">
        <w:rPr>
          <w:rFonts w:ascii="Arial" w:hAnsi="Arial" w:cs="Arial"/>
          <w:lang w:val="en-GB"/>
        </w:rPr>
        <w:instrText> </w:instrText>
      </w:r>
      <w:r w:rsidR="00A80938">
        <w:rPr>
          <w:rFonts w:ascii="Verdana" w:hAnsi="Verdana"/>
          <w:lang w:val="en-GB"/>
        </w:rPr>
        <w:instrText>=</w:instrText>
      </w:r>
      <w:r w:rsidR="00A80938">
        <w:rPr>
          <w:rFonts w:ascii="Arial" w:hAnsi="Arial" w:cs="Arial"/>
          <w:lang w:val="en-GB"/>
        </w:rPr>
        <w:instrText> </w:instrText>
      </w:r>
      <w:r w:rsidR="00A80938">
        <w:rPr>
          <w:rFonts w:ascii="Verdana" w:hAnsi="Verdana"/>
          <w:lang w:val="en-GB"/>
        </w:rPr>
        <w:instrText>24), amnestic MCI (aMCI; n</w:instrText>
      </w:r>
      <w:r w:rsidR="00A80938">
        <w:rPr>
          <w:rFonts w:ascii="Arial" w:hAnsi="Arial" w:cs="Arial"/>
          <w:lang w:val="en-GB"/>
        </w:rPr>
        <w:instrText> </w:instrText>
      </w:r>
      <w:r w:rsidR="00A80938">
        <w:rPr>
          <w:rFonts w:ascii="Verdana" w:hAnsi="Verdana"/>
          <w:lang w:val="en-GB"/>
        </w:rPr>
        <w:instrText>=</w:instrText>
      </w:r>
      <w:r w:rsidR="00A80938">
        <w:rPr>
          <w:rFonts w:ascii="Arial" w:hAnsi="Arial" w:cs="Arial"/>
          <w:lang w:val="en-GB"/>
        </w:rPr>
        <w:instrText> </w:instrText>
      </w:r>
      <w:r w:rsidR="00A80938">
        <w:rPr>
          <w:rFonts w:ascii="Verdana" w:hAnsi="Verdana"/>
          <w:lang w:val="en-GB"/>
        </w:rPr>
        <w:instrText>27), AD (n</w:instrText>
      </w:r>
      <w:r w:rsidR="00A80938">
        <w:rPr>
          <w:rFonts w:ascii="Arial" w:hAnsi="Arial" w:cs="Arial"/>
          <w:lang w:val="en-GB"/>
        </w:rPr>
        <w:instrText> </w:instrText>
      </w:r>
      <w:r w:rsidR="00A80938">
        <w:rPr>
          <w:rFonts w:ascii="Verdana" w:hAnsi="Verdana"/>
          <w:lang w:val="en-GB"/>
        </w:rPr>
        <w:instrText>=</w:instrText>
      </w:r>
      <w:r w:rsidR="00A80938">
        <w:rPr>
          <w:rFonts w:ascii="Arial" w:hAnsi="Arial" w:cs="Arial"/>
          <w:lang w:val="en-GB"/>
        </w:rPr>
        <w:instrText> </w:instrText>
      </w:r>
      <w:r w:rsidR="00A80938">
        <w:rPr>
          <w:rFonts w:ascii="Verdana" w:hAnsi="Verdana"/>
          <w:lang w:val="en-GB"/>
        </w:rPr>
        <w:instrText>12), and age-matched healthy controls (HC; n</w:instrText>
      </w:r>
      <w:r w:rsidR="00A80938">
        <w:rPr>
          <w:rFonts w:ascii="Arial" w:hAnsi="Arial" w:cs="Arial"/>
          <w:lang w:val="en-GB"/>
        </w:rPr>
        <w:instrText> </w:instrText>
      </w:r>
      <w:r w:rsidR="00A80938">
        <w:rPr>
          <w:rFonts w:ascii="Verdana" w:hAnsi="Verdana"/>
          <w:lang w:val="en-GB"/>
        </w:rPr>
        <w:instrText>=</w:instrText>
      </w:r>
      <w:r w:rsidR="00A80938">
        <w:rPr>
          <w:rFonts w:ascii="Arial" w:hAnsi="Arial" w:cs="Arial"/>
          <w:lang w:val="en-GB"/>
        </w:rPr>
        <w:instrText> </w:instrText>
      </w:r>
      <w:r w:rsidR="00A80938">
        <w:rPr>
          <w:rFonts w:ascii="Verdana" w:hAnsi="Verdana"/>
          <w:lang w:val="en-GB"/>
        </w:rPr>
        <w:instrText xml:space="preserve">58). All subjects underwent structural MRI and cognitive examination. GM volumes were analysed using two different techniques: voxel-based morphometry (VBM) and source-based morphometry (SBM), which is a multivariate method. In addition, cortical thickness (CT) was evaluated to assess between-group differences in GM. The cognitive domain z-scores were correlated with GM changes in individual patient groups. GM atrophy in the anterior and posterior cingulate, as measured by VBM, in the temporo-fronto-parietal component, as measured by SBM, and in the posterior cortical regions as well as in the anterior cingulate and frontal region, as measured by CT, differentiated aMCI from HC. Major hippocampal and temporal lobe atrophy (VBM, SBM) and to some extent occipital atrophy (SBM) differentiated AD from aMCI and from HC. Correlations with cognitive deficits were present only in the AD group. PD-MCI showed greater GM atrophy than PD-NC in the orbitofrontal regions (VBM), which was related to memory z-scores, and in the left superior parietal lobule (CT); more widespread limbic and fronto-parieto-occipital neocortical atrophy (all methods) differentiated this group from HC. Only CT revealed subtle GM atrophy in the anterior cingulate, precuneus, and temporal neocortex in PD-NC as compared to HC. None of the methods differentiated PD-MCI from aMCI. Both MCI groups showed distinct limbic and frontotemporo-parietal neocortical atrophy compared to HC with no specific between-group differences. AD subjects displayed a typical pattern of major temporal lobe atrophy which was associated with deficits in all cognitive domains. VBM and CT were more sensitive than SBM in identifying frontal and posterior cortical atrophy in PD-MCI as compared to PD-NC. Our data support the notion that the results of studies using different analytical methods cannot be compared directly. Only CT measures revealed some subtle differences between HC and PD-NC.","container-title":"Brain Topography","DOI":"10.1007/s10548-018-0675-2","ISSN":"0896-0267, 1573-6792","issue":"1","journalAbbreviation":"Brain Topogr","language":"en","page":"142-160","source":"DOI.org (Crossref)","title":"Patterns of Grey Matter Atrophy at Different Stages of Parkinson’s and Alzheimer’s Diseases and Relation to Cognition","volume":"32","author":[{"family":"Kunst","given":"Jonas"},{"family":"Marecek","given":"Radek"},{"family":"Klobusiakova","given":"Patricia"},{"family":"Balazova","given":"Zuzana"},{"family":"Anderkova","given":"Lubomira"},{"family":"Nemcova-Elfmarkova","given":"Nela"},{"family":"Rektorova","given":"Irena"}],"issued":{"date-parts":[["2019",1]]}}},{"id":877,"uris":["http://zotero.org/users/9330673/items/ZJ2EFVFQ"],"itemData":{"id":877,"type":"article-journal","abstract":"Objective: Voxel-based morphometry was used to compare the amounts of gray matter in the brains of patients with Parkinson disease (PD) and normal control subjects (NCs) and to identify the specific regions responsible for cognitive dysfunction in PD. Methods: Patients were classified into nondemented (ND) and demented (D) groups according to the criteria of the Diagnostic and Statistical Manual of Mental Disorders (4th ed.), and a group comparison was performed. In the ND patients, a correlation was also performed between local gray matter density and the score on Raven Colored Progressive Matrices (RCPM), a test of executive and visuospatial function. Results: In patients with advanced ND-PD vs NCs, atrophic changes were observed in the limbic/paralimbic areas and the prefrontal cortex. In D vs ND patients, atrophic change was observed widely in the limbic/paralimbic system, including the anterior cingulate gyrus and hippocampus as well as the temporal lobe, dorsolateral prefrontal cortex, thalamus, and caudate nucleus. The RCPM score was positively correlated with the gray matter density in the dorsolateral prefrontal cortex and the parahippocampal gyrus. Conclusions: In patients with Parkinson disease (PD), atrophic changes occur mainly in the limbic/paralimbic and prefrontal areas. These atrophic changes may be related to the development of dementia in PD.","container-title":"Neurology","DOI":"10.1212/01.WNL.0000149510.41793.50","ISSN":"0028-3878, 1526-632X","issue":"2","journalAbbreviation":"Neurology","language":"en","page":"224-229","source":"DOI.org (Crossref)","title":"Cerebral atrophy and its relation to cognitive impairment in Parkinson disease","volume":"64","author":[{"family":"Nagano-Saito","given":"A."},{"family":"Washimi","given":"Y."},{"family":"Arahata","given":"Y."},{"family":"Kachi","given":"T."},{"family":"Lerch","given":"J. P."},{"family":"Evans","given":"A. C."},{"family":"Dagher","given":"A."},{"family":"Ito","given":"K."}],"issued":{"date-parts":[["2005",1,25]]}}},{"id":376,"uris":["http://zotero.org/users/9330673/items/HBU8XWCR"],"itemData":{"id":376,"type":"article-journal","abstract":"Voxel-based morphometry (VBM) studies have provided cumulative evidence of gray matter (GM) atrophy in patients with Parkinson’s disease with dementia (PDD) relative to healthy controls (HC). However, not all the studies reported entirely consistent ﬁndings. A systematic search for VBM studies of PDD patients and HC subjects published in PubMed and Embase databases from January 2000 to June 2012 was conducted. Meta-analysis was performed by using a newly improved voxel-based metaanalytic technique, effect size signed differential mapping, to quantitatively explore the GM abnormalities between PDD patients and HC subjects. A total of 6 cross-sectional VBM studies involving 105 PDD patients and 131 HC subjects met the inclusion criteria. Considerable regional GM decrease was detected in the medial temporal lobe (MTL) and basal ganglia. The ﬁndings of the present study remained largely unchanged in the entire brain jackknife sensitivity analyses. Meta-regression showed dementia severity correlated with the left MTL. The present metaanalysis provided evidence of PDD-related GM atrophy, which suggested MTL and basal ganglia were implicated in PDD. This ﬁnding could give us further insight about the pathophysiological basis revealed by structure abnormalities in PDD.","container-title":"Neurological Sciences","DOI":"10.1007/s10072-012-1250-3","ISSN":"1590-1874, 1590-3478","issue":"5","journalAbbreviation":"Neurol Sci","language":"en","page":"613-619","source":"DOI.org (Crossref)","title":"Gray matter atrophy in Parkinson’s disease with dementia: evidence from meta-analysis of voxel-based morphometry studies","title-short":"Gray matter atrophy in Parkinson’s disease with dementia","volume":"34","author":[{"family":"Pan","given":"Ping Lei"},{"family":"Shi","given":"Hai Cun"},{"family":"Zhong","given":"Jian Guo"},{"family":"Xiao","given":"Pei Rong"},{"family":"Shen","given":"Yuan"},{"family":"Wu","given":"Li Juan"},{"family":"Song","given":"Yuan Ying"},{"family":"He","given":"Gui Xiang"},{"family":"Li","given":"Hua Liang"}],"issued":{"date-parts":[["2013",5]]}}}],"schema":"https://github.com/citation-style-language/schema/raw/master/csl-citation.json"} </w:instrText>
      </w:r>
      <w:r w:rsidR="00A80938">
        <w:rPr>
          <w:rFonts w:ascii="Verdana" w:hAnsi="Verdana"/>
          <w:lang w:val="en-GB"/>
        </w:rPr>
        <w:fldChar w:fldCharType="separate"/>
      </w:r>
      <w:r w:rsidR="00A80938" w:rsidRPr="00A80938">
        <w:rPr>
          <w:rFonts w:ascii="Verdana" w:hAnsi="Verdana"/>
        </w:rPr>
        <w:t>(Kunst et al. 2019; Nagano-Saito et al. 2005; Pan et al. 2013)</w:t>
      </w:r>
      <w:r w:rsidR="00A80938">
        <w:rPr>
          <w:rFonts w:ascii="Verdana" w:hAnsi="Verdana"/>
          <w:lang w:val="en-GB"/>
        </w:rPr>
        <w:fldChar w:fldCharType="end"/>
      </w:r>
      <w:r w:rsidR="00475938">
        <w:rPr>
          <w:rFonts w:ascii="Verdana" w:hAnsi="Verdana"/>
          <w:lang w:val="en-GB"/>
        </w:rPr>
        <w:t xml:space="preserve"> (Figure 5)</w:t>
      </w:r>
      <w:r w:rsidR="00284FCB">
        <w:rPr>
          <w:rFonts w:ascii="Verdana" w:hAnsi="Verdana"/>
          <w:lang w:val="en-GB"/>
        </w:rPr>
        <w:t>.</w:t>
      </w:r>
      <w:r w:rsidR="00F1336F">
        <w:rPr>
          <w:rFonts w:ascii="Verdana" w:hAnsi="Verdana"/>
          <w:lang w:val="en-GB"/>
        </w:rPr>
        <w:t xml:space="preserve"> For the scope of this thesis, only alterations in the medial temporal lobe will be discussed further.</w:t>
      </w:r>
    </w:p>
    <w:p w14:paraId="7646597A" w14:textId="662CEA13" w:rsidR="00116752" w:rsidRDefault="001671DF" w:rsidP="00291DAF">
      <w:pPr>
        <w:spacing w:line="360" w:lineRule="auto"/>
        <w:jc w:val="both"/>
        <w:rPr>
          <w:rFonts w:ascii="Verdana" w:hAnsi="Verdana"/>
          <w:lang w:val="en-GB"/>
        </w:rPr>
      </w:pPr>
      <w:r>
        <w:rPr>
          <w:rFonts w:ascii="Verdana" w:hAnsi="Verdana"/>
          <w:lang w:val="en-GB"/>
        </w:rPr>
        <w:t>The medial temporal lobe (MTL)</w:t>
      </w:r>
      <w:r w:rsidR="00B92C9D">
        <w:rPr>
          <w:rFonts w:ascii="Verdana" w:hAnsi="Verdana"/>
          <w:lang w:val="en-GB"/>
        </w:rPr>
        <w:t xml:space="preserve"> is a</w:t>
      </w:r>
      <w:r w:rsidR="004F4D81">
        <w:rPr>
          <w:rFonts w:ascii="Verdana" w:hAnsi="Verdana"/>
          <w:lang w:val="en-GB"/>
        </w:rPr>
        <w:t xml:space="preserve"> neural system composed by the hippocampus and the adjacent entorhinal, perirhinal</w:t>
      </w:r>
      <w:r w:rsidR="000F06F2">
        <w:rPr>
          <w:rFonts w:ascii="Verdana" w:hAnsi="Verdana"/>
          <w:lang w:val="en-GB"/>
        </w:rPr>
        <w:t xml:space="preserve"> and para-hippocampal cortices.</w:t>
      </w:r>
      <w:r w:rsidR="000E0935">
        <w:rPr>
          <w:rFonts w:ascii="Verdana" w:hAnsi="Verdana"/>
          <w:lang w:val="en-GB"/>
        </w:rPr>
        <w:t xml:space="preserve"> The MTL presents widespread connections with the neocortex, and</w:t>
      </w:r>
      <w:r w:rsidR="00284FCB">
        <w:rPr>
          <w:rFonts w:ascii="Verdana" w:hAnsi="Verdana"/>
          <w:lang w:val="en-GB"/>
        </w:rPr>
        <w:t xml:space="preserve"> </w:t>
      </w:r>
      <w:r w:rsidR="00960864">
        <w:rPr>
          <w:rFonts w:ascii="Verdana" w:hAnsi="Verdana"/>
          <w:lang w:val="en-GB"/>
        </w:rPr>
        <w:t xml:space="preserve">is </w:t>
      </w:r>
      <w:r w:rsidR="00960864">
        <w:rPr>
          <w:rFonts w:ascii="Verdana" w:hAnsi="Verdana"/>
          <w:lang w:val="en-GB"/>
        </w:rPr>
        <w:lastRenderedPageBreak/>
        <w:t>crucial in</w:t>
      </w:r>
      <w:r w:rsidR="000E0935">
        <w:rPr>
          <w:rFonts w:ascii="Verdana" w:hAnsi="Verdana"/>
          <w:lang w:val="en-GB"/>
        </w:rPr>
        <w:t xml:space="preserve"> the </w:t>
      </w:r>
      <w:r w:rsidR="00342C89">
        <w:rPr>
          <w:rFonts w:ascii="Verdana" w:hAnsi="Verdana"/>
          <w:lang w:val="en-GB"/>
        </w:rPr>
        <w:t xml:space="preserve">encoding, consolidation </w:t>
      </w:r>
      <w:r w:rsidR="00535A80">
        <w:rPr>
          <w:rFonts w:ascii="Verdana" w:hAnsi="Verdana"/>
          <w:lang w:val="en-GB"/>
        </w:rPr>
        <w:t xml:space="preserve">and retrieval of memory </w:t>
      </w:r>
      <w:proofErr w:type="spellStart"/>
      <w:r w:rsidR="00535A80">
        <w:rPr>
          <w:rFonts w:ascii="Verdana" w:hAnsi="Verdana"/>
          <w:lang w:val="en-GB"/>
        </w:rPr>
        <w:t>informations</w:t>
      </w:r>
      <w:proofErr w:type="spellEnd"/>
      <w:r w:rsidR="000E0935">
        <w:rPr>
          <w:rFonts w:ascii="Verdana" w:hAnsi="Verdana"/>
          <w:lang w:val="en-GB"/>
        </w:rPr>
        <w:t xml:space="preserve"> </w:t>
      </w:r>
      <w:r w:rsidR="00720744">
        <w:rPr>
          <w:rFonts w:ascii="Verdana" w:hAnsi="Verdana"/>
          <w:lang w:val="en-GB"/>
        </w:rPr>
        <w:fldChar w:fldCharType="begin"/>
      </w:r>
      <w:r w:rsidR="00720744">
        <w:rPr>
          <w:rFonts w:ascii="Verdana" w:hAnsi="Verdana"/>
          <w:lang w:val="en-GB"/>
        </w:rPr>
        <w:instrText xml:space="preserve"> ADDIN ZOTERO_ITEM CSL_CITATION {"citationID":"3JkcaeXA","properties":{"formattedCitation":"(Lech and Suchan 2013)","plainCitation":"(Lech and Suchan 2013)","noteIndex":0},"citationItems":[{"id":1252,"uris":["http://zotero.org/users/9330673/items/HLX3NN2T"],"itemData":{"id":1252,"type":"article-journal","container-title":"Behavioural Brain Research","DOI":"10.1016/j.bbr.2013.06.009","ISSN":"01664328","journalAbbreviation":"Behavioural Brain Research","language":"en","page":"45-49","source":"DOI.org (Crossref)","title":"The medial temporal lobe: Memory and beyond","title-short":"The medial temporal lobe","volume":"254","author":[{"family":"Lech","given":"Robert K."},{"family":"Suchan","given":"Boris"}],"issued":{"date-parts":[["2013",10]]}}}],"schema":"https://github.com/citation-style-language/schema/raw/master/csl-citation.json"} </w:instrText>
      </w:r>
      <w:r w:rsidR="00720744">
        <w:rPr>
          <w:rFonts w:ascii="Verdana" w:hAnsi="Verdana"/>
          <w:lang w:val="en-GB"/>
        </w:rPr>
        <w:fldChar w:fldCharType="separate"/>
      </w:r>
      <w:r w:rsidR="00720744" w:rsidRPr="00720744">
        <w:rPr>
          <w:rFonts w:ascii="Verdana" w:hAnsi="Verdana"/>
        </w:rPr>
        <w:t>(Lech and Suchan 2013)</w:t>
      </w:r>
      <w:r w:rsidR="00720744">
        <w:rPr>
          <w:rFonts w:ascii="Verdana" w:hAnsi="Verdana"/>
          <w:lang w:val="en-GB"/>
        </w:rPr>
        <w:fldChar w:fldCharType="end"/>
      </w:r>
      <w:r w:rsidR="00720744">
        <w:rPr>
          <w:rFonts w:ascii="Verdana" w:hAnsi="Verdana"/>
          <w:lang w:val="en-GB"/>
        </w:rPr>
        <w:t xml:space="preserve">. </w:t>
      </w:r>
      <w:r w:rsidR="00D00804">
        <w:rPr>
          <w:rFonts w:ascii="Verdana" w:hAnsi="Verdana"/>
          <w:lang w:val="en-GB"/>
        </w:rPr>
        <w:t>PDD patients present higher MTL atrophy when compared to both healthy controls and non-demented PD</w:t>
      </w:r>
      <w:r w:rsidR="00720744">
        <w:rPr>
          <w:rFonts w:ascii="Verdana" w:hAnsi="Verdana"/>
          <w:lang w:val="en-GB"/>
        </w:rPr>
        <w:t xml:space="preserve"> </w:t>
      </w:r>
      <w:r w:rsidR="00720744">
        <w:rPr>
          <w:rFonts w:ascii="Verdana" w:hAnsi="Verdana"/>
          <w:lang w:val="en-GB"/>
        </w:rPr>
        <w:fldChar w:fldCharType="begin"/>
      </w:r>
      <w:r w:rsidR="00720744">
        <w:rPr>
          <w:rFonts w:ascii="Verdana" w:hAnsi="Verdana"/>
          <w:lang w:val="en-GB"/>
        </w:rPr>
        <w:instrText xml:space="preserve"> ADDIN ZOTERO_ITEM CSL_CITATION {"citationID":"grTYlJjI","properties":{"formattedCitation":"(Ibarretxe-Bilbao et al. 2008; Nagano-Saito et al. 2005; Pan et al. 2013)","plainCitation":"(Ibarretxe-Bilbao et al. 2008; Nagano-Saito et al. 2005; Pan et al. 2013)","noteIndex":0},"citationItems":[{"id":595,"uris":["http://zotero.org/users/9330673/items/ATXKVLB3"],"itemData":{"id":595,"type":"article-journal","container-title":"Journal of Neurology","DOI":"10.1007/s00415-008-0885-8","ISSN":"0340-5354, 1432-1459","issue":"9","journalAbbreviation":"J Neurol","language":"en","page":"1324-1331","source":"DOI.org (Crossref)","title":"Hippocampal head atrophy predominance in Parkinson’s disease with hallucinations and with dementia","volume":"255","author":[{"family":"Ibarretxe-Bilbao","given":"N."},{"family":"Ramírez-Ruiz","given":"B."},{"family":"Tolosa","given":"E."},{"family":"Martí","given":"M. J."},{"family":"Valldeoriola","given":"F."},{"family":"Bargalló","given":"N."},{"family":"Junqué","given":"C."}],"issued":{"date-parts":[["2008",9]]}}},{"id":877,"uris":["http://zotero.org/users/9330673/items/ZJ2EFVFQ"],"itemData":{"id":877,"type":"article-journal","abstract":"Objective: Voxel-based morphometry was used to compare the amounts of gray matter in the brains of patients with Parkinson disease (PD) and normal control subjects (NCs) and to identify the specific regions responsible for cognitive dysfunction in PD. Methods: Patients were classified into nondemented (ND) and demented (D) groups according to the criteria of the Diagnostic and Statistical Manual of Mental Disorders (4th ed.), and a group comparison was performed. In the ND patients, a correlation was also performed between local gray matter density and the score on Raven Colored Progressive Matrices (RCPM), a test of executive and visuospatial function. Results: In patients with advanced ND-PD vs NCs, atrophic changes were observed in the limbic/paralimbic areas and the prefrontal cortex. In D vs ND patients, atrophic change was observed widely in the limbic/paralimbic system, including the anterior cingulate gyrus and hippocampus as well as the temporal lobe, dorsolateral prefrontal cortex, thalamus, and caudate nucleus. The RCPM score was positively correlated with the gray matter density in the dorsolateral prefrontal cortex and the parahippocampal gyrus. Conclusions: In patients with Parkinson disease (PD), atrophic changes occur mainly in the limbic/paralimbic and prefrontal areas. These atrophic changes may be related to the development of dementia in PD.","container-title":"Neurology","DOI":"10.1212/01.WNL.0000149510.41793.50","ISSN":"0028-3878, 1526-632X","issue":"2","journalAbbreviation":"Neurology","language":"en","page":"224-229","source":"DOI.org (Crossref)","title":"Cerebral atrophy and its relation to cognitive impairment in Parkinson disease","volume":"64","author":[{"family":"Nagano-Saito","given":"A."},{"family":"Washimi","given":"Y."},{"family":"Arahata","given":"Y."},{"family":"Kachi","given":"T."},{"family":"Lerch","given":"J. P."},{"family":"Evans","given":"A. C."},{"family":"Dagher","given":"A."},{"family":"Ito","given":"K."}],"issued":{"date-parts":[["2005",1,25]]}}},{"id":376,"uris":["http://zotero.org/users/9330673/items/HBU8XWCR"],"itemData":{"id":376,"type":"article-journal","abstract":"Voxel-based morphometry (VBM) studies have provided cumulative evidence of gray matter (GM) atrophy in patients with Parkinson’s disease with dementia (PDD) relative to healthy controls (HC). However, not all the studies reported entirely consistent ﬁndings. A systematic search for VBM studies of PDD patients and HC subjects published in PubMed and Embase databases from January 2000 to June 2012 was conducted. Meta-analysis was performed by using a newly improved voxel-based metaanalytic technique, effect size signed differential mapping, to quantitatively explore the GM abnormalities between PDD patients and HC subjects. A total of 6 cross-sectional VBM studies involving 105 PDD patients and 131 HC subjects met the inclusion criteria. Considerable regional GM decrease was detected in the medial temporal lobe (MTL) and basal ganglia. The ﬁndings of the present study remained largely unchanged in the entire brain jackknife sensitivity analyses. Meta-regression showed dementia severity correlated with the left MTL. The present metaanalysis provided evidence of PDD-related GM atrophy, which suggested MTL and basal ganglia were implicated in PDD. This ﬁnding could give us further insight about the pathophysiological basis revealed by structure abnormalities in PDD.","container-title":"Neurological Sciences","DOI":"10.1007/s10072-012-1250-3","ISSN":"1590-1874, 1590-3478","issue":"5","journalAbbreviation":"Neurol Sci","language":"en","page":"613-619","source":"DOI.org (Crossref)","title":"Gray matter atrophy in Parkinson’s disease with dementia: evidence from meta-analysis of voxel-based morphometry studies","title-short":"Gray matter atrophy in Parkinson’s disease with dementia","volume":"34","author":[{"family":"Pan","given":"Ping Lei"},{"family":"Shi","given":"Hai Cun"},{"family":"Zhong","given":"Jian Guo"},{"family":"Xiao","given":"Pei Rong"},{"family":"Shen","given":"Yuan"},{"family":"Wu","given":"Li Juan"},{"family":"Song","given":"Yuan Ying"},{"family":"He","given":"Gui Xiang"},{"family":"Li","given":"Hua Liang"}],"issued":{"date-parts":[["2013",5]]}}}],"schema":"https://github.com/citation-style-language/schema/raw/master/csl-citation.json"} </w:instrText>
      </w:r>
      <w:r w:rsidR="00720744">
        <w:rPr>
          <w:rFonts w:ascii="Verdana" w:hAnsi="Verdana"/>
          <w:lang w:val="en-GB"/>
        </w:rPr>
        <w:fldChar w:fldCharType="separate"/>
      </w:r>
      <w:r w:rsidR="00720744" w:rsidRPr="00720744">
        <w:rPr>
          <w:rFonts w:ascii="Verdana" w:hAnsi="Verdana"/>
        </w:rPr>
        <w:t>(Ibarretxe-Bilbao et al. 2008; Nagano-Saito et al. 2005; Pan et al. 2013)</w:t>
      </w:r>
      <w:r w:rsidR="00720744">
        <w:rPr>
          <w:rFonts w:ascii="Verdana" w:hAnsi="Verdana"/>
          <w:lang w:val="en-GB"/>
        </w:rPr>
        <w:fldChar w:fldCharType="end"/>
      </w:r>
      <w:r w:rsidR="00BF69F4">
        <w:rPr>
          <w:rFonts w:ascii="Verdana" w:hAnsi="Verdana"/>
          <w:lang w:val="en-GB"/>
        </w:rPr>
        <w:t>.</w:t>
      </w:r>
      <w:r w:rsidR="000F3C48">
        <w:rPr>
          <w:rFonts w:ascii="Verdana" w:hAnsi="Verdana"/>
          <w:lang w:val="en-GB"/>
        </w:rPr>
        <w:t xml:space="preserve"> </w:t>
      </w:r>
      <w:r w:rsidR="00886D45">
        <w:rPr>
          <w:rFonts w:ascii="Verdana" w:hAnsi="Verdana"/>
          <w:lang w:val="en-GB"/>
        </w:rPr>
        <w:t>Within the MTL, a region of particular interest is the hippocampus.</w:t>
      </w:r>
      <w:r w:rsidR="00886D45" w:rsidRPr="00886D45">
        <w:rPr>
          <w:rFonts w:ascii="Verdana" w:hAnsi="Verdana"/>
          <w:lang w:val="en-GB"/>
        </w:rPr>
        <w:t xml:space="preserve"> </w:t>
      </w:r>
      <w:r w:rsidR="00886D45" w:rsidRPr="00EE265A">
        <w:rPr>
          <w:rFonts w:ascii="Verdana" w:hAnsi="Verdana"/>
          <w:lang w:val="en-GB"/>
        </w:rPr>
        <w:t xml:space="preserve">The hippocampus is a complex structure, involved in information processing and memory consolidation </w:t>
      </w:r>
      <w:r w:rsidR="000D5284">
        <w:rPr>
          <w:rFonts w:ascii="Verdana" w:hAnsi="Verdana"/>
          <w:lang w:val="en-GB"/>
        </w:rPr>
        <w:fldChar w:fldCharType="begin"/>
      </w:r>
      <w:r w:rsidR="000D5284">
        <w:rPr>
          <w:rFonts w:ascii="Verdana" w:hAnsi="Verdana"/>
          <w:lang w:val="en-GB"/>
        </w:rPr>
        <w:instrText xml:space="preserve"> ADDIN ZOTERO_ITEM CSL_CITATION {"citationID":"ALMrmxTt","properties":{"formattedCitation":"(Sekeres, Winocur, and Moscovitch 2018)","plainCitation":"(Sekeres, Winocur, and Moscovitch 2018)","noteIndex":0},"citationItems":[{"id":899,"uris":["http://zotero.org/users/9330673/items/T4FNL5TY"],"itemData":{"id":899,"type":"article-journal","container-title":"Neuroscience Letters","DOI":"10.1016/j.neulet.2018.05.006","ISSN":"03043940","journalAbbreviation":"Neuroscience Letters","language":"en","page":"39-53","source":"DOI.org (Crossref)","title":"The hippocampus and related neocortical structures in memory transformation","volume":"680","author":[{"family":"Sekeres","given":"Melanie J."},{"family":"Winocur","given":"Gordon"},{"family":"Moscovitch","given":"Morris"}],"issued":{"date-parts":[["2018",7]]}}}],"schema":"https://github.com/citation-style-language/schema/raw/master/csl-citation.json"} </w:instrText>
      </w:r>
      <w:r w:rsidR="000D5284">
        <w:rPr>
          <w:rFonts w:ascii="Verdana" w:hAnsi="Verdana"/>
          <w:lang w:val="en-GB"/>
        </w:rPr>
        <w:fldChar w:fldCharType="separate"/>
      </w:r>
      <w:r w:rsidR="000D5284" w:rsidRPr="000D5284">
        <w:rPr>
          <w:rFonts w:ascii="Verdana" w:hAnsi="Verdana"/>
        </w:rPr>
        <w:t>(Sekeres, Winocur, and Moscovitch 2018)</w:t>
      </w:r>
      <w:r w:rsidR="000D5284">
        <w:rPr>
          <w:rFonts w:ascii="Verdana" w:hAnsi="Verdana"/>
          <w:lang w:val="en-GB"/>
        </w:rPr>
        <w:fldChar w:fldCharType="end"/>
      </w:r>
      <w:r w:rsidR="00886D45" w:rsidRPr="00EE265A">
        <w:rPr>
          <w:rFonts w:ascii="Verdana" w:hAnsi="Verdana"/>
          <w:lang w:val="en-GB"/>
        </w:rPr>
        <w:t>.</w:t>
      </w:r>
      <w:r w:rsidR="00886D45">
        <w:rPr>
          <w:rFonts w:ascii="Verdana" w:hAnsi="Verdana"/>
          <w:lang w:val="en-GB"/>
        </w:rPr>
        <w:t xml:space="preserve"> Structurally, </w:t>
      </w:r>
      <w:r w:rsidR="00CB4F08">
        <w:rPr>
          <w:rFonts w:ascii="Verdana" w:hAnsi="Verdana"/>
          <w:lang w:val="en-GB"/>
        </w:rPr>
        <w:t xml:space="preserve">the </w:t>
      </w:r>
      <w:r w:rsidR="006061B4">
        <w:rPr>
          <w:rFonts w:ascii="Verdana" w:hAnsi="Verdana"/>
          <w:lang w:val="en-GB"/>
        </w:rPr>
        <w:t>hippocampus</w:t>
      </w:r>
      <w:r w:rsidR="00684D23">
        <w:rPr>
          <w:rFonts w:ascii="Verdana" w:hAnsi="Verdana"/>
          <w:lang w:val="en-GB"/>
        </w:rPr>
        <w:t xml:space="preserve"> </w:t>
      </w:r>
      <w:r w:rsidR="006061B4">
        <w:rPr>
          <w:rFonts w:ascii="Verdana" w:hAnsi="Verdana"/>
          <w:lang w:val="en-GB"/>
        </w:rPr>
        <w:t xml:space="preserve">is subdivided </w:t>
      </w:r>
      <w:proofErr w:type="gramStart"/>
      <w:r w:rsidR="006061B4">
        <w:rPr>
          <w:rFonts w:ascii="Verdana" w:hAnsi="Verdana"/>
          <w:lang w:val="en-GB"/>
        </w:rPr>
        <w:t>in:</w:t>
      </w:r>
      <w:proofErr w:type="gramEnd"/>
      <w:r w:rsidR="00684D23">
        <w:rPr>
          <w:rFonts w:ascii="Verdana" w:hAnsi="Verdana"/>
          <w:lang w:val="en-GB"/>
        </w:rPr>
        <w:t xml:space="preserve"> dentate gyrus</w:t>
      </w:r>
      <w:r w:rsidR="00B56914">
        <w:rPr>
          <w:rFonts w:ascii="Verdana" w:hAnsi="Verdana"/>
          <w:lang w:val="en-GB"/>
        </w:rPr>
        <w:t>,</w:t>
      </w:r>
      <w:r w:rsidR="00734AA6">
        <w:rPr>
          <w:rFonts w:ascii="Verdana" w:hAnsi="Verdana"/>
          <w:lang w:val="en-GB"/>
        </w:rPr>
        <w:t xml:space="preserve"> receiving the input from the entorhinal cortex;</w:t>
      </w:r>
      <w:r w:rsidR="00684D23">
        <w:rPr>
          <w:rFonts w:ascii="Verdana" w:hAnsi="Verdana"/>
          <w:lang w:val="en-GB"/>
        </w:rPr>
        <w:t xml:space="preserve"> </w:t>
      </w:r>
      <w:proofErr w:type="spellStart"/>
      <w:r w:rsidR="00EE24A3">
        <w:rPr>
          <w:rFonts w:ascii="Verdana" w:hAnsi="Verdana"/>
          <w:lang w:val="en-GB"/>
        </w:rPr>
        <w:t>cornu</w:t>
      </w:r>
      <w:proofErr w:type="spellEnd"/>
      <w:r w:rsidR="00EE24A3">
        <w:rPr>
          <w:rFonts w:ascii="Verdana" w:hAnsi="Verdana"/>
          <w:lang w:val="en-GB"/>
        </w:rPr>
        <w:t xml:space="preserve"> </w:t>
      </w:r>
      <w:proofErr w:type="spellStart"/>
      <w:r w:rsidR="00EE24A3">
        <w:rPr>
          <w:rFonts w:ascii="Verdana" w:hAnsi="Verdana"/>
          <w:lang w:val="en-GB"/>
        </w:rPr>
        <w:t>ammonis</w:t>
      </w:r>
      <w:proofErr w:type="spellEnd"/>
      <w:r w:rsidR="00B56914">
        <w:rPr>
          <w:rFonts w:ascii="Verdana" w:hAnsi="Verdana"/>
          <w:lang w:val="en-GB"/>
        </w:rPr>
        <w:t xml:space="preserve"> (CA), </w:t>
      </w:r>
      <w:r w:rsidR="00103EE2">
        <w:rPr>
          <w:rFonts w:ascii="Verdana" w:hAnsi="Verdana"/>
          <w:lang w:val="en-GB"/>
        </w:rPr>
        <w:t xml:space="preserve">referred </w:t>
      </w:r>
      <w:r w:rsidR="00CB4F08">
        <w:rPr>
          <w:rFonts w:ascii="Verdana" w:hAnsi="Verdana"/>
          <w:lang w:val="en-GB"/>
        </w:rPr>
        <w:t>to as the hippocampus proper and</w:t>
      </w:r>
      <w:r w:rsidR="0031125B">
        <w:rPr>
          <w:rFonts w:ascii="Verdana" w:hAnsi="Verdana"/>
          <w:lang w:val="en-GB"/>
        </w:rPr>
        <w:t xml:space="preserve"> further subdivided into 4 </w:t>
      </w:r>
      <w:r w:rsidR="00CE1021">
        <w:rPr>
          <w:rFonts w:ascii="Verdana" w:hAnsi="Verdana"/>
          <w:lang w:val="en-GB"/>
        </w:rPr>
        <w:t>subfields</w:t>
      </w:r>
      <w:r w:rsidR="0031125B">
        <w:rPr>
          <w:rFonts w:ascii="Verdana" w:hAnsi="Verdana"/>
          <w:lang w:val="en-GB"/>
        </w:rPr>
        <w:t xml:space="preserve"> (CA1 to CA4)</w:t>
      </w:r>
      <w:r w:rsidR="003614E0">
        <w:rPr>
          <w:rFonts w:ascii="Verdana" w:hAnsi="Verdana"/>
          <w:lang w:val="en-GB"/>
        </w:rPr>
        <w:t xml:space="preserve">; </w:t>
      </w:r>
      <w:r w:rsidR="00B56914">
        <w:rPr>
          <w:rFonts w:ascii="Verdana" w:hAnsi="Verdana"/>
          <w:lang w:val="en-GB"/>
        </w:rPr>
        <w:t>and subiculum</w:t>
      </w:r>
      <w:r w:rsidR="003614E0">
        <w:rPr>
          <w:rFonts w:ascii="Verdana" w:hAnsi="Verdana"/>
          <w:lang w:val="en-GB"/>
        </w:rPr>
        <w:t>.</w:t>
      </w:r>
      <w:r w:rsidR="00950A3E">
        <w:rPr>
          <w:rFonts w:ascii="Verdana" w:hAnsi="Verdana"/>
          <w:lang w:val="en-GB"/>
        </w:rPr>
        <w:t xml:space="preserve"> </w:t>
      </w:r>
      <w:r w:rsidR="00BD394F">
        <w:rPr>
          <w:rFonts w:ascii="Verdana" w:hAnsi="Verdana"/>
          <w:lang w:val="en-GB"/>
        </w:rPr>
        <w:t xml:space="preserve">The hippocampus has been implicated in the formation of both short-term and long-term memory </w:t>
      </w:r>
      <w:r w:rsidR="00310E6D">
        <w:rPr>
          <w:rFonts w:ascii="Verdana" w:hAnsi="Verdana"/>
          <w:lang w:val="en-GB"/>
        </w:rPr>
        <w:t>(</w:t>
      </w:r>
      <w:proofErr w:type="spellStart"/>
      <w:r w:rsidR="00310E6D">
        <w:rPr>
          <w:rFonts w:ascii="Verdana" w:hAnsi="Verdana"/>
          <w:lang w:val="en-GB"/>
        </w:rPr>
        <w:t>Sekeres</w:t>
      </w:r>
      <w:proofErr w:type="spellEnd"/>
      <w:r w:rsidR="000D5284">
        <w:rPr>
          <w:rFonts w:ascii="Verdana" w:hAnsi="Verdana"/>
          <w:lang w:val="en-GB"/>
        </w:rPr>
        <w:t xml:space="preserve">, </w:t>
      </w:r>
      <w:proofErr w:type="spellStart"/>
      <w:r w:rsidR="000D5284">
        <w:rPr>
          <w:rFonts w:ascii="Verdana" w:hAnsi="Verdana"/>
          <w:lang w:val="en-GB"/>
        </w:rPr>
        <w:t>Winocur</w:t>
      </w:r>
      <w:proofErr w:type="spellEnd"/>
      <w:r w:rsidR="000D5284">
        <w:rPr>
          <w:rFonts w:ascii="Verdana" w:hAnsi="Verdana"/>
          <w:lang w:val="en-GB"/>
        </w:rPr>
        <w:t xml:space="preserve">, and </w:t>
      </w:r>
      <w:proofErr w:type="spellStart"/>
      <w:r w:rsidR="000D5284">
        <w:rPr>
          <w:rFonts w:ascii="Verdana" w:hAnsi="Verdana"/>
          <w:lang w:val="en-GB"/>
        </w:rPr>
        <w:t>Moscovitch</w:t>
      </w:r>
      <w:proofErr w:type="spellEnd"/>
      <w:r w:rsidR="00310E6D">
        <w:rPr>
          <w:rFonts w:ascii="Verdana" w:hAnsi="Verdana"/>
          <w:lang w:val="en-GB"/>
        </w:rPr>
        <w:t xml:space="preserve"> 2018)</w:t>
      </w:r>
      <w:r w:rsidR="002F527E">
        <w:rPr>
          <w:rFonts w:ascii="Verdana" w:hAnsi="Verdana"/>
          <w:lang w:val="en-GB"/>
        </w:rPr>
        <w:t xml:space="preserve">. In the context of PD, hippocampal atrophy has been correlated </w:t>
      </w:r>
      <w:r w:rsidR="002F527E" w:rsidRPr="00EE265A">
        <w:rPr>
          <w:rFonts w:ascii="Verdana" w:hAnsi="Verdana"/>
          <w:lang w:val="en-GB"/>
        </w:rPr>
        <w:t>with psychosis</w:t>
      </w:r>
      <w:r w:rsidR="00804318">
        <w:rPr>
          <w:rFonts w:ascii="Verdana" w:hAnsi="Verdana"/>
          <w:lang w:val="en-GB"/>
        </w:rPr>
        <w:t xml:space="preserve"> </w:t>
      </w:r>
      <w:r w:rsidR="00804318">
        <w:rPr>
          <w:rFonts w:ascii="Verdana" w:hAnsi="Verdana"/>
          <w:lang w:val="en-GB"/>
        </w:rPr>
        <w:fldChar w:fldCharType="begin"/>
      </w:r>
      <w:r w:rsidR="00804318">
        <w:rPr>
          <w:rFonts w:ascii="Verdana" w:hAnsi="Verdana"/>
          <w:lang w:val="en-GB"/>
        </w:rPr>
        <w:instrText xml:space="preserve"> ADDIN ZOTERO_ITEM CSL_CITATION {"citationID":"l9kAlj9S","properties":{"formattedCitation":"(Lenka et al. 2018)","plainCitation":"(Lenka et al. 2018)","noteIndex":0},"citationItems":[{"id":892,"uris":["http://zotero.org/users/9330673/items/KZIQ7QJ6"],"itemData":{"id":892,"type":"article-journal","container-title":"Journal of Neural Transmission","DOI":"10.1007/s00702-018-1891-3","ISSN":"0300-9564, 1435-1463","issue":"9","journalAbbreviation":"J Neural Transm","language":"en","page":"1361-1372","source":"DOI.org (Crossref)","title":"Hippocampal subfield atrophy in patients with Parkinson’s disease and psychosis","volume":"125","author":[{"family":"Lenka","given":"Abhishek"},{"family":"Ingalhalikar","given":"Madhura"},{"family":"Shah","given":"Apurva"},{"family":"Saini","given":"Jitender"},{"family":"Arumugham","given":"Shyam Sundar"},{"family":"Hegde","given":"Shantala"},{"family":"George","given":"Lija"},{"family":"Reddy","given":"Venkateswara"},{"family":"Reddy","given":"Y. C. Janardhana"},{"family":"Yadav","given":"Ravi"},{"family":"Pal","given":"Pramod Kumar"}],"issued":{"date-parts":[["2018",9]]}}}],"schema":"https://github.com/citation-style-language/schema/raw/master/csl-citation.json"} </w:instrText>
      </w:r>
      <w:r w:rsidR="00804318">
        <w:rPr>
          <w:rFonts w:ascii="Verdana" w:hAnsi="Verdana"/>
          <w:lang w:val="en-GB"/>
        </w:rPr>
        <w:fldChar w:fldCharType="separate"/>
      </w:r>
      <w:r w:rsidR="00804318" w:rsidRPr="00804318">
        <w:rPr>
          <w:rFonts w:ascii="Verdana" w:hAnsi="Verdana"/>
        </w:rPr>
        <w:t>(Lenka et al. 2018)</w:t>
      </w:r>
      <w:r w:rsidR="00804318">
        <w:rPr>
          <w:rFonts w:ascii="Verdana" w:hAnsi="Verdana"/>
          <w:lang w:val="en-GB"/>
        </w:rPr>
        <w:fldChar w:fldCharType="end"/>
      </w:r>
      <w:r w:rsidR="002F527E">
        <w:rPr>
          <w:rFonts w:ascii="Verdana" w:hAnsi="Verdana"/>
          <w:lang w:val="en-GB"/>
        </w:rPr>
        <w:t xml:space="preserve"> and</w:t>
      </w:r>
      <w:r w:rsidR="002F527E" w:rsidRPr="00EE265A">
        <w:rPr>
          <w:rFonts w:ascii="Verdana" w:hAnsi="Verdana"/>
          <w:lang w:val="en-GB"/>
        </w:rPr>
        <w:t xml:space="preserve"> learning deficits</w:t>
      </w:r>
      <w:r w:rsidR="00804318">
        <w:rPr>
          <w:rFonts w:ascii="Verdana" w:hAnsi="Verdana"/>
          <w:lang w:val="en-GB"/>
        </w:rPr>
        <w:t xml:space="preserve"> </w:t>
      </w:r>
      <w:r w:rsidR="00804318">
        <w:rPr>
          <w:rFonts w:ascii="Verdana" w:hAnsi="Verdana"/>
          <w:lang w:val="en-GB"/>
        </w:rPr>
        <w:fldChar w:fldCharType="begin"/>
      </w:r>
      <w:r w:rsidR="00804318">
        <w:rPr>
          <w:rFonts w:ascii="Verdana" w:hAnsi="Verdana"/>
          <w:lang w:val="en-GB"/>
        </w:rPr>
        <w:instrText xml:space="preserve"> ADDIN ZOTERO_ITEM CSL_CITATION {"citationID":"bl4BqwcZ","properties":{"formattedCitation":"(Pereira et al. 2013)","plainCitation":"(Pereira et al. 2013)","noteIndex":0},"citationItems":[{"id":903,"uris":["http://zotero.org/users/9330673/items/UQWK3MI2"],"itemData":{"id":903,"type":"article-journal","abstract":"Neuropathological studies show the hippocampus is affected in Parkinson’s disease (PD), with the second subﬁeld of the cornu armonis (CA2) being the most involved. Our aims were to assess in vivo volumes of different hippocampal subﬁelds in patients with PD with and without visual hallucinations using MRI and test their association with verbal learning and long-term recall. A total of 18 nondemented PD patients, 18 nondemented PD patients with visual hallucinations and 18 neurologically unimpaired elderly controls matched by age and gender were enrolled in this study. We assessed the volumes of seven hippocampal subﬁelds on MRI, including the cornu armonis (CA) sectors, subiculum, presubiculum, and the dentate gyrus (DG) using a novel technique that enables automated volumetry. The CA2-3 and CA4-DG subﬁelds were signiﬁcantly smaller in both groups of patients, while the subiculum was only reduced in PD patients with visual hallucinations, compared to controls. Signiﬁcant correlations were found between learning performance and CA2-3 as well as CA4-DG volumes in the whole patient sample. These data show there is regional atrophy of speciﬁc hippocampal subﬁelds in PD, which is more severe and further extends to the subiculum in patients with visual hallucinations. Our ﬁndings indicate that learning deﬁcits are associated with volume loss in subﬁelds that act as input regions in the hippocampal circuit, suggesting that degeneration in these regions could be responsible for cognitive dysfunction in PD. VC 2013 Wiley Periodicals, Inc.","container-title":"Hippocampus","DOI":"10.1002/hipo.22131","ISSN":"10509631","issue":"8","journalAbbreviation":"Hippocampus","language":"en","page":"720-728","source":"DOI.org (Crossref)","title":"Regional vulnerability of hippocampal subfields and memory deficits in Parkinson's disease: Hippocampal Subfields in PD","title-short":"Regional vulnerability of hippocampal subfields and memory deficits in Parkinson's disease","volume":"23","author":[{"family":"Pereira","given":"Joana B."},{"family":"Junqué","given":"Carme"},{"family":"Bartrés-Faz","given":"David"},{"family":"Ramírez-Ruiz","given":"Blanca"},{"family":"Marti","given":"Maria-Jose"},{"family":"Tolosa","given":"Eduardo"}],"issued":{"date-parts":[["2013",8]]}}}],"schema":"https://github.com/citation-style-language/schema/raw/master/csl-citation.json"} </w:instrText>
      </w:r>
      <w:r w:rsidR="00804318">
        <w:rPr>
          <w:rFonts w:ascii="Verdana" w:hAnsi="Verdana"/>
          <w:lang w:val="en-GB"/>
        </w:rPr>
        <w:fldChar w:fldCharType="separate"/>
      </w:r>
      <w:r w:rsidR="00804318" w:rsidRPr="00804318">
        <w:rPr>
          <w:rFonts w:ascii="Verdana" w:hAnsi="Verdana"/>
        </w:rPr>
        <w:t>(Pereira et al. 2013)</w:t>
      </w:r>
      <w:r w:rsidR="00804318">
        <w:rPr>
          <w:rFonts w:ascii="Verdana" w:hAnsi="Verdana"/>
          <w:lang w:val="en-GB"/>
        </w:rPr>
        <w:fldChar w:fldCharType="end"/>
      </w:r>
      <w:r w:rsidR="00F31052">
        <w:rPr>
          <w:rFonts w:ascii="Verdana" w:hAnsi="Verdana"/>
          <w:lang w:val="en-GB"/>
        </w:rPr>
        <w:t>. Reduction in hippocampal volume has been shown to be a predictor for cognitive impairm</w:t>
      </w:r>
      <w:r w:rsidR="00B016EA">
        <w:rPr>
          <w:rFonts w:ascii="Verdana" w:hAnsi="Verdana"/>
          <w:lang w:val="en-GB"/>
        </w:rPr>
        <w:t>ent and progression to dementia</w:t>
      </w:r>
      <w:r w:rsidR="00246610">
        <w:rPr>
          <w:rFonts w:ascii="Verdana" w:hAnsi="Verdana"/>
          <w:lang w:val="en-GB"/>
        </w:rPr>
        <w:t xml:space="preserve"> </w:t>
      </w:r>
      <w:r w:rsidR="00246610">
        <w:rPr>
          <w:rFonts w:ascii="Verdana" w:hAnsi="Verdana"/>
          <w:lang w:val="en-GB"/>
        </w:rPr>
        <w:fldChar w:fldCharType="begin"/>
      </w:r>
      <w:r w:rsidR="00246610">
        <w:rPr>
          <w:rFonts w:ascii="Verdana" w:hAnsi="Verdana"/>
          <w:lang w:val="en-GB"/>
        </w:rPr>
        <w:instrText xml:space="preserve"> ADDIN ZOTERO_ITEM CSL_CITATION {"citationID":"dmot5Vfk","properties":{"formattedCitation":"(Aybek et al. 2009; Kandiah et al. 2014)","plainCitation":"(Aybek et al. 2009; Kandiah et al. 2014)","noteIndex":0},"citationItems":[{"id":893,"uris":["http://zotero.org/users/9330673/items/TEJ884P2"],"itemData":{"id":893,"type":"article-journal","abstract":"Background: Hippocampal atrophy (HA) is a known predictor of dementia in Alzheimer’s disease. HA has been found in advanced Parkinson’s disease (PD), but no predicting value has been demonstrated yet. The identiﬁcation of such a predictor in candidates for subthalamic deep brain stimulation (STN-DBS) would be of value. Our objective was to compare preoperative hippocampal volumes (HV) between PD patients who subsequently converted to dementia (PDD) after STN-DBS and those who did not (PDnD).\nMethods: From a cohort of 70 consecutive STN-DBS treated PD patients, 14 converted to dementia over 25.6 Æ 20.2 months (PDD). They were compared to 14 matched controls (PDnD) who did not convert to dementia after 43.9 Æ 11.7 months. On the preoperative 3D MPRAGE MRI images, HV and total brain volumes (TBV) were measured by a blinded investigator using manual and automatic segmentation respectively.\nResults: PDD had smaller preoperative HV than PDnD (1.95 Æ 0.29 ml; 2.28 Æ 0.33 ml; p &lt; 0.01). This difference reinforced after normalization for TBV (3.28 Æ 0.48, 3.93 Æ 0.60; p &lt; 0.01). Every 0.1 ml decrease of HV increased the likelihood to develop dementia by 24.6%. A large overlap was found between PD and PDnD HVs, precluding the identiﬁcation of a cut-off score.\nConclusions: As in Alzheimer’s disease, HA may be a predictor of the conversion to dementia in PD. This preoperative predictor suggests that the development of dementia after STN-DBS is related to the disease progression, rather then the procedure. Further studies are needed to deﬁne a cut-off score for HA, in order to afﬁne its predictive value for an individual patient.","container-title":"Parkinsonism &amp; Related Disorders","DOI":"10.1016/j.parkreldis.2009.01.003","ISSN":"13538020","issue":"7","journalAbbreviation":"Parkinsonism &amp; Related Disorders","language":"en","page":"521-524","source":"DOI.org (Crossref)","title":"Hippocampal atrophy predicts conversion to dementia after STN-DBS in Parkinson's disease","volume":"15","author":[{"family":"Aybek","given":"Selma"},{"family":"Lazeyras","given":"Francois"},{"family":"Gronchi-Perrin","given":"Aline"},{"family":"Burkhard","given":"Pierre R."},{"family":"Villemure","given":"Jean-Guy"},{"family":"Vingerhoets","given":"Francois J.G."}],"issued":{"date-parts":[["2009",8]]}}},{"id":894,"uris":["http://zotero.org/users/9330673/items/8QDJ9VZ2"],"itemData":{"id":894,"type":"article-journal","abstract":"Background: Longitudinal neuroimaging studies could provide insights into pathophysiology of cognitive impairment in PD. We examined the role of hippocampal atrophy and cerebral white matter disease as risk factors for mild cognitive impairment and dementia in PD.\nMethods: Prospective longitudinal study of patients with mild PD in a tertiary neurology center. All subjects underwent baseline MRI brain and had baseline and 6 monthly cognitive evaluations. Cognitive impairment was diagnosed based on the Movement Disorder Society Criteria. The predictive role of hippocampal volume and white matter hyperintensity at baseline on progression of cognitive impairment was studied.\nResults: 97 subjects with mean age 65.3 years, mean education of 10.3 years and mean Hoehn &amp; Yahr of 1.9 were studied. Over 2 years, 16 subjects developed mild cognitive impairment and 8 subjects with mild cognitive impairment progressed to dementia. After adjusting for age and vascular risk factors, hippocampal volume was a signiﬁcant predictor for mild cognitive impairment (OR 7.05, CI 1.5e34.1; p ¼ 0.015) and dementia (OR 7.03, CI 2.39e25.2; p ¼ 0.001). With Cox regression, hippocampal volume was a signiﬁcant predictor for “time to cognitive impairment” (HR 7.67; CI 3.47e16.95, p &lt; 0.001). Difference between survival curves based on volume of white matter hyperintensity in predicting “time to mild cognitive impairment” was signiﬁcant (p ¼ 0.0295).\nConclusions: Hippocampal volume is a major factor predicting the development of mild cognitive impairment and dementia in PD. White matter hyperintensity also contributes to the longitudinal cognitive status in PD.","container-title":"Parkinsonism &amp; Related Disorders","DOI":"10.1016/j.parkreldis.2014.08.024","ISSN":"13538020","issue":"11","journalAbbreviation":"Parkinsonism &amp; Related Disorders","language":"en","page":"1203-1208","source":"DOI.org (Crossref)","title":"Hippocampal volume and white matter disease in the prediction of dementia in Parkinson's disease","volume":"20","author":[{"family":"Kandiah","given":"Nagaendran"},{"family":"Zainal","given":"Nur Hani"},{"family":"Narasimhalu","given":"Kaavya"},{"family":"Chander","given":"Russell Jude"},{"family":"Ng","given":"Aloysius"},{"family":"Mak","given":"Elijah"},{"family":"Au","given":"Wing Lok"},{"family":"Sitoh","given":"Yih Yian"},{"family":"Nadkarni","given":"Nivedita"},{"family":"Tan","given":"Louis C.S."}],"issued":{"date-parts":[["2014",11]]}}}],"schema":"https://github.com/citation-style-language/schema/raw/master/csl-citation.json"} </w:instrText>
      </w:r>
      <w:r w:rsidR="00246610">
        <w:rPr>
          <w:rFonts w:ascii="Verdana" w:hAnsi="Verdana"/>
          <w:lang w:val="en-GB"/>
        </w:rPr>
        <w:fldChar w:fldCharType="separate"/>
      </w:r>
      <w:r w:rsidR="00246610" w:rsidRPr="00246610">
        <w:rPr>
          <w:rFonts w:ascii="Verdana" w:hAnsi="Verdana"/>
        </w:rPr>
        <w:t>(Aybek et al. 2009; Kandiah et al. 2014)</w:t>
      </w:r>
      <w:r w:rsidR="00246610">
        <w:rPr>
          <w:rFonts w:ascii="Verdana" w:hAnsi="Verdana"/>
          <w:lang w:val="en-GB"/>
        </w:rPr>
        <w:fldChar w:fldCharType="end"/>
      </w:r>
      <w:r w:rsidR="00246610">
        <w:rPr>
          <w:rFonts w:ascii="Verdana" w:hAnsi="Verdana"/>
          <w:lang w:val="en-GB"/>
        </w:rPr>
        <w:t>.</w:t>
      </w:r>
    </w:p>
    <w:p w14:paraId="7059F12C" w14:textId="7FE0C850" w:rsidR="001D507B" w:rsidRDefault="007239E0" w:rsidP="00291DAF">
      <w:pPr>
        <w:spacing w:line="360" w:lineRule="auto"/>
        <w:jc w:val="both"/>
        <w:rPr>
          <w:rFonts w:ascii="Verdana" w:hAnsi="Verdana"/>
          <w:lang w:val="en-GB"/>
        </w:rPr>
      </w:pPr>
      <w:r>
        <w:rPr>
          <w:rFonts w:ascii="Verdana" w:hAnsi="Verdana"/>
          <w:lang w:val="en-GB"/>
        </w:rPr>
        <w:t>I</w:t>
      </w:r>
      <w:r w:rsidR="002070AF">
        <w:rPr>
          <w:rFonts w:ascii="Verdana" w:hAnsi="Verdana"/>
          <w:lang w:val="en-GB"/>
        </w:rPr>
        <w:t xml:space="preserve">nput and output </w:t>
      </w:r>
      <w:r w:rsidR="004E5BA4">
        <w:rPr>
          <w:rFonts w:ascii="Verdana" w:hAnsi="Verdana"/>
          <w:lang w:val="en-GB"/>
        </w:rPr>
        <w:t>signals between the hippocampal formation and the cortex</w:t>
      </w:r>
      <w:r>
        <w:rPr>
          <w:rFonts w:ascii="Verdana" w:hAnsi="Verdana"/>
          <w:lang w:val="en-GB"/>
        </w:rPr>
        <w:t xml:space="preserve"> are regulated by the entorhinal cortex</w:t>
      </w:r>
      <w:r w:rsidR="00246610">
        <w:rPr>
          <w:rFonts w:ascii="Verdana" w:hAnsi="Verdana"/>
          <w:lang w:val="en-GB"/>
        </w:rPr>
        <w:t xml:space="preserve"> </w:t>
      </w:r>
      <w:r w:rsidR="00246610">
        <w:rPr>
          <w:rFonts w:ascii="Verdana" w:hAnsi="Verdana"/>
          <w:lang w:val="en-GB"/>
        </w:rPr>
        <w:fldChar w:fldCharType="begin"/>
      </w:r>
      <w:r w:rsidR="00246610">
        <w:rPr>
          <w:rFonts w:ascii="Verdana" w:hAnsi="Verdana"/>
          <w:lang w:val="en-GB"/>
        </w:rPr>
        <w:instrText xml:space="preserve"> ADDIN ZOTERO_ITEM CSL_CITATION {"citationID":"kh5QteDu","properties":{"formattedCitation":"(Lavenex and Amaral 2000)","plainCitation":"(Lavenex and Amaral 2000)","noteIndex":0},"citationItems":[{"id":1415,"uris":["http://zotero.org/users/9330673/items/FPL79MZW"],"itemData":{"id":1415,"type":"article-journal","abstract":"The structures forming the medial temporal lobe appear to be necessary for the establishment of long-term declarative memory. In particular, they may be involved in the “consolidation” of information in higher-order associational cortices, perhaps through feedback projections. This review highlights the fact that the medial temporal lobe is organized as a hierarchy of associational networks. Indeed, associational connections within the perirhinal, parahippocampal, and entorhinal cortices enables a signiﬁcant amount of integration of unimodal and polymodal inputs, so that only highly integrated information reaches the remainder of the hippocampal formation. The feedback efferent projections from the perirhinal and parahippocampal cortices to the neocortex largely reciprocate the afferent projections from the neocortex to these areas. There are, however, noticeable differences in the degree of reciprocity of connections between the perirhinal and parahippocampal cortices and certain areas of the neocortex, in particular in the frontal and temporal lobes. These observations are particularly important for models of hippocampal-neocortical interaction and long-term storage of information in the neocortex. Furthermore, recent functional studies suggest that the perirhinal and parahippocampal cortices are more than interfaces for communication between the neocortex and the hippocampal formation. These structures participate actively in memory processes, but the precise role they play in the service of memory or other cognitive functions is currently unclear. Hippocampus 2000;10:420 – 430.","container-title":"Hippocampus","DOI":"10.1002/1098-1063(2000)10:4&lt;420::AID-HIPO8&gt;3.0.CO;2-5","ISSN":"1050-9631, 1098-1063","issue":"4","journalAbbreviation":"Hippocampus","language":"en","page":"420-430","source":"DOI.org (Crossref)","title":"Hippocampal-neocortical interaction: A hierarchy of associativity","title-short":"Hippocampal-neocortical interaction","volume":"10","author":[{"family":"Lavenex","given":"Pierre"},{"family":"Amaral","given":"David G."}],"issued":{"date-parts":[["2000"]]}}}],"schema":"https://github.com/citation-style-language/schema/raw/master/csl-citation.json"} </w:instrText>
      </w:r>
      <w:r w:rsidR="00246610">
        <w:rPr>
          <w:rFonts w:ascii="Verdana" w:hAnsi="Verdana"/>
          <w:lang w:val="en-GB"/>
        </w:rPr>
        <w:fldChar w:fldCharType="separate"/>
      </w:r>
      <w:r w:rsidR="00246610" w:rsidRPr="00246610">
        <w:rPr>
          <w:rFonts w:ascii="Verdana" w:hAnsi="Verdana"/>
        </w:rPr>
        <w:t>(Lavenex and Amaral 2000)</w:t>
      </w:r>
      <w:r w:rsidR="00246610">
        <w:rPr>
          <w:rFonts w:ascii="Verdana" w:hAnsi="Verdana"/>
          <w:lang w:val="en-GB"/>
        </w:rPr>
        <w:fldChar w:fldCharType="end"/>
      </w:r>
      <w:r w:rsidR="009506F5">
        <w:rPr>
          <w:rFonts w:ascii="Verdana" w:hAnsi="Verdana"/>
          <w:lang w:val="en-GB"/>
        </w:rPr>
        <w:t xml:space="preserve">. </w:t>
      </w:r>
      <w:r w:rsidR="00F44ACA">
        <w:rPr>
          <w:rFonts w:ascii="Verdana" w:hAnsi="Verdana"/>
          <w:lang w:val="en-GB"/>
        </w:rPr>
        <w:t>Alzheimer’s disease research has</w:t>
      </w:r>
      <w:r w:rsidR="00AE0B74">
        <w:rPr>
          <w:rFonts w:ascii="Verdana" w:hAnsi="Verdana"/>
          <w:lang w:val="en-GB"/>
        </w:rPr>
        <w:t xml:space="preserve"> shown </w:t>
      </w:r>
      <w:r w:rsidR="00DD2BA2">
        <w:rPr>
          <w:rFonts w:ascii="Verdana" w:hAnsi="Verdana"/>
          <w:lang w:val="en-GB"/>
        </w:rPr>
        <w:t>that alterations in the entorhinal cortex precede hippocampal atrophy</w:t>
      </w:r>
      <w:r w:rsidR="006414C9">
        <w:rPr>
          <w:rFonts w:ascii="Verdana" w:hAnsi="Verdana"/>
          <w:lang w:val="en-GB"/>
        </w:rPr>
        <w:t xml:space="preserve">, </w:t>
      </w:r>
      <w:r w:rsidR="00EE4A46">
        <w:rPr>
          <w:rFonts w:ascii="Verdana" w:hAnsi="Verdana"/>
          <w:lang w:val="en-GB"/>
        </w:rPr>
        <w:t>underlying the importance of this structure</w:t>
      </w:r>
      <w:r w:rsidR="006414C9">
        <w:rPr>
          <w:rFonts w:ascii="Verdana" w:hAnsi="Verdana"/>
          <w:lang w:val="en-GB"/>
        </w:rPr>
        <w:t xml:space="preserve"> in the early stages of </w:t>
      </w:r>
      <w:r w:rsidR="004B2490">
        <w:rPr>
          <w:rFonts w:ascii="Verdana" w:hAnsi="Verdana"/>
          <w:lang w:val="en-GB"/>
        </w:rPr>
        <w:t>dementia</w:t>
      </w:r>
      <w:r w:rsidR="009506F5">
        <w:rPr>
          <w:rFonts w:ascii="Verdana" w:hAnsi="Verdana"/>
          <w:lang w:val="en-GB"/>
        </w:rPr>
        <w:t xml:space="preserve"> </w:t>
      </w:r>
      <w:r w:rsidR="009506F5">
        <w:rPr>
          <w:rFonts w:ascii="Verdana" w:hAnsi="Verdana"/>
          <w:lang w:val="en-GB"/>
        </w:rPr>
        <w:fldChar w:fldCharType="begin"/>
      </w:r>
      <w:r w:rsidR="009506F5">
        <w:rPr>
          <w:rFonts w:ascii="Verdana" w:hAnsi="Verdana"/>
          <w:lang w:val="en-GB"/>
        </w:rPr>
        <w:instrText xml:space="preserve"> ADDIN ZOTERO_ITEM CSL_CITATION {"citationID":"Ld5E3YS9","properties":{"formattedCitation":"(Khan et al. 2003; Killiany et al. 2002)","plainCitation":"(Khan et al. 2003; Killiany et al. 2002)","noteIndex":0},"citationItems":[{"id":1685,"uris":["http://zotero.org/users/9330673/items/5Q6RC7CR"],"itemData":{"id":1685,"type":"article-journal","container-title":"Brain","DOI":"10.1093/brain/awg142","ISSN":"1460-2156, 0006-8950","issue":"6","language":"en","page":"1279-1292","source":"DOI.org (Crossref)","title":"Parkin disease: a phenotypic study of a large case series","title-short":"Parkin disease","volume":"126","author":[{"family":"Khan","given":"Naheed L."},{"family":"Graham","given":"Elizabeth"},{"family":"Critchley","given":"Peter"},{"family":"Schrag","given":"Anette E."},{"family":"Wood","given":"Nicholas W."},{"family":"Lees","given":"Andrew J."},{"family":"Bhatia","given":"Kailash P."},{"family":"Quinn","given":"Niall"}],"issued":{"date-parts":[["2003",6]]}}},{"id":1417,"uris":["http://zotero.org/users/9330673/items/Y74EIAGQ"],"itemData":{"id":1417,"type":"article-journal","abstract":"Background: MRI measures of the entorhinal cortex and the hippocampus have been used to predict which nondemented individuals with memory problems will progress to meet criteria for AD on follow-up, but their relative accuracy remains controversial. Objectives: To compare MRI measures of the entorhinal cortex and the hippocampus for predicting who will develop AD. Methods: MRI volumes of the entorhinal cortex and the hippocampus were obtained in 137 individuals comprising four groups: 1) individuals with normal cognition both at baseline and after 3 years of follow-up (n </w:instrText>
      </w:r>
      <w:r w:rsidR="009506F5">
        <w:rPr>
          <w:rFonts w:ascii="Calibri" w:hAnsi="Calibri" w:cs="Calibri"/>
          <w:lang w:val="en-GB"/>
        </w:rPr>
        <w:instrText>ϭ</w:instrText>
      </w:r>
      <w:r w:rsidR="009506F5">
        <w:rPr>
          <w:rFonts w:ascii="Verdana" w:hAnsi="Verdana"/>
          <w:lang w:val="en-GB"/>
        </w:rPr>
        <w:instrText xml:space="preserve"> 28), 2) subjects with memory difficulty but not dementia both at baseline and after 3 years of follow-up (n </w:instrText>
      </w:r>
      <w:r w:rsidR="009506F5">
        <w:rPr>
          <w:rFonts w:ascii="Calibri" w:hAnsi="Calibri" w:cs="Calibri"/>
          <w:lang w:val="en-GB"/>
        </w:rPr>
        <w:instrText>ϭ</w:instrText>
      </w:r>
      <w:r w:rsidR="009506F5">
        <w:rPr>
          <w:rFonts w:ascii="Verdana" w:hAnsi="Verdana"/>
          <w:lang w:val="en-GB"/>
        </w:rPr>
        <w:instrText xml:space="preserve"> 73), 3) subjects with memory difficulty at baseline who were diagnosed with probable AD within 3 years of follow-up (n </w:instrText>
      </w:r>
      <w:r w:rsidR="009506F5">
        <w:rPr>
          <w:rFonts w:ascii="Calibri" w:hAnsi="Calibri" w:cs="Calibri"/>
          <w:lang w:val="en-GB"/>
        </w:rPr>
        <w:instrText>ϭ</w:instrText>
      </w:r>
      <w:r w:rsidR="009506F5">
        <w:rPr>
          <w:rFonts w:ascii="Verdana" w:hAnsi="Verdana"/>
          <w:lang w:val="en-GB"/>
        </w:rPr>
        <w:instrText xml:space="preserve"> 21), and 4) patients with mild AD at baseline (n </w:instrText>
      </w:r>
      <w:r w:rsidR="009506F5">
        <w:rPr>
          <w:rFonts w:ascii="Calibri" w:hAnsi="Calibri" w:cs="Calibri"/>
          <w:lang w:val="en-GB"/>
        </w:rPr>
        <w:instrText>ϭ</w:instrText>
      </w:r>
      <w:r w:rsidR="009506F5">
        <w:rPr>
          <w:rFonts w:ascii="Verdana" w:hAnsi="Verdana"/>
          <w:lang w:val="en-GB"/>
        </w:rPr>
        <w:instrText xml:space="preserve"> 16). Results: Measures of both the entorhinal cortex and the hippocampus were different for each of the pairwise comparisons between the groups (p </w:instrText>
      </w:r>
      <w:r w:rsidR="009506F5">
        <w:rPr>
          <w:rFonts w:ascii="Calibri" w:hAnsi="Calibri" w:cs="Calibri"/>
          <w:lang w:val="en-GB"/>
        </w:rPr>
        <w:instrText>Ͻ</w:instrText>
      </w:r>
      <w:r w:rsidR="009506F5">
        <w:rPr>
          <w:rFonts w:ascii="Verdana" w:hAnsi="Verdana"/>
          <w:lang w:val="en-GB"/>
        </w:rPr>
        <w:instrText xml:space="preserve"> 0.001) and were correlated with tests of memory (p </w:instrText>
      </w:r>
      <w:r w:rsidR="009506F5">
        <w:rPr>
          <w:rFonts w:ascii="Calibri" w:hAnsi="Calibri" w:cs="Calibri"/>
          <w:lang w:val="en-GB"/>
        </w:rPr>
        <w:instrText>Ͻ</w:instrText>
      </w:r>
      <w:r w:rsidR="009506F5">
        <w:rPr>
          <w:rFonts w:ascii="Verdana" w:hAnsi="Verdana"/>
          <w:lang w:val="en-GB"/>
        </w:rPr>
        <w:instrText xml:space="preserve"> 0.01). However, the volume of the entorhinal cortex differentiated the subjects from those destined to develop dementia with considerable accuracy (84%), whereas the measure of the hippocampus did not. Conclusion: These findings are consistent with neuropathologic data showing substantial involvement of the entorhinal cortex in the preclinical phase of AD and suggest that, as the disease spreads, atrophic change develops within the hippocampus, which is measurable on MRI.","container-title":"Neurology","DOI":"10.1212/WNL.58.8.1188","ISSN":"0028-3878, 1526-632X","issue":"8","journalAbbreviation":"Neurology","language":"en","page":"1188-1196","source":"DOI.org (Crossref)","title":"MRI measures of entorhinal cortex vs hippocampus in preclinical AD","volume":"58","author":[{"family":"Killiany","given":"R. J."},{"family":"Hyman","given":"B. T."},{"family":"Gomez-Isla","given":"T."},{"family":"Moss","given":"M. B."},{"family":"Kikinis","given":"R."},{"family":"Jolesz","given":"F."},{"family":"Tanzi","given":"R."},{"family":"Jones","given":"K."},{"family":"Albert","given":"M. S."}],"issued":{"date-parts":[["2002",4,23]]}}}],"schema":"https://github.com/citation-style-language/schema/raw/master/csl-citation.json"} </w:instrText>
      </w:r>
      <w:r w:rsidR="009506F5">
        <w:rPr>
          <w:rFonts w:ascii="Verdana" w:hAnsi="Verdana"/>
          <w:lang w:val="en-GB"/>
        </w:rPr>
        <w:fldChar w:fldCharType="separate"/>
      </w:r>
      <w:r w:rsidR="00AA73D7" w:rsidRPr="00AA73D7">
        <w:rPr>
          <w:rFonts w:ascii="Verdana" w:hAnsi="Verdana"/>
        </w:rPr>
        <w:t>(Khan et al. 2003; Killiany et al. 2002)</w:t>
      </w:r>
      <w:r w:rsidR="009506F5">
        <w:rPr>
          <w:rFonts w:ascii="Verdana" w:hAnsi="Verdana"/>
          <w:lang w:val="en-GB"/>
        </w:rPr>
        <w:fldChar w:fldCharType="end"/>
      </w:r>
      <w:r w:rsidR="006414C9">
        <w:rPr>
          <w:rFonts w:ascii="Verdana" w:hAnsi="Verdana"/>
          <w:lang w:val="en-GB"/>
        </w:rPr>
        <w:t>.</w:t>
      </w:r>
      <w:r w:rsidR="004A1568">
        <w:rPr>
          <w:rFonts w:ascii="Verdana" w:hAnsi="Verdana"/>
          <w:lang w:val="en-GB"/>
        </w:rPr>
        <w:t xml:space="preserve"> In PD, a reduction in the entorhinal cortex volume has been shown to differentiate demented and </w:t>
      </w:r>
      <w:r w:rsidR="00B3470D">
        <w:rPr>
          <w:rFonts w:ascii="Verdana" w:hAnsi="Verdana"/>
          <w:lang w:val="en-GB"/>
        </w:rPr>
        <w:t>cognitively normal subjects, even when differences in the hippocampal volume are not detected</w:t>
      </w:r>
      <w:r w:rsidR="00541706">
        <w:rPr>
          <w:rFonts w:ascii="Verdana" w:hAnsi="Verdana"/>
          <w:lang w:val="en-GB"/>
        </w:rPr>
        <w:t xml:space="preserve"> </w:t>
      </w:r>
      <w:r w:rsidR="00067CAE">
        <w:rPr>
          <w:rFonts w:ascii="Verdana" w:hAnsi="Verdana"/>
          <w:lang w:val="en-GB"/>
        </w:rPr>
        <w:fldChar w:fldCharType="begin"/>
      </w:r>
      <w:r w:rsidR="00067CAE">
        <w:rPr>
          <w:rFonts w:ascii="Verdana" w:hAnsi="Verdana"/>
          <w:lang w:val="en-GB"/>
        </w:rPr>
        <w:instrText xml:space="preserve"> ADDIN ZOTERO_ITEM CSL_CITATION {"citationID":"OBzzesJC","properties":{"formattedCitation":"(Goldman et al. 2012; Jia et al. 2019)","plainCitation":"(Goldman et al. 2012; Jia et al. 2019)","noteIndex":0},"citationItems":[{"id":1297,"uris":["http://zotero.org/users/9330673/items/YF7TGTF4"],"itemData":{"id":1297,"type":"article-journal","container-title":"Movement Disorders","DOI":"10.1002/mds.24938","ISSN":"08853185","issue":"6","journalAbbreviation":"Mov. Disord.","language":"en","page":"727-734","source":"DOI.org (Crossref)","title":"Entorhinal cortex atrophy differentiates Parkinson's disease patients with and without dementia: Entorhinal Cortex Parkinson's Disease Dementia","title-short":"Entorhinal cortex atrophy differentiates Parkinson's disease patients with and without dementia","volume":"27","author":[{"family":"Goldman","given":"Jennifer G."},{"family":"Stebbins","given":"Glenn T."},{"family":"Bernard","given":"Bryan"},{"family":"Stoub","given":"Travis R."},{"family":"Goetz","given":"Christopher G."},{"family":"Morrell","given":"Leyla","non-dropping-particle":"deToledo-"}],"issued":{"date-parts":[["2012",5]]}}},{"id":1299,"uris":["http://zotero.org/users/9330673/items/SVCV2XXX"],"itemData":{"id":1299,"type":"article-journal","abstract":"Patients with Parkinson’s disease (PD) generally have a higher proportion of suffering from mild cognitive impairment (MCI) than normal aged adults. This study aimed to identify the specific neuroanatomical alterations in early, drug-naive PD with MCI (PD-MCI) by comparing to those PD with normal cognition (PDNC) and healthy controls (HCs), which could help to elucidate the underlying neuropathology and facilitate the development of early therapeutic strategies for treating this disease. Structural MRI data of 237 early, drug-naive non-demented PD patients (classified as 61 PD-MCI and 176 PD-NC) and 69 HCs were included from Parkinson's Progression Markers Initiative (PPMI) database after data quality control. Within these data, a subset of 61 HCs and a subset of 61 PD-NC who were matched to the 61 PD-MCI group for age, gender, and education-level were selected to further eliminate the sample size effect. The gray matter (GM) volume changes between groups were analyzed using voxel-based morphometry (VBM). Furthermore, correlations between GM volume alterations and neuropsychological performances and non-cognitive assessments (including olfactory performance) were further examined. Compared to HC, patients with PD-NC and PD-MCI commonly exhibited atrophies in the bilateral amygdala (AM) and the left primary motor cortex (M1). Patients with PD-MCI exclusively exhibited atrophy in the right entorhinal cortex (ENT) compared to PD-NC. Significantly negative correlations were found between GM loss in the bilateral AM and olfactory performance in all PD patients, and between ENT loss and memory performance in PD-MCI. The findings suggest that the right ENT atrophy may subserve as a biomarker in early, drug-naive PD-MCI, which shed light on the neural underpinnings of the disease and provide new evidence on differentiating the neuroanatomical states between PD-MCI and PD-NC.","container-title":"Aging and disease","DOI":"10.14336/AD.2018.1116","ISSN":"2152-5250","issue":"6","journalAbbreviation":"Aging and disease","language":"en","page":"1221","source":"DOI.org (Crossref)","title":"Entorhinal Cortex Atrophy in Early, Drug-naive Parkinson’s Disease with Mild Cognitive Impairment","volume":"10","author":[{"family":"Jia","given":"Xiuqin"},{"family":"Wang","given":"Zhijiang"},{"family":"Yang","given":"Tao"},{"family":"Li","given":"Ying"},{"family":"Gao","given":"Shuai"},{"family":"Wu","given":"Guorong"},{"family":"Jiang","given":"Tao"},{"family":"Liang","given":"Peipeng"}],"issued":{"date-parts":[["2019"]]}}}],"schema":"https://github.com/citation-style-language/schema/raw/master/csl-citation.json"} </w:instrText>
      </w:r>
      <w:r w:rsidR="00067CAE">
        <w:rPr>
          <w:rFonts w:ascii="Verdana" w:hAnsi="Verdana"/>
          <w:lang w:val="en-GB"/>
        </w:rPr>
        <w:fldChar w:fldCharType="separate"/>
      </w:r>
      <w:r w:rsidR="00067CAE" w:rsidRPr="00067CAE">
        <w:rPr>
          <w:rFonts w:ascii="Verdana" w:hAnsi="Verdana"/>
        </w:rPr>
        <w:t>(Goldman et al. 2012; Jia et al. 2019)</w:t>
      </w:r>
      <w:r w:rsidR="00067CAE">
        <w:rPr>
          <w:rFonts w:ascii="Verdana" w:hAnsi="Verdana"/>
          <w:lang w:val="en-GB"/>
        </w:rPr>
        <w:fldChar w:fldCharType="end"/>
      </w:r>
      <w:r w:rsidR="00444C8D">
        <w:rPr>
          <w:rFonts w:ascii="Verdana" w:hAnsi="Verdana"/>
          <w:lang w:val="en-GB"/>
        </w:rPr>
        <w:t>.</w:t>
      </w:r>
      <w:r w:rsidR="00235AE7">
        <w:rPr>
          <w:rFonts w:ascii="Verdana" w:hAnsi="Verdana"/>
          <w:lang w:val="en-GB"/>
        </w:rPr>
        <w:t xml:space="preserve"> Neuropathologically, a higher degree of Lewy pathology is observed in</w:t>
      </w:r>
      <w:r w:rsidR="004B1736">
        <w:rPr>
          <w:rFonts w:ascii="Verdana" w:hAnsi="Verdana"/>
          <w:lang w:val="en-GB"/>
        </w:rPr>
        <w:t xml:space="preserve"> hippocampus and entorhinal cortex</w:t>
      </w:r>
      <w:r w:rsidR="00235AE7">
        <w:rPr>
          <w:rFonts w:ascii="Verdana" w:hAnsi="Verdana"/>
          <w:lang w:val="en-GB"/>
        </w:rPr>
        <w:t xml:space="preserve"> of demented patients (</w:t>
      </w:r>
      <w:r w:rsidR="00D23DCE">
        <w:rPr>
          <w:rFonts w:ascii="Verdana" w:hAnsi="Verdana"/>
          <w:lang w:val="en-GB"/>
        </w:rPr>
        <w:t>Bertrand et al. 200</w:t>
      </w:r>
      <w:r w:rsidR="00231EC7">
        <w:rPr>
          <w:rFonts w:ascii="Verdana" w:hAnsi="Verdana"/>
          <w:lang w:val="en-GB"/>
        </w:rPr>
        <w:t>3</w:t>
      </w:r>
      <w:r w:rsidR="00235AE7">
        <w:rPr>
          <w:rFonts w:ascii="Verdana" w:hAnsi="Verdana"/>
          <w:lang w:val="en-GB"/>
        </w:rPr>
        <w:t xml:space="preserve">), and the degree of Lewy pathology </w:t>
      </w:r>
      <w:r w:rsidR="004B1736">
        <w:rPr>
          <w:rFonts w:ascii="Verdana" w:hAnsi="Verdana"/>
          <w:lang w:val="en-GB"/>
        </w:rPr>
        <w:t xml:space="preserve">in these areas </w:t>
      </w:r>
      <w:r w:rsidR="00235AE7">
        <w:rPr>
          <w:rFonts w:ascii="Verdana" w:hAnsi="Verdana"/>
          <w:lang w:val="en-GB"/>
        </w:rPr>
        <w:t xml:space="preserve">has been shown to correlate with the degree of cognitive impairment </w:t>
      </w:r>
      <w:r w:rsidR="009A6211">
        <w:rPr>
          <w:rFonts w:ascii="Verdana" w:hAnsi="Verdana"/>
          <w:lang w:val="en-GB"/>
        </w:rPr>
        <w:fldChar w:fldCharType="begin"/>
      </w:r>
      <w:r w:rsidR="009A6211">
        <w:rPr>
          <w:rFonts w:ascii="Verdana" w:hAnsi="Verdana"/>
          <w:lang w:val="en-GB"/>
        </w:rPr>
        <w:instrText xml:space="preserve"> ADDIN ZOTERO_ITEM CSL_CITATION {"citationID":"wZju0T9l","properties":{"formattedCitation":"(Dag Aarsland et al. 2005; Churchyard and Lees 1997; K\\uc0\\u246{}vari et al. 2003)","plainCitation":"(Dag Aarsland et al. 2005; Churchyard and Lees 1997; Kövari et al. 2003)","noteIndex":0},"citationItems":[{"id":1413,"uris":["http://zotero.org/users/9330673/items/Q94CAK89"],"itemData":{"id":1413,"type":"article-journal","container-title":"Annals of Neurology","DOI":"10.1002/ana.20635","ISSN":"0364-5134, 1531-8249","issue":"5","journalAbbreviation":"Ann Neurol.","language":"en","page":"773-776","source":"DOI.org (Crossref)","title":"Neuropathology of dementia in Parkinson's disease: A prospective, community-based study","title-short":"Neuropathology of dementia in Parkinson's disease","volume":"58","author":[{"family":"Aarsland","given":"Dag"},{"family":"Perry","given":"Robert"},{"family":"Brown","given":"Andrew"},{"family":"Larsen","given":"Jan P."},{"family":"Ballard","given":"Clive"}],"issued":{"date-parts":[["2005",11]]}}},{"id":1410,"uris":["http://zotero.org/users/9330673/items/4TVE2VTB"],"itemData":{"id":1410,"type":"article-journal","container-title":"Neurology","DOI":"10.1212/WNL.49.6.1570","ISSN":"0028-3878, 1526-632X","issue":"6","journalAbbreviation":"Neurology","language":"en","page":"1570-1576","source":"DOI.org (Crossref)","title":"The relationship between dementia and direct involvement of the hippocampus and amygdala in Parkinson's disease","volume":"49","author":[{"family":"Churchyard","given":"A."},{"family":"Lees","given":"A. J."}],"issued":{"date-parts":[["1997",12,1]]}}},{"id":1411,"uris":["http://zotero.org/users/9330673/items/CF6JD589"],"itemData":{"id":1411,"type":"article-journal","container-title":"Acta Neuropathologica","DOI":"10.1007/s00401-003-0705-2","ISSN":"0001-6322, 1432-0533","issue":"1","journalAbbreviation":"Acta Neuropathol","language":"en","page":"83-88","source":"DOI.org (Crossref)","title":"Lewy body densities in the entorhinal and anterior cingulate cortex predict cognitive deficits in Parkinson's disease","volume":"106","author":[{"family":"Kövari","given":"Enikö"},{"family":"Gold","given":"Gabriel"},{"family":"Herrmann","given":"François R."},{"family":"Canuto","given":"Alessandra"},{"family":"Hof","given":"Patrick R."},{"family":"Bouras","given":"Constantin"},{"family":"Giannakopoulos","given":"Panteleimon"}],"issued":{"date-parts":[["2003",7]]}}}],"schema":"https://github.com/citation-style-language/schema/raw/master/csl-citation.json"} </w:instrText>
      </w:r>
      <w:r w:rsidR="009A6211">
        <w:rPr>
          <w:rFonts w:ascii="Verdana" w:hAnsi="Verdana"/>
          <w:lang w:val="en-GB"/>
        </w:rPr>
        <w:fldChar w:fldCharType="separate"/>
      </w:r>
      <w:r w:rsidR="009A6211" w:rsidRPr="009A6211">
        <w:rPr>
          <w:rFonts w:ascii="Verdana" w:hAnsi="Verdana" w:cs="Times New Roman"/>
          <w:szCs w:val="24"/>
        </w:rPr>
        <w:t>(Dag Aarsland et al. 2005; Churchyard and Lees 1997; Kövari et al. 2003)</w:t>
      </w:r>
      <w:r w:rsidR="009A6211">
        <w:rPr>
          <w:rFonts w:ascii="Verdana" w:hAnsi="Verdana"/>
          <w:lang w:val="en-GB"/>
        </w:rPr>
        <w:fldChar w:fldCharType="end"/>
      </w:r>
      <w:r w:rsidR="009A6211">
        <w:rPr>
          <w:rFonts w:ascii="Verdana" w:hAnsi="Verdana"/>
          <w:lang w:val="en-GB"/>
        </w:rPr>
        <w:t>.</w:t>
      </w:r>
    </w:p>
    <w:p w14:paraId="37F414B1" w14:textId="5D6A6315" w:rsidR="007751B7" w:rsidRDefault="008152EC" w:rsidP="00291DAF">
      <w:pPr>
        <w:spacing w:line="360" w:lineRule="auto"/>
        <w:jc w:val="both"/>
        <w:rPr>
          <w:rFonts w:ascii="Verdana" w:hAnsi="Verdana"/>
          <w:lang w:val="en-GB"/>
        </w:rPr>
      </w:pPr>
      <w:r>
        <w:rPr>
          <w:rFonts w:ascii="Verdana" w:hAnsi="Verdana"/>
          <w:noProof/>
          <w:lang w:val="en-GB"/>
        </w:rPr>
        <w:lastRenderedPageBreak/>
        <w:drawing>
          <wp:anchor distT="0" distB="0" distL="114300" distR="114300" simplePos="0" relativeHeight="251680768" behindDoc="0" locked="0" layoutInCell="1" allowOverlap="1" wp14:anchorId="512A280D" wp14:editId="11162809">
            <wp:simplePos x="0" y="0"/>
            <wp:positionH relativeFrom="margin">
              <wp:posOffset>17780</wp:posOffset>
            </wp:positionH>
            <wp:positionV relativeFrom="paragraph">
              <wp:posOffset>285750</wp:posOffset>
            </wp:positionV>
            <wp:extent cx="5562600" cy="5006975"/>
            <wp:effectExtent l="0" t="0" r="0" b="3175"/>
            <wp:wrapTopAndBottom/>
            <wp:docPr id="15" name="Picture 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schematic&#10;&#10;Description automatically generated"/>
                    <pic:cNvPicPr/>
                  </pic:nvPicPr>
                  <pic:blipFill rotWithShape="1">
                    <a:blip r:embed="rId59">
                      <a:extLst>
                        <a:ext uri="{28A0092B-C50C-407E-A947-70E740481C1C}">
                          <a14:useLocalDpi xmlns:a14="http://schemas.microsoft.com/office/drawing/2010/main" val="0"/>
                        </a:ext>
                      </a:extLst>
                    </a:blip>
                    <a:srcRect t="7005"/>
                    <a:stretch/>
                  </pic:blipFill>
                  <pic:spPr bwMode="auto">
                    <a:xfrm>
                      <a:off x="0" y="0"/>
                      <a:ext cx="5562600" cy="500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3BF3414A" wp14:editId="1A0AA5C2">
                <wp:simplePos x="0" y="0"/>
                <wp:positionH relativeFrom="margin">
                  <wp:posOffset>-1270</wp:posOffset>
                </wp:positionH>
                <wp:positionV relativeFrom="paragraph">
                  <wp:posOffset>5410091</wp:posOffset>
                </wp:positionV>
                <wp:extent cx="5577840" cy="457200"/>
                <wp:effectExtent l="0" t="0" r="3810" b="0"/>
                <wp:wrapTopAndBottom/>
                <wp:docPr id="14" name="Text Box 14"/>
                <wp:cNvGraphicFramePr/>
                <a:graphic xmlns:a="http://schemas.openxmlformats.org/drawingml/2006/main">
                  <a:graphicData uri="http://schemas.microsoft.com/office/word/2010/wordprocessingShape">
                    <wps:wsp>
                      <wps:cNvSpPr txBox="1"/>
                      <wps:spPr>
                        <a:xfrm>
                          <a:off x="0" y="0"/>
                          <a:ext cx="5577840" cy="457200"/>
                        </a:xfrm>
                        <a:prstGeom prst="rect">
                          <a:avLst/>
                        </a:prstGeom>
                        <a:solidFill>
                          <a:prstClr val="white"/>
                        </a:solidFill>
                        <a:ln>
                          <a:noFill/>
                        </a:ln>
                      </wps:spPr>
                      <wps:txbx>
                        <w:txbxContent>
                          <w:p w14:paraId="03C32B50" w14:textId="69BF55C4" w:rsidR="000D4827" w:rsidRPr="00EE013F" w:rsidRDefault="000D4827" w:rsidP="00116752">
                            <w:pPr>
                              <w:pStyle w:val="Caption"/>
                              <w:ind w:firstLine="0"/>
                              <w:jc w:val="both"/>
                              <w:rPr>
                                <w:rFonts w:ascii="Verdana" w:hAnsi="Verdana"/>
                                <w:i w:val="0"/>
                                <w:iCs w:val="0"/>
                                <w:noProof/>
                                <w:color w:val="auto"/>
                              </w:rPr>
                            </w:pPr>
                            <w:bookmarkStart w:id="28" w:name="_Toc131412747"/>
                            <w:r w:rsidRPr="00EE013F">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5</w:t>
                            </w:r>
                            <w:r w:rsidR="00FC184D">
                              <w:rPr>
                                <w:rFonts w:ascii="Verdana" w:hAnsi="Verdana"/>
                                <w:b/>
                                <w:bCs/>
                                <w:i w:val="0"/>
                                <w:iCs w:val="0"/>
                                <w:color w:val="auto"/>
                              </w:rPr>
                              <w:fldChar w:fldCharType="end"/>
                            </w:r>
                            <w:r w:rsidRPr="00EE013F">
                              <w:rPr>
                                <w:rFonts w:ascii="Verdana" w:hAnsi="Verdana"/>
                                <w:i w:val="0"/>
                                <w:iCs w:val="0"/>
                                <w:color w:val="auto"/>
                              </w:rPr>
                              <w:t xml:space="preserve"> </w:t>
                            </w:r>
                            <w:r>
                              <w:rPr>
                                <w:rFonts w:ascii="Verdana" w:hAnsi="Verdana"/>
                                <w:i w:val="0"/>
                                <w:iCs w:val="0"/>
                                <w:color w:val="auto"/>
                              </w:rPr>
                              <w:t>Significant g</w:t>
                            </w:r>
                            <w:r w:rsidRPr="00EE013F">
                              <w:rPr>
                                <w:rFonts w:ascii="Verdana" w:hAnsi="Verdana"/>
                                <w:i w:val="0"/>
                                <w:iCs w:val="0"/>
                                <w:color w:val="auto"/>
                              </w:rPr>
                              <w:t>rey matter density differences between non-demented PD and PDD</w:t>
                            </w:r>
                            <w:r>
                              <w:rPr>
                                <w:rFonts w:ascii="Verdana" w:hAnsi="Verdana"/>
                                <w:i w:val="0"/>
                                <w:iCs w:val="0"/>
                                <w:color w:val="auto"/>
                              </w:rPr>
                              <w:t xml:space="preserve"> (Nagano-Saito et al., 2005). BA, Brodmann area.</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3414A" id="Text Box 14" o:spid="_x0000_s1030" type="#_x0000_t202" style="position:absolute;left:0;text-align:left;margin-left:-.1pt;margin-top:426pt;width:439.2pt;height:3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" stroked="f">
                <v:textbox inset="0,0,0,0">
                  <w:txbxContent>
                    <w:p w14:paraId="03C32B50" w14:textId="69BF55C4" w:rsidR="000D4827" w:rsidRPr="00EE013F" w:rsidRDefault="000D4827" w:rsidP="00116752">
                      <w:pPr>
                        <w:pStyle w:val="Caption"/>
                        <w:ind w:firstLine="0"/>
                        <w:jc w:val="both"/>
                        <w:rPr>
                          <w:rFonts w:ascii="Verdana" w:hAnsi="Verdana"/>
                          <w:i w:val="0"/>
                          <w:iCs w:val="0"/>
                          <w:noProof/>
                          <w:color w:val="auto"/>
                        </w:rPr>
                      </w:pPr>
                      <w:bookmarkStart w:id="29" w:name="_Toc131412747"/>
                      <w:r w:rsidRPr="00EE013F">
                        <w:rPr>
                          <w:rFonts w:ascii="Verdana" w:hAnsi="Verdana"/>
                          <w:b/>
                          <w:bCs/>
                          <w:i w:val="0"/>
                          <w:iCs w:val="0"/>
                          <w:color w:val="auto"/>
                        </w:rPr>
                        <w:t xml:space="preserve">Figure </w:t>
                      </w:r>
                      <w:r w:rsidR="00FC184D">
                        <w:rPr>
                          <w:rFonts w:ascii="Verdana" w:hAnsi="Verdana"/>
                          <w:b/>
                          <w:bCs/>
                          <w:i w:val="0"/>
                          <w:iCs w:val="0"/>
                          <w:color w:val="auto"/>
                        </w:rPr>
                        <w:fldChar w:fldCharType="begin"/>
                      </w:r>
                      <w:r w:rsidR="00FC184D">
                        <w:rPr>
                          <w:rFonts w:ascii="Verdana" w:hAnsi="Verdana"/>
                          <w:b/>
                          <w:bCs/>
                          <w:i w:val="0"/>
                          <w:iCs w:val="0"/>
                          <w:color w:val="auto"/>
                        </w:rPr>
                        <w:instrText xml:space="preserve"> SEQ Figure \* ARABIC </w:instrText>
                      </w:r>
                      <w:r w:rsidR="00FC184D">
                        <w:rPr>
                          <w:rFonts w:ascii="Verdana" w:hAnsi="Verdana"/>
                          <w:b/>
                          <w:bCs/>
                          <w:i w:val="0"/>
                          <w:iCs w:val="0"/>
                          <w:color w:val="auto"/>
                        </w:rPr>
                        <w:fldChar w:fldCharType="separate"/>
                      </w:r>
                      <w:r w:rsidR="001D505F">
                        <w:rPr>
                          <w:rFonts w:ascii="Verdana" w:hAnsi="Verdana"/>
                          <w:b/>
                          <w:bCs/>
                          <w:i w:val="0"/>
                          <w:iCs w:val="0"/>
                          <w:noProof/>
                          <w:color w:val="auto"/>
                        </w:rPr>
                        <w:t>5</w:t>
                      </w:r>
                      <w:r w:rsidR="00FC184D">
                        <w:rPr>
                          <w:rFonts w:ascii="Verdana" w:hAnsi="Verdana"/>
                          <w:b/>
                          <w:bCs/>
                          <w:i w:val="0"/>
                          <w:iCs w:val="0"/>
                          <w:color w:val="auto"/>
                        </w:rPr>
                        <w:fldChar w:fldCharType="end"/>
                      </w:r>
                      <w:r w:rsidRPr="00EE013F">
                        <w:rPr>
                          <w:rFonts w:ascii="Verdana" w:hAnsi="Verdana"/>
                          <w:i w:val="0"/>
                          <w:iCs w:val="0"/>
                          <w:color w:val="auto"/>
                        </w:rPr>
                        <w:t xml:space="preserve"> </w:t>
                      </w:r>
                      <w:r>
                        <w:rPr>
                          <w:rFonts w:ascii="Verdana" w:hAnsi="Verdana"/>
                          <w:i w:val="0"/>
                          <w:iCs w:val="0"/>
                          <w:color w:val="auto"/>
                        </w:rPr>
                        <w:t>Significant g</w:t>
                      </w:r>
                      <w:r w:rsidRPr="00EE013F">
                        <w:rPr>
                          <w:rFonts w:ascii="Verdana" w:hAnsi="Verdana"/>
                          <w:i w:val="0"/>
                          <w:iCs w:val="0"/>
                          <w:color w:val="auto"/>
                        </w:rPr>
                        <w:t>rey matter density differences between non-demented PD and PDD</w:t>
                      </w:r>
                      <w:r>
                        <w:rPr>
                          <w:rFonts w:ascii="Verdana" w:hAnsi="Verdana"/>
                          <w:i w:val="0"/>
                          <w:iCs w:val="0"/>
                          <w:color w:val="auto"/>
                        </w:rPr>
                        <w:t xml:space="preserve"> (Nagano-Saito et al., 2005). BA, Brodmann area.</w:t>
                      </w:r>
                      <w:bookmarkEnd w:id="29"/>
                    </w:p>
                  </w:txbxContent>
                </v:textbox>
                <w10:wrap type="topAndBottom" anchorx="margin"/>
              </v:shape>
            </w:pict>
          </mc:Fallback>
        </mc:AlternateContent>
      </w:r>
    </w:p>
    <w:p w14:paraId="3EB20D81" w14:textId="4FBCD412" w:rsidR="008152EC" w:rsidRDefault="008152EC" w:rsidP="00291DAF">
      <w:pPr>
        <w:spacing w:line="360" w:lineRule="auto"/>
        <w:jc w:val="both"/>
        <w:rPr>
          <w:rFonts w:ascii="Verdana" w:hAnsi="Verdana"/>
          <w:lang w:val="en-GB"/>
        </w:rPr>
      </w:pPr>
    </w:p>
    <w:p w14:paraId="1A2097F3" w14:textId="77777777" w:rsidR="008152EC" w:rsidRDefault="008152EC" w:rsidP="00291DAF">
      <w:pPr>
        <w:spacing w:line="360" w:lineRule="auto"/>
        <w:jc w:val="both"/>
        <w:rPr>
          <w:rFonts w:ascii="Verdana" w:hAnsi="Verdana"/>
          <w:lang w:val="en-GB"/>
        </w:rPr>
      </w:pPr>
    </w:p>
    <w:p w14:paraId="2F31F406" w14:textId="7A4DEF62" w:rsidR="00A948F2" w:rsidRPr="00A948F2" w:rsidRDefault="00A948F2" w:rsidP="004F0024">
      <w:pPr>
        <w:pStyle w:val="ListParagraph"/>
        <w:numPr>
          <w:ilvl w:val="0"/>
          <w:numId w:val="1"/>
        </w:numPr>
        <w:spacing w:line="360" w:lineRule="auto"/>
        <w:contextualSpacing w:val="0"/>
        <w:jc w:val="both"/>
        <w:rPr>
          <w:rFonts w:ascii="Verdana" w:hAnsi="Verdana"/>
          <w:vanish/>
        </w:rPr>
      </w:pPr>
    </w:p>
    <w:p w14:paraId="733C98C1" w14:textId="77777777" w:rsidR="00A948F2" w:rsidRPr="00A948F2" w:rsidRDefault="00A948F2" w:rsidP="004F0024">
      <w:pPr>
        <w:pStyle w:val="ListParagraph"/>
        <w:numPr>
          <w:ilvl w:val="0"/>
          <w:numId w:val="1"/>
        </w:numPr>
        <w:spacing w:line="360" w:lineRule="auto"/>
        <w:contextualSpacing w:val="0"/>
        <w:jc w:val="both"/>
        <w:rPr>
          <w:rFonts w:ascii="Verdana" w:hAnsi="Verdana"/>
          <w:vanish/>
        </w:rPr>
      </w:pPr>
    </w:p>
    <w:p w14:paraId="33095293" w14:textId="07B18E19" w:rsidR="000D4827" w:rsidRPr="00341EDD" w:rsidRDefault="000D4827" w:rsidP="00341EDD">
      <w:pPr>
        <w:spacing w:line="360" w:lineRule="auto"/>
        <w:ind w:firstLine="0"/>
        <w:jc w:val="both"/>
        <w:rPr>
          <w:rFonts w:ascii="Verdana" w:hAnsi="Verdana"/>
          <w:b/>
          <w:bCs/>
          <w:lang w:val="en-GB"/>
        </w:rPr>
      </w:pPr>
    </w:p>
    <w:p w14:paraId="36B42425" w14:textId="62FF2428" w:rsidR="00E73E51" w:rsidRPr="00AF19DE" w:rsidRDefault="00E73E51" w:rsidP="004F0024">
      <w:pPr>
        <w:pStyle w:val="Heading2"/>
        <w:numPr>
          <w:ilvl w:val="2"/>
          <w:numId w:val="16"/>
        </w:numPr>
        <w:rPr>
          <w:lang w:val="en-GB"/>
        </w:rPr>
      </w:pPr>
      <w:bookmarkStart w:id="30" w:name="_Toc130223398"/>
      <w:r w:rsidRPr="00AF19DE">
        <w:rPr>
          <w:lang w:val="en-GB"/>
        </w:rPr>
        <w:t>Neuropathology</w:t>
      </w:r>
      <w:bookmarkEnd w:id="30"/>
    </w:p>
    <w:p w14:paraId="73191E3C" w14:textId="774C1505" w:rsidR="00490CF5" w:rsidRDefault="000B1324" w:rsidP="00291DAF">
      <w:pPr>
        <w:spacing w:line="360" w:lineRule="auto"/>
        <w:jc w:val="both"/>
        <w:rPr>
          <w:rFonts w:ascii="Verdana" w:hAnsi="Verdana"/>
        </w:rPr>
      </w:pPr>
      <w:r>
        <w:rPr>
          <w:rFonts w:ascii="Verdana" w:hAnsi="Verdana"/>
        </w:rPr>
        <w:t>The neuropathology of PDD is heterogeneous</w:t>
      </w:r>
      <w:r w:rsidR="00CA5D60">
        <w:rPr>
          <w:rFonts w:ascii="Verdana" w:hAnsi="Verdana"/>
        </w:rPr>
        <w:t xml:space="preserve"> and involves a combination of alpha-synuclein, tau and amyloid</w:t>
      </w:r>
      <w:r w:rsidR="0046669F">
        <w:rPr>
          <w:rFonts w:ascii="Verdana" w:hAnsi="Verdana"/>
        </w:rPr>
        <w:t>-beta (Aβ)</w:t>
      </w:r>
      <w:r w:rsidR="00CA5D60">
        <w:rPr>
          <w:rFonts w:ascii="Verdana" w:hAnsi="Verdana"/>
        </w:rPr>
        <w:t xml:space="preserve"> pathology</w:t>
      </w:r>
      <w:r w:rsidR="00A86ACD">
        <w:rPr>
          <w:rFonts w:ascii="Verdana" w:hAnsi="Verdana"/>
        </w:rPr>
        <w:t>, with c</w:t>
      </w:r>
      <w:r w:rsidR="000C6385">
        <w:rPr>
          <w:rFonts w:ascii="Verdana" w:hAnsi="Verdana"/>
        </w:rPr>
        <w:t xml:space="preserve">ortical Lewy Body pathology </w:t>
      </w:r>
      <w:r w:rsidR="00A86ACD">
        <w:rPr>
          <w:rFonts w:ascii="Verdana" w:hAnsi="Verdana"/>
        </w:rPr>
        <w:t>being</w:t>
      </w:r>
      <w:r w:rsidR="004774F2">
        <w:rPr>
          <w:rFonts w:ascii="Verdana" w:hAnsi="Verdana"/>
        </w:rPr>
        <w:t xml:space="preserve"> the predominant neuropathological feature in PDD</w:t>
      </w:r>
      <w:r w:rsidR="001827E1">
        <w:rPr>
          <w:rFonts w:ascii="Verdana" w:hAnsi="Verdana"/>
        </w:rPr>
        <w:t>.</w:t>
      </w:r>
    </w:p>
    <w:p w14:paraId="6843483E" w14:textId="79CDB65D" w:rsidR="00535035" w:rsidRPr="003C79FC" w:rsidRDefault="000D59FA" w:rsidP="0041630B">
      <w:pPr>
        <w:spacing w:line="360" w:lineRule="auto"/>
        <w:jc w:val="both"/>
        <w:rPr>
          <w:rFonts w:ascii="Verdana" w:hAnsi="Verdana"/>
        </w:rPr>
      </w:pPr>
      <w:r>
        <w:rPr>
          <w:rFonts w:ascii="Verdana" w:hAnsi="Verdana"/>
        </w:rPr>
        <w:t>Concomitant AD pathology is often reported in PD</w:t>
      </w:r>
      <w:r w:rsidR="00692100">
        <w:rPr>
          <w:rFonts w:ascii="Verdana" w:hAnsi="Verdana"/>
        </w:rPr>
        <w:t>, with a higher extent of</w:t>
      </w:r>
      <w:r w:rsidR="00A13E61">
        <w:rPr>
          <w:rFonts w:ascii="Verdana" w:hAnsi="Verdana"/>
        </w:rPr>
        <w:t xml:space="preserve"> </w:t>
      </w:r>
      <w:r w:rsidR="00692100">
        <w:rPr>
          <w:rFonts w:ascii="Verdana" w:hAnsi="Verdana"/>
        </w:rPr>
        <w:t>s</w:t>
      </w:r>
      <w:r w:rsidR="00A13E61">
        <w:rPr>
          <w:rFonts w:ascii="Verdana" w:hAnsi="Verdana"/>
        </w:rPr>
        <w:t>enile plaques and neurofibrillary tangles</w:t>
      </w:r>
      <w:r w:rsidR="002A2540">
        <w:rPr>
          <w:rFonts w:ascii="Verdana" w:hAnsi="Verdana"/>
        </w:rPr>
        <w:t xml:space="preserve"> deposition</w:t>
      </w:r>
      <w:r w:rsidR="00692100">
        <w:rPr>
          <w:rFonts w:ascii="Verdana" w:hAnsi="Verdana"/>
        </w:rPr>
        <w:t xml:space="preserve"> </w:t>
      </w:r>
      <w:r w:rsidR="00D41F58">
        <w:rPr>
          <w:rFonts w:ascii="Verdana" w:hAnsi="Verdana"/>
        </w:rPr>
        <w:t xml:space="preserve">in </w:t>
      </w:r>
      <w:r w:rsidR="002A2540">
        <w:rPr>
          <w:rFonts w:ascii="Verdana" w:hAnsi="Verdana"/>
        </w:rPr>
        <w:t>patients with dementia</w:t>
      </w:r>
      <w:r w:rsidR="007309F4">
        <w:rPr>
          <w:rFonts w:ascii="Verdana" w:hAnsi="Verdana"/>
        </w:rPr>
        <w:t xml:space="preserve"> </w:t>
      </w:r>
      <w:r w:rsidR="007309F4">
        <w:rPr>
          <w:rFonts w:ascii="Verdana" w:hAnsi="Verdana"/>
        </w:rPr>
        <w:fldChar w:fldCharType="begin"/>
      </w:r>
      <w:r w:rsidR="007309F4">
        <w:rPr>
          <w:rFonts w:ascii="Verdana" w:hAnsi="Verdana"/>
        </w:rPr>
        <w:instrText xml:space="preserve"> ADDIN ZOTERO_ITEM CSL_CITATION {"citationID":"OSeiEb2o","properties":{"formattedCitation":"(Horvath et al. 2013; Jellinger 2012)","plainCitation":"(Horvath et al. 2013; Jellinger 2012)","noteIndex":0},"citationItems":[{"id":178,"uris":["http://zotero.org/users/9330673/items/FYJ4QJQK"],"itemData":{"id":178,"type":"article-journal","abstract":"The aim of our study was to establish the contribution of distinct pathological aggregates (cortical Lewy bodies (LB), neuronal tau-inclusions and b-amyloid plaque (Ab) deposition) in dementia related to Parkinson’s disease (PD) in a large autopsy cohort.","container-title":"Parkinsonism &amp; Related Disorders","DOI":"10.1016/j.parkreldis.2013.05.010","ISSN":"13538020","issue":"10","journalAbbreviation":"Parkinsonism &amp; Related Disorders","language":"en","page":"864-868","source":"DOI.org (Crossref)","title":"Neuropathology of dementia in a large cohort of patients with Parkinson's disease","volume":"19","author":[{"family":"Horvath","given":"Judit"},{"family":"Herrmann","given":"François R."},{"family":"Burkhard","given":"Pierre R."},{"family":"Bouras","given":"Constantin"},{"family":"Kövari","given":"Enikö"}],"issued":{"date-parts":[["2013",10]]}}},{"id":213,"uris":["http://zotero.org/users/9330673/items/YDC2QAA2"],"itemData":{"id":213,"type":"article-journal","container-title":"Expert Review of Neurotherapeutics","DOI":"10.1586/ern.12.131","ISSN":"1473-7175, 1744-8360","issue":"12","journalAbbreviation":"Expert Review of Neurotherapeutics","language":"en","page":"1451-1466","source":"DOI.org (Crossref)","title":"Neurobiology of cognitive impairment in Parkinson’s disease","volume":"12","author":[{"family":"Jellinger","given":"Kurt A"}],"issued":{"date-parts":[["2012",12]]}}}],"schema":"https://github.com/citation-style-language/schema/raw/master/csl-citation.json"} </w:instrText>
      </w:r>
      <w:r w:rsidR="007309F4">
        <w:rPr>
          <w:rFonts w:ascii="Verdana" w:hAnsi="Verdana"/>
        </w:rPr>
        <w:fldChar w:fldCharType="separate"/>
      </w:r>
      <w:r w:rsidR="007309F4" w:rsidRPr="007309F4">
        <w:rPr>
          <w:rFonts w:ascii="Verdana" w:hAnsi="Verdana"/>
        </w:rPr>
        <w:t>(Horvath et al. 2013; Jellinger 2012)</w:t>
      </w:r>
      <w:r w:rsidR="007309F4">
        <w:rPr>
          <w:rFonts w:ascii="Verdana" w:hAnsi="Verdana"/>
        </w:rPr>
        <w:fldChar w:fldCharType="end"/>
      </w:r>
      <w:r w:rsidR="00D1333C">
        <w:rPr>
          <w:rFonts w:ascii="Verdana" w:hAnsi="Verdana"/>
        </w:rPr>
        <w:t>.</w:t>
      </w:r>
      <w:r w:rsidR="0094433C">
        <w:rPr>
          <w:rFonts w:ascii="Verdana" w:hAnsi="Verdana"/>
        </w:rPr>
        <w:t xml:space="preserve"> </w:t>
      </w:r>
      <w:r w:rsidR="00AA2980">
        <w:rPr>
          <w:rFonts w:ascii="Verdana" w:hAnsi="Verdana"/>
        </w:rPr>
        <w:t xml:space="preserve">A systematic review of autopsy studies </w:t>
      </w:r>
      <w:r w:rsidR="00FC3DD9">
        <w:rPr>
          <w:rFonts w:ascii="Verdana" w:hAnsi="Verdana"/>
        </w:rPr>
        <w:lastRenderedPageBreak/>
        <w:t>reported moderate to severe tau and Aβ pathology</w:t>
      </w:r>
      <w:r w:rsidR="004820D6">
        <w:rPr>
          <w:rFonts w:ascii="Verdana" w:hAnsi="Verdana"/>
        </w:rPr>
        <w:t xml:space="preserve"> in over a third of PDD cases</w:t>
      </w:r>
      <w:r w:rsidR="00E40700">
        <w:rPr>
          <w:rFonts w:ascii="Verdana" w:hAnsi="Verdana"/>
        </w:rPr>
        <w:t xml:space="preserve">, </w:t>
      </w:r>
      <w:r w:rsidR="004D2116">
        <w:rPr>
          <w:rFonts w:ascii="Verdana" w:hAnsi="Verdana"/>
        </w:rPr>
        <w:t xml:space="preserve">with prevalent pathology in </w:t>
      </w:r>
      <w:r w:rsidR="00F5201F">
        <w:rPr>
          <w:rFonts w:ascii="Verdana" w:hAnsi="Verdana"/>
        </w:rPr>
        <w:t xml:space="preserve">the entorhinal cortex and the striatum </w:t>
      </w:r>
      <w:r w:rsidR="007309F4">
        <w:rPr>
          <w:rFonts w:ascii="Verdana" w:hAnsi="Verdana"/>
        </w:rPr>
        <w:fldChar w:fldCharType="begin"/>
      </w:r>
      <w:r w:rsidR="007309F4">
        <w:rPr>
          <w:rFonts w:ascii="Verdana" w:hAnsi="Verdana"/>
        </w:rPr>
        <w:instrText xml:space="preserve"> ADDIN ZOTERO_ITEM CSL_CITATION {"citationID":"qsdvXfWv","properties":{"formattedCitation":"(Smith et al. 2019)","plainCitation":"(Smith et al. 2019)","noteIndex":0},"citationItems":[{"id":1785,"uris":["http://zotero.org/users/9330673/items/98GNWBDY"],"itemData":{"id":1785,"type":"article-journal","abstract":"Background  Dementia is a common, debilitating feature of late Parkinson’s disease (PD). PD dementia (PDD) is associated with α-synuclein propagation, but coexistent Alzheimer’s disease (AD) pathology may coexist. Other pathologies (cerebrovascular, transactive response DNA-binding protein 43 (TDP-43)) may also influence cognition. We aimed to describe the neuropathology underlying dementia in PD.\nMethods  Systematic review of autopsy studies published in English involving PD cases with dementia. Comparison groups included PD without dementia, AD, dementia with Lewy bodies (DLB) and healthy controls.\nResults  44 reports involving 2002 cases, 57.2% with dementia, met inclusion criteria. While limbic and neocortical α-synuclein pathology had the strongest association with dementia, between a fifth and a third of all PD cases in the largest studies had comorbid AD. In PD cases with dementia, tau pathology was moderate or severe in around a third, and amyloid-β pathology was moderate or severe in over half. Amyloid-β was associated with a more rapid cognitive decline and earlier mortality, and in the striatum, distinguished PDD from DLB. Positive correlations between multiple measures of α-synuclein, tau and amyloid-β were found. Cerebrovascular and TDP-43 pathologies did not generally contribute to dementia in PD. TDP-43 and amyloid angiopathy correlated with coexistent Alzheimer pathology.\nConclusions  While significant α-synuclein pathology is the main substrate of dementia in PD, coexistent pathologies are common. In particular, tau and amyloid-β pathologies independently contribute to the development and pattern of cognitive decline in PD. Their presence should be assessed in future clinical trials where dementia is a key outcome measure. Trial registration number  CRD42018088691.","container-title":"Journal of Neurology, Neurosurgery &amp; Psychiatry","DOI":"10.1136/jnnp-2019-321111","ISSN":"0022-3050, 1468-330X","journalAbbreviation":"J Neurol Neurosurg Psychiatry","language":"en","page":"jnnp-2019-321111","source":"DOI.org (Crossref)","title":"Neuropathology of dementia in patients with Parkinson’s disease: a systematic review of autopsy studies","title-short":"Neuropathology of dementia in patients with Parkinson’s disease","author":[{"family":"Smith","given":"Callum"},{"family":"Malek","given":"Naveed"},{"family":"Grosset","given":"Katherine"},{"family":"Cullen","given":"Breda"},{"family":"Gentleman","given":"Steve"},{"family":"Grosset","given":"Donald G"}],"issued":{"date-parts":[["2019",8,23]]}}}],"schema":"https://github.com/citation-style-language/schema/raw/master/csl-citation.json"} </w:instrText>
      </w:r>
      <w:r w:rsidR="007309F4">
        <w:rPr>
          <w:rFonts w:ascii="Verdana" w:hAnsi="Verdana"/>
        </w:rPr>
        <w:fldChar w:fldCharType="separate"/>
      </w:r>
      <w:r w:rsidR="007309F4" w:rsidRPr="007309F4">
        <w:rPr>
          <w:rFonts w:ascii="Verdana" w:hAnsi="Verdana"/>
        </w:rPr>
        <w:t>(Smith et al. 2019)</w:t>
      </w:r>
      <w:r w:rsidR="007309F4">
        <w:rPr>
          <w:rFonts w:ascii="Verdana" w:hAnsi="Verdana"/>
        </w:rPr>
        <w:fldChar w:fldCharType="end"/>
      </w:r>
      <w:r w:rsidR="009A5F33">
        <w:rPr>
          <w:rFonts w:ascii="Verdana" w:hAnsi="Verdana"/>
        </w:rPr>
        <w:t>.</w:t>
      </w:r>
      <w:r w:rsidR="004D2116">
        <w:rPr>
          <w:rFonts w:ascii="Verdana" w:hAnsi="Verdana"/>
        </w:rPr>
        <w:t xml:space="preserve"> While tau pathology and </w:t>
      </w:r>
      <w:proofErr w:type="spellStart"/>
      <w:r w:rsidR="004D2116">
        <w:rPr>
          <w:rFonts w:ascii="Verdana" w:hAnsi="Verdana"/>
        </w:rPr>
        <w:t>Braak</w:t>
      </w:r>
      <w:proofErr w:type="spellEnd"/>
      <w:r w:rsidR="004D2116">
        <w:rPr>
          <w:rFonts w:ascii="Verdana" w:hAnsi="Verdana"/>
        </w:rPr>
        <w:t xml:space="preserve"> NFT stage have sometimes been directly associated with risk </w:t>
      </w:r>
      <w:r w:rsidR="005C7A37">
        <w:rPr>
          <w:rFonts w:ascii="Verdana" w:hAnsi="Verdana"/>
        </w:rPr>
        <w:t>to develop</w:t>
      </w:r>
      <w:r w:rsidR="00E906DA">
        <w:rPr>
          <w:rFonts w:ascii="Verdana" w:hAnsi="Verdana"/>
        </w:rPr>
        <w:t xml:space="preserve"> dementia</w:t>
      </w:r>
      <w:r w:rsidR="005C7A37">
        <w:rPr>
          <w:rFonts w:ascii="Verdana" w:hAnsi="Verdana"/>
        </w:rPr>
        <w:t xml:space="preserve"> (Horvath et al.</w:t>
      </w:r>
      <w:r w:rsidR="008B0E3C">
        <w:rPr>
          <w:rFonts w:ascii="Verdana" w:hAnsi="Verdana"/>
        </w:rPr>
        <w:t xml:space="preserve"> </w:t>
      </w:r>
      <w:r w:rsidR="005C7A37">
        <w:rPr>
          <w:rFonts w:ascii="Verdana" w:hAnsi="Verdana"/>
        </w:rPr>
        <w:t>2013)</w:t>
      </w:r>
      <w:r w:rsidR="000C4C45">
        <w:rPr>
          <w:rFonts w:ascii="Verdana" w:hAnsi="Verdana"/>
        </w:rPr>
        <w:t xml:space="preserve">, </w:t>
      </w:r>
      <w:r w:rsidR="00683F61">
        <w:rPr>
          <w:rFonts w:ascii="Verdana" w:hAnsi="Verdana"/>
        </w:rPr>
        <w:t>A</w:t>
      </w:r>
      <w:r w:rsidR="000C4C45">
        <w:rPr>
          <w:rFonts w:ascii="Verdana" w:hAnsi="Verdana"/>
        </w:rPr>
        <w:t xml:space="preserve">β </w:t>
      </w:r>
      <w:r w:rsidR="00E906DA">
        <w:rPr>
          <w:rFonts w:ascii="Verdana" w:hAnsi="Verdana"/>
        </w:rPr>
        <w:t xml:space="preserve">alone </w:t>
      </w:r>
      <w:r w:rsidR="003B5E56">
        <w:rPr>
          <w:rFonts w:ascii="Verdana" w:hAnsi="Verdana"/>
        </w:rPr>
        <w:t>was never shown to be a strong predictor of dementia</w:t>
      </w:r>
      <w:r w:rsidR="00EE38E8">
        <w:rPr>
          <w:rFonts w:ascii="Verdana" w:hAnsi="Verdana"/>
        </w:rPr>
        <w:t xml:space="preserve"> (Smith et al. 2019)</w:t>
      </w:r>
      <w:r w:rsidR="003C79FC">
        <w:rPr>
          <w:rFonts w:ascii="Verdana" w:hAnsi="Verdana"/>
        </w:rPr>
        <w:t xml:space="preserve">. </w:t>
      </w:r>
      <w:r w:rsidR="00FE4009">
        <w:rPr>
          <w:rFonts w:ascii="Verdana" w:hAnsi="Verdana"/>
        </w:rPr>
        <w:t>Results suggest that</w:t>
      </w:r>
      <w:r w:rsidR="003C292C">
        <w:rPr>
          <w:rFonts w:ascii="Verdana" w:hAnsi="Verdana"/>
        </w:rPr>
        <w:t xml:space="preserve"> LB pathology in the limbic region and in the cortex plays a fundamental role in</w:t>
      </w:r>
      <w:r w:rsidR="001653D0">
        <w:rPr>
          <w:rFonts w:ascii="Verdana" w:hAnsi="Verdana"/>
        </w:rPr>
        <w:t xml:space="preserve"> the emergence and progression of</w:t>
      </w:r>
      <w:r w:rsidR="003C292C">
        <w:rPr>
          <w:rFonts w:ascii="Verdana" w:hAnsi="Verdana"/>
        </w:rPr>
        <w:t xml:space="preserve"> dementia</w:t>
      </w:r>
      <w:r w:rsidR="001653D0">
        <w:rPr>
          <w:rFonts w:ascii="Verdana" w:hAnsi="Verdana"/>
        </w:rPr>
        <w:t>, while</w:t>
      </w:r>
      <w:r w:rsidR="00FE4009">
        <w:rPr>
          <w:rFonts w:ascii="Verdana" w:hAnsi="Verdana"/>
        </w:rPr>
        <w:t xml:space="preserve"> tau and Aβ pathologies</w:t>
      </w:r>
      <w:r w:rsidR="00F94E15">
        <w:rPr>
          <w:rFonts w:ascii="Verdana" w:hAnsi="Verdana"/>
        </w:rPr>
        <w:t xml:space="preserve"> </w:t>
      </w:r>
      <w:r w:rsidR="001653D0">
        <w:rPr>
          <w:rFonts w:ascii="Verdana" w:hAnsi="Verdana"/>
        </w:rPr>
        <w:t>overlap with Lewy pathology and</w:t>
      </w:r>
      <w:r w:rsidR="00FE4009">
        <w:rPr>
          <w:rFonts w:ascii="Verdana" w:hAnsi="Verdana"/>
        </w:rPr>
        <w:t xml:space="preserve"> contribute to </w:t>
      </w:r>
      <w:r w:rsidR="00FC7CF2">
        <w:rPr>
          <w:rFonts w:ascii="Verdana" w:hAnsi="Verdana"/>
        </w:rPr>
        <w:t xml:space="preserve">heterogeneity in </w:t>
      </w:r>
      <w:r w:rsidR="00FE4009">
        <w:rPr>
          <w:rFonts w:ascii="Verdana" w:hAnsi="Verdana"/>
        </w:rPr>
        <w:t>cognitive decli</w:t>
      </w:r>
      <w:r w:rsidR="00F94E15">
        <w:rPr>
          <w:rFonts w:ascii="Verdana" w:hAnsi="Verdana"/>
        </w:rPr>
        <w:t>ne</w:t>
      </w:r>
      <w:r w:rsidR="00FC7CF2">
        <w:rPr>
          <w:rFonts w:ascii="Verdana" w:hAnsi="Verdana"/>
        </w:rPr>
        <w:t xml:space="preserve"> </w:t>
      </w:r>
      <w:r w:rsidR="00D40469">
        <w:rPr>
          <w:rFonts w:ascii="Verdana" w:hAnsi="Verdana"/>
        </w:rPr>
        <w:fldChar w:fldCharType="begin"/>
      </w:r>
      <w:r w:rsidR="00201058">
        <w:rPr>
          <w:rFonts w:ascii="Verdana" w:hAnsi="Verdana"/>
        </w:rPr>
        <w:instrText xml:space="preserve"> ADDIN ZOTERO_ITEM CSL_CITATION {"citationID":"VZuv6QS9","properties":{"formattedCitation":"(J. Irwin and I. Hurtig 2018)","plainCitation":"(J. Irwin and I. Hurtig 2018)","dontUpdate":true,"noteIndex":0},"citationItems":[{"id":2371,"uris":["http://zotero.org/users/9330673/items/RBTXV8KI"],"itemData":{"id":2371,"type":"article-journal","abstract":"Parkinson’s Disease (PD) and the closely related Dementia with Lewy Bodies (DLB) are due to the accumulation of pathogenic alpha-synuclein protein in brain cells manifest by heterogeneous motor and non-motor symptoms, including cognitive impairment and dementia. The majority of patients with Parkinson’s Disease develop Dementia (PDD) in late stages of the disease and have widespread neocortical distribution of alpha-synuclein pathology at autopsy, compared with PD without dementia, in which neocortical synuclein pathology is less prevalent. These three entities PD, DLB and PDD comprise a clinical spectrum, collectively known as Lewy Body Disorders (LBD). Recent investigations into the neuropathological basis of LBD have demonstrated that while synuclein pathology is the defining feature of these disorders, it is often accompanied by other age-related neurodegenerative pathologies. In particular, amyloid plaque and tau tangle pathology characteristic of Alzheimer’s Disease (AD) (~50% of all LBD patients have sufficient pathology at autopsy for a secondary neuropathologic diagnosis of AD), appear to contribute to cognitive impairment in LBD, and the combination is associated with a shorter interval between onset of motor symptoms and development of dementia and a shorter life span. Further, the cooccurrence of neocortical alpha-synuclein, tau and amyloid pathologies found at end-stage disease suggests a potential synergistic interaction of these individual pathologies in humans during life, mirroring experimental observations in animal and cell model systems that show how pathogenic species of synuclein fibrils can promote trans-synaptic spread of both tauopathy and synucleinopathy with strain-like properties. Newer post-mortem studies using digital methods to measure pathologic burden have highlighted distinct neocortical patterns of areas with relative higher density of tau pathology in LBD compared to AD that support these model data. The emerging field of cerebrospinal fluid and molecular imaging biomarkers of synuclein, amyloid and tau pathologies in LBD is contributing to a greater understanding of how the different pathologies evolve and interact to produce clinical heterogeneity in LBD. Future work to elucidate biologically meaningful clinical subgroups of synucleinopathy and its co-pathology must focus on the full clinicopathological spectrum of LBD and use validated biomarkers, when available, to design clinical trials based on the precise selection of homogeneous patient subgroups to maximize statistical power for detecting the impact of treatment.","container-title":"Journal of Alzheimer’s Disease &amp; Parkinsonism","DOI":"10.4172/2161-0460.1000444","ISSN":"21610460","issue":"04","journalAbbreviation":"J Alzheimers Dis Parkinsonism","language":"en","source":"DOI.org (Crossref)","title":"The Contribution of Tau, Amyloid-Beta and Alpha-Synuclein Pathology to Dementia in Lewy Body Disorders","URL":"https://www.omicsonline.org/open-access/the-contribution-of-tau-amyloidbeta-and-alphasynuclein-pathology-todementia-in-lewy-body-disorders-2161-0460-1000444-103649.html","volume":"08","author":[{"family":"J. Irwin","given":"David"},{"family":"I. Hurtig","given":"Howard"}],"accessed":{"date-parts":[["2023",3,15]]},"issued":{"date-parts":[["2018"]]}}}],"schema":"https://github.com/citation-style-language/schema/raw/master/csl-citation.json"} </w:instrText>
      </w:r>
      <w:r w:rsidR="00D40469">
        <w:rPr>
          <w:rFonts w:ascii="Verdana" w:hAnsi="Verdana"/>
        </w:rPr>
        <w:fldChar w:fldCharType="separate"/>
      </w:r>
      <w:r w:rsidR="00D40469" w:rsidRPr="00D40469">
        <w:rPr>
          <w:rFonts w:ascii="Verdana" w:hAnsi="Verdana"/>
        </w:rPr>
        <w:t>(Irwin and Hurtig 2018)</w:t>
      </w:r>
      <w:r w:rsidR="00D40469">
        <w:rPr>
          <w:rFonts w:ascii="Verdana" w:hAnsi="Verdana"/>
        </w:rPr>
        <w:fldChar w:fldCharType="end"/>
      </w:r>
      <w:r w:rsidR="00FE4009">
        <w:rPr>
          <w:rFonts w:ascii="Verdana" w:hAnsi="Verdana"/>
        </w:rPr>
        <w:t>.</w:t>
      </w:r>
    </w:p>
    <w:p w14:paraId="485713C7" w14:textId="31D3402B" w:rsidR="000F7BC7" w:rsidRDefault="000F7BC7" w:rsidP="00291DAF">
      <w:pPr>
        <w:pStyle w:val="ListParagraph"/>
        <w:spacing w:line="360" w:lineRule="auto"/>
        <w:ind w:firstLine="0"/>
        <w:contextualSpacing w:val="0"/>
        <w:jc w:val="both"/>
        <w:rPr>
          <w:rFonts w:ascii="Verdana" w:hAnsi="Verdana"/>
        </w:rPr>
      </w:pPr>
    </w:p>
    <w:p w14:paraId="10518120" w14:textId="77777777" w:rsidR="00E54249" w:rsidRDefault="00E54249" w:rsidP="00291DAF">
      <w:pPr>
        <w:pStyle w:val="ListParagraph"/>
        <w:spacing w:line="360" w:lineRule="auto"/>
        <w:ind w:firstLine="0"/>
        <w:contextualSpacing w:val="0"/>
        <w:jc w:val="both"/>
        <w:rPr>
          <w:rFonts w:ascii="Verdana" w:hAnsi="Verdana"/>
        </w:rPr>
      </w:pPr>
    </w:p>
    <w:p w14:paraId="1C4C5B51" w14:textId="214E48F2" w:rsidR="000F7BC7" w:rsidRPr="005935D2" w:rsidRDefault="000F7BC7" w:rsidP="004F0024">
      <w:pPr>
        <w:pStyle w:val="Heading2"/>
        <w:numPr>
          <w:ilvl w:val="3"/>
          <w:numId w:val="17"/>
        </w:numPr>
        <w:spacing w:line="360" w:lineRule="auto"/>
        <w:ind w:left="0" w:firstLine="720"/>
        <w:rPr>
          <w:lang w:val="en-GB"/>
        </w:rPr>
      </w:pPr>
      <w:bookmarkStart w:id="31" w:name="_Toc130223399"/>
      <w:r w:rsidRPr="009A0B63">
        <w:rPr>
          <w:lang w:val="en-GB"/>
        </w:rPr>
        <w:t>Genetic factors</w:t>
      </w:r>
      <w:bookmarkEnd w:id="31"/>
    </w:p>
    <w:p w14:paraId="1CB55C7E" w14:textId="6509738E" w:rsidR="00F86926" w:rsidRDefault="0054626B" w:rsidP="00291DAF">
      <w:pPr>
        <w:pStyle w:val="ListParagraph"/>
        <w:spacing w:line="360" w:lineRule="auto"/>
        <w:ind w:left="0"/>
        <w:contextualSpacing w:val="0"/>
        <w:jc w:val="both"/>
        <w:rPr>
          <w:rFonts w:ascii="Verdana" w:hAnsi="Verdana"/>
          <w:lang w:val="en-GB"/>
        </w:rPr>
      </w:pPr>
      <w:r>
        <w:rPr>
          <w:rFonts w:ascii="Verdana" w:hAnsi="Verdana"/>
          <w:lang w:val="en-GB"/>
        </w:rPr>
        <w:t>S</w:t>
      </w:r>
      <w:r w:rsidR="00FC62DB">
        <w:rPr>
          <w:rFonts w:ascii="Verdana" w:hAnsi="Verdana"/>
          <w:lang w:val="en-GB"/>
        </w:rPr>
        <w:t>evera</w:t>
      </w:r>
      <w:r w:rsidR="000051AE">
        <w:rPr>
          <w:rFonts w:ascii="Verdana" w:hAnsi="Verdana"/>
          <w:lang w:val="en-GB"/>
        </w:rPr>
        <w:t>l</w:t>
      </w:r>
      <w:r w:rsidR="00FC62DB">
        <w:rPr>
          <w:rFonts w:ascii="Verdana" w:hAnsi="Verdana"/>
          <w:lang w:val="en-GB"/>
        </w:rPr>
        <w:t xml:space="preserve"> genes</w:t>
      </w:r>
      <w:r w:rsidR="000051AE">
        <w:rPr>
          <w:rFonts w:ascii="Verdana" w:hAnsi="Verdana"/>
          <w:lang w:val="en-GB"/>
        </w:rPr>
        <w:t xml:space="preserve"> </w:t>
      </w:r>
      <w:r>
        <w:rPr>
          <w:rFonts w:ascii="Verdana" w:hAnsi="Verdana"/>
          <w:lang w:val="en-GB"/>
        </w:rPr>
        <w:t xml:space="preserve">causing familial PD have been implicated </w:t>
      </w:r>
      <w:r w:rsidR="00FC62DB">
        <w:rPr>
          <w:rFonts w:ascii="Verdana" w:hAnsi="Verdana"/>
          <w:lang w:val="en-GB"/>
        </w:rPr>
        <w:t>in the development of cognitive impairment and dementia</w:t>
      </w:r>
      <w:r w:rsidR="00C80AAB">
        <w:rPr>
          <w:rFonts w:ascii="Verdana" w:hAnsi="Verdana"/>
          <w:lang w:val="en-GB"/>
        </w:rPr>
        <w:t xml:space="preserve"> (Table 1)</w:t>
      </w:r>
      <w:r w:rsidR="00FC62DB">
        <w:rPr>
          <w:rFonts w:ascii="Verdana" w:hAnsi="Verdana"/>
          <w:lang w:val="en-GB"/>
        </w:rPr>
        <w:t xml:space="preserve">. </w:t>
      </w:r>
      <w:r w:rsidR="00A93584">
        <w:rPr>
          <w:rFonts w:ascii="Verdana" w:hAnsi="Verdana"/>
          <w:lang w:val="en-GB"/>
        </w:rPr>
        <w:t xml:space="preserve">Alpha-synuclein </w:t>
      </w:r>
      <w:r w:rsidR="00A568A1">
        <w:rPr>
          <w:rFonts w:ascii="Verdana" w:hAnsi="Verdana"/>
          <w:lang w:val="en-GB"/>
        </w:rPr>
        <w:t>multiplications</w:t>
      </w:r>
      <w:r w:rsidR="00A93584">
        <w:rPr>
          <w:rFonts w:ascii="Verdana" w:hAnsi="Verdana"/>
          <w:lang w:val="en-GB"/>
        </w:rPr>
        <w:t xml:space="preserve"> have been </w:t>
      </w:r>
      <w:r w:rsidR="00B21CDF">
        <w:rPr>
          <w:rFonts w:ascii="Verdana" w:hAnsi="Verdana"/>
          <w:lang w:val="en-GB"/>
        </w:rPr>
        <w:t>associated</w:t>
      </w:r>
      <w:r w:rsidR="00A93584">
        <w:rPr>
          <w:rFonts w:ascii="Verdana" w:hAnsi="Verdana"/>
          <w:lang w:val="en-GB"/>
        </w:rPr>
        <w:t xml:space="preserve"> </w:t>
      </w:r>
      <w:r w:rsidR="00B21CDF">
        <w:rPr>
          <w:rFonts w:ascii="Verdana" w:hAnsi="Verdana"/>
          <w:lang w:val="en-GB"/>
        </w:rPr>
        <w:t xml:space="preserve">with </w:t>
      </w:r>
      <w:r w:rsidR="00FE05EF">
        <w:rPr>
          <w:rFonts w:ascii="Verdana" w:hAnsi="Verdana"/>
          <w:lang w:val="en-GB"/>
        </w:rPr>
        <w:t>a higher risk of dementia, and</w:t>
      </w:r>
      <w:r w:rsidR="000306D5">
        <w:rPr>
          <w:rFonts w:ascii="Verdana" w:hAnsi="Verdana"/>
          <w:lang w:val="en-GB"/>
        </w:rPr>
        <w:t xml:space="preserve"> patients carrying</w:t>
      </w:r>
      <w:r w:rsidR="003D666A">
        <w:rPr>
          <w:rFonts w:ascii="Verdana" w:hAnsi="Verdana"/>
          <w:lang w:val="en-GB"/>
        </w:rPr>
        <w:t xml:space="preserve"> </w:t>
      </w:r>
      <w:r w:rsidR="00FE05EF">
        <w:rPr>
          <w:rFonts w:ascii="Verdana" w:hAnsi="Verdana"/>
          <w:lang w:val="en-GB"/>
        </w:rPr>
        <w:t>t</w:t>
      </w:r>
      <w:r w:rsidR="00F86926">
        <w:rPr>
          <w:rFonts w:ascii="Verdana" w:hAnsi="Verdana"/>
          <w:lang w:val="en-GB"/>
        </w:rPr>
        <w:t xml:space="preserve">riplications of the </w:t>
      </w:r>
      <w:r w:rsidR="00F86926" w:rsidRPr="00293633">
        <w:rPr>
          <w:rFonts w:ascii="Verdana" w:hAnsi="Verdana"/>
          <w:i/>
          <w:iCs/>
          <w:lang w:val="en-GB"/>
        </w:rPr>
        <w:t>SNCA</w:t>
      </w:r>
      <w:r w:rsidR="00F86926">
        <w:rPr>
          <w:rFonts w:ascii="Verdana" w:hAnsi="Verdana"/>
          <w:lang w:val="en-GB"/>
        </w:rPr>
        <w:t xml:space="preserve"> gene</w:t>
      </w:r>
      <w:r w:rsidR="003D666A">
        <w:rPr>
          <w:rFonts w:ascii="Verdana" w:hAnsi="Verdana"/>
          <w:lang w:val="en-GB"/>
        </w:rPr>
        <w:t xml:space="preserve"> present early cognitive impairm</w:t>
      </w:r>
      <w:r w:rsidR="005640EB">
        <w:rPr>
          <w:rFonts w:ascii="Verdana" w:hAnsi="Verdana"/>
          <w:lang w:val="en-GB"/>
        </w:rPr>
        <w:t>ents and</w:t>
      </w:r>
      <w:r w:rsidR="003D666A">
        <w:rPr>
          <w:rFonts w:ascii="Verdana" w:hAnsi="Verdana"/>
          <w:lang w:val="en-GB"/>
        </w:rPr>
        <w:t xml:space="preserve"> </w:t>
      </w:r>
      <w:r w:rsidR="005640EB">
        <w:rPr>
          <w:rFonts w:ascii="Verdana" w:hAnsi="Verdana"/>
          <w:lang w:val="en-GB"/>
        </w:rPr>
        <w:t>a more severe deterioration of cognitive performance</w:t>
      </w:r>
      <w:r w:rsidR="008B0E3C">
        <w:rPr>
          <w:rFonts w:ascii="Verdana" w:hAnsi="Verdana"/>
          <w:lang w:val="en-GB"/>
        </w:rPr>
        <w:t xml:space="preserve"> </w:t>
      </w:r>
      <w:r w:rsidR="008B0E3C">
        <w:rPr>
          <w:rFonts w:ascii="Verdana" w:hAnsi="Verdana"/>
          <w:lang w:val="en-GB"/>
        </w:rPr>
        <w:fldChar w:fldCharType="begin"/>
      </w:r>
      <w:r w:rsidR="008B0E3C">
        <w:rPr>
          <w:rFonts w:ascii="Verdana" w:hAnsi="Verdana"/>
          <w:lang w:val="en-GB"/>
        </w:rPr>
        <w:instrText xml:space="preserve"> ADDIN ZOTERO_ITEM CSL_CITATION {"citationID":"8cDk21BY","properties":{"formattedCitation":"(Book et al. 2018; Fuchs et al. 2007; Ross et al. 2008)","plainCitation":"(Book et al. 2018; Fuchs et al. 2007; Ross et al. 2008)","noteIndex":0},"citationItems":[{"id":1689,"uris":["http://zotero.org/users/9330673/items/HE73NGUI"],"itemData":{"id":1689,"type":"article-journal","abstract":"Chronic alpha-synuclein (SNCA) overexpression is a relatively homogenous and well-deﬁned cause of parkinsonism and dementia. Parkinson’s disease (PD), PD with dementia, dementia with Lewy bodies and multiple system atrophy all manifest in SNCA multiplication families. Herein we summarize genealogic, clinical and genetic data from 59 families (25 not previously published) with parkinsonism caused by SNCA multiplications. Longitudinal clinical assessments and genealogic relationships were documented for all family members. All probands were genotyped with an Illumina MEGA high-density genotyping array to identify copy number variants (CNV) and enable SNCA multiplication breakpoints to be deﬁned. Three SNCA short tandem repeat (STR) markers were genotyped in all available samples to validate genomic dosage and inheritance. A web-application was built as a forum for future data sharing. CNV analysis identiﬁed 49 subjects with heterozygous SNCA duplication (CNV3), 2 with homozygous duplication (CNV4) and 7 with a triplication mutation (CNV4). Clinical presentations varied greatly throughout the cohort. SNCA dosage correlates with disease onset (mean age of onset CNV3: 46.9 ± 10.5 years vs. 34.5 ± 7.4 CNV4, p = 0.003). Atypical or more severe clinical courses were described in several patients and dementia was noted in 50.9% of the probands. Neither the multiplication size (average 2.05 ± 2.45 Mb) nor the number of genes included (range 1–50) was associated with motor symptom onset or dementia. Families with SNCA multiplication are rare and globally-distributed. Nevertheless, they may both inform and beneﬁt from the development of SNCA targeted therapeutic strategies relevant to the treatment of all alpha-synucleinopathies.","container-title":"Frontiers in Neurology","DOI":"10.3389/fneur.2018.01021","ISSN":"1664-2295","journalAbbreviation":"Front. Neurol.","language":"en","page":"1021","source":"DOI.org (Crossref)","title":"A Meta-Analysis of α-Synuclein Multiplication in Familial Parkinsonism","volume":"9","author":[{"family":"Book","given":"Adam"},{"family":"Guella","given":"Ilaria"},{"family":"Candido","given":"Tara"},{"family":"Brice","given":"Alexis"},{"family":"Hattori","given":"Nobutaka"},{"family":"Jeon","given":"Beomseok"},{"family":"Farrer","given":"Matthew J."},{"literal":"SNCA Multiplication Investigators of the GEoPD Consortium"}],"issued":{"date-parts":[["2018",12,11]]}}},{"id":1688,"uris":["http://zotero.org/users/9330673/items/S7N9UH42"],"itemData":{"id":1688,"type":"article-journal","abstract":"Background: The “Lister family complex,” an extensive Swedish family with autosomal dominant Parkinson disease, was first described by Henry Mjo¨nes in 1949. On the basis of clinical, molecular, and genealogic findings on a Swedish and an American family branch, we provide genetic evidence that explains the parkinsonism in this extended pedigree. Methods: Clinical methods included a detailed neurologic exam of the proband of the Swedish family branch, MRI, and ([123]I)– beta–CIT SPECT imaging. Genomic analysis included </w:instrText>
      </w:r>
      <w:r w:rsidR="008B0E3C">
        <w:rPr>
          <w:rFonts w:ascii="MS Gothic" w:eastAsia="MS Gothic" w:hAnsi="MS Gothic" w:cs="MS Gothic" w:hint="eastAsia"/>
          <w:lang w:val="en-GB"/>
        </w:rPr>
        <w:instrText>␣</w:instrText>
      </w:r>
      <w:r w:rsidR="008B0E3C">
        <w:rPr>
          <w:rFonts w:ascii="Verdana" w:hAnsi="Verdana"/>
          <w:lang w:val="en-GB"/>
        </w:rPr>
        <w:instrText xml:space="preserve">-synuclein sequencing, SNCA real-time PCR dosage, chromosome 4q21 microsatellite analysis, and high-resolution microarray genotyping. The geographic origin and ancestral genealogy of each pedigree were researched in the medical literature and Swedish Parish records. Results: The proband of the Swedish family branch presented with early dysautonomia followed by progressive parkinsonism suggestive of multiple system atrophy. Molecular analysis identified a genomic duplication of </w:instrText>
      </w:r>
      <w:r w:rsidR="008B0E3C">
        <w:rPr>
          <w:rFonts w:ascii="Calibri" w:hAnsi="Calibri" w:cs="Calibri"/>
          <w:lang w:val="en-GB"/>
        </w:rPr>
        <w:instrText>Ͻ</w:instrText>
      </w:r>
      <w:r w:rsidR="008B0E3C">
        <w:rPr>
          <w:rFonts w:ascii="Verdana" w:hAnsi="Verdana"/>
          <w:lang w:val="en-GB"/>
        </w:rPr>
        <w:instrText xml:space="preserve">0.9 Mb encompassing </w:instrText>
      </w:r>
      <w:r w:rsidR="008B0E3C">
        <w:rPr>
          <w:rFonts w:ascii="MS Gothic" w:eastAsia="MS Gothic" w:hAnsi="MS Gothic" w:cs="MS Gothic" w:hint="eastAsia"/>
          <w:lang w:val="en-GB"/>
        </w:rPr>
        <w:instrText>␣</w:instrText>
      </w:r>
      <w:r w:rsidR="008B0E3C">
        <w:rPr>
          <w:rFonts w:ascii="Verdana" w:hAnsi="Verdana"/>
          <w:lang w:val="en-GB"/>
        </w:rPr>
        <w:instrText xml:space="preserve">-synuclein and multimerin 1 (SNCA-MMRN1), flanked by long interspersed repeat sequences (LINE L1). Microsatellite variability within the genomic interval was identical to that previously described for a Swedish American family with an </w:instrText>
      </w:r>
      <w:r w:rsidR="008B0E3C">
        <w:rPr>
          <w:rFonts w:ascii="MS Gothic" w:eastAsia="MS Gothic" w:hAnsi="MS Gothic" w:cs="MS Gothic" w:hint="eastAsia"/>
          <w:lang w:val="en-GB"/>
        </w:rPr>
        <w:instrText>␣</w:instrText>
      </w:r>
      <w:r w:rsidR="008B0E3C">
        <w:rPr>
          <w:rFonts w:ascii="Verdana" w:hAnsi="Verdana"/>
          <w:lang w:val="en-GB"/>
        </w:rPr>
        <w:instrText xml:space="preserve">-synuclein triplication. Subsequent genealogic investigation suggested that both kindreds are ancestrally related to the Lister family complex. Conclusion: Our findings extend clinical, genetic, and genealogical research on the Lister family complex. The genetic basis for familial parkinsonism is an SNCA-MMRN11 multiplication, but whereas SNCA-MMRN1 duplication in the Swedish proband (Branch J) leads to late-onset autonomic dysfunction and parkinsonism, SNCA-MMRN1 triplication in the Swedish American family (Branch I) leads to early-onset Parkinson disease and dementia.","container-title":"Neurology","DOI":"10.1212/01.wnl.0000254458.17630.c5","ISSN":"0028-3878, 1526-632X","issue":"12","journalAbbreviation":"Neurology","language":"en","page":"916-922","source":"DOI.org (Crossref)","title":"Phenotypic variation in a large Swedish pedigree due to &lt;i&gt;SNCA&lt;/i&gt; duplication and triplication","volume":"68","author":[{"family":"Fuchs","given":"J."},{"family":"Nilsson","given":"C."},{"family":"Kachergus","given":"J."},{"family":"Munz","given":"M."},{"family":"Larsson","given":"E.-M"},{"family":"Schüle","given":"B."},{"family":"Langston","given":"J. W."},{"family":"Middleton","given":"F. A."},{"family":"Ross","given":"O. A."},{"family":"Hulihan","given":"M."},{"family":"Gasser","given":"T."},{"family":"Farrer","given":"M. J."}],"issued":{"date-parts":[["2007",3,20]]}}},{"id":1687,"uris":["http://zotero.org/users/9330673/items/GKUNQDB4"],"itemData":{"id":1687,"type":"article-journal","abstract":"Objective—Copy number variation is a common polymorphic phenomenon within the human genome. While the majority of these events are non-deleterious they can also be highly pathogenic. Herein we characterize five families with parkinsonism that have been identified to harbor multiplication of the chromosomal 4q21 locus containing the α-synuclein gene (SNCA).","container-title":"Annals of Neurology","DOI":"10.1002/ana.21380","ISSN":"03645134, 15318249","issue":"6","journalAbbreviation":"Ann Neurol.","language":"en","page":"743-750","source":"DOI.org (Crossref)","title":"Genomic investigation of α-synuclein multiplication and parkinsonism","volume":"63","author":[{"family":"Ross","given":"Owen A."},{"family":"Braithwaite","given":"Adam T."},{"family":"Skipper","given":"Lisa M."},{"family":"Kachergus","given":"Jennifer"},{"family":"Hulihan","given":"Mary M."},{"family":"Middleton","given":"Frank A."},{"family":"Nishioka","given":"Kenya"},{"family":"Fuchs","given":"Julia"},{"family":"Gasser","given":"Thomas"},{"family":"Maraganore","given":"Demetrius M."},{"family":"Adler","given":"Charles H."},{"family":"Larvor","given":"Lydie"},{"family":"Chartier-Harlin","given":"Marie-Christine"},{"family":"Nilsson","given":"Christer"},{"family":"Langston","given":"J. William"},{"family":"Gwinn","given":"Katrina"},{"family":"Hattori","given":"Nobutaka"},{"family":"Farrer","given":"Matthew J."}],"issued":{"date-parts":[["2008",6]]}}}],"schema":"https://github.com/citation-style-language/schema/raw/master/csl-citation.json"} </w:instrText>
      </w:r>
      <w:r w:rsidR="008B0E3C">
        <w:rPr>
          <w:rFonts w:ascii="Verdana" w:hAnsi="Verdana"/>
          <w:lang w:val="en-GB"/>
        </w:rPr>
        <w:fldChar w:fldCharType="separate"/>
      </w:r>
      <w:r w:rsidR="008B0E3C" w:rsidRPr="008B0E3C">
        <w:rPr>
          <w:rFonts w:ascii="Verdana" w:hAnsi="Verdana"/>
        </w:rPr>
        <w:t>(Book et al. 2018; Fuchs et al. 2007; Ross et al. 2008)</w:t>
      </w:r>
      <w:r w:rsidR="008B0E3C">
        <w:rPr>
          <w:rFonts w:ascii="Verdana" w:hAnsi="Verdana"/>
          <w:lang w:val="en-GB"/>
        </w:rPr>
        <w:fldChar w:fldCharType="end"/>
      </w:r>
      <w:r w:rsidR="005640EB">
        <w:rPr>
          <w:rFonts w:ascii="Verdana" w:hAnsi="Verdana"/>
          <w:lang w:val="en-GB"/>
        </w:rPr>
        <w:t>.</w:t>
      </w:r>
      <w:r w:rsidR="003D666A">
        <w:rPr>
          <w:rFonts w:ascii="Verdana" w:hAnsi="Verdana"/>
          <w:lang w:val="en-GB"/>
        </w:rPr>
        <w:t xml:space="preserve"> </w:t>
      </w:r>
      <w:r w:rsidR="005640EB">
        <w:rPr>
          <w:rFonts w:ascii="Verdana" w:hAnsi="Verdana"/>
          <w:lang w:val="en-GB"/>
        </w:rPr>
        <w:t>A</w:t>
      </w:r>
      <w:r w:rsidR="00C50A3A">
        <w:rPr>
          <w:rFonts w:ascii="Verdana" w:hAnsi="Verdana"/>
          <w:lang w:val="en-GB"/>
        </w:rPr>
        <w:t xml:space="preserve">mongst </w:t>
      </w:r>
      <w:r w:rsidR="00C50A3A" w:rsidRPr="00293633">
        <w:rPr>
          <w:rFonts w:ascii="Verdana" w:hAnsi="Verdana"/>
          <w:i/>
          <w:iCs/>
          <w:lang w:val="en-GB"/>
        </w:rPr>
        <w:t xml:space="preserve">SNCA </w:t>
      </w:r>
      <w:r w:rsidR="00C50A3A">
        <w:rPr>
          <w:rFonts w:ascii="Verdana" w:hAnsi="Verdana"/>
          <w:lang w:val="en-GB"/>
        </w:rPr>
        <w:t>gene mutations, the E46K mutation has been</w:t>
      </w:r>
      <w:r w:rsidR="00AE47F6">
        <w:rPr>
          <w:rFonts w:ascii="Verdana" w:hAnsi="Verdana"/>
          <w:lang w:val="en-GB"/>
        </w:rPr>
        <w:t xml:space="preserve"> consistently</w:t>
      </w:r>
      <w:r w:rsidR="00C50A3A">
        <w:rPr>
          <w:rFonts w:ascii="Verdana" w:hAnsi="Verdana"/>
          <w:lang w:val="en-GB"/>
        </w:rPr>
        <w:t xml:space="preserve"> associated with</w:t>
      </w:r>
      <w:r w:rsidR="00D90D19">
        <w:rPr>
          <w:rFonts w:ascii="Verdana" w:hAnsi="Verdana"/>
          <w:lang w:val="en-GB"/>
        </w:rPr>
        <w:t xml:space="preserve"> cognitive impairments and</w:t>
      </w:r>
      <w:r w:rsidR="00463575">
        <w:rPr>
          <w:rFonts w:ascii="Verdana" w:hAnsi="Verdana"/>
          <w:lang w:val="en-GB"/>
        </w:rPr>
        <w:t xml:space="preserve"> transition to</w:t>
      </w:r>
      <w:r w:rsidR="00C50A3A">
        <w:rPr>
          <w:rFonts w:ascii="Verdana" w:hAnsi="Verdana"/>
          <w:lang w:val="en-GB"/>
        </w:rPr>
        <w:t xml:space="preserve"> PDD in all</w:t>
      </w:r>
      <w:r w:rsidR="00463575">
        <w:rPr>
          <w:rFonts w:ascii="Verdana" w:hAnsi="Verdana"/>
          <w:lang w:val="en-GB"/>
        </w:rPr>
        <w:t xml:space="preserve"> carriers</w:t>
      </w:r>
      <w:r w:rsidR="008F082B">
        <w:rPr>
          <w:rFonts w:ascii="Verdana" w:hAnsi="Verdana"/>
          <w:lang w:val="en-GB"/>
        </w:rPr>
        <w:t xml:space="preserve"> </w:t>
      </w:r>
      <w:r w:rsidR="008F082B">
        <w:rPr>
          <w:rFonts w:ascii="Verdana" w:hAnsi="Verdana"/>
          <w:lang w:val="en-GB"/>
        </w:rPr>
        <w:fldChar w:fldCharType="begin"/>
      </w:r>
      <w:r w:rsidR="008F082B">
        <w:rPr>
          <w:rFonts w:ascii="Verdana" w:hAnsi="Verdana"/>
          <w:lang w:val="en-GB"/>
        </w:rPr>
        <w:instrText xml:space="preserve"> ADDIN ZOTERO_ITEM CSL_CITATION {"citationID":"o5AjlQh4","properties":{"formattedCitation":"(Somme et al. 2011; Zarranz et al. 2004)","plainCitation":"(Somme et al. 2011; Zarranz et al. 2004)","noteIndex":0},"citationItems":[{"id":279,"uris":["http://zotero.org/users/9330673/items/ZVQIRW4S"],"itemData":{"id":279,"type":"article-journal","abstract":"Introduction: In 2004 we described the mutation E46K of the α-Synuclein (SNCA). These patients show Parkinson's disease with early cognitive impairment, sleep disorders and autonomic dysfunction.\nObjective: The main objective is to identify early neuropsychological impairments in patients with the E46K mutation.\nMethods: This is a longitudinal neuropsychological study of 4 of the 5 surviving patients with E46K mutation by semi-structured interviews and the following scales: Mattis Dementia Rating Scale (MDRS), semantic and phonemic verbal ﬂuency tests (VFT), Benton Visual Retention Test (BVRT), Stroop Test (STROOP), Clock drawing test (CLOCK), WAIS III Letter and Number sequencing (WAIS III LN), Rey Auditory Verbal Learning Test (RAVLT) and Benton Judgement of Line Orientation Test (BJLOT). Motor status was assessed by UPDRS III.\nResults: Motor status: Patients 1, 2 and 3 present mild to moderate Parkinson disease of 7, 8 and 3 years of evolution respectively, patient 4 is asymptomatic. Cognitive status: Patient 2 and 3 both refer cognitive decline while patient 1 presents no cognitive complaints, however they all show a progressive cognitive decline across various tasks. Tests of frontal function showed the ﬁrst alterations in all patients but ﬂuctuate. The ﬁrst cognitive complaints coincide with deterioration of tasks of posterior cortical basis. Patient 4 presents a normal performance on all tests. Patient 1, 2 and 3 have all presented visual hallucinations.\nConclusions: A ﬂuctuating frontal impairment is observed at early stages. Prominent visuospatial alterations and visual hallucinations suggest that posterior cortical dysfunction might be a distinct early feature of the cognitive impairment observed in patients with this mutation.","container-title":"Journal of the Neurological Sciences","DOI":"10.1016/j.jns.2011.07.047","ISSN":"0022510X","issue":"1-2","journalAbbreviation":"Journal of the Neurological Sciences","language":"en","page":"86-89","source":"DOI.org (Crossref)","title":"Initial neuropsychological impairments in patients with the E46K mutation of the α-synuclein gene (PARK 1)","volume":"310","author":[{"family":"Somme","given":"Johanne H."},{"family":"Gomez-Esteban","given":"Juan C."},{"family":"Molano","given":"Ana"},{"family":"Tijero","given":"Beatriz"},{"family":"Lezcano","given":"Elena"},{"family":"Zarranz","given":"Juan J."}],"issued":{"date-parts":[["2011",11]]}}},{"id":281,"uris":["http://zotero.org/users/9330673/items/DA3MIQU7"],"itemData":{"id":281,"type":"article-journal","container-title":"Annals of Neurology","DOI":"10.1002/ana.10795","ISSN":"03645134","issue":"2","journalAbbreviation":"Ann Neurol.","language":"en","page":"164-173","source":"DOI.org (Crossref)","title":"The new mutation, E46K, of α-synuclein causes parkinson and Lewy body dementia: New α-Synuclein Gene Mutation","title-short":"The new mutation, E46K, of α-synuclein causes parkinson and Lewy body dementia","volume":"55","author":[{"family":"Zarranz","given":"Juan J."},{"family":"Alegre","given":"Javier"},{"family":"Gómez-Esteban","given":"Juan C."},{"family":"Lezcano","given":"Elena"},{"family":"Ros","given":"Raquel"},{"family":"Ampuero","given":"Israel"},{"family":"Vidal","given":"Lídice"},{"family":"Hoenicka","given":"Janet"},{"family":"Rodriguez","given":"Olga"},{"family":"Atarés","given":"Begoña"},{"family":"Llorens","given":"Verónica"},{"family":"Tortosa","given":"Estrella Gomez"},{"family":"Ser","given":"Teodoro","non-dropping-particle":"del"},{"family":"Muñoz","given":"David G."},{"family":"Yebenes","given":"Justo G.","non-dropping-particle":"de"}],"issued":{"date-parts":[["2004",2]]}}}],"schema":"https://github.com/citation-style-language/schema/raw/master/csl-citation.json"} </w:instrText>
      </w:r>
      <w:r w:rsidR="008F082B">
        <w:rPr>
          <w:rFonts w:ascii="Verdana" w:hAnsi="Verdana"/>
          <w:lang w:val="en-GB"/>
        </w:rPr>
        <w:fldChar w:fldCharType="separate"/>
      </w:r>
      <w:r w:rsidR="008F082B" w:rsidRPr="008F082B">
        <w:rPr>
          <w:rFonts w:ascii="Verdana" w:hAnsi="Verdana"/>
        </w:rPr>
        <w:t>(Somme et al. 2011; Zarranz et al. 2004)</w:t>
      </w:r>
      <w:r w:rsidR="008F082B">
        <w:rPr>
          <w:rFonts w:ascii="Verdana" w:hAnsi="Verdana"/>
          <w:lang w:val="en-GB"/>
        </w:rPr>
        <w:fldChar w:fldCharType="end"/>
      </w:r>
      <w:r w:rsidR="008F082B">
        <w:rPr>
          <w:rFonts w:ascii="Verdana" w:hAnsi="Verdana"/>
          <w:lang w:val="en-GB"/>
        </w:rPr>
        <w:t>.</w:t>
      </w:r>
    </w:p>
    <w:p w14:paraId="0D579899" w14:textId="6F88D8E1" w:rsidR="00CF0644" w:rsidRDefault="00110338" w:rsidP="00291DAF">
      <w:pPr>
        <w:pStyle w:val="ListParagraph"/>
        <w:spacing w:line="360" w:lineRule="auto"/>
        <w:ind w:left="0"/>
        <w:contextualSpacing w:val="0"/>
        <w:jc w:val="both"/>
        <w:rPr>
          <w:rFonts w:ascii="Verdana" w:hAnsi="Verdana"/>
          <w:lang w:val="en-GB"/>
        </w:rPr>
      </w:pPr>
      <w:r>
        <w:rPr>
          <w:rFonts w:ascii="Verdana" w:hAnsi="Verdana"/>
          <w:lang w:val="en-GB"/>
        </w:rPr>
        <w:t>Mutations in Parkin, PINK-1 and DJ-1</w:t>
      </w:r>
      <w:r w:rsidR="00D90D19">
        <w:rPr>
          <w:rFonts w:ascii="Verdana" w:hAnsi="Verdana"/>
          <w:lang w:val="en-GB"/>
        </w:rPr>
        <w:t>, which cause recessive forms of PD, have often been associated with psychiatric disturbances such as hallucinations and depression</w:t>
      </w:r>
      <w:r w:rsidR="007932DF">
        <w:rPr>
          <w:rFonts w:ascii="Verdana" w:hAnsi="Verdana"/>
          <w:lang w:val="en-GB"/>
        </w:rPr>
        <w:t xml:space="preserve">, but the development of dementia is rare and estimated to be lower than in cases of sporadic PD </w:t>
      </w:r>
      <w:r w:rsidR="008F082B">
        <w:rPr>
          <w:rFonts w:ascii="Verdana" w:hAnsi="Verdana"/>
          <w:lang w:val="en-GB"/>
        </w:rPr>
        <w:fldChar w:fldCharType="begin"/>
      </w:r>
      <w:r w:rsidR="008F082B">
        <w:rPr>
          <w:rFonts w:ascii="Verdana" w:hAnsi="Verdana"/>
          <w:lang w:val="en-GB"/>
        </w:rPr>
        <w:instrText xml:space="preserve"> ADDIN ZOTERO_ITEM CSL_CITATION {"citationID":"7BUHTbyl","properties":{"formattedCitation":"(Kasten et al. 2018)","plainCitation":"(Kasten et al. 2018)","noteIndex":0},"citationItems":[{"id":1694,"uris":["http://zotero.org/users/9330673/items/H87SXP5L"],"itemData":{"id":1694,"type":"article-journal","container-title":"Movement Disorders","DOI":"10.1002/mds.27352","ISSN":"08853185","issue":"5","journalAbbreviation":"Mov Disord.","language":"en","page":"730-741","source":"DOI.org (Crossref)","title":"Genotype-Phenotype Relations for the Parkinson's Disease Genes &lt;i&gt;Parkin&lt;/i&gt; , &lt;i&gt;PINK1&lt;/i&gt; , &lt;i&gt;DJ1:&lt;/i&gt; MDSGene Systematic Review: MDSGene REVIEW: &lt;i&gt;Parkin&lt;/i&gt; , &lt;i&gt;PINK1&lt;/i&gt; , &lt;i&gt;DJ1&lt;/i&gt;","title-short":"Genotype-Phenotype Relations for the Parkinson's Disease Genes &lt;i&gt;Parkin&lt;/i&gt; , &lt;i&gt;PINK1&lt;/i&gt; , &lt;i&gt;DJ1","volume":"33","author":[{"family":"Kasten","given":"Meike"},{"family":"Hartmann","given":"Corinna"},{"family":"Hampf","given":"Jennie"},{"family":"Schaake","given":"Susen"},{"family":"Westenberger","given":"Ana"},{"family":"Vollstedt","given":"Eva-Juliane"},{"family":"Balck","given":"Alexander"},{"family":"Domingo","given":"Aloysius"},{"family":"Vulinovic","given":"Franca"},{"family":"Dulovic","given":"Marija"},{"family":"Zorn","given":"Ingo"},{"family":"Madoev","given":"Harutyun"},{"family":"Zehnle","given":"Hanna"},{"family":"Lembeck","given":"Christina M."},{"family":"Schawe","given":"Leopold"},{"family":"Reginold","given":"Jennifer"},{"family":"Huang","given":"Jana"},{"family":"König","given":"Inke R."},{"family":"Bertram","given":"Lars"},{"family":"Marras","given":"Connie"},{"family":"Lohmann","given":"Katja"},{"family":"Lill","given":"Christina M."},{"family":"Klein","given":"Christine"}],"issued":{"date-parts":[["2018",5]]}}}],"schema":"https://github.com/citation-style-language/schema/raw/master/csl-citation.json"} </w:instrText>
      </w:r>
      <w:r w:rsidR="008F082B">
        <w:rPr>
          <w:rFonts w:ascii="Verdana" w:hAnsi="Verdana"/>
          <w:lang w:val="en-GB"/>
        </w:rPr>
        <w:fldChar w:fldCharType="separate"/>
      </w:r>
      <w:r w:rsidR="008F082B" w:rsidRPr="008F082B">
        <w:rPr>
          <w:rFonts w:ascii="Verdana" w:hAnsi="Verdana"/>
        </w:rPr>
        <w:t>(Kasten et al. 2018)</w:t>
      </w:r>
      <w:r w:rsidR="008F082B">
        <w:rPr>
          <w:rFonts w:ascii="Verdana" w:hAnsi="Verdana"/>
          <w:lang w:val="en-GB"/>
        </w:rPr>
        <w:fldChar w:fldCharType="end"/>
      </w:r>
      <w:r w:rsidR="008F082B">
        <w:rPr>
          <w:rFonts w:ascii="Verdana" w:hAnsi="Verdana"/>
          <w:lang w:val="en-GB"/>
        </w:rPr>
        <w:t>.</w:t>
      </w:r>
      <w:r w:rsidR="00D96AE1">
        <w:rPr>
          <w:rFonts w:ascii="Verdana" w:hAnsi="Verdana"/>
          <w:lang w:val="en-GB"/>
        </w:rPr>
        <w:t xml:space="preserve"> Similarly, patients with</w:t>
      </w:r>
      <w:r w:rsidR="00CF0644">
        <w:rPr>
          <w:rFonts w:ascii="Verdana" w:hAnsi="Verdana"/>
          <w:lang w:val="en-GB"/>
        </w:rPr>
        <w:t xml:space="preserve"> </w:t>
      </w:r>
      <w:r w:rsidR="00D96AE1">
        <w:rPr>
          <w:rFonts w:ascii="Verdana" w:hAnsi="Verdana"/>
          <w:lang w:val="en-GB"/>
        </w:rPr>
        <w:t xml:space="preserve">LRRK-2 mutations </w:t>
      </w:r>
      <w:r w:rsidR="00B13247">
        <w:rPr>
          <w:rFonts w:ascii="Verdana" w:hAnsi="Verdana"/>
          <w:lang w:val="en-GB"/>
        </w:rPr>
        <w:t>do not show an increased risk for dementia when compared to non-carriers</w:t>
      </w:r>
      <w:r w:rsidR="008F082B">
        <w:rPr>
          <w:rFonts w:ascii="Verdana" w:hAnsi="Verdana"/>
          <w:lang w:val="en-GB"/>
        </w:rPr>
        <w:t xml:space="preserve"> </w:t>
      </w:r>
      <w:r w:rsidR="008F082B">
        <w:rPr>
          <w:rFonts w:ascii="Verdana" w:hAnsi="Verdana"/>
          <w:lang w:val="en-GB"/>
        </w:rPr>
        <w:fldChar w:fldCharType="begin"/>
      </w:r>
      <w:r w:rsidR="008F082B">
        <w:rPr>
          <w:rFonts w:ascii="Verdana" w:hAnsi="Verdana"/>
          <w:lang w:val="en-GB"/>
        </w:rPr>
        <w:instrText xml:space="preserve"> ADDIN ZOTERO_ITEM CSL_CITATION {"citationID":"oKTKKvex","properties":{"formattedCitation":"(Ben Sassi et al. 2012)","plainCitation":"(Ben Sassi et al. 2012)","noteIndex":0},"citationItems":[{"id":1693,"uris":["http://zotero.org/users/9330673/items/CFEQUE6B"],"itemData":{"id":1693,"type":"article-journal","abstract":"Background: Cognitive impairment and dementia are frequent and debilitating features associated with idiopathic Parkinson’s disease (PD). However the prevalence and the pattern of these complications are lacking for LRRK2 (leucine-rich kinase 2)-associated PD patients.\nPurpose: The purpose of this study was to assess cognitive function in LRRK2- associated PD patients. Material and methods: 55 patients diagnosed with PD-related LRRK2 G2019S mutation were included in the study and compared to the same number of G2019S non-carriers PD patients. Age, sex, disease duration, the movement disorder society-uniﬁed Parkinson’s Disease rating scale (MDS-UPDRS), Hoehn and Yahr stage, Schwab and England scale and the 30-item geriatric depression scale (GDS) scores were noted. Cognitive assessment included MMSE (Mini-Mental Examination), MOCA (Montreal Cognitive Assessment) and FAB (Frontal Assessment Battery).\nResults: MMSE, MOCA and FAB performance in G2019S carriers PD patients was similar to that of noncarriers. In both groups, performance was primarily impaired on visuospatial and executive tasks. Cognitive impairment was associated with older age, lower educational level and increased severity of motor impairment.\nConclusion: Cognitive functions were similarly affected in PD patients with and without LRRK2 G2019S mutation with mainly impaired visuospatial and executive abilities. However, these results need to be conﬁrmed by further large and prospective studies.","container-title":"Parkinsonism &amp; Related Disorders","DOI":"10.1016/j.parkreldis.2011.10.009","ISSN":"13538020","issue":"3","journalAbbreviation":"Parkinsonism &amp; Related Disorders","language":"en","page":"243-246","source":"DOI.org (Crossref)","title":"Cognitive dysfunction in Tunisian LRRK2 associated Parkinson’s disease","volume":"18","author":[{"family":"Ben Sassi","given":"Samia"},{"family":"Nabli","given":"Fatma"},{"family":"Hentati","given":"Emna"},{"family":"Nahdi","given":"Houda"},{"family":"Trabelsi","given":"Meriam"},{"family":"Ben Ayed","given":"Hela"},{"family":"Amouri","given":"Rim"},{"family":"Duda","given":"John Eric"},{"family":"Farrer","given":"Matthew John"},{"family":"Hentati","given":"Fayçal"}],"issued":{"date-parts":[["2012",3]]}}}],"schema":"https://github.com/citation-style-language/schema/raw/master/csl-citation.json"} </w:instrText>
      </w:r>
      <w:r w:rsidR="008F082B">
        <w:rPr>
          <w:rFonts w:ascii="Verdana" w:hAnsi="Verdana"/>
          <w:lang w:val="en-GB"/>
        </w:rPr>
        <w:fldChar w:fldCharType="separate"/>
      </w:r>
      <w:r w:rsidR="008F082B" w:rsidRPr="008F082B">
        <w:rPr>
          <w:rFonts w:ascii="Verdana" w:hAnsi="Verdana"/>
        </w:rPr>
        <w:t>(Ben Sassi et al. 2012)</w:t>
      </w:r>
      <w:r w:rsidR="008F082B">
        <w:rPr>
          <w:rFonts w:ascii="Verdana" w:hAnsi="Verdana"/>
          <w:lang w:val="en-GB"/>
        </w:rPr>
        <w:fldChar w:fldCharType="end"/>
      </w:r>
      <w:r w:rsidR="00CF0644">
        <w:rPr>
          <w:rFonts w:ascii="Verdana" w:hAnsi="Verdana"/>
          <w:lang w:val="en-GB"/>
        </w:rPr>
        <w:t>.</w:t>
      </w:r>
    </w:p>
    <w:p w14:paraId="7595A4EA" w14:textId="2221E38C" w:rsidR="00EF4CB3" w:rsidRDefault="00F03F73" w:rsidP="00291DAF">
      <w:pPr>
        <w:pStyle w:val="ListParagraph"/>
        <w:spacing w:line="360" w:lineRule="auto"/>
        <w:ind w:left="0"/>
        <w:contextualSpacing w:val="0"/>
        <w:jc w:val="both"/>
        <w:rPr>
          <w:rFonts w:ascii="Verdana" w:hAnsi="Verdana"/>
          <w:lang w:val="en-GB"/>
        </w:rPr>
      </w:pPr>
      <w:r>
        <w:rPr>
          <w:rFonts w:ascii="Verdana" w:hAnsi="Verdana"/>
          <w:lang w:val="en-GB"/>
        </w:rPr>
        <w:t>Other genes that do not directly cause parkinsonism</w:t>
      </w:r>
      <w:r w:rsidR="007153ED">
        <w:rPr>
          <w:rFonts w:ascii="Verdana" w:hAnsi="Verdana"/>
          <w:lang w:val="en-GB"/>
        </w:rPr>
        <w:t>,</w:t>
      </w:r>
      <w:r>
        <w:rPr>
          <w:rFonts w:ascii="Verdana" w:hAnsi="Verdana"/>
          <w:lang w:val="en-GB"/>
        </w:rPr>
        <w:t xml:space="preserve"> have been associated with a higher risk of cognitive impairment in PD. </w:t>
      </w:r>
      <w:r w:rsidR="00447288">
        <w:rPr>
          <w:rFonts w:ascii="Verdana" w:hAnsi="Verdana"/>
          <w:lang w:val="en-GB"/>
        </w:rPr>
        <w:t xml:space="preserve">The </w:t>
      </w:r>
      <w:r w:rsidR="00D75A3E">
        <w:rPr>
          <w:rFonts w:ascii="Verdana" w:hAnsi="Verdana"/>
          <w:lang w:val="en-GB"/>
        </w:rPr>
        <w:t xml:space="preserve">apolipoprotein E epsilon 4 </w:t>
      </w:r>
      <w:r w:rsidR="00DC761C">
        <w:rPr>
          <w:rFonts w:ascii="Verdana" w:hAnsi="Verdana"/>
          <w:lang w:val="en-GB"/>
        </w:rPr>
        <w:t xml:space="preserve">(APOE </w:t>
      </w:r>
      <w:r w:rsidR="00DC761C" w:rsidRPr="00B045B8">
        <w:rPr>
          <w:rFonts w:ascii="Verdana" w:hAnsi="Verdana" w:cs="Times New Roman"/>
          <w:lang w:val="en-GB"/>
        </w:rPr>
        <w:t>ε</w:t>
      </w:r>
      <w:r w:rsidR="00DC761C">
        <w:rPr>
          <w:rFonts w:ascii="Verdana" w:hAnsi="Verdana"/>
          <w:lang w:val="en-GB"/>
        </w:rPr>
        <w:t>4)</w:t>
      </w:r>
      <w:r w:rsidR="00FC3176">
        <w:rPr>
          <w:rFonts w:ascii="Verdana" w:hAnsi="Verdana"/>
          <w:lang w:val="en-GB"/>
        </w:rPr>
        <w:t xml:space="preserve"> allele</w:t>
      </w:r>
      <w:r w:rsidR="00447288">
        <w:rPr>
          <w:rFonts w:ascii="Verdana" w:hAnsi="Verdana"/>
          <w:lang w:val="en-GB"/>
        </w:rPr>
        <w:t xml:space="preserve"> is over-represented</w:t>
      </w:r>
      <w:r w:rsidR="00DC761C">
        <w:rPr>
          <w:rFonts w:ascii="Verdana" w:hAnsi="Verdana"/>
          <w:lang w:val="en-GB"/>
        </w:rPr>
        <w:t xml:space="preserve"> </w:t>
      </w:r>
      <w:r w:rsidR="00FC3176">
        <w:rPr>
          <w:rFonts w:ascii="Verdana" w:hAnsi="Verdana"/>
          <w:lang w:val="en-GB"/>
        </w:rPr>
        <w:t>in PD cases with dementia</w:t>
      </w:r>
      <w:r w:rsidR="005E532A">
        <w:rPr>
          <w:rFonts w:ascii="Verdana" w:hAnsi="Verdana"/>
          <w:lang w:val="en-GB"/>
        </w:rPr>
        <w:t>, and</w:t>
      </w:r>
      <w:r w:rsidR="00F96462">
        <w:rPr>
          <w:rFonts w:ascii="Verdana" w:hAnsi="Verdana"/>
          <w:lang w:val="en-GB"/>
        </w:rPr>
        <w:t xml:space="preserve"> APOE</w:t>
      </w:r>
      <w:r w:rsidR="005B78DF">
        <w:rPr>
          <w:rFonts w:ascii="Verdana" w:hAnsi="Verdana"/>
          <w:lang w:val="en-GB"/>
        </w:rPr>
        <w:t xml:space="preserve"> </w:t>
      </w:r>
      <w:r w:rsidR="005B78DF" w:rsidRPr="00B045B8">
        <w:rPr>
          <w:rFonts w:ascii="Verdana" w:hAnsi="Verdana" w:cs="Times New Roman"/>
          <w:lang w:val="en-GB"/>
        </w:rPr>
        <w:t>ε</w:t>
      </w:r>
      <w:r w:rsidR="005B78DF">
        <w:rPr>
          <w:rFonts w:ascii="Verdana" w:hAnsi="Verdana"/>
          <w:lang w:val="en-GB"/>
        </w:rPr>
        <w:t>4 presence</w:t>
      </w:r>
      <w:r w:rsidR="005E532A">
        <w:rPr>
          <w:rFonts w:ascii="Verdana" w:hAnsi="Verdana"/>
          <w:lang w:val="en-GB"/>
        </w:rPr>
        <w:t xml:space="preserve"> </w:t>
      </w:r>
      <w:proofErr w:type="gramStart"/>
      <w:r w:rsidR="005E532A">
        <w:rPr>
          <w:rFonts w:ascii="Verdana" w:hAnsi="Verdana"/>
          <w:lang w:val="en-GB"/>
        </w:rPr>
        <w:t>is considered to be</w:t>
      </w:r>
      <w:proofErr w:type="gramEnd"/>
      <w:r w:rsidR="005E532A">
        <w:rPr>
          <w:rFonts w:ascii="Verdana" w:hAnsi="Verdana"/>
          <w:lang w:val="en-GB"/>
        </w:rPr>
        <w:t xml:space="preserve"> a predictor for cognitive decline</w:t>
      </w:r>
      <w:r w:rsidR="005B78DF">
        <w:rPr>
          <w:rFonts w:ascii="Verdana" w:hAnsi="Verdana"/>
          <w:lang w:val="en-GB"/>
        </w:rPr>
        <w:t xml:space="preserve"> (</w:t>
      </w:r>
      <w:proofErr w:type="spellStart"/>
      <w:r w:rsidR="001422AD">
        <w:rPr>
          <w:rFonts w:ascii="Verdana" w:hAnsi="Verdana"/>
          <w:lang w:val="en-GB"/>
        </w:rPr>
        <w:t>Pan</w:t>
      </w:r>
      <w:r w:rsidR="00683D0D">
        <w:rPr>
          <w:rFonts w:ascii="Verdana" w:hAnsi="Verdana"/>
          <w:lang w:val="en-GB"/>
        </w:rPr>
        <w:t>kratz</w:t>
      </w:r>
      <w:proofErr w:type="spellEnd"/>
      <w:r w:rsidR="00683D0D">
        <w:rPr>
          <w:rFonts w:ascii="Verdana" w:hAnsi="Verdana"/>
          <w:lang w:val="en-GB"/>
        </w:rPr>
        <w:t xml:space="preserve"> et al. 2006</w:t>
      </w:r>
      <w:r w:rsidR="005B78DF">
        <w:rPr>
          <w:rFonts w:ascii="Verdana" w:hAnsi="Verdana"/>
          <w:lang w:val="en-GB"/>
        </w:rPr>
        <w:t>)</w:t>
      </w:r>
      <w:r w:rsidR="005E532A">
        <w:rPr>
          <w:rFonts w:ascii="Verdana" w:hAnsi="Verdana"/>
          <w:lang w:val="en-GB"/>
        </w:rPr>
        <w:t>.</w:t>
      </w:r>
      <w:r w:rsidR="005B78DF">
        <w:rPr>
          <w:rFonts w:ascii="Verdana" w:hAnsi="Verdana"/>
          <w:lang w:val="en-GB"/>
        </w:rPr>
        <w:t xml:space="preserve"> </w:t>
      </w:r>
      <w:r w:rsidR="00500DEC">
        <w:rPr>
          <w:rFonts w:ascii="Verdana" w:hAnsi="Verdana"/>
          <w:lang w:val="en-GB"/>
        </w:rPr>
        <w:t>G</w:t>
      </w:r>
      <w:r w:rsidR="00EF36EE">
        <w:rPr>
          <w:rFonts w:ascii="Verdana" w:hAnsi="Verdana"/>
          <w:lang w:val="en-GB"/>
        </w:rPr>
        <w:t xml:space="preserve">enome-wide association studies have identified the </w:t>
      </w:r>
      <w:r w:rsidR="00C95823">
        <w:rPr>
          <w:rFonts w:ascii="Verdana" w:hAnsi="Verdana"/>
          <w:lang w:val="en-GB"/>
        </w:rPr>
        <w:t>microtubule-associated protein tau (MAPT) as a risk gene for PD</w:t>
      </w:r>
      <w:r w:rsidR="000F0421">
        <w:rPr>
          <w:rFonts w:ascii="Verdana" w:hAnsi="Verdana"/>
          <w:lang w:val="en-GB"/>
        </w:rPr>
        <w:t xml:space="preserve"> </w:t>
      </w:r>
      <w:r w:rsidR="000F0421">
        <w:rPr>
          <w:rFonts w:ascii="Verdana" w:hAnsi="Verdana"/>
          <w:lang w:val="en-GB"/>
        </w:rPr>
        <w:fldChar w:fldCharType="begin"/>
      </w:r>
      <w:r w:rsidR="000F0421">
        <w:rPr>
          <w:rFonts w:ascii="Verdana" w:hAnsi="Verdana"/>
          <w:lang w:val="en-GB"/>
        </w:rPr>
        <w:instrText xml:space="preserve"> ADDIN ZOTERO_ITEM CSL_CITATION {"citationID":"SohPPuSC","properties":{"formattedCitation":"(Zabetian et al. 2007)","plainCitation":"(Zabetian et al. 2007)","noteIndex":0},"citationItems":[{"id":1692,"uris":["http://zotero.org/users/9330673/items/4795JXFN"],"itemData":{"id":1692,"type":"article-journal","abstract":"Objective—An inversion polymorphism of approximately 900kb on chromosome 17q21, which includes the microtubule-associated protein tau (MAPT) gene defines two haplotype clades, H1 and H2. Several small case–control studies have observed a marginally significant excess of the H1/H1 diplotype among patients with Parkinson’s disease (PD), and one reported refining the association to a region spanning exons 1 to 4 of MAPT. We sought to replicate these findings.","container-title":"Annals of Neurology","DOI":"10.1002/ana.21157","ISSN":"03645134","issue":"2","journalAbbreviation":"Ann Neurol.","language":"en","page":"137-144","source":"DOI.org (Crossref)","title":"Association analysis of MAPT H1 haplotype and subhaplotypes in Parkinson's disease","volume":"62","author":[{"family":"Zabetian","given":"Cyrus P."},{"family":"Hutter","given":"Carolyn M."},{"family":"Factor","given":"Stewart A."},{"family":"Nutt","given":"John G."},{"family":"Higgins","given":"Donald S."},{"family":"Griffith","given":"Alida"},{"family":"Roberts","given":"John W."},{"family":"Leis","given":"Berta C."},{"family":"Kay","given":"Denise M."},{"family":"Yearout","given":"Dora"},{"family":"Montimurro","given":"Jennifer S."},{"family":"Edwards","given":"Karen L."},{"family":"Samii","given":"Ali"},{"family":"Payami","given":"Haydeh"}],"issued":{"date-parts":[["2007",8]]}}}],"schema":"https://github.com/citation-style-language/schema/raw/master/csl-citation.json"} </w:instrText>
      </w:r>
      <w:r w:rsidR="000F0421">
        <w:rPr>
          <w:rFonts w:ascii="Verdana" w:hAnsi="Verdana"/>
          <w:lang w:val="en-GB"/>
        </w:rPr>
        <w:fldChar w:fldCharType="separate"/>
      </w:r>
      <w:r w:rsidR="000F0421" w:rsidRPr="000F0421">
        <w:rPr>
          <w:rFonts w:ascii="Verdana" w:hAnsi="Verdana"/>
        </w:rPr>
        <w:t>(Zabetian et al. 2007)</w:t>
      </w:r>
      <w:r w:rsidR="000F0421">
        <w:rPr>
          <w:rFonts w:ascii="Verdana" w:hAnsi="Verdana"/>
          <w:lang w:val="en-GB"/>
        </w:rPr>
        <w:fldChar w:fldCharType="end"/>
      </w:r>
      <w:r w:rsidR="000F0421">
        <w:rPr>
          <w:rFonts w:ascii="Verdana" w:hAnsi="Verdana"/>
          <w:lang w:val="en-GB"/>
        </w:rPr>
        <w:t xml:space="preserve">; </w:t>
      </w:r>
      <w:r w:rsidR="00C95823">
        <w:rPr>
          <w:rFonts w:ascii="Verdana" w:hAnsi="Verdana"/>
          <w:lang w:val="en-GB"/>
        </w:rPr>
        <w:t xml:space="preserve">the </w:t>
      </w:r>
      <w:r w:rsidR="00C95823">
        <w:rPr>
          <w:rFonts w:ascii="Verdana" w:hAnsi="Verdana"/>
          <w:lang w:val="en-GB"/>
        </w:rPr>
        <w:lastRenderedPageBreak/>
        <w:t xml:space="preserve">H1/H1 </w:t>
      </w:r>
      <w:r w:rsidR="009036D7">
        <w:rPr>
          <w:rFonts w:ascii="Verdana" w:hAnsi="Verdana"/>
          <w:lang w:val="en-GB"/>
        </w:rPr>
        <w:t xml:space="preserve">haplotype has been shown to correlate </w:t>
      </w:r>
      <w:r w:rsidR="00C03849">
        <w:rPr>
          <w:rFonts w:ascii="Verdana" w:hAnsi="Verdana"/>
          <w:lang w:val="en-GB"/>
        </w:rPr>
        <w:t>with early development of dementia and greater cognitive decline</w:t>
      </w:r>
      <w:r w:rsidR="000F0421">
        <w:rPr>
          <w:rFonts w:ascii="Verdana" w:hAnsi="Verdana"/>
          <w:lang w:val="en-GB"/>
        </w:rPr>
        <w:t xml:space="preserve"> </w:t>
      </w:r>
      <w:r w:rsidR="000F0421">
        <w:rPr>
          <w:rFonts w:ascii="Verdana" w:hAnsi="Verdana"/>
          <w:lang w:val="en-GB"/>
        </w:rPr>
        <w:fldChar w:fldCharType="begin"/>
      </w:r>
      <w:r w:rsidR="000F0421">
        <w:rPr>
          <w:rFonts w:ascii="Verdana" w:hAnsi="Verdana"/>
          <w:lang w:val="en-GB"/>
        </w:rPr>
        <w:instrText xml:space="preserve"> ADDIN ZOTERO_ITEM CSL_CITATION {"citationID":"Tnw6coMQ","properties":{"formattedCitation":"(Goris et al. 2007)","plainCitation":"(Goris et al. 2007)","noteIndex":0},"citationItems":[{"id":309,"uris":["http://zotero.org/users/9330673/items/ATLU6VPR"],"itemData":{"id":309,"type":"article-journal","container-title":"Annals of Neurology","DOI":"10.1002/ana.21192","ISSN":"03645134","issue":"2","journalAbbreviation":"Ann Neurol.","language":"en","page":"145-153","source":"DOI.org (Crossref)","title":"Tau and α-synuclein in susceptibility to, and dementia in, Parkinson's disease","volume":"62","author":[{"family":"Goris","given":"An"},{"family":"Williams-Gray","given":"Caroline H."},{"family":"Clark","given":"Graeme R."},{"family":"Foltynie","given":"Thomas"},{"family":"Lewis","given":"Simon J. G."},{"family":"Brown","given":"Joanne"},{"family":"Ban","given":"Maria"},{"family":"Spillantini","given":"Maria G."},{"family":"Compston","given":"Alastair"},{"family":"Burn","given":"David J."},{"family":"Chinnery","given":"Patrick F."},{"family":"Barker","given":"Roger A."},{"family":"Sawcer","given":"Stephen J."}],"issued":{"date-parts":[["2007",8]]}}}],"schema":"https://github.com/citation-style-language/schema/raw/master/csl-citation.json"} </w:instrText>
      </w:r>
      <w:r w:rsidR="000F0421">
        <w:rPr>
          <w:rFonts w:ascii="Verdana" w:hAnsi="Verdana"/>
          <w:lang w:val="en-GB"/>
        </w:rPr>
        <w:fldChar w:fldCharType="separate"/>
      </w:r>
      <w:r w:rsidR="000F0421" w:rsidRPr="000F0421">
        <w:rPr>
          <w:rFonts w:ascii="Verdana" w:hAnsi="Verdana"/>
        </w:rPr>
        <w:t>(Goris et al. 2007)</w:t>
      </w:r>
      <w:r w:rsidR="000F0421">
        <w:rPr>
          <w:rFonts w:ascii="Verdana" w:hAnsi="Verdana"/>
          <w:lang w:val="en-GB"/>
        </w:rPr>
        <w:fldChar w:fldCharType="end"/>
      </w:r>
      <w:r w:rsidR="00C03849">
        <w:rPr>
          <w:rFonts w:ascii="Verdana" w:hAnsi="Verdana"/>
          <w:lang w:val="en-GB"/>
        </w:rPr>
        <w:t>.</w:t>
      </w:r>
      <w:r w:rsidR="00667625">
        <w:rPr>
          <w:rFonts w:ascii="Verdana" w:hAnsi="Verdana"/>
          <w:lang w:val="en-GB"/>
        </w:rPr>
        <w:t xml:space="preserve"> Mutations in the glucocerebrosidase (GBA) gene </w:t>
      </w:r>
      <w:r w:rsidR="000B6A8C">
        <w:rPr>
          <w:rFonts w:ascii="Verdana" w:hAnsi="Verdana"/>
          <w:lang w:val="en-GB"/>
        </w:rPr>
        <w:t>have been robustly associated with</w:t>
      </w:r>
      <w:r w:rsidR="00EF2602">
        <w:rPr>
          <w:rFonts w:ascii="Verdana" w:hAnsi="Verdana"/>
          <w:lang w:val="en-GB"/>
        </w:rPr>
        <w:t xml:space="preserve"> worse progression of cognitive deficits and</w:t>
      </w:r>
      <w:r w:rsidR="000B6A8C">
        <w:rPr>
          <w:rFonts w:ascii="Verdana" w:hAnsi="Verdana"/>
          <w:lang w:val="en-GB"/>
        </w:rPr>
        <w:t xml:space="preserve"> a higher frequency of</w:t>
      </w:r>
      <w:r w:rsidR="00EF2602">
        <w:rPr>
          <w:rFonts w:ascii="Verdana" w:hAnsi="Verdana"/>
          <w:lang w:val="en-GB"/>
        </w:rPr>
        <w:t xml:space="preserve"> dementia</w:t>
      </w:r>
      <w:r w:rsidR="00700F82">
        <w:rPr>
          <w:rFonts w:ascii="Verdana" w:hAnsi="Verdana"/>
          <w:lang w:val="en-GB"/>
        </w:rPr>
        <w:t xml:space="preserve"> </w:t>
      </w:r>
      <w:r w:rsidR="000F0421">
        <w:rPr>
          <w:rFonts w:ascii="Verdana" w:hAnsi="Verdana"/>
          <w:lang w:val="en-GB"/>
        </w:rPr>
        <w:fldChar w:fldCharType="begin"/>
      </w:r>
      <w:r w:rsidR="000F0421">
        <w:rPr>
          <w:rFonts w:ascii="Verdana" w:hAnsi="Verdana"/>
          <w:lang w:val="en-GB"/>
        </w:rPr>
        <w:instrText xml:space="preserve"> ADDIN ZOTERO_ITEM CSL_CITATION {"citationID":"Zl8SyNt9","properties":{"formattedCitation":"(Straniero et al. 2020)","plainCitation":"(Straniero et al. 2020)","noteIndex":0},"citationItems":[{"id":1690,"uris":["http://zotero.org/users/9330673/items/MJQB6I58"],"itemData":{"id":1690,"type":"article-journal","abstract":"Objective To provide a variant-speciﬁc estimate of incidence, penetrance, sex distribution, and association with dementia of the 4 most common Parkinson disease (PD)-associated GBA variants, we analyzed a large cohort of 4,923 Italian unrelated patients with primary degenerative parkinsonism (including 3,832 PD) enrolled in a single tertiary care center and 7,757 ethnically matched controls.\nMethods The p.E326K, p.T369M, p.N370S, and p.L444P variants were screened using an allele-speciﬁc multiplexed PCR approach. All statistical procedures were performed using R or Plink v1.07.\nResults Among the 4 analyzed variants, the p.L444P conﬁrmed to be the most strongly associated with disease risk for PD, PD dementia (PDD), and dementia with Lewy bodies (DLB) (odds ratio [OR] for PD 15.63, 95% conﬁdence interval [CI] = 8.04–30.37, p = 4.97*10−16; OR for PDD 29.57, 95% CI = 14.07–62.13, p = 3.86*10−19; OR for DLB 102.7, 95% CI = 31.38–336.1, p = 1.91*10−14). However, an unexpectedly high risk for dementia was conferred by p.E326K (OR for PDD 4.80, 95% CI = 2.87–8.02, p = 2.12*10−9; OR for DLB 12.24, 95% CI = 4.95–30.24, p = 5.71*10−8), which, on the basis of the impact on glucocerebrosidase activity, would be expected to be mild. The 1.5–2:1 male sex bias described in sporadic PD was lost in p.T369M carriers. We also showed that PD penetrance for p.L444P could reach the 15% at age 75 years.\nConclusions We report a large monocentric study on GBA-PD assessing mutation-speciﬁc data on the sex distribution, penetrance, incidence, and association with dementia of the 4 most frequent deleterious variants in GBA.","container-title":"Neurology Genetics","DOI":"10.1212/NXG.0000000000000523","ISSN":"2376-7839","issue":"6","journalAbbreviation":"Neurol Genet","language":"en","page":"e523","source":"DOI.org (Crossref)","title":"The SPID-GBA study: Sex distribution, Penetrance, Incidence, and Dementia in GBA-PD","title-short":"The SPID-GBA study","volume":"6","author":[{"family":"Straniero","given":"Letizia"},{"family":"Asselta","given":"Rosanna"},{"family":"Bonvegna","given":"Salvatore"},{"family":"Rimoldi","given":"Valeria"},{"family":"Melistaccio","given":"Giada"},{"family":"Soldà","given":"Giulia"},{"family":"Aureli","given":"Massimo"},{"family":"Della Porta","given":"Matteo"},{"family":"Lucca","given":"Ugo"},{"family":"Di Fonzo","given":"Alessio"},{"family":"Zecchinelli","given":"Anna"},{"family":"Pezzoli","given":"Gianni"},{"family":"Cilia","given":"Roberto"},{"family":"Duga","given":"Stefano"}],"issued":{"date-parts":[["2020",12]]}}}],"schema":"https://github.com/citation-style-language/schema/raw/master/csl-citation.json"} </w:instrText>
      </w:r>
      <w:r w:rsidR="000F0421">
        <w:rPr>
          <w:rFonts w:ascii="Verdana" w:hAnsi="Verdana"/>
          <w:lang w:val="en-GB"/>
        </w:rPr>
        <w:fldChar w:fldCharType="separate"/>
      </w:r>
      <w:r w:rsidR="000F0421" w:rsidRPr="000F0421">
        <w:rPr>
          <w:rFonts w:ascii="Verdana" w:hAnsi="Verdana"/>
        </w:rPr>
        <w:t>(Straniero et al. 2020)</w:t>
      </w:r>
      <w:r w:rsidR="000F0421">
        <w:rPr>
          <w:rFonts w:ascii="Verdana" w:hAnsi="Verdana"/>
          <w:lang w:val="en-GB"/>
        </w:rPr>
        <w:fldChar w:fldCharType="end"/>
      </w:r>
      <w:r w:rsidR="00700F82">
        <w:rPr>
          <w:rFonts w:ascii="Verdana" w:hAnsi="Verdana"/>
          <w:lang w:val="en-GB"/>
        </w:rPr>
        <w:t>.</w:t>
      </w:r>
    </w:p>
    <w:p w14:paraId="4C5A5EAF" w14:textId="10009DB0" w:rsidR="008318AC" w:rsidRDefault="004E5FB4" w:rsidP="00291DAF">
      <w:pPr>
        <w:pStyle w:val="ListParagraph"/>
        <w:spacing w:line="360" w:lineRule="auto"/>
        <w:ind w:firstLine="0"/>
        <w:contextualSpacing w:val="0"/>
        <w:jc w:val="both"/>
        <w:rPr>
          <w:rFonts w:ascii="Verdana" w:hAnsi="Verdana"/>
        </w:rPr>
      </w:pPr>
      <w:r>
        <w:rPr>
          <w:rFonts w:ascii="Verdana" w:hAnsi="Verdana"/>
          <w:noProof/>
          <w:lang w:val="en-GB"/>
        </w:rPr>
        <w:drawing>
          <wp:anchor distT="0" distB="0" distL="114300" distR="114300" simplePos="0" relativeHeight="251681792" behindDoc="0" locked="0" layoutInCell="1" allowOverlap="1" wp14:anchorId="2269607E" wp14:editId="00C908CB">
            <wp:simplePos x="0" y="0"/>
            <wp:positionH relativeFrom="margin">
              <wp:align>right</wp:align>
            </wp:positionH>
            <wp:positionV relativeFrom="paragraph">
              <wp:posOffset>296545</wp:posOffset>
            </wp:positionV>
            <wp:extent cx="5567680" cy="3242310"/>
            <wp:effectExtent l="0" t="0" r="0" b="0"/>
            <wp:wrapTopAndBottom/>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rotWithShape="1">
                    <a:blip r:embed="rId60" cstate="print">
                      <a:extLst>
                        <a:ext uri="{28A0092B-C50C-407E-A947-70E740481C1C}">
                          <a14:useLocalDpi xmlns:a14="http://schemas.microsoft.com/office/drawing/2010/main" val="0"/>
                        </a:ext>
                      </a:extLst>
                    </a:blip>
                    <a:srcRect t="7621"/>
                    <a:stretch/>
                  </pic:blipFill>
                  <pic:spPr bwMode="auto">
                    <a:xfrm>
                      <a:off x="0" y="0"/>
                      <a:ext cx="5567680" cy="3242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11E60" w14:textId="484735F1" w:rsidR="008318AC" w:rsidRPr="008318AC" w:rsidRDefault="00B12904" w:rsidP="00291DAF">
      <w:pPr>
        <w:pStyle w:val="ListParagraph"/>
        <w:spacing w:line="360" w:lineRule="auto"/>
        <w:ind w:firstLine="0"/>
        <w:contextualSpacing w:val="0"/>
        <w:jc w:val="both"/>
        <w:rPr>
          <w:rFonts w:ascii="Verdana" w:hAnsi="Verdana"/>
        </w:rPr>
      </w:pPr>
      <w:r>
        <w:rPr>
          <w:noProof/>
        </w:rPr>
        <mc:AlternateContent>
          <mc:Choice Requires="wps">
            <w:drawing>
              <wp:anchor distT="0" distB="0" distL="114300" distR="114300" simplePos="0" relativeHeight="251998208" behindDoc="0" locked="0" layoutInCell="1" allowOverlap="1" wp14:anchorId="27EED183" wp14:editId="0FFA064E">
                <wp:simplePos x="0" y="0"/>
                <wp:positionH relativeFrom="margin">
                  <wp:align>left</wp:align>
                </wp:positionH>
                <wp:positionV relativeFrom="paragraph">
                  <wp:posOffset>3484491</wp:posOffset>
                </wp:positionV>
                <wp:extent cx="5567680" cy="457200"/>
                <wp:effectExtent l="0" t="0" r="0" b="0"/>
                <wp:wrapTopAndBottom/>
                <wp:docPr id="58" name="Text Box 58"/>
                <wp:cNvGraphicFramePr/>
                <a:graphic xmlns:a="http://schemas.openxmlformats.org/drawingml/2006/main">
                  <a:graphicData uri="http://schemas.microsoft.com/office/word/2010/wordprocessingShape">
                    <wps:wsp>
                      <wps:cNvSpPr txBox="1"/>
                      <wps:spPr>
                        <a:xfrm>
                          <a:off x="0" y="0"/>
                          <a:ext cx="5567680" cy="457200"/>
                        </a:xfrm>
                        <a:prstGeom prst="rect">
                          <a:avLst/>
                        </a:prstGeom>
                        <a:solidFill>
                          <a:prstClr val="white"/>
                        </a:solidFill>
                        <a:ln>
                          <a:noFill/>
                        </a:ln>
                      </wps:spPr>
                      <wps:txbx>
                        <w:txbxContent>
                          <w:p w14:paraId="0FA726BE" w14:textId="5E7E3CA3" w:rsidR="00B12904" w:rsidRPr="005E6ACC" w:rsidRDefault="00B12904" w:rsidP="00B12904">
                            <w:pPr>
                              <w:pStyle w:val="Caption"/>
                              <w:rPr>
                                <w:rFonts w:ascii="Verdana" w:hAnsi="Verdana"/>
                                <w:noProof/>
                              </w:rPr>
                            </w:pPr>
                            <w:bookmarkStart w:id="32" w:name="_Toc127123001"/>
                            <w:r w:rsidRPr="00B12904">
                              <w:rPr>
                                <w:rFonts w:ascii="Verdana" w:hAnsi="Verdana"/>
                                <w:b/>
                                <w:bCs/>
                                <w:i w:val="0"/>
                                <w:iCs w:val="0"/>
                                <w:color w:val="auto"/>
                              </w:rPr>
                              <w:t xml:space="preserve">Table </w:t>
                            </w:r>
                            <w:r w:rsidRPr="00B12904">
                              <w:rPr>
                                <w:rFonts w:ascii="Verdana" w:hAnsi="Verdana"/>
                                <w:b/>
                                <w:bCs/>
                                <w:i w:val="0"/>
                                <w:iCs w:val="0"/>
                                <w:color w:val="auto"/>
                              </w:rPr>
                              <w:fldChar w:fldCharType="begin"/>
                            </w:r>
                            <w:r w:rsidRPr="00B12904">
                              <w:rPr>
                                <w:rFonts w:ascii="Verdana" w:hAnsi="Verdana"/>
                                <w:b/>
                                <w:bCs/>
                                <w:i w:val="0"/>
                                <w:iCs w:val="0"/>
                                <w:color w:val="auto"/>
                              </w:rPr>
                              <w:instrText xml:space="preserve"> SEQ Table \* ARABIC </w:instrText>
                            </w:r>
                            <w:r w:rsidRPr="00B12904">
                              <w:rPr>
                                <w:rFonts w:ascii="Verdana" w:hAnsi="Verdana"/>
                                <w:b/>
                                <w:bCs/>
                                <w:i w:val="0"/>
                                <w:iCs w:val="0"/>
                                <w:color w:val="auto"/>
                              </w:rPr>
                              <w:fldChar w:fldCharType="separate"/>
                            </w:r>
                            <w:r w:rsidR="001D505F">
                              <w:rPr>
                                <w:rFonts w:ascii="Verdana" w:hAnsi="Verdana"/>
                                <w:b/>
                                <w:bCs/>
                                <w:i w:val="0"/>
                                <w:iCs w:val="0"/>
                                <w:noProof/>
                                <w:color w:val="auto"/>
                              </w:rPr>
                              <w:t>1</w:t>
                            </w:r>
                            <w:r w:rsidRPr="00B12904">
                              <w:rPr>
                                <w:rFonts w:ascii="Verdana" w:hAnsi="Verdana"/>
                                <w:b/>
                                <w:bCs/>
                                <w:i w:val="0"/>
                                <w:iCs w:val="0"/>
                                <w:color w:val="auto"/>
                              </w:rPr>
                              <w:fldChar w:fldCharType="end"/>
                            </w:r>
                            <w:r w:rsidRPr="00B12904">
                              <w:rPr>
                                <w:color w:val="auto"/>
                              </w:rPr>
                              <w:t xml:space="preserve"> </w:t>
                            </w:r>
                            <w:r w:rsidRPr="003573F3">
                              <w:rPr>
                                <w:rFonts w:ascii="Verdana" w:hAnsi="Verdana"/>
                                <w:i w:val="0"/>
                                <w:iCs w:val="0"/>
                                <w:color w:val="auto"/>
                              </w:rPr>
                              <w:t>Genes associated with the development of dementia (modified from Romo-Gutiérrez et al., 2014)</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7EED183" id="Text Box 58" o:spid="_x0000_s1031" type="#_x0000_t202" style="position:absolute;left:0;text-align:left;margin-left:0;margin-top:274.35pt;width:438.4pt;height:36pt;z-index:251998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" stroked="f">
                <v:textbox inset="0,0,0,0">
                  <w:txbxContent>
                    <w:p w14:paraId="0FA726BE" w14:textId="5E7E3CA3" w:rsidR="00B12904" w:rsidRPr="005E6ACC" w:rsidRDefault="00B12904" w:rsidP="00B12904">
                      <w:pPr>
                        <w:pStyle w:val="Caption"/>
                        <w:rPr>
                          <w:rFonts w:ascii="Verdana" w:hAnsi="Verdana"/>
                          <w:noProof/>
                        </w:rPr>
                      </w:pPr>
                      <w:bookmarkStart w:id="33" w:name="_Toc127123001"/>
                      <w:r w:rsidRPr="00B12904">
                        <w:rPr>
                          <w:rFonts w:ascii="Verdana" w:hAnsi="Verdana"/>
                          <w:b/>
                          <w:bCs/>
                          <w:i w:val="0"/>
                          <w:iCs w:val="0"/>
                          <w:color w:val="auto"/>
                        </w:rPr>
                        <w:t xml:space="preserve">Table </w:t>
                      </w:r>
                      <w:r w:rsidRPr="00B12904">
                        <w:rPr>
                          <w:rFonts w:ascii="Verdana" w:hAnsi="Verdana"/>
                          <w:b/>
                          <w:bCs/>
                          <w:i w:val="0"/>
                          <w:iCs w:val="0"/>
                          <w:color w:val="auto"/>
                        </w:rPr>
                        <w:fldChar w:fldCharType="begin"/>
                      </w:r>
                      <w:r w:rsidRPr="00B12904">
                        <w:rPr>
                          <w:rFonts w:ascii="Verdana" w:hAnsi="Verdana"/>
                          <w:b/>
                          <w:bCs/>
                          <w:i w:val="0"/>
                          <w:iCs w:val="0"/>
                          <w:color w:val="auto"/>
                        </w:rPr>
                        <w:instrText xml:space="preserve"> SEQ Table \* ARABIC </w:instrText>
                      </w:r>
                      <w:r w:rsidRPr="00B12904">
                        <w:rPr>
                          <w:rFonts w:ascii="Verdana" w:hAnsi="Verdana"/>
                          <w:b/>
                          <w:bCs/>
                          <w:i w:val="0"/>
                          <w:iCs w:val="0"/>
                          <w:color w:val="auto"/>
                        </w:rPr>
                        <w:fldChar w:fldCharType="separate"/>
                      </w:r>
                      <w:r w:rsidR="001D505F">
                        <w:rPr>
                          <w:rFonts w:ascii="Verdana" w:hAnsi="Verdana"/>
                          <w:b/>
                          <w:bCs/>
                          <w:i w:val="0"/>
                          <w:iCs w:val="0"/>
                          <w:noProof/>
                          <w:color w:val="auto"/>
                        </w:rPr>
                        <w:t>1</w:t>
                      </w:r>
                      <w:r w:rsidRPr="00B12904">
                        <w:rPr>
                          <w:rFonts w:ascii="Verdana" w:hAnsi="Verdana"/>
                          <w:b/>
                          <w:bCs/>
                          <w:i w:val="0"/>
                          <w:iCs w:val="0"/>
                          <w:color w:val="auto"/>
                        </w:rPr>
                        <w:fldChar w:fldCharType="end"/>
                      </w:r>
                      <w:r w:rsidRPr="00B12904">
                        <w:rPr>
                          <w:color w:val="auto"/>
                        </w:rPr>
                        <w:t xml:space="preserve"> </w:t>
                      </w:r>
                      <w:r w:rsidRPr="003573F3">
                        <w:rPr>
                          <w:rFonts w:ascii="Verdana" w:hAnsi="Verdana"/>
                          <w:i w:val="0"/>
                          <w:iCs w:val="0"/>
                          <w:color w:val="auto"/>
                        </w:rPr>
                        <w:t>Genes associated with the development of dementia (modified from Romo-Gutiérrez et al., 2014)</w:t>
                      </w:r>
                      <w:bookmarkEnd w:id="33"/>
                    </w:p>
                  </w:txbxContent>
                </v:textbox>
                <w10:wrap type="topAndBottom" anchorx="margin"/>
              </v:shape>
            </w:pict>
          </mc:Fallback>
        </mc:AlternateContent>
      </w:r>
    </w:p>
    <w:p w14:paraId="7933DCA0" w14:textId="6EEAFF0B" w:rsidR="00DF4294" w:rsidRDefault="00DF4294">
      <w:pPr>
        <w:ind w:firstLine="0"/>
        <w:rPr>
          <w:rFonts w:ascii="Verdana" w:hAnsi="Verdana"/>
          <w:lang w:val="en-GB"/>
        </w:rPr>
      </w:pPr>
      <w:r>
        <w:rPr>
          <w:rFonts w:ascii="Verdana" w:hAnsi="Verdana"/>
          <w:lang w:val="en-GB"/>
        </w:rPr>
        <w:br w:type="page"/>
      </w:r>
    </w:p>
    <w:p w14:paraId="6E9DC6B1" w14:textId="32CE924C" w:rsidR="009501A2" w:rsidRPr="00B91EA5" w:rsidRDefault="009501A2" w:rsidP="00B91EA5">
      <w:pPr>
        <w:ind w:firstLine="0"/>
        <w:rPr>
          <w:rFonts w:ascii="Verdana" w:hAnsi="Verdana"/>
          <w:lang w:val="en-GB"/>
        </w:rPr>
      </w:pPr>
    </w:p>
    <w:p w14:paraId="478C36D8" w14:textId="58B3AC38" w:rsidR="00DF30DD" w:rsidRPr="00D36D72" w:rsidRDefault="00DF30DD" w:rsidP="00D36D72">
      <w:pPr>
        <w:ind w:firstLine="0"/>
        <w:rPr>
          <w:rFonts w:ascii="Verdana" w:eastAsiaTheme="majorEastAsia" w:hAnsi="Verdana" w:cstheme="majorBidi"/>
          <w:spacing w:val="-10"/>
          <w:kern w:val="28"/>
          <w:sz w:val="44"/>
          <w:szCs w:val="44"/>
          <w:lang w:val="en-GB"/>
        </w:rPr>
        <w:sectPr w:rsidR="00DF30DD" w:rsidRPr="00D36D72" w:rsidSect="00E521C1">
          <w:pgSz w:w="11907" w:h="16840" w:code="9"/>
          <w:pgMar w:top="1440" w:right="1418" w:bottom="1440" w:left="1701" w:header="720" w:footer="720" w:gutter="0"/>
          <w:cols w:space="720"/>
          <w:docGrid w:linePitch="360"/>
        </w:sectPr>
      </w:pPr>
    </w:p>
    <w:p w14:paraId="2D7FFC12" w14:textId="35F51E74" w:rsidR="006129BE" w:rsidRPr="00735402" w:rsidRDefault="006129BE" w:rsidP="006129BE">
      <w:pPr>
        <w:pStyle w:val="Title"/>
        <w:jc w:val="center"/>
        <w:rPr>
          <w:rFonts w:ascii="Verdana" w:hAnsi="Verdana"/>
          <w:sz w:val="44"/>
          <w:szCs w:val="44"/>
          <w:lang w:val="en-GB"/>
        </w:rPr>
      </w:pPr>
      <w:r w:rsidRPr="00735402">
        <w:rPr>
          <w:rFonts w:ascii="Verdana" w:hAnsi="Verdana"/>
          <w:sz w:val="44"/>
          <w:szCs w:val="44"/>
          <w:lang w:val="en-GB"/>
        </w:rPr>
        <w:lastRenderedPageBreak/>
        <w:t>Part II</w:t>
      </w:r>
    </w:p>
    <w:p w14:paraId="6F131D1E" w14:textId="4B510015" w:rsidR="006129BE" w:rsidRDefault="006129BE" w:rsidP="006129BE">
      <w:pPr>
        <w:jc w:val="center"/>
        <w:rPr>
          <w:lang w:val="en-GB"/>
        </w:rPr>
      </w:pPr>
    </w:p>
    <w:p w14:paraId="7D7D0CF4" w14:textId="5AAC2E23" w:rsidR="006129BE" w:rsidRDefault="00DB5E58" w:rsidP="00AF19DE">
      <w:pPr>
        <w:pStyle w:val="Heading1"/>
        <w:jc w:val="center"/>
        <w:rPr>
          <w:lang w:val="en-GB"/>
        </w:rPr>
      </w:pPr>
      <w:bookmarkStart w:id="34" w:name="_Toc130223400"/>
      <w:r>
        <w:rPr>
          <w:lang w:val="en-GB"/>
        </w:rPr>
        <w:t>Scope and Aims</w:t>
      </w:r>
      <w:bookmarkEnd w:id="34"/>
    </w:p>
    <w:p w14:paraId="35DC7434" w14:textId="77777777" w:rsidR="00DF30DD" w:rsidRDefault="00DF30DD" w:rsidP="00C93A21">
      <w:pPr>
        <w:rPr>
          <w:lang w:val="en-GB"/>
        </w:rPr>
        <w:sectPr w:rsidR="00DF30DD" w:rsidSect="00DF30DD">
          <w:pgSz w:w="11907" w:h="16840" w:code="9"/>
          <w:pgMar w:top="1440" w:right="1418" w:bottom="1440" w:left="1701" w:header="720" w:footer="720" w:gutter="0"/>
          <w:cols w:space="720"/>
          <w:vAlign w:val="center"/>
          <w:docGrid w:linePitch="360"/>
        </w:sectPr>
      </w:pPr>
    </w:p>
    <w:p w14:paraId="2F2E0709" w14:textId="2B9983F0" w:rsidR="00C93A21" w:rsidRDefault="00C93A21" w:rsidP="00C93A21">
      <w:pPr>
        <w:rPr>
          <w:lang w:val="en-GB"/>
        </w:rPr>
      </w:pPr>
    </w:p>
    <w:p w14:paraId="2372C113" w14:textId="4E395197" w:rsidR="00DB2EBA" w:rsidRDefault="00DB2EBA">
      <w:pPr>
        <w:ind w:firstLine="0"/>
        <w:rPr>
          <w:lang w:val="en-GB"/>
        </w:rPr>
      </w:pPr>
    </w:p>
    <w:p w14:paraId="21622BDC" w14:textId="5476DB2F" w:rsidR="00DB2EBA" w:rsidRDefault="00DB2EBA">
      <w:pPr>
        <w:ind w:firstLine="0"/>
        <w:rPr>
          <w:lang w:val="en-GB"/>
        </w:rPr>
      </w:pPr>
      <w:r>
        <w:rPr>
          <w:lang w:val="en-GB"/>
        </w:rPr>
        <w:br w:type="page"/>
      </w:r>
    </w:p>
    <w:p w14:paraId="018BBD99" w14:textId="63478FA8" w:rsidR="00DA3676" w:rsidRDefault="00DA3676">
      <w:pPr>
        <w:ind w:firstLine="0"/>
        <w:rPr>
          <w:rFonts w:ascii="Verdana" w:hAnsi="Verdana"/>
          <w:lang w:val="en-GB"/>
        </w:rPr>
      </w:pPr>
    </w:p>
    <w:p w14:paraId="4B5F0B8E" w14:textId="184B132A" w:rsidR="00363F15" w:rsidRDefault="00363F15">
      <w:pPr>
        <w:ind w:firstLine="0"/>
        <w:rPr>
          <w:rFonts w:ascii="Verdana" w:hAnsi="Verdana"/>
          <w:lang w:val="en-GB"/>
        </w:rPr>
      </w:pPr>
    </w:p>
    <w:p w14:paraId="132AFE2A" w14:textId="736544CE" w:rsidR="00363F15" w:rsidRDefault="00363F15">
      <w:pPr>
        <w:ind w:firstLine="0"/>
        <w:rPr>
          <w:rFonts w:ascii="Verdana" w:hAnsi="Verdana"/>
          <w:lang w:val="en-GB"/>
        </w:rPr>
      </w:pPr>
    </w:p>
    <w:p w14:paraId="0F0D91D8" w14:textId="16A0BA74" w:rsidR="00363F15" w:rsidRDefault="00363F15">
      <w:pPr>
        <w:ind w:firstLine="0"/>
        <w:rPr>
          <w:rFonts w:ascii="Verdana" w:hAnsi="Verdana"/>
          <w:lang w:val="en-GB"/>
        </w:rPr>
      </w:pPr>
    </w:p>
    <w:p w14:paraId="2F1DA359" w14:textId="77777777" w:rsidR="00363F15" w:rsidRPr="001A611B" w:rsidRDefault="00363F15">
      <w:pPr>
        <w:ind w:firstLine="0"/>
        <w:rPr>
          <w:rFonts w:ascii="Verdana" w:hAnsi="Verdana"/>
          <w:lang w:val="en-GB"/>
        </w:rPr>
      </w:pPr>
    </w:p>
    <w:p w14:paraId="2429FE81" w14:textId="7A156ABC" w:rsidR="00DA3676" w:rsidRPr="001A611B" w:rsidRDefault="00DA3676">
      <w:pPr>
        <w:ind w:firstLine="0"/>
        <w:rPr>
          <w:rFonts w:ascii="Verdana" w:hAnsi="Verdana"/>
          <w:lang w:val="en-GB"/>
        </w:rPr>
      </w:pPr>
    </w:p>
    <w:p w14:paraId="22ACA044" w14:textId="538D0ED1" w:rsidR="00DA3676" w:rsidRPr="001A611B" w:rsidRDefault="00DA3676">
      <w:pPr>
        <w:ind w:firstLine="0"/>
        <w:rPr>
          <w:rFonts w:ascii="Verdana" w:hAnsi="Verdana"/>
          <w:lang w:val="en-GB"/>
        </w:rPr>
      </w:pPr>
    </w:p>
    <w:p w14:paraId="657E5804" w14:textId="3B038777" w:rsidR="00DA3676" w:rsidRPr="001A611B" w:rsidRDefault="00DA3676">
      <w:pPr>
        <w:ind w:firstLine="0"/>
        <w:rPr>
          <w:rFonts w:ascii="Verdana" w:hAnsi="Verdana"/>
          <w:lang w:val="en-GB"/>
        </w:rPr>
      </w:pPr>
    </w:p>
    <w:p w14:paraId="73F7B84D" w14:textId="77777777" w:rsidR="00DA3676" w:rsidRPr="001A611B" w:rsidRDefault="00DA3676">
      <w:pPr>
        <w:ind w:firstLine="0"/>
        <w:rPr>
          <w:rFonts w:ascii="Verdana" w:hAnsi="Verdana"/>
          <w:lang w:val="en-GB"/>
        </w:rPr>
      </w:pPr>
    </w:p>
    <w:p w14:paraId="6616D24F" w14:textId="5B8C72AD" w:rsidR="00452E8A" w:rsidRDefault="00827479" w:rsidP="00693DD1">
      <w:pPr>
        <w:spacing w:line="360" w:lineRule="auto"/>
        <w:jc w:val="both"/>
        <w:rPr>
          <w:rFonts w:ascii="Verdana" w:hAnsi="Verdana"/>
          <w:lang w:val="en-GB"/>
        </w:rPr>
      </w:pPr>
      <w:r w:rsidRPr="001A611B">
        <w:rPr>
          <w:rFonts w:ascii="Verdana" w:hAnsi="Verdana"/>
          <w:lang w:val="en-GB"/>
        </w:rPr>
        <w:t>Parkinson’s disease i</w:t>
      </w:r>
      <w:r w:rsidR="00455182">
        <w:rPr>
          <w:rFonts w:ascii="Verdana" w:hAnsi="Verdana"/>
          <w:lang w:val="en-GB"/>
        </w:rPr>
        <w:t xml:space="preserve">s a </w:t>
      </w:r>
      <w:r w:rsidR="008C2E85">
        <w:rPr>
          <w:rFonts w:ascii="Verdana" w:hAnsi="Verdana"/>
          <w:lang w:val="en-GB"/>
        </w:rPr>
        <w:t>complex multi-factorial disease</w:t>
      </w:r>
      <w:r w:rsidR="00452E8A" w:rsidRPr="00452E8A">
        <w:rPr>
          <w:rFonts w:ascii="Verdana" w:hAnsi="Verdana"/>
          <w:lang w:val="en-GB"/>
        </w:rPr>
        <w:t xml:space="preserve"> </w:t>
      </w:r>
      <w:r w:rsidR="00452E8A">
        <w:rPr>
          <w:rFonts w:ascii="Verdana" w:hAnsi="Verdana"/>
          <w:lang w:val="en-GB"/>
        </w:rPr>
        <w:t>of variable manifestation, whose onset, severity, and progression largely vary amongst the affected individuals.</w:t>
      </w:r>
      <w:r w:rsidR="00930021">
        <w:rPr>
          <w:rFonts w:ascii="Verdana" w:hAnsi="Verdana"/>
          <w:lang w:val="en-GB"/>
        </w:rPr>
        <w:t xml:space="preserve"> Moreover, PD manifestation varies </w:t>
      </w:r>
      <w:r w:rsidR="00DB7CCD">
        <w:rPr>
          <w:rFonts w:ascii="Verdana" w:hAnsi="Verdana"/>
          <w:lang w:val="en-GB"/>
        </w:rPr>
        <w:t xml:space="preserve">across populations and </w:t>
      </w:r>
      <w:r w:rsidR="004C5359">
        <w:rPr>
          <w:rFonts w:ascii="Verdana" w:hAnsi="Verdana"/>
          <w:lang w:val="en-GB"/>
        </w:rPr>
        <w:t>is presented with gender differences, seemingly affecting men more than women.</w:t>
      </w:r>
      <w:r w:rsidR="003E4A41">
        <w:rPr>
          <w:rFonts w:ascii="Verdana" w:hAnsi="Verdana"/>
          <w:lang w:val="en-GB"/>
        </w:rPr>
        <w:t xml:space="preserve"> Human studies are limited by the accessibility of the brain</w:t>
      </w:r>
      <w:r w:rsidR="00046CF6">
        <w:rPr>
          <w:rFonts w:ascii="Verdana" w:hAnsi="Verdana"/>
          <w:lang w:val="en-GB"/>
        </w:rPr>
        <w:t xml:space="preserve">, </w:t>
      </w:r>
      <w:r w:rsidR="001A4F92">
        <w:rPr>
          <w:rFonts w:ascii="Verdana" w:hAnsi="Verdana"/>
          <w:lang w:val="en-GB"/>
        </w:rPr>
        <w:t>restricting</w:t>
      </w:r>
      <w:r w:rsidR="00046CF6">
        <w:rPr>
          <w:rFonts w:ascii="Verdana" w:hAnsi="Verdana"/>
          <w:lang w:val="en-GB"/>
        </w:rPr>
        <w:t xml:space="preserve"> neuropathological examinations to post-mortem specimen</w:t>
      </w:r>
      <w:r w:rsidR="001A4F92">
        <w:rPr>
          <w:rFonts w:ascii="Verdana" w:hAnsi="Verdana"/>
          <w:lang w:val="en-GB"/>
        </w:rPr>
        <w:t>s</w:t>
      </w:r>
      <w:r w:rsidR="00A63EC2">
        <w:rPr>
          <w:rFonts w:ascii="Verdana" w:hAnsi="Verdana"/>
          <w:lang w:val="en-GB"/>
        </w:rPr>
        <w:t xml:space="preserve"> which</w:t>
      </w:r>
      <w:r w:rsidR="001C4E1C">
        <w:rPr>
          <w:rFonts w:ascii="Verdana" w:hAnsi="Verdana"/>
          <w:lang w:val="en-GB"/>
        </w:rPr>
        <w:t xml:space="preserve"> only allow for</w:t>
      </w:r>
      <w:r w:rsidR="001C4E1C" w:rsidRPr="001A611B">
        <w:rPr>
          <w:rFonts w:ascii="Verdana" w:hAnsi="Verdana"/>
          <w:lang w:val="en-GB"/>
        </w:rPr>
        <w:t xml:space="preserve"> the investigation of a snapshot of the end-stages of the pathological proces</w:t>
      </w:r>
      <w:r w:rsidR="001C4E1C">
        <w:rPr>
          <w:rFonts w:ascii="Verdana" w:hAnsi="Verdana"/>
          <w:lang w:val="en-GB"/>
        </w:rPr>
        <w:t>s</w:t>
      </w:r>
      <w:r w:rsidR="00DD2578">
        <w:rPr>
          <w:rFonts w:ascii="Verdana" w:hAnsi="Verdana"/>
          <w:lang w:val="en-GB"/>
        </w:rPr>
        <w:t xml:space="preserve">. </w:t>
      </w:r>
      <w:r w:rsidR="00E33691">
        <w:rPr>
          <w:rFonts w:ascii="Verdana" w:hAnsi="Verdana"/>
          <w:lang w:val="en-GB"/>
        </w:rPr>
        <w:t>In recent years, t</w:t>
      </w:r>
      <w:r w:rsidR="00E33691" w:rsidRPr="00E33691">
        <w:rPr>
          <w:rFonts w:ascii="Verdana" w:hAnsi="Verdana"/>
          <w:lang w:val="en-GB"/>
        </w:rPr>
        <w:t>he development</w:t>
      </w:r>
      <w:r w:rsidR="00E33691">
        <w:rPr>
          <w:rFonts w:ascii="Verdana" w:hAnsi="Verdana"/>
          <w:lang w:val="en-GB"/>
        </w:rPr>
        <w:t xml:space="preserve"> of more and more sophisticated </w:t>
      </w:r>
      <w:r w:rsidR="00E33691">
        <w:rPr>
          <w:rFonts w:ascii="Verdana" w:hAnsi="Verdana"/>
          <w:i/>
          <w:iCs/>
          <w:lang w:val="en-GB"/>
        </w:rPr>
        <w:t>i</w:t>
      </w:r>
      <w:r w:rsidR="00E33691" w:rsidRPr="00E33691">
        <w:rPr>
          <w:rFonts w:ascii="Verdana" w:hAnsi="Verdana"/>
          <w:i/>
          <w:iCs/>
          <w:lang w:val="en-GB"/>
        </w:rPr>
        <w:t>n vivo</w:t>
      </w:r>
      <w:r w:rsidR="00E33691">
        <w:rPr>
          <w:rFonts w:ascii="Verdana" w:hAnsi="Verdana"/>
          <w:lang w:val="en-GB"/>
        </w:rPr>
        <w:t xml:space="preserve"> imaging techniques has allowed for </w:t>
      </w:r>
      <w:r w:rsidR="000801D7">
        <w:rPr>
          <w:rFonts w:ascii="Verdana" w:hAnsi="Verdana"/>
          <w:lang w:val="en-GB"/>
        </w:rPr>
        <w:t xml:space="preserve">a better investigation of </w:t>
      </w:r>
      <w:r w:rsidR="00C43604">
        <w:rPr>
          <w:rFonts w:ascii="Verdana" w:hAnsi="Verdana"/>
          <w:lang w:val="en-GB"/>
        </w:rPr>
        <w:t>the disease course, yet these results</w:t>
      </w:r>
      <w:r w:rsidR="00B25B6B">
        <w:rPr>
          <w:rFonts w:ascii="Verdana" w:hAnsi="Verdana"/>
          <w:lang w:val="en-GB"/>
        </w:rPr>
        <w:t xml:space="preserve"> are rather descriptive, and</w:t>
      </w:r>
      <w:r w:rsidR="00C43604">
        <w:rPr>
          <w:rFonts w:ascii="Verdana" w:hAnsi="Verdana"/>
          <w:lang w:val="en-GB"/>
        </w:rPr>
        <w:t xml:space="preserve"> remain confined to </w:t>
      </w:r>
      <w:r w:rsidR="00B25B6B">
        <w:rPr>
          <w:rFonts w:ascii="Verdana" w:hAnsi="Verdana"/>
          <w:lang w:val="en-GB"/>
        </w:rPr>
        <w:t xml:space="preserve">overt stages of pathology. </w:t>
      </w:r>
      <w:r w:rsidR="00C15B7E">
        <w:rPr>
          <w:rFonts w:ascii="Verdana" w:hAnsi="Verdana"/>
          <w:lang w:val="en-GB"/>
        </w:rPr>
        <w:t>Therefore,</w:t>
      </w:r>
      <w:r w:rsidR="00F62734">
        <w:rPr>
          <w:rFonts w:ascii="Verdana" w:hAnsi="Verdana"/>
          <w:lang w:val="en-GB"/>
        </w:rPr>
        <w:t xml:space="preserve"> the investigation of pathogenic mechanisms in PD</w:t>
      </w:r>
      <w:r w:rsidR="00C15B7E">
        <w:rPr>
          <w:rFonts w:ascii="Verdana" w:hAnsi="Verdana"/>
          <w:lang w:val="en-GB"/>
        </w:rPr>
        <w:t>, and even more of those that occur early in tim</w:t>
      </w:r>
      <w:r w:rsidR="00184260">
        <w:rPr>
          <w:rFonts w:ascii="Verdana" w:hAnsi="Verdana"/>
          <w:lang w:val="en-GB"/>
        </w:rPr>
        <w:t>e,</w:t>
      </w:r>
      <w:r w:rsidR="00F62734">
        <w:rPr>
          <w:rFonts w:ascii="Verdana" w:hAnsi="Verdana"/>
          <w:lang w:val="en-GB"/>
        </w:rPr>
        <w:t xml:space="preserve"> largely relies on the use of animal models</w:t>
      </w:r>
      <w:r w:rsidR="003E4A41">
        <w:rPr>
          <w:rFonts w:ascii="Verdana" w:hAnsi="Verdana"/>
          <w:lang w:val="en-GB"/>
        </w:rPr>
        <w:t>.</w:t>
      </w:r>
      <w:r w:rsidR="00E14926">
        <w:rPr>
          <w:rFonts w:ascii="Verdana" w:hAnsi="Verdana"/>
          <w:lang w:val="en-GB"/>
        </w:rPr>
        <w:t xml:space="preserve"> Even if unable to reproduce the full nuances of the human pathology, animal models have proved to be essential tools in the understanding of pathogenetic mechanisms, allowing to dissect and separately investigate the contribution of different factors to the disease initiation and progression.</w:t>
      </w:r>
      <w:r w:rsidR="003B116B">
        <w:rPr>
          <w:rFonts w:ascii="Verdana" w:hAnsi="Verdana"/>
          <w:lang w:val="en-GB"/>
        </w:rPr>
        <w:t xml:space="preserve"> </w:t>
      </w:r>
    </w:p>
    <w:p w14:paraId="1D5D1457" w14:textId="1A3612D9" w:rsidR="001D3164" w:rsidRPr="001A611B" w:rsidRDefault="00932530" w:rsidP="00F87EB5">
      <w:pPr>
        <w:spacing w:line="360" w:lineRule="auto"/>
        <w:jc w:val="both"/>
        <w:rPr>
          <w:rFonts w:ascii="Verdana" w:hAnsi="Verdana"/>
          <w:lang w:val="en-GB"/>
        </w:rPr>
      </w:pPr>
      <w:r>
        <w:rPr>
          <w:rFonts w:ascii="Verdana" w:hAnsi="Verdana"/>
          <w:lang w:val="en-GB"/>
        </w:rPr>
        <w:t>When the cause of the disease is known,</w:t>
      </w:r>
      <w:r w:rsidR="00986F15">
        <w:rPr>
          <w:rFonts w:ascii="Verdana" w:hAnsi="Verdana"/>
          <w:lang w:val="en-GB"/>
        </w:rPr>
        <w:t xml:space="preserve"> one of</w:t>
      </w:r>
      <w:r>
        <w:rPr>
          <w:rFonts w:ascii="Verdana" w:hAnsi="Verdana"/>
          <w:lang w:val="en-GB"/>
        </w:rPr>
        <w:t xml:space="preserve"> the easiest way</w:t>
      </w:r>
      <w:r w:rsidR="00FA1875">
        <w:rPr>
          <w:rFonts w:ascii="Verdana" w:hAnsi="Verdana"/>
          <w:lang w:val="en-GB"/>
        </w:rPr>
        <w:t>s</w:t>
      </w:r>
      <w:r>
        <w:rPr>
          <w:rFonts w:ascii="Verdana" w:hAnsi="Verdana"/>
          <w:lang w:val="en-GB"/>
        </w:rPr>
        <w:t xml:space="preserve"> to model the human pathology is via a genetic model</w:t>
      </w:r>
      <w:r w:rsidR="008525CD">
        <w:rPr>
          <w:rFonts w:ascii="Verdana" w:hAnsi="Verdana"/>
          <w:lang w:val="en-GB"/>
        </w:rPr>
        <w:t xml:space="preserve"> based on </w:t>
      </w:r>
      <w:r w:rsidR="00A7201B">
        <w:rPr>
          <w:rFonts w:ascii="Verdana" w:hAnsi="Verdana"/>
          <w:lang w:val="en-GB"/>
        </w:rPr>
        <w:t>genes associated with familial</w:t>
      </w:r>
      <w:r w:rsidR="006C186A">
        <w:rPr>
          <w:rFonts w:ascii="Verdana" w:hAnsi="Verdana"/>
          <w:lang w:val="en-GB"/>
        </w:rPr>
        <w:t xml:space="preserve"> forms of the disease</w:t>
      </w:r>
      <w:r w:rsidR="00FE7531">
        <w:rPr>
          <w:rFonts w:ascii="Verdana" w:hAnsi="Verdana"/>
          <w:lang w:val="en-GB"/>
        </w:rPr>
        <w:t>. In the case of PD, modelling of familial cases can be achieved by the overexpression of mut</w:t>
      </w:r>
      <w:r w:rsidR="003942BE">
        <w:rPr>
          <w:rFonts w:ascii="Verdana" w:hAnsi="Verdana"/>
          <w:lang w:val="en-GB"/>
        </w:rPr>
        <w:t xml:space="preserve">ated genes such as the </w:t>
      </w:r>
      <w:r w:rsidR="003942BE" w:rsidRPr="003942BE">
        <w:rPr>
          <w:rFonts w:ascii="Verdana" w:hAnsi="Verdana"/>
          <w:i/>
          <w:iCs/>
          <w:lang w:val="en-GB"/>
        </w:rPr>
        <w:t>SNCA</w:t>
      </w:r>
      <w:r w:rsidR="003942BE">
        <w:rPr>
          <w:rFonts w:ascii="Verdana" w:hAnsi="Verdana"/>
          <w:lang w:val="en-GB"/>
        </w:rPr>
        <w:t xml:space="preserve"> gene for autosomal dominant cases, or via the knock-out of</w:t>
      </w:r>
      <w:r w:rsidR="00901D2B">
        <w:rPr>
          <w:rFonts w:ascii="Verdana" w:hAnsi="Verdana"/>
          <w:lang w:val="en-GB"/>
        </w:rPr>
        <w:t xml:space="preserve"> genes causative of recessive forms of PD such as in the case of DJ-1.</w:t>
      </w:r>
      <w:r w:rsidR="005F2F5B">
        <w:rPr>
          <w:rFonts w:ascii="Verdana" w:hAnsi="Verdana"/>
          <w:lang w:val="en-GB"/>
        </w:rPr>
        <w:t xml:space="preserve"> </w:t>
      </w:r>
      <w:r w:rsidR="00901D2B">
        <w:rPr>
          <w:rFonts w:ascii="Verdana" w:hAnsi="Verdana"/>
          <w:lang w:val="en-GB"/>
        </w:rPr>
        <w:t>But</w:t>
      </w:r>
      <w:r w:rsidR="003B116B">
        <w:rPr>
          <w:rFonts w:ascii="Verdana" w:hAnsi="Verdana"/>
          <w:lang w:val="en-GB"/>
        </w:rPr>
        <w:t xml:space="preserve"> with only 10% of cases clearly attributable to a known genetic cause, the investigation of </w:t>
      </w:r>
      <w:r w:rsidR="00901D2B">
        <w:rPr>
          <w:rFonts w:ascii="Verdana" w:hAnsi="Verdana"/>
          <w:lang w:val="en-GB"/>
        </w:rPr>
        <w:t xml:space="preserve">PD </w:t>
      </w:r>
      <w:r w:rsidR="00B61E97">
        <w:rPr>
          <w:rFonts w:ascii="Verdana" w:hAnsi="Verdana"/>
          <w:lang w:val="en-GB"/>
        </w:rPr>
        <w:t>achieved through genetic models</w:t>
      </w:r>
      <w:r w:rsidR="00284ADC">
        <w:rPr>
          <w:rFonts w:ascii="Verdana" w:hAnsi="Verdana"/>
          <w:lang w:val="en-GB"/>
        </w:rPr>
        <w:t xml:space="preserve"> mimicking familial </w:t>
      </w:r>
      <w:r w:rsidR="00544D0C">
        <w:rPr>
          <w:rFonts w:ascii="Verdana" w:hAnsi="Verdana"/>
          <w:lang w:val="en-GB"/>
        </w:rPr>
        <w:t>cases</w:t>
      </w:r>
      <w:r w:rsidR="00B61E97">
        <w:rPr>
          <w:rFonts w:ascii="Verdana" w:hAnsi="Verdana"/>
          <w:lang w:val="en-GB"/>
        </w:rPr>
        <w:t xml:space="preserve"> is bound to be limited. Therefore, </w:t>
      </w:r>
      <w:r w:rsidR="00544D0C">
        <w:rPr>
          <w:rFonts w:ascii="Verdana" w:hAnsi="Verdana"/>
          <w:lang w:val="en-GB"/>
        </w:rPr>
        <w:t xml:space="preserve">the </w:t>
      </w:r>
      <w:r w:rsidR="00544D0C">
        <w:rPr>
          <w:rFonts w:ascii="Verdana" w:hAnsi="Verdana"/>
          <w:lang w:val="en-GB"/>
        </w:rPr>
        <w:lastRenderedPageBreak/>
        <w:t xml:space="preserve">development of models which come closer to idiopathic PD is of extreme importance. </w:t>
      </w:r>
      <w:r w:rsidR="007769CF">
        <w:rPr>
          <w:rFonts w:ascii="Verdana" w:hAnsi="Verdana"/>
          <w:lang w:val="en-GB"/>
        </w:rPr>
        <w:t>Given the relevance of alpha-synuclein in the progression of PD</w:t>
      </w:r>
      <w:r w:rsidR="00B12AE1">
        <w:rPr>
          <w:rFonts w:ascii="Verdana" w:hAnsi="Verdana"/>
          <w:lang w:val="en-GB"/>
        </w:rPr>
        <w:t xml:space="preserve"> in both familiar and idiopathic cases</w:t>
      </w:r>
      <w:r w:rsidR="007769CF">
        <w:rPr>
          <w:rFonts w:ascii="Verdana" w:hAnsi="Verdana"/>
          <w:lang w:val="en-GB"/>
        </w:rPr>
        <w:t xml:space="preserve">, </w:t>
      </w:r>
      <w:r w:rsidR="00B25B25">
        <w:rPr>
          <w:rFonts w:ascii="Verdana" w:hAnsi="Verdana"/>
          <w:lang w:val="en-GB"/>
        </w:rPr>
        <w:t xml:space="preserve">genetic models expressing the human, wild-type </w:t>
      </w:r>
      <w:r w:rsidR="00B25B25" w:rsidRPr="00B25B25">
        <w:rPr>
          <w:rFonts w:ascii="Verdana" w:hAnsi="Verdana"/>
          <w:i/>
          <w:iCs/>
          <w:lang w:val="en-GB"/>
        </w:rPr>
        <w:t>SNCA</w:t>
      </w:r>
      <w:r w:rsidR="00B25B25">
        <w:rPr>
          <w:rFonts w:ascii="Verdana" w:hAnsi="Verdana"/>
          <w:lang w:val="en-GB"/>
        </w:rPr>
        <w:t xml:space="preserve"> gene </w:t>
      </w:r>
      <w:r w:rsidR="005E0930">
        <w:rPr>
          <w:rFonts w:ascii="Verdana" w:hAnsi="Verdana"/>
          <w:lang w:val="en-GB"/>
        </w:rPr>
        <w:t>have been developed</w:t>
      </w:r>
      <w:r w:rsidR="00E221DA">
        <w:rPr>
          <w:rFonts w:ascii="Verdana" w:hAnsi="Verdana"/>
          <w:lang w:val="en-GB"/>
        </w:rPr>
        <w:t xml:space="preserve"> with this aim</w:t>
      </w:r>
      <w:r w:rsidR="005E0930">
        <w:rPr>
          <w:rFonts w:ascii="Verdana" w:hAnsi="Verdana"/>
          <w:lang w:val="en-GB"/>
        </w:rPr>
        <w:t xml:space="preserve">. </w:t>
      </w:r>
      <w:r w:rsidR="00B12AE1">
        <w:rPr>
          <w:rFonts w:ascii="Verdana" w:hAnsi="Verdana"/>
          <w:lang w:val="en-GB"/>
        </w:rPr>
        <w:t>These models</w:t>
      </w:r>
      <w:r w:rsidR="00546AF1">
        <w:rPr>
          <w:rFonts w:ascii="Verdana" w:hAnsi="Verdana"/>
          <w:lang w:val="en-GB"/>
        </w:rPr>
        <w:t xml:space="preserve"> </w:t>
      </w:r>
      <w:r w:rsidR="005F2F5B">
        <w:rPr>
          <w:rFonts w:ascii="Verdana" w:hAnsi="Verdana"/>
          <w:lang w:val="en-GB"/>
        </w:rPr>
        <w:t>are not o</w:t>
      </w:r>
      <w:r w:rsidR="00E221DA">
        <w:rPr>
          <w:rFonts w:ascii="Verdana" w:hAnsi="Verdana"/>
          <w:lang w:val="en-GB"/>
        </w:rPr>
        <w:t>nly</w:t>
      </w:r>
      <w:r w:rsidR="003C6F68">
        <w:rPr>
          <w:rFonts w:ascii="Verdana" w:hAnsi="Verdana"/>
          <w:lang w:val="en-GB"/>
        </w:rPr>
        <w:t xml:space="preserve"> useful to study the role of alpha-synuclein pathology to PD progression</w:t>
      </w:r>
      <w:r w:rsidR="00086CA2">
        <w:rPr>
          <w:rFonts w:ascii="Verdana" w:hAnsi="Verdana"/>
          <w:lang w:val="en-GB"/>
        </w:rPr>
        <w:t xml:space="preserve"> </w:t>
      </w:r>
      <w:r w:rsidR="003C6F68">
        <w:rPr>
          <w:rFonts w:ascii="Verdana" w:hAnsi="Verdana"/>
          <w:lang w:val="en-GB"/>
        </w:rPr>
        <w:t>b</w:t>
      </w:r>
      <w:r w:rsidR="005F2F5B">
        <w:rPr>
          <w:rFonts w:ascii="Verdana" w:hAnsi="Verdana"/>
          <w:lang w:val="en-GB"/>
        </w:rPr>
        <w:t xml:space="preserve">ut can </w:t>
      </w:r>
      <w:r w:rsidR="003C6F68">
        <w:rPr>
          <w:rFonts w:ascii="Verdana" w:hAnsi="Verdana"/>
          <w:lang w:val="en-GB"/>
        </w:rPr>
        <w:t>represent</w:t>
      </w:r>
      <w:r w:rsidR="00314E56">
        <w:rPr>
          <w:rFonts w:ascii="Verdana" w:hAnsi="Verdana"/>
          <w:lang w:val="en-GB"/>
        </w:rPr>
        <w:t xml:space="preserve"> a</w:t>
      </w:r>
      <w:r w:rsidR="003C6F68">
        <w:rPr>
          <w:rFonts w:ascii="Verdana" w:hAnsi="Verdana"/>
          <w:lang w:val="en-GB"/>
        </w:rPr>
        <w:t xml:space="preserve"> starting point</w:t>
      </w:r>
      <w:r w:rsidR="005F2F5B">
        <w:rPr>
          <w:rFonts w:ascii="Verdana" w:hAnsi="Verdana"/>
          <w:lang w:val="en-GB"/>
        </w:rPr>
        <w:t xml:space="preserve"> to investigate the </w:t>
      </w:r>
      <w:r w:rsidR="00E221DA">
        <w:rPr>
          <w:rFonts w:ascii="Verdana" w:hAnsi="Verdana"/>
          <w:lang w:val="en-GB"/>
        </w:rPr>
        <w:t>contribution</w:t>
      </w:r>
      <w:r w:rsidR="00086CA2">
        <w:rPr>
          <w:rFonts w:ascii="Verdana" w:hAnsi="Verdana"/>
          <w:lang w:val="en-GB"/>
        </w:rPr>
        <w:t xml:space="preserve"> </w:t>
      </w:r>
      <w:r w:rsidR="00E270C7">
        <w:rPr>
          <w:rFonts w:ascii="Verdana" w:hAnsi="Verdana"/>
          <w:lang w:val="en-GB"/>
        </w:rPr>
        <w:t>o</w:t>
      </w:r>
      <w:r w:rsidR="00086CA2">
        <w:rPr>
          <w:rFonts w:ascii="Verdana" w:hAnsi="Verdana"/>
          <w:lang w:val="en-GB"/>
        </w:rPr>
        <w:t>n</w:t>
      </w:r>
      <w:r w:rsidR="00E270C7">
        <w:rPr>
          <w:rFonts w:ascii="Verdana" w:hAnsi="Verdana"/>
          <w:lang w:val="en-GB"/>
        </w:rPr>
        <w:t xml:space="preserve"> PD</w:t>
      </w:r>
      <w:r w:rsidR="00086CA2">
        <w:rPr>
          <w:rFonts w:ascii="Verdana" w:hAnsi="Verdana"/>
          <w:lang w:val="en-GB"/>
        </w:rPr>
        <w:t xml:space="preserve"> pathogenesis</w:t>
      </w:r>
      <w:r w:rsidR="00E221DA">
        <w:rPr>
          <w:rFonts w:ascii="Verdana" w:hAnsi="Verdana"/>
          <w:lang w:val="en-GB"/>
        </w:rPr>
        <w:t xml:space="preserve"> of other </w:t>
      </w:r>
      <w:r w:rsidR="006C2CB6">
        <w:rPr>
          <w:rFonts w:ascii="Verdana" w:hAnsi="Verdana"/>
          <w:lang w:val="en-GB"/>
        </w:rPr>
        <w:t>factors, such as environmental factors or life-style changes,</w:t>
      </w:r>
      <w:r w:rsidR="001C2A3E">
        <w:rPr>
          <w:rFonts w:ascii="Verdana" w:hAnsi="Verdana"/>
          <w:lang w:val="en-GB"/>
        </w:rPr>
        <w:t xml:space="preserve"> </w:t>
      </w:r>
      <w:r w:rsidR="005406AD">
        <w:rPr>
          <w:rFonts w:ascii="Verdana" w:hAnsi="Verdana"/>
          <w:lang w:val="en-GB"/>
        </w:rPr>
        <w:t xml:space="preserve">which </w:t>
      </w:r>
      <w:r w:rsidR="009B006B">
        <w:rPr>
          <w:rFonts w:ascii="Verdana" w:hAnsi="Verdana"/>
          <w:lang w:val="en-GB"/>
        </w:rPr>
        <w:t>act in combination with a genetic predisposition.</w:t>
      </w:r>
      <w:r w:rsidR="00F87EB5">
        <w:rPr>
          <w:rFonts w:ascii="Verdana" w:hAnsi="Verdana"/>
          <w:lang w:val="en-GB"/>
        </w:rPr>
        <w:t xml:space="preserve"> </w:t>
      </w:r>
      <w:r w:rsidR="009B006B">
        <w:rPr>
          <w:rFonts w:ascii="Verdana" w:hAnsi="Verdana"/>
          <w:lang w:val="en-GB"/>
        </w:rPr>
        <w:t>Finally, we must not forget that 90% of PD</w:t>
      </w:r>
      <w:r w:rsidR="001D3164" w:rsidRPr="001A611B">
        <w:rPr>
          <w:rFonts w:ascii="Verdana" w:hAnsi="Verdana"/>
          <w:lang w:val="en-GB"/>
        </w:rPr>
        <w:t xml:space="preserve"> patients present</w:t>
      </w:r>
      <w:r w:rsidR="001D3164">
        <w:rPr>
          <w:rFonts w:ascii="Verdana" w:hAnsi="Verdana"/>
          <w:lang w:val="en-GB"/>
        </w:rPr>
        <w:t>s</w:t>
      </w:r>
      <w:r w:rsidR="001D3164" w:rsidRPr="001A611B">
        <w:rPr>
          <w:rFonts w:ascii="Verdana" w:hAnsi="Verdana"/>
          <w:lang w:val="en-GB"/>
        </w:rPr>
        <w:t xml:space="preserve"> at least one neuropsychiatric symptom, and over 30% of the patients develop</w:t>
      </w:r>
      <w:r w:rsidR="001D3164">
        <w:rPr>
          <w:rFonts w:ascii="Verdana" w:hAnsi="Verdana"/>
          <w:lang w:val="en-GB"/>
        </w:rPr>
        <w:t>s</w:t>
      </w:r>
      <w:r w:rsidR="001D3164" w:rsidRPr="001A611B">
        <w:rPr>
          <w:rFonts w:ascii="Verdana" w:hAnsi="Verdana"/>
          <w:lang w:val="en-GB"/>
        </w:rPr>
        <w:t xml:space="preserve"> cognitive impairment and dementia as the disease worsens over time</w:t>
      </w:r>
      <w:r w:rsidR="00807868">
        <w:rPr>
          <w:rFonts w:ascii="Verdana" w:hAnsi="Verdana"/>
          <w:lang w:val="en-GB"/>
        </w:rPr>
        <w:t xml:space="preserve">. </w:t>
      </w:r>
      <w:r w:rsidR="0058658C">
        <w:rPr>
          <w:rFonts w:ascii="Verdana" w:hAnsi="Verdana"/>
          <w:lang w:val="en-GB"/>
        </w:rPr>
        <w:t xml:space="preserve">With an increasing prevalence of dementia with disease duration, it has become more and more important to extend the analysis of PD beyond the classical </w:t>
      </w:r>
      <w:r w:rsidR="00977047">
        <w:rPr>
          <w:rFonts w:ascii="Verdana" w:hAnsi="Verdana"/>
          <w:lang w:val="en-GB"/>
        </w:rPr>
        <w:t>nigrostriatal</w:t>
      </w:r>
      <w:r w:rsidR="0058658C">
        <w:rPr>
          <w:rFonts w:ascii="Verdana" w:hAnsi="Verdana"/>
          <w:lang w:val="en-GB"/>
        </w:rPr>
        <w:t xml:space="preserve"> pathway, including regions such as the pre-frontal cortex and the hippocampus</w:t>
      </w:r>
      <w:r w:rsidR="00363F15">
        <w:rPr>
          <w:rFonts w:ascii="Verdana" w:hAnsi="Verdana"/>
          <w:lang w:val="en-GB"/>
        </w:rPr>
        <w:t xml:space="preserve"> which are primarily involved in cognitive decline.</w:t>
      </w:r>
    </w:p>
    <w:p w14:paraId="16E205E1" w14:textId="140E1EF4" w:rsidR="001D3164" w:rsidRPr="001A611B" w:rsidRDefault="00BF03C3" w:rsidP="008C1DFD">
      <w:pPr>
        <w:spacing w:line="360" w:lineRule="auto"/>
        <w:jc w:val="both"/>
        <w:rPr>
          <w:rFonts w:ascii="Verdana" w:hAnsi="Verdana"/>
          <w:lang w:val="en-GB"/>
        </w:rPr>
      </w:pPr>
      <w:r>
        <w:rPr>
          <w:rFonts w:ascii="Verdana" w:hAnsi="Verdana"/>
          <w:lang w:val="en-GB"/>
        </w:rPr>
        <w:t xml:space="preserve">When </w:t>
      </w:r>
      <w:r w:rsidR="00DC0D24">
        <w:rPr>
          <w:rFonts w:ascii="Verdana" w:hAnsi="Verdana"/>
          <w:lang w:val="en-GB"/>
        </w:rPr>
        <w:t>aiming to model</w:t>
      </w:r>
      <w:r>
        <w:rPr>
          <w:rFonts w:ascii="Verdana" w:hAnsi="Verdana"/>
          <w:lang w:val="en-GB"/>
        </w:rPr>
        <w:t xml:space="preserve"> early events in the disease pathogenesis,</w:t>
      </w:r>
      <w:r w:rsidR="00721DBE">
        <w:rPr>
          <w:rFonts w:ascii="Verdana" w:hAnsi="Verdana"/>
          <w:lang w:val="en-GB"/>
        </w:rPr>
        <w:t xml:space="preserve"> a relevant tool is</w:t>
      </w:r>
      <w:r w:rsidR="008C1DFD">
        <w:rPr>
          <w:rFonts w:ascii="Verdana" w:hAnsi="Verdana"/>
          <w:lang w:val="en-GB"/>
        </w:rPr>
        <w:t xml:space="preserve"> represented by</w:t>
      </w:r>
      <w:r>
        <w:rPr>
          <w:rFonts w:ascii="Verdana" w:hAnsi="Verdana"/>
          <w:lang w:val="en-GB"/>
        </w:rPr>
        <w:t xml:space="preserve"> gene expression analysis</w:t>
      </w:r>
      <w:r w:rsidR="00721DBE">
        <w:rPr>
          <w:rFonts w:ascii="Verdana" w:hAnsi="Verdana"/>
          <w:lang w:val="en-GB"/>
        </w:rPr>
        <w:t>. Indeed, r</w:t>
      </w:r>
      <w:r w:rsidR="001D3164" w:rsidRPr="001A611B">
        <w:rPr>
          <w:rFonts w:ascii="Verdana" w:hAnsi="Verdana"/>
          <w:lang w:val="en-GB"/>
        </w:rPr>
        <w:t>egulatory mechanisms controlling transcription can be activated early following the exposure to different types of stressors. In PD, gene expression alterations can happen in response to pathological events such as alpha-synuclein misfolding and reactive oxygen species production, and changes in gene expression can be expected to precede neuronal death. Furthermore, transcriptional regulation could change over time, following the patterns of disease progression.</w:t>
      </w:r>
      <w:r w:rsidR="008C1DFD">
        <w:rPr>
          <w:rFonts w:ascii="Verdana" w:hAnsi="Verdana"/>
          <w:lang w:val="en-GB"/>
        </w:rPr>
        <w:t xml:space="preserve"> Once again, the</w:t>
      </w:r>
      <w:r w:rsidR="001D3164" w:rsidRPr="001A611B">
        <w:rPr>
          <w:rFonts w:ascii="Verdana" w:hAnsi="Verdana"/>
          <w:lang w:val="en-GB"/>
        </w:rPr>
        <w:t xml:space="preserve"> longitudinal study of gene expression regulation during disease progression </w:t>
      </w:r>
      <w:r w:rsidR="008C1DFD">
        <w:rPr>
          <w:rFonts w:ascii="Verdana" w:hAnsi="Verdana"/>
          <w:lang w:val="en-GB"/>
        </w:rPr>
        <w:t xml:space="preserve">cannot be achieved in human samples and thus </w:t>
      </w:r>
      <w:r w:rsidR="001D3164" w:rsidRPr="001A611B">
        <w:rPr>
          <w:rFonts w:ascii="Verdana" w:hAnsi="Verdana"/>
          <w:lang w:val="en-GB"/>
        </w:rPr>
        <w:t xml:space="preserve">requires the use of </w:t>
      </w:r>
      <w:r w:rsidR="001D3164" w:rsidRPr="001A611B">
        <w:rPr>
          <w:rFonts w:ascii="Verdana" w:hAnsi="Verdana"/>
          <w:i/>
          <w:iCs/>
          <w:lang w:val="en-GB"/>
        </w:rPr>
        <w:t>in vivo</w:t>
      </w:r>
      <w:r w:rsidR="001D3164" w:rsidRPr="001A611B">
        <w:rPr>
          <w:rFonts w:ascii="Verdana" w:hAnsi="Verdana"/>
          <w:lang w:val="en-GB"/>
        </w:rPr>
        <w:t xml:space="preserve"> models.</w:t>
      </w:r>
    </w:p>
    <w:p w14:paraId="55D8BF27" w14:textId="772A1455" w:rsidR="008E64C3" w:rsidRPr="001A611B" w:rsidRDefault="008E64C3" w:rsidP="009943F6">
      <w:pPr>
        <w:spacing w:line="360" w:lineRule="auto"/>
        <w:ind w:firstLine="0"/>
        <w:rPr>
          <w:rFonts w:ascii="Verdana" w:hAnsi="Verdana"/>
          <w:lang w:val="en-GB"/>
        </w:rPr>
      </w:pPr>
    </w:p>
    <w:p w14:paraId="2E81C63D" w14:textId="77777777" w:rsidR="0080334E" w:rsidRPr="007E144C" w:rsidRDefault="0080334E" w:rsidP="00C82044">
      <w:pPr>
        <w:spacing w:line="360" w:lineRule="auto"/>
        <w:rPr>
          <w:rFonts w:ascii="Verdana" w:hAnsi="Verdana"/>
          <w:lang w:val="en-GB"/>
        </w:rPr>
      </w:pPr>
    </w:p>
    <w:p w14:paraId="0E56EB2F" w14:textId="05D0B5F5" w:rsidR="00C15B4D" w:rsidRDefault="00F93D06" w:rsidP="00116F99">
      <w:pPr>
        <w:spacing w:line="360" w:lineRule="auto"/>
        <w:jc w:val="both"/>
        <w:rPr>
          <w:rFonts w:ascii="Verdana" w:hAnsi="Verdana"/>
          <w:b/>
          <w:bCs/>
          <w:lang w:val="en-GB"/>
        </w:rPr>
      </w:pPr>
      <w:r w:rsidRPr="001A611B">
        <w:rPr>
          <w:rFonts w:ascii="Verdana" w:hAnsi="Verdana"/>
          <w:b/>
          <w:bCs/>
          <w:lang w:val="en-GB"/>
        </w:rPr>
        <w:t xml:space="preserve">Aim </w:t>
      </w:r>
      <w:r w:rsidR="009943F6">
        <w:rPr>
          <w:rFonts w:ascii="Verdana" w:hAnsi="Verdana"/>
          <w:b/>
          <w:bCs/>
          <w:lang w:val="en-GB"/>
        </w:rPr>
        <w:t xml:space="preserve">1: </w:t>
      </w:r>
      <w:r w:rsidR="00C15B4D">
        <w:rPr>
          <w:rFonts w:ascii="Verdana" w:hAnsi="Verdana"/>
          <w:b/>
          <w:bCs/>
          <w:lang w:val="en-GB"/>
        </w:rPr>
        <w:t>Modelling</w:t>
      </w:r>
      <w:r w:rsidR="00125040">
        <w:rPr>
          <w:rFonts w:ascii="Verdana" w:hAnsi="Verdana"/>
          <w:b/>
          <w:bCs/>
          <w:lang w:val="en-GB"/>
        </w:rPr>
        <w:t xml:space="preserve"> the</w:t>
      </w:r>
      <w:r w:rsidR="00883018">
        <w:rPr>
          <w:rFonts w:ascii="Verdana" w:hAnsi="Verdana"/>
          <w:b/>
          <w:bCs/>
          <w:lang w:val="en-GB"/>
        </w:rPr>
        <w:t xml:space="preserve"> early </w:t>
      </w:r>
      <w:r w:rsidR="004E617F">
        <w:rPr>
          <w:rFonts w:ascii="Verdana" w:hAnsi="Verdana"/>
          <w:b/>
          <w:bCs/>
          <w:lang w:val="en-GB"/>
        </w:rPr>
        <w:t>pathogenic mechanisms</w:t>
      </w:r>
      <w:r w:rsidR="00883018">
        <w:rPr>
          <w:rFonts w:ascii="Verdana" w:hAnsi="Verdana"/>
          <w:b/>
          <w:bCs/>
          <w:lang w:val="en-GB"/>
        </w:rPr>
        <w:t xml:space="preserve"> o</w:t>
      </w:r>
      <w:r w:rsidR="004E617F">
        <w:rPr>
          <w:rFonts w:ascii="Verdana" w:hAnsi="Verdana"/>
          <w:b/>
          <w:bCs/>
          <w:lang w:val="en-GB"/>
        </w:rPr>
        <w:t>f</w:t>
      </w:r>
      <w:r w:rsidR="00C15B4D">
        <w:rPr>
          <w:rFonts w:ascii="Verdana" w:hAnsi="Verdana"/>
          <w:b/>
          <w:bCs/>
          <w:lang w:val="en-GB"/>
        </w:rPr>
        <w:t xml:space="preserve"> PD in a genetic</w:t>
      </w:r>
      <w:r w:rsidR="00883018">
        <w:rPr>
          <w:rFonts w:ascii="Verdana" w:hAnsi="Verdana"/>
          <w:b/>
          <w:bCs/>
          <w:lang w:val="en-GB"/>
        </w:rPr>
        <w:t xml:space="preserve"> mouse model overexpress</w:t>
      </w:r>
      <w:r w:rsidR="00125040">
        <w:rPr>
          <w:rFonts w:ascii="Verdana" w:hAnsi="Verdana"/>
          <w:b/>
          <w:bCs/>
          <w:lang w:val="en-GB"/>
        </w:rPr>
        <w:t>ing the</w:t>
      </w:r>
      <w:r w:rsidR="00435E5C">
        <w:rPr>
          <w:rFonts w:ascii="Verdana" w:hAnsi="Verdana"/>
          <w:b/>
          <w:bCs/>
          <w:lang w:val="en-GB"/>
        </w:rPr>
        <w:t xml:space="preserve"> human</w:t>
      </w:r>
      <w:r w:rsidR="00125040">
        <w:rPr>
          <w:rFonts w:ascii="Verdana" w:hAnsi="Verdana"/>
          <w:b/>
          <w:bCs/>
          <w:lang w:val="en-GB"/>
        </w:rPr>
        <w:t xml:space="preserve"> E46K mutated alpha-synuclein gene</w:t>
      </w:r>
    </w:p>
    <w:p w14:paraId="61D7D260" w14:textId="77777777" w:rsidR="00B24690" w:rsidRDefault="00B24690" w:rsidP="00B24690">
      <w:pPr>
        <w:spacing w:line="360" w:lineRule="auto"/>
        <w:jc w:val="both"/>
        <w:rPr>
          <w:rFonts w:ascii="Verdana" w:hAnsi="Verdana"/>
          <w:lang w:val="en-GB"/>
        </w:rPr>
      </w:pPr>
      <w:r>
        <w:rPr>
          <w:rFonts w:ascii="Verdana" w:hAnsi="Verdana"/>
          <w:lang w:val="en-GB"/>
        </w:rPr>
        <w:t xml:space="preserve">Genetic animal models of human pathology often rely on the overexpression of genes known to cause familial dominant forms of the studied </w:t>
      </w:r>
      <w:r>
        <w:rPr>
          <w:rFonts w:ascii="Verdana" w:hAnsi="Verdana"/>
          <w:lang w:val="en-GB"/>
        </w:rPr>
        <w:lastRenderedPageBreak/>
        <w:t>disease. When it comes to Parkinson’s disease, the overexpression of the human wild-type or mutated alpha-synuclein gene (</w:t>
      </w:r>
      <w:r w:rsidRPr="00B24690">
        <w:rPr>
          <w:rFonts w:ascii="Verdana" w:hAnsi="Verdana"/>
          <w:i/>
          <w:iCs/>
          <w:lang w:val="en-GB"/>
        </w:rPr>
        <w:t>SNCA</w:t>
      </w:r>
      <w:r>
        <w:rPr>
          <w:rFonts w:ascii="Verdana" w:hAnsi="Verdana"/>
          <w:lang w:val="en-GB"/>
        </w:rPr>
        <w:t>) in rodents has long been used to model the parkinsonian phenotype, and such models have allowed to shed light on some of the molecular mechanisms underlying PD pathology.</w:t>
      </w:r>
    </w:p>
    <w:p w14:paraId="59F0B86C" w14:textId="1ED63F66" w:rsidR="00B24690" w:rsidRPr="00D954FD" w:rsidRDefault="00B24690" w:rsidP="000C3002">
      <w:pPr>
        <w:spacing w:line="360" w:lineRule="auto"/>
        <w:jc w:val="both"/>
        <w:rPr>
          <w:rFonts w:ascii="Verdana" w:hAnsi="Verdana"/>
          <w:lang w:val="en-GB"/>
        </w:rPr>
      </w:pPr>
      <w:r>
        <w:rPr>
          <w:rFonts w:ascii="Verdana" w:hAnsi="Verdana"/>
          <w:lang w:val="en-GB"/>
        </w:rPr>
        <w:t>A transgenic mouse model overexpressing the human E46K</w:t>
      </w:r>
      <w:r w:rsidR="000C3002">
        <w:rPr>
          <w:rFonts w:ascii="Verdana" w:hAnsi="Verdana"/>
          <w:lang w:val="en-GB"/>
        </w:rPr>
        <w:t>-</w:t>
      </w:r>
      <w:r>
        <w:rPr>
          <w:rFonts w:ascii="Verdana" w:hAnsi="Verdana"/>
          <w:lang w:val="en-GB"/>
        </w:rPr>
        <w:t xml:space="preserve">mutated </w:t>
      </w:r>
      <w:r w:rsidRPr="000C3002">
        <w:rPr>
          <w:rFonts w:ascii="Verdana" w:hAnsi="Verdana"/>
          <w:i/>
          <w:iCs/>
          <w:lang w:val="en-GB"/>
        </w:rPr>
        <w:t>SNCA</w:t>
      </w:r>
      <w:r>
        <w:rPr>
          <w:rFonts w:ascii="Verdana" w:hAnsi="Verdana"/>
          <w:lang w:val="en-GB"/>
        </w:rPr>
        <w:t xml:space="preserve"> gene has been created by Elan Pharmaceuticals. We have characterised this model to assess its validity in replicating the classical PD phenotype, focusing on </w:t>
      </w:r>
      <w:r w:rsidR="00977047">
        <w:rPr>
          <w:rFonts w:ascii="Verdana" w:hAnsi="Verdana"/>
          <w:lang w:val="en-GB"/>
        </w:rPr>
        <w:t>nigrostriatal</w:t>
      </w:r>
      <w:r>
        <w:rPr>
          <w:rFonts w:ascii="Verdana" w:hAnsi="Verdana"/>
          <w:lang w:val="en-GB"/>
        </w:rPr>
        <w:t xml:space="preserve"> degeneration, midbrain gene expression alterations, and motor impairments. </w:t>
      </w:r>
      <w:r w:rsidR="00C73690">
        <w:rPr>
          <w:rFonts w:ascii="Verdana" w:hAnsi="Verdana"/>
          <w:lang w:val="en-GB"/>
        </w:rPr>
        <w:t xml:space="preserve">We have </w:t>
      </w:r>
      <w:r w:rsidR="007426F7">
        <w:rPr>
          <w:rFonts w:ascii="Verdana" w:hAnsi="Verdana"/>
          <w:lang w:val="en-GB"/>
        </w:rPr>
        <w:t>investigated young</w:t>
      </w:r>
      <w:r w:rsidR="00C73690">
        <w:rPr>
          <w:rFonts w:ascii="Verdana" w:hAnsi="Verdana"/>
          <w:lang w:val="en-GB"/>
        </w:rPr>
        <w:t xml:space="preserve">, mid-life and </w:t>
      </w:r>
      <w:r w:rsidR="007426F7">
        <w:rPr>
          <w:rFonts w:ascii="Verdana" w:hAnsi="Verdana"/>
          <w:lang w:val="en-GB"/>
        </w:rPr>
        <w:t xml:space="preserve">aged mice </w:t>
      </w:r>
      <w:proofErr w:type="gramStart"/>
      <w:r w:rsidR="00A37FF1">
        <w:rPr>
          <w:rFonts w:ascii="Verdana" w:hAnsi="Verdana"/>
          <w:lang w:val="en-GB"/>
        </w:rPr>
        <w:t>in order to</w:t>
      </w:r>
      <w:proofErr w:type="gramEnd"/>
      <w:r w:rsidR="00A37FF1">
        <w:rPr>
          <w:rFonts w:ascii="Verdana" w:hAnsi="Verdana"/>
          <w:lang w:val="en-GB"/>
        </w:rPr>
        <w:t xml:space="preserve"> sh</w:t>
      </w:r>
      <w:r w:rsidR="002A4BE5">
        <w:rPr>
          <w:rFonts w:ascii="Verdana" w:hAnsi="Verdana"/>
          <w:lang w:val="en-GB"/>
        </w:rPr>
        <w:t>e</w:t>
      </w:r>
      <w:r w:rsidR="00A37FF1">
        <w:rPr>
          <w:rFonts w:ascii="Verdana" w:hAnsi="Verdana"/>
          <w:lang w:val="en-GB"/>
        </w:rPr>
        <w:t xml:space="preserve">d light </w:t>
      </w:r>
      <w:r w:rsidR="002A4BE5">
        <w:rPr>
          <w:rFonts w:ascii="Verdana" w:hAnsi="Verdana"/>
          <w:lang w:val="en-GB"/>
        </w:rPr>
        <w:t xml:space="preserve">on the </w:t>
      </w:r>
      <w:r w:rsidR="007A6AB7">
        <w:rPr>
          <w:rFonts w:ascii="Verdana" w:hAnsi="Verdana"/>
          <w:lang w:val="en-GB"/>
        </w:rPr>
        <w:t>time progression of disease development</w:t>
      </w:r>
      <w:r w:rsidR="007C605F">
        <w:rPr>
          <w:rFonts w:ascii="Verdana" w:hAnsi="Verdana"/>
          <w:lang w:val="en-GB"/>
        </w:rPr>
        <w:t xml:space="preserve"> with the aim to identify the early events driving neurodegeneration.</w:t>
      </w:r>
    </w:p>
    <w:p w14:paraId="206BAA5A" w14:textId="33B5797E" w:rsidR="009943F6" w:rsidRDefault="009943F6" w:rsidP="00116F99">
      <w:pPr>
        <w:spacing w:line="360" w:lineRule="auto"/>
        <w:jc w:val="both"/>
        <w:rPr>
          <w:rFonts w:ascii="Verdana" w:hAnsi="Verdana"/>
          <w:b/>
          <w:bCs/>
          <w:lang w:val="en-GB"/>
        </w:rPr>
      </w:pPr>
    </w:p>
    <w:p w14:paraId="5402AFF0" w14:textId="19F67D05" w:rsidR="00435E5C" w:rsidRDefault="00435E5C" w:rsidP="00116F99">
      <w:pPr>
        <w:spacing w:line="360" w:lineRule="auto"/>
        <w:jc w:val="both"/>
        <w:rPr>
          <w:rFonts w:ascii="Verdana" w:hAnsi="Verdana"/>
          <w:b/>
          <w:bCs/>
          <w:lang w:val="en-GB"/>
        </w:rPr>
      </w:pPr>
      <w:r>
        <w:rPr>
          <w:rFonts w:ascii="Verdana" w:hAnsi="Verdana"/>
          <w:b/>
          <w:bCs/>
          <w:lang w:val="en-GB"/>
        </w:rPr>
        <w:t xml:space="preserve">Aim 2: Modelling cognitive impairment in PD using </w:t>
      </w:r>
      <w:r w:rsidR="004C7EC1">
        <w:rPr>
          <w:rFonts w:ascii="Verdana" w:hAnsi="Verdana"/>
          <w:b/>
          <w:bCs/>
          <w:lang w:val="en-GB"/>
        </w:rPr>
        <w:t>the SNCA-E46K</w:t>
      </w:r>
      <w:r>
        <w:rPr>
          <w:rFonts w:ascii="Verdana" w:hAnsi="Verdana"/>
          <w:b/>
          <w:bCs/>
          <w:lang w:val="en-GB"/>
        </w:rPr>
        <w:t xml:space="preserve"> genetic mouse model</w:t>
      </w:r>
    </w:p>
    <w:p w14:paraId="32766C3A" w14:textId="63CEDFE0" w:rsidR="00812B4A" w:rsidRPr="001417F3" w:rsidRDefault="002D1257" w:rsidP="00CA68F5">
      <w:pPr>
        <w:spacing w:line="360" w:lineRule="auto"/>
        <w:jc w:val="both"/>
        <w:rPr>
          <w:rFonts w:ascii="Verdana" w:hAnsi="Verdana"/>
          <w:lang w:val="en-GB"/>
        </w:rPr>
      </w:pPr>
      <w:r>
        <w:rPr>
          <w:rFonts w:ascii="Verdana" w:hAnsi="Verdana"/>
          <w:lang w:val="en-GB"/>
        </w:rPr>
        <w:t>T</w:t>
      </w:r>
      <w:r w:rsidR="00E253EC">
        <w:rPr>
          <w:rFonts w:ascii="Verdana" w:hAnsi="Verdana"/>
          <w:lang w:val="en-GB"/>
        </w:rPr>
        <w:t>he heterozygous E46K mutation in the</w:t>
      </w:r>
      <w:r w:rsidR="00E253EC" w:rsidRPr="00293633">
        <w:rPr>
          <w:rFonts w:ascii="Verdana" w:hAnsi="Verdana"/>
          <w:i/>
          <w:iCs/>
          <w:lang w:val="en-GB"/>
        </w:rPr>
        <w:t xml:space="preserve"> SNCA</w:t>
      </w:r>
      <w:r w:rsidR="00E253EC">
        <w:rPr>
          <w:rFonts w:ascii="Verdana" w:hAnsi="Verdana"/>
          <w:lang w:val="en-GB"/>
        </w:rPr>
        <w:t xml:space="preserve"> gene causes a dominant form of Parkinson’s disease characterised by early onset and cognitive deficits, and development of dementia by the end stages of the disease.</w:t>
      </w:r>
      <w:r>
        <w:rPr>
          <w:rFonts w:ascii="Verdana" w:hAnsi="Verdana"/>
          <w:lang w:val="en-GB"/>
        </w:rPr>
        <w:t xml:space="preserve"> </w:t>
      </w:r>
      <w:r w:rsidR="00EA7B9D">
        <w:rPr>
          <w:rFonts w:ascii="Verdana" w:hAnsi="Verdana"/>
          <w:lang w:val="en-GB"/>
        </w:rPr>
        <w:t>As shown in Chapter 3, the SNCA</w:t>
      </w:r>
      <w:r w:rsidR="00B91EA5">
        <w:rPr>
          <w:rFonts w:ascii="Verdana" w:hAnsi="Verdana"/>
          <w:lang w:val="en-GB"/>
        </w:rPr>
        <w:t>*E46K</w:t>
      </w:r>
      <w:r w:rsidR="00EA7B9D">
        <w:rPr>
          <w:rFonts w:ascii="Verdana" w:hAnsi="Verdana"/>
          <w:lang w:val="en-GB"/>
        </w:rPr>
        <w:t xml:space="preserve"> mouse has shown potential to model the early phases of PD-linked neurodegeneration. In Chapter 4, </w:t>
      </w:r>
      <w:r w:rsidR="000C3002">
        <w:rPr>
          <w:rFonts w:ascii="Verdana" w:hAnsi="Verdana"/>
          <w:lang w:val="en-GB"/>
        </w:rPr>
        <w:t>we have investigated the possibility to</w:t>
      </w:r>
      <w:r w:rsidR="00BA1C9B">
        <w:rPr>
          <w:rFonts w:ascii="Verdana" w:hAnsi="Verdana"/>
          <w:lang w:val="en-GB"/>
        </w:rPr>
        <w:t xml:space="preserve"> use this same mouse to model cognitive impairment</w:t>
      </w:r>
      <w:r w:rsidR="00232052">
        <w:rPr>
          <w:rFonts w:ascii="Verdana" w:hAnsi="Verdana"/>
          <w:lang w:val="en-GB"/>
        </w:rPr>
        <w:t xml:space="preserve"> and its development</w:t>
      </w:r>
      <w:r w:rsidR="00BA1C9B">
        <w:rPr>
          <w:rFonts w:ascii="Verdana" w:hAnsi="Verdana"/>
          <w:lang w:val="en-GB"/>
        </w:rPr>
        <w:t xml:space="preserve"> in PD. To do so, </w:t>
      </w:r>
      <w:r w:rsidR="00232052">
        <w:rPr>
          <w:rFonts w:ascii="Verdana" w:hAnsi="Verdana"/>
          <w:lang w:val="en-GB"/>
        </w:rPr>
        <w:t>we have profiled the hippocampus both in terms of neurodegeneration and transcriptional profile</w:t>
      </w:r>
      <w:r w:rsidR="00F528AC">
        <w:rPr>
          <w:rFonts w:ascii="Verdana" w:hAnsi="Verdana"/>
          <w:lang w:val="en-GB"/>
        </w:rPr>
        <w:t>, and we have characterised the presence of memory impairments through behavioural testing.</w:t>
      </w:r>
      <w:r w:rsidR="00812B4A">
        <w:rPr>
          <w:rFonts w:ascii="Verdana" w:hAnsi="Verdana"/>
          <w:lang w:val="en-GB"/>
        </w:rPr>
        <w:t xml:space="preserve"> To elucidate response mechanisms over time, we </w:t>
      </w:r>
      <w:r w:rsidR="002445EE">
        <w:rPr>
          <w:rFonts w:ascii="Verdana" w:hAnsi="Verdana"/>
          <w:lang w:val="en-GB"/>
        </w:rPr>
        <w:t xml:space="preserve">have investigated </w:t>
      </w:r>
      <w:r w:rsidR="001A0735">
        <w:rPr>
          <w:rFonts w:ascii="Verdana" w:hAnsi="Verdana"/>
          <w:lang w:val="en-GB"/>
        </w:rPr>
        <w:t>both the gene expression and functional responses</w:t>
      </w:r>
      <w:r w:rsidR="00812B4A">
        <w:rPr>
          <w:rFonts w:ascii="Verdana" w:hAnsi="Verdana"/>
          <w:lang w:val="en-GB"/>
        </w:rPr>
        <w:t xml:space="preserve"> across different ages.</w:t>
      </w:r>
    </w:p>
    <w:p w14:paraId="3AAFEFD4" w14:textId="77777777" w:rsidR="007C605F" w:rsidRDefault="007C605F" w:rsidP="001A0735">
      <w:pPr>
        <w:spacing w:line="360" w:lineRule="auto"/>
        <w:ind w:firstLine="0"/>
        <w:jc w:val="both"/>
        <w:rPr>
          <w:rFonts w:ascii="Verdana" w:hAnsi="Verdana"/>
          <w:b/>
          <w:bCs/>
          <w:lang w:val="en-GB"/>
        </w:rPr>
      </w:pPr>
    </w:p>
    <w:p w14:paraId="570236B1" w14:textId="26158FC3" w:rsidR="004C7EC1" w:rsidRDefault="004C7EC1" w:rsidP="00116F99">
      <w:pPr>
        <w:spacing w:line="360" w:lineRule="auto"/>
        <w:jc w:val="both"/>
        <w:rPr>
          <w:rFonts w:ascii="Verdana" w:hAnsi="Verdana"/>
          <w:b/>
          <w:bCs/>
          <w:lang w:val="en-GB"/>
        </w:rPr>
      </w:pPr>
      <w:r>
        <w:rPr>
          <w:rFonts w:ascii="Verdana" w:hAnsi="Verdana"/>
          <w:b/>
          <w:bCs/>
          <w:lang w:val="en-GB"/>
        </w:rPr>
        <w:t xml:space="preserve">Aim 3: </w:t>
      </w:r>
      <w:r w:rsidR="004E617F">
        <w:rPr>
          <w:rFonts w:ascii="Verdana" w:hAnsi="Verdana"/>
          <w:b/>
          <w:bCs/>
          <w:lang w:val="en-GB"/>
        </w:rPr>
        <w:t xml:space="preserve">Modelling the early pathogenic mechanisms of PD in an alpha-synuclein independent </w:t>
      </w:r>
      <w:r w:rsidR="00B74209">
        <w:rPr>
          <w:rFonts w:ascii="Verdana" w:hAnsi="Verdana"/>
          <w:b/>
          <w:bCs/>
          <w:lang w:val="en-GB"/>
        </w:rPr>
        <w:t>context, using the</w:t>
      </w:r>
      <w:r w:rsidR="00B74209" w:rsidRPr="00B74209">
        <w:rPr>
          <w:rFonts w:ascii="Verdana" w:hAnsi="Verdana"/>
          <w:b/>
          <w:bCs/>
          <w:i/>
          <w:iCs/>
          <w:lang w:val="en-GB"/>
        </w:rPr>
        <w:t xml:space="preserve"> Park7</w:t>
      </w:r>
      <w:r w:rsidR="00B74209">
        <w:rPr>
          <w:rFonts w:ascii="Verdana" w:hAnsi="Verdana"/>
          <w:b/>
          <w:bCs/>
          <w:lang w:val="en-GB"/>
        </w:rPr>
        <w:t xml:space="preserve"> knock-out mouse model</w:t>
      </w:r>
    </w:p>
    <w:p w14:paraId="3362168B" w14:textId="3077F330" w:rsidR="004C7EC1" w:rsidRDefault="00B11DA6" w:rsidP="007D27EF">
      <w:pPr>
        <w:spacing w:line="360" w:lineRule="auto"/>
        <w:jc w:val="both"/>
        <w:rPr>
          <w:rFonts w:ascii="Verdana" w:hAnsi="Verdana"/>
          <w:lang w:val="en-GB"/>
        </w:rPr>
      </w:pPr>
      <w:r>
        <w:rPr>
          <w:rFonts w:ascii="Verdana" w:hAnsi="Verdana"/>
          <w:lang w:val="en-GB"/>
        </w:rPr>
        <w:t xml:space="preserve">Loss-of-function mutations in the DJ-1 encoding gene </w:t>
      </w:r>
      <w:r w:rsidRPr="00B11DA6">
        <w:rPr>
          <w:rFonts w:ascii="Verdana" w:hAnsi="Verdana"/>
          <w:i/>
          <w:iCs/>
          <w:lang w:val="en-GB"/>
        </w:rPr>
        <w:t>Park7</w:t>
      </w:r>
      <w:r>
        <w:rPr>
          <w:rFonts w:ascii="Verdana" w:hAnsi="Verdana"/>
          <w:lang w:val="en-GB"/>
        </w:rPr>
        <w:t>, are causative of familial recessive early</w:t>
      </w:r>
      <w:r w:rsidR="00E31EB5">
        <w:rPr>
          <w:rFonts w:ascii="Verdana" w:hAnsi="Verdana"/>
          <w:lang w:val="en-GB"/>
        </w:rPr>
        <w:t>-</w:t>
      </w:r>
      <w:r>
        <w:rPr>
          <w:rFonts w:ascii="Verdana" w:hAnsi="Verdana"/>
          <w:lang w:val="en-GB"/>
        </w:rPr>
        <w:t xml:space="preserve">onset PD. </w:t>
      </w:r>
      <w:r w:rsidR="006C174B">
        <w:rPr>
          <w:rFonts w:ascii="Verdana" w:hAnsi="Verdana"/>
          <w:lang w:val="en-GB"/>
        </w:rPr>
        <w:t>The knock-out</w:t>
      </w:r>
      <w:r w:rsidR="00875C4C">
        <w:rPr>
          <w:rFonts w:ascii="Verdana" w:hAnsi="Verdana"/>
          <w:lang w:val="en-GB"/>
        </w:rPr>
        <w:t xml:space="preserve"> (KO)</w:t>
      </w:r>
      <w:r w:rsidR="006C174B">
        <w:rPr>
          <w:rFonts w:ascii="Verdana" w:hAnsi="Verdana"/>
          <w:lang w:val="en-GB"/>
        </w:rPr>
        <w:t xml:space="preserve"> of DJ-1 in mice was shown to </w:t>
      </w:r>
      <w:r w:rsidR="00E31EB5">
        <w:rPr>
          <w:rFonts w:ascii="Verdana" w:hAnsi="Verdana"/>
          <w:lang w:val="en-GB"/>
        </w:rPr>
        <w:t xml:space="preserve">reproduce some aspects of PD pathology, such as </w:t>
      </w:r>
      <w:r w:rsidR="00E31EB5">
        <w:rPr>
          <w:rFonts w:ascii="Verdana" w:hAnsi="Verdana"/>
          <w:lang w:val="en-GB"/>
        </w:rPr>
        <w:lastRenderedPageBreak/>
        <w:t xml:space="preserve">dopaminergic deficits and increased sensitivity to oxidative stress, </w:t>
      </w:r>
      <w:r w:rsidR="007D27EF">
        <w:rPr>
          <w:rFonts w:ascii="Verdana" w:hAnsi="Verdana"/>
          <w:lang w:val="en-GB"/>
        </w:rPr>
        <w:t xml:space="preserve">albeit with a generally mild phenotype. </w:t>
      </w:r>
      <w:r w:rsidR="00226F08">
        <w:rPr>
          <w:rFonts w:ascii="Verdana" w:hAnsi="Verdana"/>
          <w:lang w:val="en-GB"/>
        </w:rPr>
        <w:t>To investigate early pathological events linked to the loss of DJ-1,</w:t>
      </w:r>
      <w:r w:rsidR="00344A0F">
        <w:rPr>
          <w:rFonts w:ascii="Verdana" w:hAnsi="Verdana"/>
          <w:lang w:val="en-GB"/>
        </w:rPr>
        <w:t xml:space="preserve"> we profiled the gene expression changes in the ventral midbrain in young </w:t>
      </w:r>
      <w:r w:rsidR="00875C4C">
        <w:rPr>
          <w:rFonts w:ascii="Verdana" w:hAnsi="Verdana"/>
          <w:lang w:val="en-GB"/>
        </w:rPr>
        <w:t>DJ-1 KO</w:t>
      </w:r>
      <w:r w:rsidR="00344A0F">
        <w:rPr>
          <w:rFonts w:ascii="Verdana" w:hAnsi="Verdana"/>
          <w:lang w:val="en-GB"/>
        </w:rPr>
        <w:t xml:space="preserve"> mice.</w:t>
      </w:r>
      <w:r w:rsidR="00875C4C">
        <w:rPr>
          <w:rFonts w:ascii="Verdana" w:hAnsi="Verdana"/>
          <w:lang w:val="en-GB"/>
        </w:rPr>
        <w:t xml:space="preserve"> </w:t>
      </w:r>
      <w:r w:rsidR="003913CB">
        <w:rPr>
          <w:rFonts w:ascii="Verdana" w:hAnsi="Verdana"/>
          <w:lang w:val="en-GB"/>
        </w:rPr>
        <w:t xml:space="preserve">Since </w:t>
      </w:r>
      <w:r w:rsidR="003913CB" w:rsidRPr="00530CBA">
        <w:rPr>
          <w:rFonts w:ascii="Verdana" w:hAnsi="Verdana"/>
          <w:i/>
          <w:iCs/>
          <w:lang w:val="en-GB"/>
        </w:rPr>
        <w:t>Park7</w:t>
      </w:r>
      <w:r w:rsidR="003913CB">
        <w:rPr>
          <w:rFonts w:ascii="Verdana" w:hAnsi="Verdana"/>
          <w:lang w:val="en-GB"/>
        </w:rPr>
        <w:t xml:space="preserve"> </w:t>
      </w:r>
      <w:r w:rsidR="00530CBA">
        <w:rPr>
          <w:rFonts w:ascii="Verdana" w:hAnsi="Verdana"/>
          <w:lang w:val="en-GB"/>
        </w:rPr>
        <w:t>mutations are reported to occur more frequently in men than women, we profiled male and female mice separately to uncover</w:t>
      </w:r>
      <w:r w:rsidR="007217A9">
        <w:rPr>
          <w:rFonts w:ascii="Verdana" w:hAnsi="Verdana"/>
          <w:lang w:val="en-GB"/>
        </w:rPr>
        <w:t xml:space="preserve"> potential</w:t>
      </w:r>
      <w:r w:rsidR="00530CBA">
        <w:rPr>
          <w:rFonts w:ascii="Verdana" w:hAnsi="Verdana"/>
          <w:lang w:val="en-GB"/>
        </w:rPr>
        <w:t xml:space="preserve"> sex-specific responses to DJ-1 loss.</w:t>
      </w:r>
    </w:p>
    <w:p w14:paraId="04B94EC2" w14:textId="77777777" w:rsidR="00D156A5" w:rsidRDefault="00D156A5" w:rsidP="007D27EF">
      <w:pPr>
        <w:spacing w:line="360" w:lineRule="auto"/>
        <w:jc w:val="both"/>
        <w:rPr>
          <w:rFonts w:ascii="Verdana" w:hAnsi="Verdana"/>
          <w:lang w:val="en-GB"/>
        </w:rPr>
      </w:pPr>
    </w:p>
    <w:p w14:paraId="63A1F7D0" w14:textId="45BFA793" w:rsidR="00D156A5" w:rsidRDefault="00D156A5" w:rsidP="00D156A5">
      <w:pPr>
        <w:spacing w:line="360" w:lineRule="auto"/>
        <w:jc w:val="both"/>
        <w:rPr>
          <w:rFonts w:ascii="Verdana" w:hAnsi="Verdana"/>
          <w:b/>
          <w:bCs/>
          <w:lang w:val="en-GB"/>
        </w:rPr>
      </w:pPr>
      <w:r>
        <w:rPr>
          <w:rFonts w:ascii="Verdana" w:hAnsi="Verdana"/>
          <w:b/>
          <w:bCs/>
          <w:lang w:val="en-GB"/>
        </w:rPr>
        <w:t xml:space="preserve">Aim 4: Modelling early Parkinson-like phenotype in a </w:t>
      </w:r>
      <w:r w:rsidR="00531660">
        <w:rPr>
          <w:rFonts w:ascii="Verdana" w:hAnsi="Verdana"/>
          <w:b/>
          <w:bCs/>
          <w:lang w:val="en-GB"/>
        </w:rPr>
        <w:t xml:space="preserve">WT alpha-synuclein </w:t>
      </w:r>
      <w:proofErr w:type="spellStart"/>
      <w:r w:rsidR="00531660">
        <w:rPr>
          <w:rFonts w:ascii="Verdana" w:hAnsi="Verdana"/>
          <w:b/>
          <w:bCs/>
          <w:lang w:val="en-GB"/>
        </w:rPr>
        <w:t>overexpressor</w:t>
      </w:r>
      <w:proofErr w:type="spellEnd"/>
      <w:r w:rsidR="00531660">
        <w:rPr>
          <w:rFonts w:ascii="Verdana" w:hAnsi="Verdana"/>
          <w:b/>
          <w:bCs/>
          <w:lang w:val="en-GB"/>
        </w:rPr>
        <w:t xml:space="preserve"> model</w:t>
      </w:r>
    </w:p>
    <w:p w14:paraId="648C8FD6" w14:textId="79B801DD" w:rsidR="00531660" w:rsidRDefault="00531660" w:rsidP="00D156A5">
      <w:pPr>
        <w:spacing w:line="360" w:lineRule="auto"/>
        <w:jc w:val="both"/>
        <w:rPr>
          <w:rFonts w:ascii="Verdana" w:hAnsi="Verdana"/>
          <w:b/>
          <w:bCs/>
          <w:lang w:val="en-GB"/>
        </w:rPr>
      </w:pPr>
      <w:r w:rsidRPr="00AD4808">
        <w:rPr>
          <w:rFonts w:ascii="Verdana" w:hAnsi="Verdana"/>
          <w:lang w:val="en-GB"/>
        </w:rPr>
        <w:t>Alpha-synuclein</w:t>
      </w:r>
      <w:r>
        <w:rPr>
          <w:rFonts w:ascii="Verdana" w:hAnsi="Verdana"/>
          <w:lang w:val="en-GB"/>
        </w:rPr>
        <w:t xml:space="preserve"> aggregation and Lewy body pathology are a classical hallmark of PD, characterising both familial and sporadic cases of the disease. A mild overexpression of the human, wild-type alpha-synuclein gene can represent a good approach to use genetic models to reproduce a phenotype which is closer to that of idiopathic PD. In Chapter 6, we characterise</w:t>
      </w:r>
      <w:r w:rsidR="00CD2C28">
        <w:rPr>
          <w:rFonts w:ascii="Verdana" w:hAnsi="Verdana"/>
          <w:lang w:val="en-GB"/>
        </w:rPr>
        <w:t xml:space="preserve"> </w:t>
      </w:r>
      <w:r>
        <w:rPr>
          <w:rFonts w:ascii="Verdana" w:hAnsi="Verdana"/>
          <w:lang w:val="en-GB"/>
        </w:rPr>
        <w:t xml:space="preserve">a novel mouse model overexpressing the human </w:t>
      </w:r>
      <w:r w:rsidRPr="00137CA8">
        <w:rPr>
          <w:rFonts w:ascii="Verdana" w:hAnsi="Verdana"/>
          <w:i/>
          <w:iCs/>
          <w:lang w:val="en-GB"/>
        </w:rPr>
        <w:t>SNCA</w:t>
      </w:r>
      <w:r>
        <w:rPr>
          <w:rFonts w:ascii="Verdana" w:hAnsi="Verdana"/>
          <w:lang w:val="en-GB"/>
        </w:rPr>
        <w:t xml:space="preserve"> gene under the Thy1 murine promoter, through transcriptional profiling of the midbrain</w:t>
      </w:r>
      <w:r w:rsidR="00360FC7">
        <w:rPr>
          <w:rFonts w:ascii="Verdana" w:hAnsi="Verdana"/>
          <w:lang w:val="en-GB"/>
        </w:rPr>
        <w:t xml:space="preserve">, </w:t>
      </w:r>
      <w:r>
        <w:rPr>
          <w:rFonts w:ascii="Verdana" w:hAnsi="Verdana"/>
          <w:lang w:val="en-GB"/>
        </w:rPr>
        <w:t>neuropathological analysis of the striatum</w:t>
      </w:r>
      <w:r w:rsidR="00360FC7">
        <w:rPr>
          <w:rFonts w:ascii="Verdana" w:hAnsi="Verdana"/>
          <w:lang w:val="en-GB"/>
        </w:rPr>
        <w:t>, and behavioural assessment.</w:t>
      </w:r>
    </w:p>
    <w:p w14:paraId="7F470BF0" w14:textId="77777777" w:rsidR="00D156A5" w:rsidRDefault="00D156A5" w:rsidP="007217A9">
      <w:pPr>
        <w:spacing w:line="360" w:lineRule="auto"/>
        <w:ind w:firstLine="0"/>
        <w:jc w:val="both"/>
        <w:rPr>
          <w:rFonts w:ascii="Verdana" w:hAnsi="Verdana"/>
          <w:b/>
          <w:bCs/>
          <w:lang w:val="en-GB"/>
        </w:rPr>
      </w:pPr>
    </w:p>
    <w:p w14:paraId="130782AE" w14:textId="4B5B6623" w:rsidR="00716538" w:rsidRDefault="00716538" w:rsidP="00116F99">
      <w:pPr>
        <w:spacing w:line="360" w:lineRule="auto"/>
        <w:jc w:val="both"/>
        <w:rPr>
          <w:rFonts w:ascii="Verdana" w:hAnsi="Verdana"/>
          <w:b/>
          <w:bCs/>
          <w:lang w:val="en-GB"/>
        </w:rPr>
      </w:pPr>
      <w:r>
        <w:rPr>
          <w:rFonts w:ascii="Verdana" w:hAnsi="Verdana"/>
          <w:b/>
          <w:bCs/>
          <w:lang w:val="en-GB"/>
        </w:rPr>
        <w:t xml:space="preserve">Aim </w:t>
      </w:r>
      <w:r w:rsidR="0072713F">
        <w:rPr>
          <w:rFonts w:ascii="Verdana" w:hAnsi="Verdana"/>
          <w:b/>
          <w:bCs/>
          <w:lang w:val="en-GB"/>
        </w:rPr>
        <w:t>5</w:t>
      </w:r>
      <w:r>
        <w:rPr>
          <w:rFonts w:ascii="Verdana" w:hAnsi="Verdana"/>
          <w:b/>
          <w:bCs/>
          <w:lang w:val="en-GB"/>
        </w:rPr>
        <w:t>:</w:t>
      </w:r>
      <w:r w:rsidR="00C57640">
        <w:rPr>
          <w:rFonts w:ascii="Verdana" w:hAnsi="Verdana"/>
          <w:b/>
          <w:bCs/>
          <w:lang w:val="en-GB"/>
        </w:rPr>
        <w:t xml:space="preserve"> Modelling </w:t>
      </w:r>
      <w:r w:rsidR="00932FB8">
        <w:rPr>
          <w:rFonts w:ascii="Verdana" w:hAnsi="Verdana"/>
          <w:b/>
          <w:bCs/>
          <w:lang w:val="en-GB"/>
        </w:rPr>
        <w:t>the interplay of environmental and genetic factors in</w:t>
      </w:r>
      <w:r w:rsidR="00E52598">
        <w:rPr>
          <w:rFonts w:ascii="Verdana" w:hAnsi="Verdana"/>
          <w:b/>
          <w:bCs/>
          <w:lang w:val="en-GB"/>
        </w:rPr>
        <w:t xml:space="preserve"> the initiation and progression of</w:t>
      </w:r>
      <w:r w:rsidR="00932FB8">
        <w:rPr>
          <w:rFonts w:ascii="Verdana" w:hAnsi="Verdana"/>
          <w:b/>
          <w:bCs/>
          <w:lang w:val="en-GB"/>
        </w:rPr>
        <w:t xml:space="preserve"> idiopathic PD</w:t>
      </w:r>
    </w:p>
    <w:p w14:paraId="7AD989FE" w14:textId="45E38F9A" w:rsidR="00932FB8" w:rsidRPr="00AD4808" w:rsidRDefault="00360FC7" w:rsidP="00F255D4">
      <w:pPr>
        <w:spacing w:line="360" w:lineRule="auto"/>
        <w:jc w:val="both"/>
        <w:rPr>
          <w:rFonts w:ascii="Verdana" w:hAnsi="Verdana"/>
          <w:lang w:val="en-GB"/>
        </w:rPr>
      </w:pPr>
      <w:proofErr w:type="gramStart"/>
      <w:r>
        <w:rPr>
          <w:rFonts w:ascii="Verdana" w:hAnsi="Verdana"/>
          <w:lang w:val="en-GB"/>
        </w:rPr>
        <w:t>The majority of</w:t>
      </w:r>
      <w:proofErr w:type="gramEnd"/>
      <w:r>
        <w:rPr>
          <w:rFonts w:ascii="Verdana" w:hAnsi="Verdana"/>
          <w:lang w:val="en-GB"/>
        </w:rPr>
        <w:t xml:space="preserve"> PD cases do</w:t>
      </w:r>
      <w:r w:rsidR="00F255D4">
        <w:rPr>
          <w:rFonts w:ascii="Verdana" w:hAnsi="Verdana"/>
          <w:lang w:val="en-GB"/>
        </w:rPr>
        <w:t>es</w:t>
      </w:r>
      <w:r>
        <w:rPr>
          <w:rFonts w:ascii="Verdana" w:hAnsi="Verdana"/>
          <w:lang w:val="en-GB"/>
        </w:rPr>
        <w:t xml:space="preserve"> not present a known genetic cause</w:t>
      </w:r>
      <w:r w:rsidR="00F255D4">
        <w:rPr>
          <w:rFonts w:ascii="Verdana" w:hAnsi="Verdana"/>
          <w:lang w:val="en-GB"/>
        </w:rPr>
        <w:t>, and is determined by the interplay of genetic predisposition, biological process</w:t>
      </w:r>
      <w:r w:rsidR="00FA1875">
        <w:rPr>
          <w:rFonts w:ascii="Verdana" w:hAnsi="Verdana"/>
          <w:lang w:val="en-GB"/>
        </w:rPr>
        <w:t>es</w:t>
      </w:r>
      <w:r w:rsidR="00F255D4">
        <w:rPr>
          <w:rFonts w:ascii="Verdana" w:hAnsi="Verdana"/>
          <w:lang w:val="en-GB"/>
        </w:rPr>
        <w:t xml:space="preserve">, lifestyle and environmental factors. In </w:t>
      </w:r>
      <w:r w:rsidR="0043712D">
        <w:rPr>
          <w:rFonts w:ascii="Verdana" w:hAnsi="Verdana"/>
          <w:lang w:val="en-GB"/>
        </w:rPr>
        <w:t>Chapter 7,</w:t>
      </w:r>
      <w:r w:rsidR="00F255D4">
        <w:rPr>
          <w:rFonts w:ascii="Verdana" w:hAnsi="Verdana"/>
          <w:lang w:val="en-GB"/>
        </w:rPr>
        <w:t xml:space="preserve"> we used the </w:t>
      </w:r>
      <w:r w:rsidR="0043712D">
        <w:rPr>
          <w:rFonts w:ascii="Verdana" w:hAnsi="Verdana"/>
          <w:lang w:val="en-GB"/>
        </w:rPr>
        <w:t>Thy1-Syn14 mouse model characterised in Chapter 6 to</w:t>
      </w:r>
      <w:r w:rsidR="00F255D4">
        <w:rPr>
          <w:rFonts w:ascii="Verdana" w:hAnsi="Verdana"/>
          <w:lang w:val="en-GB"/>
        </w:rPr>
        <w:t xml:space="preserve"> investigate</w:t>
      </w:r>
      <w:r w:rsidR="003D3FA7">
        <w:rPr>
          <w:rFonts w:ascii="Verdana" w:hAnsi="Verdana"/>
          <w:lang w:val="en-GB"/>
        </w:rPr>
        <w:t xml:space="preserve"> the contribution of </w:t>
      </w:r>
      <w:r w:rsidR="003B0D87">
        <w:rPr>
          <w:rFonts w:ascii="Verdana" w:hAnsi="Verdana"/>
          <w:lang w:val="en-GB"/>
        </w:rPr>
        <w:t xml:space="preserve">a westernized </w:t>
      </w:r>
      <w:r w:rsidR="003D3FA7">
        <w:rPr>
          <w:rFonts w:ascii="Verdana" w:hAnsi="Verdana"/>
          <w:lang w:val="en-GB"/>
        </w:rPr>
        <w:t xml:space="preserve">diet </w:t>
      </w:r>
      <w:r w:rsidR="003B0D87">
        <w:rPr>
          <w:rFonts w:ascii="Verdana" w:hAnsi="Verdana"/>
          <w:lang w:val="en-GB"/>
        </w:rPr>
        <w:t>poor in fibres</w:t>
      </w:r>
      <w:r w:rsidR="003D3FA7">
        <w:rPr>
          <w:rFonts w:ascii="Verdana" w:hAnsi="Verdana"/>
          <w:lang w:val="en-GB"/>
        </w:rPr>
        <w:t xml:space="preserve"> and exposure to</w:t>
      </w:r>
      <w:r w:rsidR="0043712D">
        <w:rPr>
          <w:rFonts w:ascii="Verdana" w:hAnsi="Verdana"/>
          <w:lang w:val="en-GB"/>
        </w:rPr>
        <w:t xml:space="preserve"> bacterial amyloidogenic protein</w:t>
      </w:r>
      <w:r w:rsidR="003B0D87">
        <w:rPr>
          <w:rFonts w:ascii="Verdana" w:hAnsi="Verdana"/>
          <w:lang w:val="en-GB"/>
        </w:rPr>
        <w:t xml:space="preserve"> Curli</w:t>
      </w:r>
      <w:r w:rsidR="0043712D">
        <w:rPr>
          <w:rFonts w:ascii="Verdana" w:hAnsi="Verdana"/>
          <w:lang w:val="en-GB"/>
        </w:rPr>
        <w:t xml:space="preserve"> in</w:t>
      </w:r>
      <w:r w:rsidR="003D3FA7">
        <w:rPr>
          <w:rFonts w:ascii="Verdana" w:hAnsi="Verdana"/>
          <w:lang w:val="en-GB"/>
        </w:rPr>
        <w:t xml:space="preserve"> the initiation and progression of PD-like pathologies.</w:t>
      </w:r>
    </w:p>
    <w:p w14:paraId="417B9196" w14:textId="77777777" w:rsidR="00546E34" w:rsidRDefault="00546E34" w:rsidP="006D0B71">
      <w:pPr>
        <w:spacing w:line="360" w:lineRule="auto"/>
        <w:ind w:firstLine="0"/>
        <w:jc w:val="both"/>
        <w:rPr>
          <w:rFonts w:ascii="Verdana" w:hAnsi="Verdana"/>
          <w:b/>
          <w:bCs/>
          <w:lang w:val="en-GB"/>
        </w:rPr>
      </w:pPr>
    </w:p>
    <w:p w14:paraId="6EF9101F" w14:textId="10C77AA8" w:rsidR="00E52598" w:rsidRDefault="00E52598" w:rsidP="00116F99">
      <w:pPr>
        <w:spacing w:line="360" w:lineRule="auto"/>
        <w:jc w:val="both"/>
        <w:rPr>
          <w:rFonts w:ascii="Verdana" w:hAnsi="Verdana"/>
          <w:b/>
          <w:bCs/>
          <w:lang w:val="en-GB"/>
        </w:rPr>
      </w:pPr>
      <w:r>
        <w:rPr>
          <w:rFonts w:ascii="Verdana" w:hAnsi="Verdana"/>
          <w:b/>
          <w:bCs/>
          <w:lang w:val="en-GB"/>
        </w:rPr>
        <w:t xml:space="preserve">Aim </w:t>
      </w:r>
      <w:r w:rsidR="00975F4F">
        <w:rPr>
          <w:rFonts w:ascii="Verdana" w:hAnsi="Verdana"/>
          <w:b/>
          <w:bCs/>
          <w:lang w:val="en-GB"/>
        </w:rPr>
        <w:t>6</w:t>
      </w:r>
      <w:r>
        <w:rPr>
          <w:rFonts w:ascii="Verdana" w:hAnsi="Verdana"/>
          <w:b/>
          <w:bCs/>
          <w:lang w:val="en-GB"/>
        </w:rPr>
        <w:t xml:space="preserve">: </w:t>
      </w:r>
      <w:r w:rsidR="00B03B7B">
        <w:rPr>
          <w:rFonts w:ascii="Verdana" w:hAnsi="Verdana"/>
          <w:b/>
          <w:bCs/>
          <w:lang w:val="en-GB"/>
        </w:rPr>
        <w:t xml:space="preserve">Investigation of </w:t>
      </w:r>
      <w:r w:rsidR="00770975">
        <w:rPr>
          <w:rFonts w:ascii="Verdana" w:hAnsi="Verdana"/>
          <w:b/>
          <w:bCs/>
          <w:lang w:val="en-GB"/>
        </w:rPr>
        <w:t>alpha-synuclein moieties and</w:t>
      </w:r>
      <w:r w:rsidR="00B03B7B">
        <w:rPr>
          <w:rFonts w:ascii="Verdana" w:hAnsi="Verdana"/>
          <w:b/>
          <w:bCs/>
          <w:lang w:val="en-GB"/>
        </w:rPr>
        <w:t xml:space="preserve"> glutamate excitotoxicity</w:t>
      </w:r>
      <w:r w:rsidR="00770975">
        <w:rPr>
          <w:rFonts w:ascii="Verdana" w:hAnsi="Verdana"/>
          <w:b/>
          <w:bCs/>
          <w:lang w:val="en-GB"/>
        </w:rPr>
        <w:t xml:space="preserve"> </w:t>
      </w:r>
      <w:r w:rsidR="00B03B7B">
        <w:rPr>
          <w:rFonts w:ascii="Verdana" w:hAnsi="Verdana"/>
          <w:b/>
          <w:bCs/>
          <w:lang w:val="en-GB"/>
        </w:rPr>
        <w:t xml:space="preserve">in cellular models </w:t>
      </w:r>
      <w:r w:rsidR="00BE4A3F">
        <w:rPr>
          <w:rFonts w:ascii="Verdana" w:hAnsi="Verdana"/>
          <w:b/>
          <w:bCs/>
          <w:lang w:val="en-GB"/>
        </w:rPr>
        <w:t>of PD</w:t>
      </w:r>
    </w:p>
    <w:p w14:paraId="545D7A2F" w14:textId="126F849F" w:rsidR="00AE5C15" w:rsidRDefault="00007A9A" w:rsidP="00E255CC">
      <w:pPr>
        <w:spacing w:line="360" w:lineRule="auto"/>
        <w:jc w:val="both"/>
        <w:rPr>
          <w:rFonts w:ascii="Verdana" w:hAnsi="Verdana"/>
          <w:lang w:val="en-GB"/>
        </w:rPr>
      </w:pPr>
      <w:r>
        <w:rPr>
          <w:rFonts w:ascii="Verdana" w:hAnsi="Verdana"/>
          <w:lang w:val="en-GB"/>
        </w:rPr>
        <w:t xml:space="preserve">Despite the proven relevance of alpha-synuclein to PD pathology, there is still an on-going debate on </w:t>
      </w:r>
      <w:r w:rsidR="00045E05">
        <w:rPr>
          <w:rFonts w:ascii="Verdana" w:hAnsi="Verdana"/>
          <w:lang w:val="en-GB"/>
        </w:rPr>
        <w:t xml:space="preserve">whether the alpha-synuclein aggregates have a </w:t>
      </w:r>
      <w:r w:rsidR="00045E05">
        <w:rPr>
          <w:rFonts w:ascii="Verdana" w:hAnsi="Verdana"/>
          <w:lang w:val="en-GB"/>
        </w:rPr>
        <w:lastRenderedPageBreak/>
        <w:t xml:space="preserve">toxic effect. In recent years, new evidence </w:t>
      </w:r>
      <w:proofErr w:type="gramStart"/>
      <w:r w:rsidR="00045E05">
        <w:rPr>
          <w:rFonts w:ascii="Verdana" w:hAnsi="Verdana"/>
          <w:lang w:val="en-GB"/>
        </w:rPr>
        <w:t>have</w:t>
      </w:r>
      <w:proofErr w:type="gramEnd"/>
      <w:r w:rsidR="00045E05">
        <w:rPr>
          <w:rFonts w:ascii="Verdana" w:hAnsi="Verdana"/>
          <w:lang w:val="en-GB"/>
        </w:rPr>
        <w:t xml:space="preserve"> proposed </w:t>
      </w:r>
      <w:r w:rsidR="00E5095E">
        <w:rPr>
          <w:rFonts w:ascii="Verdana" w:hAnsi="Verdana"/>
          <w:lang w:val="en-GB"/>
        </w:rPr>
        <w:t>oligomeric</w:t>
      </w:r>
      <w:r w:rsidR="00045E05">
        <w:rPr>
          <w:rFonts w:ascii="Verdana" w:hAnsi="Verdana"/>
          <w:lang w:val="en-GB"/>
        </w:rPr>
        <w:t xml:space="preserve"> forms </w:t>
      </w:r>
      <w:r w:rsidR="00E5095E">
        <w:rPr>
          <w:rFonts w:ascii="Verdana" w:hAnsi="Verdana"/>
          <w:lang w:val="en-GB"/>
        </w:rPr>
        <w:t>of alpha-synuclein, generated as intermediate species along the aggregation process, as the toxic species responsible for neuronal death and pathology spreading.</w:t>
      </w:r>
      <w:r w:rsidR="00F51589">
        <w:rPr>
          <w:rFonts w:ascii="Verdana" w:hAnsi="Verdana"/>
          <w:lang w:val="en-GB"/>
        </w:rPr>
        <w:t xml:space="preserve"> </w:t>
      </w:r>
      <w:r w:rsidR="00F51589" w:rsidRPr="00F51589">
        <w:rPr>
          <w:rFonts w:ascii="Verdana" w:hAnsi="Verdana"/>
          <w:i/>
          <w:iCs/>
          <w:lang w:val="en-GB"/>
        </w:rPr>
        <w:t>In vitro</w:t>
      </w:r>
      <w:r w:rsidR="00F51589">
        <w:rPr>
          <w:rFonts w:ascii="Verdana" w:hAnsi="Verdana"/>
          <w:lang w:val="en-GB"/>
        </w:rPr>
        <w:t xml:space="preserve"> synthetized alpha-synuclein moieties</w:t>
      </w:r>
      <w:r w:rsidR="00C35442">
        <w:rPr>
          <w:rFonts w:ascii="Verdana" w:hAnsi="Verdana"/>
          <w:lang w:val="en-GB"/>
        </w:rPr>
        <w:t xml:space="preserve"> can be used to generate cellular or</w:t>
      </w:r>
      <w:r w:rsidR="00C35442" w:rsidRPr="00C35442">
        <w:rPr>
          <w:rFonts w:ascii="Verdana" w:hAnsi="Verdana"/>
          <w:i/>
          <w:iCs/>
          <w:lang w:val="en-GB"/>
        </w:rPr>
        <w:t xml:space="preserve"> in vivo</w:t>
      </w:r>
      <w:r w:rsidR="00C35442">
        <w:rPr>
          <w:rFonts w:ascii="Verdana" w:hAnsi="Verdana"/>
          <w:lang w:val="en-GB"/>
        </w:rPr>
        <w:t xml:space="preserve"> models</w:t>
      </w:r>
      <w:r w:rsidR="00E24E57">
        <w:rPr>
          <w:rFonts w:ascii="Verdana" w:hAnsi="Verdana"/>
          <w:lang w:val="en-GB"/>
        </w:rPr>
        <w:t xml:space="preserve"> of PD-like phenotypes</w:t>
      </w:r>
      <w:r w:rsidR="00D031D3">
        <w:rPr>
          <w:rFonts w:ascii="Verdana" w:hAnsi="Verdana"/>
          <w:lang w:val="en-GB"/>
        </w:rPr>
        <w:t>, and could help understanding</w:t>
      </w:r>
      <w:r w:rsidR="008A008B">
        <w:rPr>
          <w:rFonts w:ascii="Verdana" w:hAnsi="Verdana"/>
          <w:lang w:val="en-GB"/>
        </w:rPr>
        <w:t xml:space="preserve"> the relevance of each form of the alpha-synuclein protein in the pathogenesis of PD.</w:t>
      </w:r>
    </w:p>
    <w:p w14:paraId="24C98C31" w14:textId="051F9EBC" w:rsidR="008A03B3" w:rsidRDefault="00BF2817" w:rsidP="00BC1ADD">
      <w:pPr>
        <w:spacing w:line="360" w:lineRule="auto"/>
        <w:jc w:val="both"/>
        <w:rPr>
          <w:rFonts w:ascii="Verdana" w:hAnsi="Verdana"/>
          <w:lang w:val="en-GB"/>
        </w:rPr>
      </w:pPr>
      <w:r w:rsidRPr="00BF2817">
        <w:rPr>
          <w:rFonts w:ascii="Verdana" w:hAnsi="Verdana"/>
          <w:lang w:val="en-GB"/>
        </w:rPr>
        <w:t>The primary excitatory neurotransmitter in the central nervous system is glutamate.</w:t>
      </w:r>
      <w:r>
        <w:rPr>
          <w:rFonts w:ascii="Verdana" w:hAnsi="Verdana"/>
          <w:lang w:val="en-GB"/>
        </w:rPr>
        <w:t xml:space="preserve"> Increases in extracellular glutamate levels </w:t>
      </w:r>
      <w:r w:rsidR="007E0195">
        <w:rPr>
          <w:rFonts w:ascii="Verdana" w:hAnsi="Verdana"/>
          <w:lang w:val="en-GB"/>
        </w:rPr>
        <w:t>cause aberrant synaptic signalling leading to neuronal death</w:t>
      </w:r>
      <w:r w:rsidR="00B16751">
        <w:rPr>
          <w:rFonts w:ascii="Verdana" w:hAnsi="Verdana"/>
          <w:lang w:val="en-GB"/>
        </w:rPr>
        <w:t>,</w:t>
      </w:r>
      <w:r w:rsidR="00B16751" w:rsidRPr="00B16751">
        <w:rPr>
          <w:rFonts w:ascii="Verdana" w:hAnsi="Verdana"/>
          <w:lang w:val="en-GB"/>
        </w:rPr>
        <w:t xml:space="preserve"> </w:t>
      </w:r>
      <w:r w:rsidR="00B16751">
        <w:rPr>
          <w:rFonts w:ascii="Verdana" w:hAnsi="Verdana"/>
          <w:lang w:val="en-GB"/>
        </w:rPr>
        <w:t xml:space="preserve">making glutamate excitotoxicity a common pathological process in acute brain trauma and ischemia </w:t>
      </w:r>
      <w:r w:rsidR="00D1389D">
        <w:rPr>
          <w:rFonts w:ascii="Verdana" w:hAnsi="Verdana"/>
          <w:lang w:val="en-GB"/>
        </w:rPr>
        <w:fldChar w:fldCharType="begin"/>
      </w:r>
      <w:r w:rsidR="00D1389D">
        <w:rPr>
          <w:rFonts w:ascii="Verdana" w:hAnsi="Verdana"/>
          <w:lang w:val="en-GB"/>
        </w:rPr>
        <w:instrText xml:space="preserve"> ADDIN ZOTERO_ITEM CSL_CITATION {"citationID":"OCl89yl4","properties":{"formattedCitation":"(Arundine and Tymianski 2004)","plainCitation":"(Arundine and Tymianski 2004)","noteIndex":0},"citationItems":[{"id":2178,"uris":["http://zotero.org/users/9330673/items/T74PHJ29"],"itemData":{"id":2178,"type":"article-journal","container-title":"Cellular and Molecular Life Sciences (CMLS)","DOI":"10.1007/s00018-003-3319-x","ISSN":"1420-682X, 1420-9071","issue":"6","journalAbbreviation":"Cellular and Molecular Life Sciences (CMLS)","language":"en","page":"657-668","source":"DOI.org (Crossref)","title":"Molecular mechanisms of glutamate-dependent neurodegeneration in ischemia and traumatic brain injury","volume":"61","author":[{"family":"Arundine","given":"M."},{"family":"Tymianski","given":"M."}],"issued":{"date-parts":[["2004",3,1]]}}}],"schema":"https://github.com/citation-style-language/schema/raw/master/csl-citation.json"} </w:instrText>
      </w:r>
      <w:r w:rsidR="00D1389D">
        <w:rPr>
          <w:rFonts w:ascii="Verdana" w:hAnsi="Verdana"/>
          <w:lang w:val="en-GB"/>
        </w:rPr>
        <w:fldChar w:fldCharType="separate"/>
      </w:r>
      <w:r w:rsidR="00D1389D" w:rsidRPr="00D1389D">
        <w:rPr>
          <w:rFonts w:ascii="Verdana" w:hAnsi="Verdana"/>
        </w:rPr>
        <w:t>(Arundine and Tymianski 2004)</w:t>
      </w:r>
      <w:r w:rsidR="00D1389D">
        <w:rPr>
          <w:rFonts w:ascii="Verdana" w:hAnsi="Verdana"/>
          <w:lang w:val="en-GB"/>
        </w:rPr>
        <w:fldChar w:fldCharType="end"/>
      </w:r>
      <w:r w:rsidR="00821041">
        <w:rPr>
          <w:rFonts w:ascii="Verdana" w:hAnsi="Verdana"/>
          <w:lang w:val="en-GB"/>
        </w:rPr>
        <w:t>.</w:t>
      </w:r>
      <w:r w:rsidR="00E2447F">
        <w:rPr>
          <w:rFonts w:ascii="Verdana" w:hAnsi="Verdana"/>
          <w:lang w:val="en-GB"/>
        </w:rPr>
        <w:t xml:space="preserve"> Furthermore,</w:t>
      </w:r>
      <w:r w:rsidR="00722C69">
        <w:rPr>
          <w:rFonts w:ascii="Verdana" w:hAnsi="Verdana"/>
          <w:lang w:val="en-GB"/>
        </w:rPr>
        <w:t xml:space="preserve"> the PD associated protein</w:t>
      </w:r>
      <w:r w:rsidR="00821041">
        <w:rPr>
          <w:rFonts w:ascii="Verdana" w:hAnsi="Verdana"/>
          <w:lang w:val="en-GB"/>
        </w:rPr>
        <w:t xml:space="preserve"> </w:t>
      </w:r>
      <w:r w:rsidR="009E6559">
        <w:rPr>
          <w:rFonts w:ascii="Verdana" w:hAnsi="Verdana"/>
          <w:lang w:val="en-GB"/>
        </w:rPr>
        <w:t>DJ-1 has been shown</w:t>
      </w:r>
      <w:r w:rsidR="003118E0">
        <w:rPr>
          <w:rFonts w:ascii="Verdana" w:hAnsi="Verdana"/>
          <w:lang w:val="en-GB"/>
        </w:rPr>
        <w:t xml:space="preserve"> to </w:t>
      </w:r>
      <w:r w:rsidR="00722C69">
        <w:rPr>
          <w:rFonts w:ascii="Verdana" w:hAnsi="Verdana"/>
          <w:lang w:val="en-GB"/>
        </w:rPr>
        <w:t>protect against stroke-induce</w:t>
      </w:r>
      <w:r w:rsidR="00C6645C">
        <w:rPr>
          <w:rFonts w:ascii="Verdana" w:hAnsi="Verdana"/>
          <w:lang w:val="en-GB"/>
        </w:rPr>
        <w:t>d</w:t>
      </w:r>
      <w:r w:rsidR="00722C69">
        <w:rPr>
          <w:rFonts w:ascii="Verdana" w:hAnsi="Verdana"/>
          <w:lang w:val="en-GB"/>
        </w:rPr>
        <w:t xml:space="preserve"> damage by modulating</w:t>
      </w:r>
      <w:r w:rsidR="00F512AB">
        <w:rPr>
          <w:rFonts w:ascii="Verdana" w:hAnsi="Verdana"/>
          <w:lang w:val="en-GB"/>
        </w:rPr>
        <w:t xml:space="preserve"> excitotoxicity</w:t>
      </w:r>
      <w:r w:rsidR="00D745B2">
        <w:rPr>
          <w:rFonts w:ascii="Verdana" w:hAnsi="Verdana"/>
          <w:lang w:val="en-GB"/>
        </w:rPr>
        <w:t xml:space="preserve"> </w:t>
      </w:r>
      <w:r w:rsidR="00A779AE">
        <w:rPr>
          <w:rFonts w:ascii="Verdana" w:hAnsi="Verdana"/>
          <w:lang w:val="en-GB"/>
        </w:rPr>
        <w:fldChar w:fldCharType="begin"/>
      </w:r>
      <w:r w:rsidR="00A779AE">
        <w:rPr>
          <w:rFonts w:ascii="Verdana" w:hAnsi="Verdana"/>
          <w:lang w:val="en-GB"/>
        </w:rPr>
        <w:instrText xml:space="preserve"> ADDIN ZOTERO_ITEM CSL_CITATION {"citationID":"xLAHzAgQ","properties":{"formattedCitation":"(Aleyasin et al. 2007)","plainCitation":"(Aleyasin et al. 2007)","noteIndex":0},"citationItems":[{"id":298,"uris":["http://zotero.org/users/9330673/items/HVDQLYE5"],"itemData":{"id":298,"type":"article-journal","abstract":"Recent evidence has indicated that common mechanisms play roles among multiple neurological diseases. However, the specifics of these pathways are not completely understood. Stroke is caused by the interruption of blood flow to the brain, and cumulative evidence supports the critical role of oxidative stress in the ensuing neuronal death process. DJ-1 (\n              PARK7\n              ) has been identified as the gene linked to early-onset familial Parkinson's disease. Currently, our work also shows that DJ-1 is central to death in both\n              in Vitro\n              and\n              in Vivo\n              models of stroke. Loss of DJ-1 increases the sensitivity to excitotoxicity and ischemia, whereas expression of DJ-1 can reverse this sensitivity and indeed provide further protection. Importantly, DJ-1 expression decreases markers of oxidative stress after stroke insult\n              in Vivo\n              , suggesting that DJ-1 protects through alleviation of oxidative stress. Consistent with this finding, we demonstrate the essential role of the oxidation-sensitive cysteine-106 residue in the neuroprotective activity of DJ-1 after stroke. Our work provides an important example of how a gene seemingly specific for one disease, in this case Parkinson's disease, also appears to be central in other neuropathological conditions such as stroke. It also highlights the important commonalities among differing neuropathologies.","container-title":"Proceedings of the National Academy of Sciences","DOI":"10.1073/pnas.0709379104","ISSN":"0027-8424, 1091-6490","issue":"47","journalAbbreviation":"Proc. Natl. Acad. Sci. U.S.A.","language":"en","page":"18748-18753","source":"DOI.org (Crossref)","title":"The Parkinson's disease gene DJ-1 is also a key regulator of stroke-induced damage","volume":"104","author":[{"family":"Aleyasin","given":"Hossein"},{"family":"Rousseaux","given":"Maxime W. C."},{"family":"Phillips","given":"Maryam"},{"family":"Kim","given":"Raymond H."},{"family":"Bland","given":"Ross J."},{"family":"Callaghan","given":"Steve"},{"family":"Slack","given":"Ruth S."},{"family":"During","given":"Matthew J."},{"family":"Mak","given":"Tak W."},{"family":"Park","given":"David S."}],"issued":{"date-parts":[["2007",11,20]]}}}],"schema":"https://github.com/citation-style-language/schema/raw/master/csl-citation.json"} </w:instrText>
      </w:r>
      <w:r w:rsidR="00A779AE">
        <w:rPr>
          <w:rFonts w:ascii="Verdana" w:hAnsi="Verdana"/>
          <w:lang w:val="en-GB"/>
        </w:rPr>
        <w:fldChar w:fldCharType="separate"/>
      </w:r>
      <w:r w:rsidR="00A779AE" w:rsidRPr="00A779AE">
        <w:rPr>
          <w:rFonts w:ascii="Verdana" w:hAnsi="Verdana"/>
        </w:rPr>
        <w:t>(Aleyasin et al. 2007)</w:t>
      </w:r>
      <w:r w:rsidR="00A779AE">
        <w:rPr>
          <w:rFonts w:ascii="Verdana" w:hAnsi="Verdana"/>
          <w:lang w:val="en-GB"/>
        </w:rPr>
        <w:fldChar w:fldCharType="end"/>
      </w:r>
      <w:r w:rsidR="00A84926">
        <w:rPr>
          <w:rFonts w:ascii="Verdana" w:hAnsi="Verdana"/>
          <w:lang w:val="en-GB"/>
        </w:rPr>
        <w:t>, opening up the possibility that excitotoxicity might play a role in PD as well</w:t>
      </w:r>
      <w:r w:rsidR="00E2447F">
        <w:rPr>
          <w:rFonts w:ascii="Verdana" w:hAnsi="Verdana"/>
          <w:lang w:val="en-GB"/>
        </w:rPr>
        <w:t>.</w:t>
      </w:r>
      <w:r w:rsidR="009E6559">
        <w:rPr>
          <w:rFonts w:ascii="Verdana" w:hAnsi="Verdana"/>
          <w:lang w:val="en-GB"/>
        </w:rPr>
        <w:t xml:space="preserve"> </w:t>
      </w:r>
      <w:r w:rsidR="00722C69">
        <w:rPr>
          <w:rFonts w:ascii="Verdana" w:hAnsi="Verdana"/>
          <w:lang w:val="en-GB"/>
        </w:rPr>
        <w:t>We initially used the glutamate treatment to set up a reliable system of neuronal toxicity</w:t>
      </w:r>
      <w:r w:rsidR="0028391C">
        <w:rPr>
          <w:rFonts w:ascii="Verdana" w:hAnsi="Verdana"/>
          <w:lang w:val="en-GB"/>
        </w:rPr>
        <w:t xml:space="preserve">, and later extended our investigation to </w:t>
      </w:r>
      <w:r w:rsidR="00BC1ADD">
        <w:rPr>
          <w:rFonts w:ascii="Verdana" w:hAnsi="Verdana"/>
          <w:lang w:val="en-GB"/>
        </w:rPr>
        <w:t>DJ-1 knock-down cells.</w:t>
      </w:r>
    </w:p>
    <w:p w14:paraId="664A4CAD" w14:textId="77777777" w:rsidR="008A03B3" w:rsidRDefault="008A03B3">
      <w:pPr>
        <w:ind w:firstLine="0"/>
        <w:rPr>
          <w:rFonts w:ascii="Verdana" w:hAnsi="Verdana"/>
          <w:lang w:val="en-GB"/>
        </w:rPr>
      </w:pPr>
      <w:r>
        <w:rPr>
          <w:rFonts w:ascii="Verdana" w:hAnsi="Verdana"/>
          <w:lang w:val="en-GB"/>
        </w:rPr>
        <w:br w:type="page"/>
      </w:r>
    </w:p>
    <w:p w14:paraId="4073DABE" w14:textId="61054CC3" w:rsidR="008A03B3" w:rsidRDefault="008A03B3" w:rsidP="001E3F99">
      <w:pPr>
        <w:spacing w:line="360" w:lineRule="auto"/>
        <w:rPr>
          <w:rFonts w:ascii="Verdana" w:hAnsi="Verdana"/>
          <w:lang w:val="en-GB"/>
        </w:rPr>
      </w:pPr>
      <w:r>
        <w:rPr>
          <w:rFonts w:ascii="Verdana" w:hAnsi="Verdana"/>
          <w:lang w:val="en-GB"/>
        </w:rPr>
        <w:lastRenderedPageBreak/>
        <w:t xml:space="preserve"> </w:t>
      </w:r>
    </w:p>
    <w:p w14:paraId="235EADA2" w14:textId="77777777" w:rsidR="008A03B3" w:rsidRDefault="008A03B3">
      <w:pPr>
        <w:ind w:firstLine="0"/>
        <w:rPr>
          <w:rFonts w:ascii="Verdana" w:hAnsi="Verdana"/>
          <w:lang w:val="en-GB"/>
        </w:rPr>
      </w:pPr>
      <w:r>
        <w:rPr>
          <w:rFonts w:ascii="Verdana" w:hAnsi="Verdana"/>
          <w:lang w:val="en-GB"/>
        </w:rPr>
        <w:br w:type="page"/>
      </w:r>
    </w:p>
    <w:p w14:paraId="03F8208C" w14:textId="0237DCB3" w:rsidR="008A03B3" w:rsidRPr="00D75252" w:rsidRDefault="008A03B3" w:rsidP="00573E2D">
      <w:pPr>
        <w:spacing w:line="360" w:lineRule="auto"/>
        <w:ind w:firstLine="0"/>
        <w:rPr>
          <w:rFonts w:ascii="Verdana" w:hAnsi="Verdana"/>
          <w:lang w:val="en-GB"/>
        </w:rPr>
        <w:sectPr w:rsidR="008A03B3" w:rsidRPr="00D75252" w:rsidSect="00E521C1">
          <w:pgSz w:w="11907" w:h="16840" w:code="9"/>
          <w:pgMar w:top="1440" w:right="1418" w:bottom="1440" w:left="1701" w:header="720" w:footer="720" w:gutter="0"/>
          <w:cols w:space="720"/>
          <w:docGrid w:linePitch="360"/>
        </w:sectPr>
      </w:pPr>
    </w:p>
    <w:p w14:paraId="28E1826F" w14:textId="0E227D0A" w:rsidR="00BE1069" w:rsidRPr="00735402" w:rsidRDefault="00BE1069" w:rsidP="00BE1069">
      <w:pPr>
        <w:pStyle w:val="Title"/>
        <w:jc w:val="center"/>
        <w:rPr>
          <w:rFonts w:ascii="Verdana" w:hAnsi="Verdana"/>
          <w:sz w:val="44"/>
          <w:szCs w:val="44"/>
          <w:lang w:val="en-GB"/>
        </w:rPr>
      </w:pPr>
      <w:r w:rsidRPr="00735402">
        <w:rPr>
          <w:rFonts w:ascii="Verdana" w:hAnsi="Verdana"/>
          <w:sz w:val="44"/>
          <w:szCs w:val="44"/>
          <w:lang w:val="en-GB"/>
        </w:rPr>
        <w:lastRenderedPageBreak/>
        <w:t>Part II</w:t>
      </w:r>
      <w:r w:rsidR="005F6B7C">
        <w:rPr>
          <w:rFonts w:ascii="Verdana" w:hAnsi="Verdana"/>
          <w:sz w:val="44"/>
          <w:szCs w:val="44"/>
          <w:lang w:val="en-GB"/>
        </w:rPr>
        <w:t>I</w:t>
      </w:r>
    </w:p>
    <w:p w14:paraId="6E559EA2" w14:textId="77777777" w:rsidR="00BE1069" w:rsidRDefault="00BE1069" w:rsidP="00BE1069">
      <w:pPr>
        <w:jc w:val="center"/>
        <w:rPr>
          <w:lang w:val="en-GB"/>
        </w:rPr>
      </w:pPr>
    </w:p>
    <w:p w14:paraId="72381939" w14:textId="0148CC9C" w:rsidR="00DB5E58" w:rsidRDefault="005F6B7C" w:rsidP="00AF19DE">
      <w:pPr>
        <w:pStyle w:val="Heading1"/>
        <w:jc w:val="center"/>
        <w:rPr>
          <w:lang w:val="en-GB"/>
        </w:rPr>
      </w:pPr>
      <w:bookmarkStart w:id="35" w:name="_Toc130223401"/>
      <w:r>
        <w:rPr>
          <w:lang w:val="en-GB"/>
        </w:rPr>
        <w:t>Materials and Methods</w:t>
      </w:r>
      <w:bookmarkEnd w:id="35"/>
    </w:p>
    <w:p w14:paraId="6313F3CA" w14:textId="77777777" w:rsidR="002C7881" w:rsidRDefault="002C7881">
      <w:pPr>
        <w:ind w:firstLine="0"/>
        <w:rPr>
          <w:lang w:val="en-GB"/>
        </w:rPr>
        <w:sectPr w:rsidR="002C7881" w:rsidSect="002C7881">
          <w:pgSz w:w="11907" w:h="16840" w:code="9"/>
          <w:pgMar w:top="1440" w:right="1418" w:bottom="1440" w:left="1701" w:header="720" w:footer="720" w:gutter="0"/>
          <w:cols w:space="720"/>
          <w:vAlign w:val="center"/>
          <w:docGrid w:linePitch="360"/>
        </w:sectPr>
      </w:pPr>
    </w:p>
    <w:p w14:paraId="4BBDB8D9" w14:textId="13CAA790" w:rsidR="005F6B7C" w:rsidRDefault="005F6B7C">
      <w:pPr>
        <w:ind w:firstLine="0"/>
        <w:rPr>
          <w:lang w:val="en-GB"/>
        </w:rPr>
      </w:pPr>
      <w:r>
        <w:rPr>
          <w:lang w:val="en-GB"/>
        </w:rPr>
        <w:lastRenderedPageBreak/>
        <w:br w:type="page"/>
      </w:r>
    </w:p>
    <w:p w14:paraId="31FFD3C4" w14:textId="71BFA040" w:rsidR="005F6B7C" w:rsidRDefault="005F6B7C" w:rsidP="005F6B7C">
      <w:pPr>
        <w:rPr>
          <w:lang w:val="en-GB"/>
        </w:rPr>
      </w:pPr>
    </w:p>
    <w:p w14:paraId="5F73A6BE" w14:textId="72D0ABA6" w:rsidR="006166DD" w:rsidRDefault="006166DD" w:rsidP="005F6B7C">
      <w:pPr>
        <w:rPr>
          <w:lang w:val="en-GB"/>
        </w:rPr>
      </w:pPr>
    </w:p>
    <w:p w14:paraId="4A55FD55" w14:textId="5FE493CC" w:rsidR="006166DD" w:rsidRDefault="006166DD" w:rsidP="005F6B7C">
      <w:pPr>
        <w:rPr>
          <w:lang w:val="en-GB"/>
        </w:rPr>
      </w:pPr>
    </w:p>
    <w:p w14:paraId="5F06E4DB" w14:textId="2686870B" w:rsidR="006166DD" w:rsidRDefault="006166DD" w:rsidP="005F6B7C">
      <w:pPr>
        <w:rPr>
          <w:lang w:val="en-GB"/>
        </w:rPr>
      </w:pPr>
    </w:p>
    <w:p w14:paraId="11F7708A" w14:textId="07413FE6" w:rsidR="006166DD" w:rsidRDefault="006166DD" w:rsidP="005F6B7C">
      <w:pPr>
        <w:rPr>
          <w:lang w:val="en-GB"/>
        </w:rPr>
      </w:pPr>
    </w:p>
    <w:p w14:paraId="6D3CFED1" w14:textId="580894D5" w:rsidR="00151D27" w:rsidRDefault="00151D27" w:rsidP="005F6B7C">
      <w:pPr>
        <w:rPr>
          <w:lang w:val="en-GB"/>
        </w:rPr>
      </w:pPr>
    </w:p>
    <w:p w14:paraId="1EF2CF07" w14:textId="77777777" w:rsidR="001A698E" w:rsidRDefault="001A698E" w:rsidP="00C00AB7">
      <w:pPr>
        <w:spacing w:line="360" w:lineRule="auto"/>
        <w:ind w:firstLine="0"/>
        <w:jc w:val="both"/>
        <w:rPr>
          <w:rFonts w:ascii="Verdana" w:hAnsi="Verdana"/>
          <w:b/>
          <w:lang w:val="en-GB"/>
        </w:rPr>
      </w:pPr>
    </w:p>
    <w:p w14:paraId="60A8DF24" w14:textId="39579C38" w:rsidR="00BE59D3" w:rsidRDefault="00BE59D3" w:rsidP="00BD0B25">
      <w:pPr>
        <w:pStyle w:val="Heading2"/>
        <w:rPr>
          <w:lang w:val="en-GB"/>
        </w:rPr>
      </w:pPr>
      <w:bookmarkStart w:id="36" w:name="_Toc130223402"/>
      <w:r w:rsidRPr="00150377">
        <w:rPr>
          <w:lang w:val="en-GB"/>
        </w:rPr>
        <w:t>Animals</w:t>
      </w:r>
      <w:bookmarkEnd w:id="36"/>
    </w:p>
    <w:p w14:paraId="7110DC52" w14:textId="77777777" w:rsidR="005B6126" w:rsidRPr="00150377" w:rsidRDefault="005B6126" w:rsidP="00BE59D3">
      <w:pPr>
        <w:spacing w:line="360" w:lineRule="auto"/>
        <w:jc w:val="both"/>
        <w:rPr>
          <w:rFonts w:ascii="Verdana" w:hAnsi="Verdana"/>
          <w:b/>
          <w:sz w:val="24"/>
          <w:szCs w:val="24"/>
          <w:lang w:val="en-GB"/>
        </w:rPr>
      </w:pPr>
    </w:p>
    <w:p w14:paraId="4985625C" w14:textId="5A27732E" w:rsidR="00BE59D3" w:rsidRPr="00150377" w:rsidRDefault="00150377" w:rsidP="00767F9D">
      <w:pPr>
        <w:pStyle w:val="Heading3"/>
        <w:rPr>
          <w:lang w:val="en-GB"/>
        </w:rPr>
      </w:pPr>
      <w:bookmarkStart w:id="37" w:name="_Toc130223403"/>
      <w:r>
        <w:rPr>
          <w:lang w:val="en-GB"/>
        </w:rPr>
        <w:t>Mouse c</w:t>
      </w:r>
      <w:r w:rsidR="00BE59D3" w:rsidRPr="00150377">
        <w:rPr>
          <w:lang w:val="en-GB"/>
        </w:rPr>
        <w:t>olony</w:t>
      </w:r>
      <w:r w:rsidR="00727B9E">
        <w:rPr>
          <w:lang w:val="en-GB"/>
        </w:rPr>
        <w:t xml:space="preserve"> management</w:t>
      </w:r>
      <w:bookmarkEnd w:id="37"/>
    </w:p>
    <w:p w14:paraId="462D3935" w14:textId="75EDA8CD" w:rsidR="00727B9E" w:rsidRDefault="009747EB" w:rsidP="00B92B7E">
      <w:pPr>
        <w:spacing w:line="360" w:lineRule="auto"/>
        <w:jc w:val="both"/>
        <w:rPr>
          <w:rFonts w:ascii="Verdana" w:hAnsi="Verdana"/>
          <w:lang w:val="en-GB"/>
        </w:rPr>
      </w:pPr>
      <w:r>
        <w:rPr>
          <w:rFonts w:ascii="Verdana" w:hAnsi="Verdana"/>
          <w:lang w:val="en-GB"/>
        </w:rPr>
        <w:t>For the present thesis, three different mouse lines were used.</w:t>
      </w:r>
      <w:r w:rsidR="003C4D79">
        <w:rPr>
          <w:rFonts w:ascii="Verdana" w:hAnsi="Verdana"/>
          <w:lang w:val="en-GB"/>
        </w:rPr>
        <w:t xml:space="preserve"> </w:t>
      </w:r>
      <w:r w:rsidR="00BE59D3" w:rsidRPr="00BE59D3">
        <w:rPr>
          <w:rFonts w:ascii="Verdana" w:hAnsi="Verdana"/>
          <w:lang w:val="en-GB"/>
        </w:rPr>
        <w:t xml:space="preserve">The transgenic mouse line BAC-Tg3(SNCA*E46K) overexpressing the E46K mutated, human synuclein, also known as </w:t>
      </w:r>
      <w:proofErr w:type="gramStart"/>
      <w:r w:rsidR="00BE59D3" w:rsidRPr="00BE59D3">
        <w:rPr>
          <w:rFonts w:ascii="Verdana" w:hAnsi="Verdana"/>
          <w:lang w:val="en-GB"/>
        </w:rPr>
        <w:t>Tg(</w:t>
      </w:r>
      <w:proofErr w:type="gramEnd"/>
      <w:r w:rsidR="00BE59D3" w:rsidRPr="00BE59D3">
        <w:rPr>
          <w:rFonts w:ascii="Verdana" w:hAnsi="Verdana"/>
          <w:lang w:val="en-GB"/>
        </w:rPr>
        <w:t>SNCA*E46K)3Elan/J or “Line 3”</w:t>
      </w:r>
      <w:r w:rsidR="00BC53DF">
        <w:rPr>
          <w:rFonts w:ascii="Verdana" w:hAnsi="Verdana"/>
          <w:lang w:val="en-GB"/>
        </w:rPr>
        <w:t>,</w:t>
      </w:r>
      <w:r w:rsidR="00BE59D3" w:rsidRPr="00BE59D3">
        <w:rPr>
          <w:rFonts w:ascii="Verdana" w:hAnsi="Verdana"/>
          <w:lang w:val="en-GB"/>
        </w:rPr>
        <w:t xml:space="preserve"> was generated by Elan Pharmaceuticals (USA) and first described in Gardai et al., 2013. </w:t>
      </w:r>
      <w:r w:rsidR="00962C27">
        <w:rPr>
          <w:rFonts w:ascii="Verdana" w:hAnsi="Verdana"/>
          <w:lang w:val="en-GB"/>
        </w:rPr>
        <w:t>The</w:t>
      </w:r>
      <w:r w:rsidR="005956AF">
        <w:rPr>
          <w:rFonts w:ascii="Verdana" w:hAnsi="Verdana"/>
          <w:lang w:val="en-GB"/>
        </w:rPr>
        <w:t xml:space="preserve"> Park7</w:t>
      </w:r>
      <w:proofErr w:type="gramStart"/>
      <w:r w:rsidR="00C44379" w:rsidRPr="00C44379">
        <w:rPr>
          <w:rFonts w:ascii="Verdana" w:hAnsi="Verdana"/>
          <w:vertAlign w:val="superscript"/>
          <w:lang w:val="en-GB"/>
        </w:rPr>
        <w:t>Gt(</w:t>
      </w:r>
      <w:proofErr w:type="gramEnd"/>
      <w:r w:rsidR="00C44379" w:rsidRPr="00C44379">
        <w:rPr>
          <w:rFonts w:ascii="Verdana" w:hAnsi="Verdana"/>
          <w:vertAlign w:val="superscript"/>
          <w:lang w:val="en-GB"/>
        </w:rPr>
        <w:t>XE726)</w:t>
      </w:r>
      <w:proofErr w:type="spellStart"/>
      <w:r w:rsidR="00C44379" w:rsidRPr="00C44379">
        <w:rPr>
          <w:rFonts w:ascii="Verdana" w:hAnsi="Verdana"/>
          <w:vertAlign w:val="superscript"/>
          <w:lang w:val="en-GB"/>
        </w:rPr>
        <w:t>Byg</w:t>
      </w:r>
      <w:proofErr w:type="spellEnd"/>
      <w:r w:rsidR="00962C27" w:rsidRPr="00C44379">
        <w:rPr>
          <w:rFonts w:ascii="Verdana" w:hAnsi="Verdana"/>
          <w:vertAlign w:val="superscript"/>
          <w:lang w:val="en-GB"/>
        </w:rPr>
        <w:t xml:space="preserve"> </w:t>
      </w:r>
      <w:r w:rsidR="00C44379">
        <w:rPr>
          <w:rFonts w:ascii="Verdana" w:hAnsi="Verdana"/>
          <w:lang w:val="en-GB"/>
        </w:rPr>
        <w:t>| D</w:t>
      </w:r>
      <w:r w:rsidR="00962C27">
        <w:rPr>
          <w:rFonts w:ascii="Verdana" w:hAnsi="Verdana"/>
          <w:lang w:val="en-GB"/>
        </w:rPr>
        <w:t>J-1</w:t>
      </w:r>
      <w:r w:rsidR="00343356" w:rsidRPr="00343356">
        <w:rPr>
          <w:rFonts w:ascii="Verdana" w:hAnsi="Verdana"/>
          <w:vertAlign w:val="superscript"/>
          <w:lang w:val="en-GB"/>
        </w:rPr>
        <w:t>-</w:t>
      </w:r>
      <w:r w:rsidR="00962C27">
        <w:rPr>
          <w:rFonts w:ascii="Verdana" w:hAnsi="Verdana"/>
          <w:lang w:val="en-GB"/>
        </w:rPr>
        <w:t xml:space="preserve"> </w:t>
      </w:r>
      <w:r w:rsidR="00343356">
        <w:rPr>
          <w:rFonts w:ascii="Verdana" w:hAnsi="Verdana"/>
          <w:lang w:val="en-GB"/>
        </w:rPr>
        <w:t xml:space="preserve">mouse </w:t>
      </w:r>
      <w:r w:rsidR="00962C27">
        <w:rPr>
          <w:rFonts w:ascii="Verdana" w:hAnsi="Verdana"/>
          <w:lang w:val="en-GB"/>
        </w:rPr>
        <w:t xml:space="preserve">line was generating </w:t>
      </w:r>
      <w:r w:rsidR="000A3C6C">
        <w:rPr>
          <w:rFonts w:ascii="Verdana" w:hAnsi="Verdana"/>
          <w:lang w:val="en-GB"/>
        </w:rPr>
        <w:t xml:space="preserve">through a gene trap vector integration </w:t>
      </w:r>
      <w:r w:rsidR="00442CBA">
        <w:rPr>
          <w:rFonts w:ascii="Verdana" w:hAnsi="Verdana"/>
          <w:lang w:val="en-GB"/>
        </w:rPr>
        <w:t xml:space="preserve">between exon 6 and 7 of the </w:t>
      </w:r>
      <w:r w:rsidR="00442CBA" w:rsidRPr="00442CBA">
        <w:rPr>
          <w:rFonts w:ascii="Verdana" w:hAnsi="Verdana"/>
          <w:i/>
          <w:iCs/>
          <w:lang w:val="en-GB"/>
        </w:rPr>
        <w:t>Dj-1</w:t>
      </w:r>
      <w:r w:rsidR="00442CBA">
        <w:rPr>
          <w:rFonts w:ascii="Verdana" w:hAnsi="Verdana"/>
          <w:lang w:val="en-GB"/>
        </w:rPr>
        <w:t xml:space="preserve"> gene</w:t>
      </w:r>
      <w:r w:rsidR="00342500">
        <w:rPr>
          <w:rFonts w:ascii="Verdana" w:hAnsi="Verdana"/>
          <w:lang w:val="en-GB"/>
        </w:rPr>
        <w:t xml:space="preserve"> (</w:t>
      </w:r>
      <w:r w:rsidR="00685F6B">
        <w:rPr>
          <w:rFonts w:ascii="Verdana" w:hAnsi="Verdana"/>
          <w:lang w:val="en-GB"/>
        </w:rPr>
        <w:t>Pham et al., 2010)</w:t>
      </w:r>
      <w:r w:rsidR="00343356">
        <w:rPr>
          <w:rFonts w:ascii="Verdana" w:hAnsi="Verdana"/>
          <w:lang w:val="en-GB"/>
        </w:rPr>
        <w:t xml:space="preserve">; </w:t>
      </w:r>
      <w:r w:rsidR="00685F6B">
        <w:rPr>
          <w:rFonts w:ascii="Verdana" w:hAnsi="Verdana"/>
          <w:lang w:val="en-GB"/>
        </w:rPr>
        <w:t xml:space="preserve">in our facility, </w:t>
      </w:r>
      <w:r w:rsidR="00343356">
        <w:rPr>
          <w:rFonts w:ascii="Verdana" w:hAnsi="Verdana"/>
          <w:lang w:val="en-GB"/>
        </w:rPr>
        <w:t xml:space="preserve">mice were back-crossed with </w:t>
      </w:r>
      <w:r w:rsidR="00342500">
        <w:rPr>
          <w:rFonts w:ascii="Verdana" w:hAnsi="Verdana"/>
          <w:lang w:val="en-GB"/>
        </w:rPr>
        <w:t>C57BL/6</w:t>
      </w:r>
      <w:r w:rsidR="00685F6B">
        <w:rPr>
          <w:rFonts w:ascii="Verdana" w:hAnsi="Verdana"/>
          <w:lang w:val="en-GB"/>
        </w:rPr>
        <w:t xml:space="preserve">N mice for over 20 generations before this study was performed. </w:t>
      </w:r>
      <w:r w:rsidR="000717A0">
        <w:rPr>
          <w:rFonts w:ascii="Verdana" w:hAnsi="Verdana"/>
        </w:rPr>
        <w:t xml:space="preserve">The transgenic mouse line </w:t>
      </w:r>
      <w:r w:rsidR="000717A0" w:rsidRPr="00AE17C4">
        <w:rPr>
          <w:rFonts w:ascii="Verdana" w:hAnsi="Verdana"/>
        </w:rPr>
        <w:t>B6.D2-</w:t>
      </w:r>
      <w:proofErr w:type="gramStart"/>
      <w:r w:rsidR="000717A0" w:rsidRPr="00AE17C4">
        <w:rPr>
          <w:rFonts w:ascii="Verdana" w:hAnsi="Verdana"/>
        </w:rPr>
        <w:t>Tg(</w:t>
      </w:r>
      <w:proofErr w:type="gramEnd"/>
      <w:r w:rsidR="000717A0" w:rsidRPr="00AE17C4">
        <w:rPr>
          <w:rFonts w:ascii="Verdana" w:hAnsi="Verdana"/>
        </w:rPr>
        <w:t>Thy1-SNCA)14Pjk</w:t>
      </w:r>
      <w:r w:rsidR="000717A0">
        <w:rPr>
          <w:rFonts w:ascii="Verdana" w:hAnsi="Verdana"/>
        </w:rPr>
        <w:t>, known as</w:t>
      </w:r>
      <w:r w:rsidR="000717A0" w:rsidRPr="00AE17C4">
        <w:rPr>
          <w:rFonts w:ascii="Verdana" w:hAnsi="Verdana"/>
        </w:rPr>
        <w:t xml:space="preserve"> </w:t>
      </w:r>
      <w:r w:rsidR="00A302F7">
        <w:rPr>
          <w:rFonts w:ascii="Verdana" w:hAnsi="Verdana"/>
          <w:lang w:val="en-GB"/>
        </w:rPr>
        <w:t>Thy1-Syn14</w:t>
      </w:r>
      <w:r w:rsidR="00B97B32">
        <w:rPr>
          <w:rFonts w:ascii="Verdana" w:hAnsi="Verdana"/>
          <w:lang w:val="en-GB"/>
        </w:rPr>
        <w:t xml:space="preserve"> line</w:t>
      </w:r>
      <w:r w:rsidR="0029646B">
        <w:rPr>
          <w:rFonts w:ascii="Verdana" w:hAnsi="Verdana"/>
          <w:lang w:val="en-GB"/>
        </w:rPr>
        <w:t>, overexpres</w:t>
      </w:r>
      <w:r w:rsidR="00B97B32">
        <w:rPr>
          <w:rFonts w:ascii="Verdana" w:hAnsi="Verdana"/>
          <w:lang w:val="en-GB"/>
        </w:rPr>
        <w:t>ses</w:t>
      </w:r>
      <w:r w:rsidR="00A302F7">
        <w:rPr>
          <w:rFonts w:ascii="Verdana" w:hAnsi="Verdana"/>
          <w:lang w:val="en-GB"/>
        </w:rPr>
        <w:t xml:space="preserve"> </w:t>
      </w:r>
      <w:r w:rsidR="0029646B">
        <w:rPr>
          <w:rFonts w:ascii="Verdana" w:hAnsi="Verdana"/>
          <w:lang w:val="en-GB"/>
        </w:rPr>
        <w:t>the human wild-type synuclein under the murine Thy1 promoter</w:t>
      </w:r>
      <w:r w:rsidR="007C1F3A">
        <w:rPr>
          <w:rFonts w:ascii="Verdana" w:hAnsi="Verdana"/>
          <w:lang w:val="en-GB"/>
        </w:rPr>
        <w:t xml:space="preserve">. </w:t>
      </w:r>
      <w:r w:rsidR="00422984">
        <w:rPr>
          <w:rFonts w:ascii="Verdana" w:hAnsi="Verdana"/>
          <w:lang w:val="en-GB"/>
        </w:rPr>
        <w:t>T</w:t>
      </w:r>
      <w:r w:rsidR="007C1F3A">
        <w:rPr>
          <w:rFonts w:ascii="Verdana" w:hAnsi="Verdana"/>
          <w:lang w:val="en-GB"/>
        </w:rPr>
        <w:t>ransgen</w:t>
      </w:r>
      <w:r w:rsidR="00422984">
        <w:rPr>
          <w:rFonts w:ascii="Verdana" w:hAnsi="Verdana"/>
          <w:lang w:val="en-GB"/>
        </w:rPr>
        <w:t xml:space="preserve">e </w:t>
      </w:r>
      <w:r w:rsidR="007C1F3A">
        <w:rPr>
          <w:rFonts w:ascii="Verdana" w:hAnsi="Verdana"/>
          <w:lang w:val="en-GB"/>
        </w:rPr>
        <w:t xml:space="preserve">expression levels </w:t>
      </w:r>
      <w:r w:rsidR="00422984">
        <w:rPr>
          <w:rFonts w:ascii="Verdana" w:hAnsi="Verdana"/>
          <w:lang w:val="en-GB"/>
        </w:rPr>
        <w:t>have been</w:t>
      </w:r>
      <w:r w:rsidR="00A302F7">
        <w:rPr>
          <w:rFonts w:ascii="Verdana" w:hAnsi="Verdana"/>
          <w:lang w:val="en-GB"/>
        </w:rPr>
        <w:t xml:space="preserve"> described in K</w:t>
      </w:r>
      <w:r w:rsidR="00941381">
        <w:rPr>
          <w:rFonts w:ascii="Verdana" w:hAnsi="Verdana"/>
          <w:lang w:val="en-GB"/>
        </w:rPr>
        <w:t>ahle et al., 2001</w:t>
      </w:r>
      <w:r w:rsidR="007C1F3A">
        <w:rPr>
          <w:rFonts w:ascii="Verdana" w:hAnsi="Verdana"/>
          <w:lang w:val="en-GB"/>
        </w:rPr>
        <w:t xml:space="preserve">, but </w:t>
      </w:r>
      <w:r w:rsidR="00422984">
        <w:rPr>
          <w:rFonts w:ascii="Verdana" w:hAnsi="Verdana"/>
          <w:lang w:val="en-GB"/>
        </w:rPr>
        <w:t>the phenotype of the line has not been reported in detail.</w:t>
      </w:r>
      <w:r w:rsidR="007C1F3A">
        <w:rPr>
          <w:rFonts w:ascii="Verdana" w:hAnsi="Verdana"/>
          <w:lang w:val="en-GB"/>
        </w:rPr>
        <w:t xml:space="preserve"> </w:t>
      </w:r>
      <w:r w:rsidR="003C4D79">
        <w:rPr>
          <w:rFonts w:ascii="Verdana" w:hAnsi="Verdana"/>
          <w:lang w:val="en-GB"/>
        </w:rPr>
        <w:t>T</w:t>
      </w:r>
      <w:r w:rsidR="00BE59D3" w:rsidRPr="00BE59D3">
        <w:rPr>
          <w:rFonts w:ascii="Verdana" w:hAnsi="Verdana"/>
          <w:lang w:val="en-GB"/>
        </w:rPr>
        <w:t xml:space="preserve">he mice were bred in the animal facility </w:t>
      </w:r>
      <w:r w:rsidR="00B92B7E">
        <w:rPr>
          <w:rFonts w:ascii="Verdana" w:hAnsi="Verdana"/>
          <w:lang w:val="en-GB"/>
        </w:rPr>
        <w:t>of</w:t>
      </w:r>
      <w:r w:rsidR="00BE59D3" w:rsidRPr="00BE59D3">
        <w:rPr>
          <w:rFonts w:ascii="Verdana" w:hAnsi="Verdana"/>
          <w:lang w:val="en-GB"/>
        </w:rPr>
        <w:t xml:space="preserve"> the University of Luxembourg under specific </w:t>
      </w:r>
      <w:r w:rsidR="0069297C">
        <w:rPr>
          <w:rFonts w:ascii="Verdana" w:hAnsi="Verdana"/>
          <w:lang w:val="en-GB"/>
        </w:rPr>
        <w:t xml:space="preserve">and opportunistic </w:t>
      </w:r>
      <w:r w:rsidR="00BE59D3" w:rsidRPr="00BE59D3">
        <w:rPr>
          <w:rFonts w:ascii="Verdana" w:hAnsi="Verdana"/>
          <w:lang w:val="en-GB"/>
        </w:rPr>
        <w:t>pathogen-free conditions (S</w:t>
      </w:r>
      <w:r w:rsidR="0069297C">
        <w:rPr>
          <w:rFonts w:ascii="Verdana" w:hAnsi="Verdana"/>
          <w:lang w:val="en-GB"/>
        </w:rPr>
        <w:t>O</w:t>
      </w:r>
      <w:r w:rsidR="00BE59D3" w:rsidRPr="00BE59D3">
        <w:rPr>
          <w:rFonts w:ascii="Verdana" w:hAnsi="Verdana"/>
          <w:lang w:val="en-GB"/>
        </w:rPr>
        <w:t>PF</w:t>
      </w:r>
      <w:proofErr w:type="gramStart"/>
      <w:r w:rsidR="00BE59D3" w:rsidRPr="00BE59D3">
        <w:rPr>
          <w:rFonts w:ascii="Verdana" w:hAnsi="Verdana"/>
          <w:lang w:val="en-GB"/>
        </w:rPr>
        <w:t>),</w:t>
      </w:r>
      <w:r w:rsidR="0069297C">
        <w:rPr>
          <w:rFonts w:ascii="Verdana" w:hAnsi="Verdana"/>
          <w:lang w:val="en-GB"/>
        </w:rPr>
        <w:t xml:space="preserve"> and</w:t>
      </w:r>
      <w:proofErr w:type="gramEnd"/>
      <w:r w:rsidR="0069297C">
        <w:rPr>
          <w:rFonts w:ascii="Verdana" w:hAnsi="Verdana"/>
          <w:lang w:val="en-GB"/>
        </w:rPr>
        <w:t xml:space="preserve"> were subsequently housed in specific pathogen-free conditions (SPF)</w:t>
      </w:r>
      <w:r w:rsidR="00BE59D3" w:rsidRPr="00BE59D3">
        <w:rPr>
          <w:rFonts w:ascii="Verdana" w:hAnsi="Verdana"/>
          <w:lang w:val="en-GB"/>
        </w:rPr>
        <w:t xml:space="preserve"> with </w:t>
      </w:r>
      <w:r w:rsidR="00BE59D3" w:rsidRPr="00BE59D3">
        <w:rPr>
          <w:rFonts w:ascii="Verdana" w:hAnsi="Verdana"/>
          <w:i/>
          <w:lang w:val="en-GB"/>
        </w:rPr>
        <w:t>ad libitum</w:t>
      </w:r>
      <w:r w:rsidR="00BE59D3" w:rsidRPr="00BE59D3">
        <w:rPr>
          <w:rFonts w:ascii="Verdana" w:hAnsi="Verdana"/>
          <w:lang w:val="en-GB"/>
        </w:rPr>
        <w:t xml:space="preserve"> access to water and food, and under exposure to a regular 12h day-night cycle.</w:t>
      </w:r>
    </w:p>
    <w:p w14:paraId="448DCBDC" w14:textId="4D471A15" w:rsidR="00685F6B" w:rsidRDefault="00685F6B" w:rsidP="00B92B7E">
      <w:pPr>
        <w:spacing w:line="360" w:lineRule="auto"/>
        <w:jc w:val="both"/>
        <w:rPr>
          <w:rFonts w:ascii="Verdana" w:hAnsi="Verdana"/>
          <w:lang w:val="en-GB"/>
        </w:rPr>
      </w:pPr>
      <w:r>
        <w:rPr>
          <w:rFonts w:ascii="Verdana" w:hAnsi="Verdana"/>
          <w:lang w:val="en-GB"/>
        </w:rPr>
        <w:t xml:space="preserve">All experiments received approval by the Animal Experimentation Ethics Committee of the University of </w:t>
      </w:r>
      <w:proofErr w:type="gramStart"/>
      <w:r>
        <w:rPr>
          <w:rFonts w:ascii="Verdana" w:hAnsi="Verdana"/>
          <w:lang w:val="en-GB"/>
        </w:rPr>
        <w:t>Luxembourg</w:t>
      </w:r>
      <w:r w:rsidR="00E159D0">
        <w:rPr>
          <w:rFonts w:ascii="Verdana" w:hAnsi="Verdana"/>
          <w:lang w:val="en-GB"/>
        </w:rPr>
        <w:t>, and</w:t>
      </w:r>
      <w:proofErr w:type="gramEnd"/>
      <w:r w:rsidR="00E159D0">
        <w:rPr>
          <w:rFonts w:ascii="Verdana" w:hAnsi="Verdana"/>
          <w:lang w:val="en-GB"/>
        </w:rPr>
        <w:t xml:space="preserve"> were performed in agreement with the </w:t>
      </w:r>
      <w:r w:rsidR="00E159D0" w:rsidRPr="00AE17C4">
        <w:rPr>
          <w:rFonts w:ascii="Verdana" w:hAnsi="Verdana"/>
        </w:rPr>
        <w:t>European Union directive 2010/63/EU</w:t>
      </w:r>
      <w:r w:rsidR="00E159D0">
        <w:rPr>
          <w:rFonts w:ascii="Verdana" w:hAnsi="Verdana"/>
          <w:lang w:val="en-GB"/>
        </w:rPr>
        <w:t xml:space="preserve"> and the 3R guidelines </w:t>
      </w:r>
      <w:r w:rsidR="00E159D0" w:rsidRPr="00AE17C4">
        <w:rPr>
          <w:rFonts w:ascii="Verdana" w:hAnsi="Verdana"/>
        </w:rPr>
        <w:t>(https://www.nc3rs.org.uk/the-3rs</w:t>
      </w:r>
      <w:r w:rsidR="00E159D0">
        <w:rPr>
          <w:rFonts w:ascii="Verdana" w:hAnsi="Verdana"/>
        </w:rPr>
        <w:t>)</w:t>
      </w:r>
      <w:r w:rsidR="00E159D0" w:rsidRPr="00AE17C4">
        <w:rPr>
          <w:rFonts w:ascii="Verdana" w:hAnsi="Verdana"/>
        </w:rPr>
        <w:t>.</w:t>
      </w:r>
    </w:p>
    <w:p w14:paraId="1CD4518B" w14:textId="77777777" w:rsidR="003C4D79" w:rsidRPr="00BE59D3" w:rsidRDefault="003C4D79" w:rsidP="003C4D79">
      <w:pPr>
        <w:spacing w:line="360" w:lineRule="auto"/>
        <w:jc w:val="both"/>
        <w:rPr>
          <w:rFonts w:ascii="Verdana" w:hAnsi="Verdana"/>
          <w:lang w:val="en-GB"/>
        </w:rPr>
      </w:pPr>
    </w:p>
    <w:p w14:paraId="4E0BC4FD" w14:textId="77777777" w:rsidR="00BE59D3" w:rsidRPr="00727B9E" w:rsidRDefault="00BE59D3" w:rsidP="00767F9D">
      <w:pPr>
        <w:pStyle w:val="Heading3"/>
        <w:rPr>
          <w:lang w:val="en-GB"/>
        </w:rPr>
      </w:pPr>
      <w:bookmarkStart w:id="38" w:name="_Toc130223404"/>
      <w:r w:rsidRPr="00727B9E">
        <w:rPr>
          <w:lang w:val="en-GB"/>
        </w:rPr>
        <w:lastRenderedPageBreak/>
        <w:t>Genotyping</w:t>
      </w:r>
      <w:bookmarkEnd w:id="38"/>
    </w:p>
    <w:p w14:paraId="3490F354" w14:textId="4822252A" w:rsidR="00BE59D3" w:rsidRPr="00BE59D3" w:rsidRDefault="00BE59D3" w:rsidP="00BE59D3">
      <w:pPr>
        <w:spacing w:line="360" w:lineRule="auto"/>
        <w:jc w:val="both"/>
        <w:rPr>
          <w:rFonts w:ascii="Verdana" w:hAnsi="Verdana"/>
          <w:lang w:val="en-GB"/>
        </w:rPr>
      </w:pPr>
      <w:r w:rsidRPr="00BE59D3">
        <w:rPr>
          <w:rFonts w:ascii="Verdana" w:hAnsi="Verdana"/>
          <w:lang w:val="en-GB"/>
        </w:rPr>
        <w:t>For genotyping, DNA was extracted from ear</w:t>
      </w:r>
      <w:r w:rsidR="00DF6A04">
        <w:rPr>
          <w:rFonts w:ascii="Verdana" w:hAnsi="Verdana"/>
          <w:lang w:val="en-GB"/>
        </w:rPr>
        <w:t xml:space="preserve"> or tail</w:t>
      </w:r>
      <w:r w:rsidRPr="00BE59D3">
        <w:rPr>
          <w:rFonts w:ascii="Verdana" w:hAnsi="Verdana"/>
          <w:lang w:val="en-GB"/>
        </w:rPr>
        <w:t xml:space="preserve"> biopsies using the </w:t>
      </w:r>
      <w:proofErr w:type="spellStart"/>
      <w:r w:rsidRPr="00BE59D3">
        <w:rPr>
          <w:rFonts w:ascii="Verdana" w:hAnsi="Verdana"/>
          <w:lang w:val="en-GB"/>
        </w:rPr>
        <w:t>Extracta</w:t>
      </w:r>
      <w:r w:rsidRPr="00BE59D3">
        <w:rPr>
          <w:rFonts w:ascii="Verdana" w:hAnsi="Verdana"/>
          <w:vertAlign w:val="superscript"/>
          <w:lang w:val="en-GB"/>
        </w:rPr>
        <w:t>TM</w:t>
      </w:r>
      <w:proofErr w:type="spellEnd"/>
      <w:r w:rsidRPr="00BE59D3">
        <w:rPr>
          <w:rFonts w:ascii="Verdana" w:hAnsi="Verdana"/>
          <w:lang w:val="en-GB"/>
        </w:rPr>
        <w:t xml:space="preserve"> DNA Prep for PCR-Tissue kit (</w:t>
      </w:r>
      <w:proofErr w:type="spellStart"/>
      <w:r w:rsidRPr="00BE59D3">
        <w:rPr>
          <w:rFonts w:ascii="Verdana" w:hAnsi="Verdana"/>
          <w:lang w:val="en-GB"/>
        </w:rPr>
        <w:t>QuantaBio</w:t>
      </w:r>
      <w:proofErr w:type="spellEnd"/>
      <w:r w:rsidRPr="00BE59D3">
        <w:rPr>
          <w:rFonts w:ascii="Verdana" w:hAnsi="Verdana"/>
          <w:lang w:val="en-GB"/>
        </w:rPr>
        <w:t>)</w:t>
      </w:r>
      <w:r w:rsidR="00BC0898">
        <w:rPr>
          <w:rFonts w:ascii="Verdana" w:hAnsi="Verdana"/>
          <w:lang w:val="en-GB"/>
        </w:rPr>
        <w:t>,</w:t>
      </w:r>
      <w:r w:rsidRPr="00BE59D3">
        <w:rPr>
          <w:rFonts w:ascii="Verdana" w:hAnsi="Verdana"/>
          <w:lang w:val="en-GB"/>
        </w:rPr>
        <w:t xml:space="preserve"> according to manufacturer’s instructions. Briefly, 30</w:t>
      </w:r>
      <w:r w:rsidR="00DF6A04">
        <w:rPr>
          <w:rFonts w:ascii="Verdana" w:hAnsi="Verdana"/>
          <w:lang w:val="en-GB"/>
        </w:rPr>
        <w:t>-50</w:t>
      </w:r>
      <w:r w:rsidRPr="00BE59D3">
        <w:rPr>
          <w:rFonts w:ascii="Verdana" w:hAnsi="Verdana" w:cstheme="minorHAnsi"/>
          <w:lang w:val="en-GB"/>
        </w:rPr>
        <w:t>µ</w:t>
      </w:r>
      <w:r w:rsidRPr="00BE59D3">
        <w:rPr>
          <w:rFonts w:ascii="Verdana" w:hAnsi="Verdana"/>
          <w:lang w:val="en-GB"/>
        </w:rPr>
        <w:t>l of the extraction reagent were added to each tube, and the biopsies were incubated at 9</w:t>
      </w:r>
      <w:r w:rsidR="00BC0898">
        <w:rPr>
          <w:rFonts w:ascii="Verdana" w:hAnsi="Verdana"/>
          <w:lang w:val="en-GB"/>
        </w:rPr>
        <w:t>4</w:t>
      </w:r>
      <w:r w:rsidRPr="00BE59D3">
        <w:rPr>
          <w:rFonts w:ascii="Verdana" w:hAnsi="Verdana" w:cstheme="minorHAnsi"/>
          <w:lang w:val="en-GB"/>
        </w:rPr>
        <w:t>°</w:t>
      </w:r>
      <w:r w:rsidRPr="00BE59D3">
        <w:rPr>
          <w:rFonts w:ascii="Verdana" w:hAnsi="Verdana"/>
          <w:lang w:val="en-GB"/>
        </w:rPr>
        <w:t>C for 30 minutes. The samples were then cooled in ice for 1 minute and spun down. Finally, 30</w:t>
      </w:r>
      <w:r w:rsidR="00DF6A04">
        <w:rPr>
          <w:rFonts w:ascii="Verdana" w:hAnsi="Verdana"/>
          <w:lang w:val="en-GB"/>
        </w:rPr>
        <w:t>-50</w:t>
      </w:r>
      <w:r w:rsidRPr="00BE59D3">
        <w:rPr>
          <w:rFonts w:ascii="Verdana" w:hAnsi="Verdana" w:cstheme="minorHAnsi"/>
          <w:lang w:val="en-GB"/>
        </w:rPr>
        <w:t>µ</w:t>
      </w:r>
      <w:r w:rsidRPr="00BE59D3">
        <w:rPr>
          <w:rFonts w:ascii="Verdana" w:hAnsi="Verdana"/>
          <w:lang w:val="en-GB"/>
        </w:rPr>
        <w:t>l of the stabilization buffer were added to each sampl</w:t>
      </w:r>
      <w:r w:rsidR="00BC0898">
        <w:rPr>
          <w:rFonts w:ascii="Verdana" w:hAnsi="Verdana"/>
          <w:lang w:val="en-GB"/>
        </w:rPr>
        <w:t>e</w:t>
      </w:r>
      <w:r w:rsidRPr="00BE59D3">
        <w:rPr>
          <w:rFonts w:ascii="Verdana" w:hAnsi="Verdana"/>
          <w:lang w:val="en-GB"/>
        </w:rPr>
        <w:t>, and the</w:t>
      </w:r>
      <w:r w:rsidR="00BC0898">
        <w:rPr>
          <w:rFonts w:ascii="Verdana" w:hAnsi="Verdana"/>
          <w:lang w:val="en-GB"/>
        </w:rPr>
        <w:t xml:space="preserve"> extracted</w:t>
      </w:r>
      <w:r w:rsidRPr="00BE59D3">
        <w:rPr>
          <w:rFonts w:ascii="Verdana" w:hAnsi="Verdana"/>
          <w:lang w:val="en-GB"/>
        </w:rPr>
        <w:t xml:space="preserve"> DNA was kept on ice for immediate use or stored at -20</w:t>
      </w:r>
      <w:r w:rsidRPr="00BE59D3">
        <w:rPr>
          <w:rFonts w:ascii="Verdana" w:hAnsi="Verdana" w:cstheme="minorHAnsi"/>
          <w:lang w:val="en-GB"/>
        </w:rPr>
        <w:t>°</w:t>
      </w:r>
      <w:r w:rsidRPr="00BE59D3">
        <w:rPr>
          <w:rFonts w:ascii="Verdana" w:hAnsi="Verdana"/>
          <w:lang w:val="en-GB"/>
        </w:rPr>
        <w:t>C.</w:t>
      </w:r>
    </w:p>
    <w:p w14:paraId="2B8F2ED9" w14:textId="77777777" w:rsidR="00D60033" w:rsidRDefault="00BE59D3" w:rsidP="00FD6C03">
      <w:pPr>
        <w:spacing w:line="360" w:lineRule="auto"/>
        <w:jc w:val="both"/>
        <w:rPr>
          <w:rFonts w:ascii="Verdana" w:hAnsi="Verdana"/>
        </w:rPr>
      </w:pPr>
      <w:r w:rsidRPr="00BE59D3">
        <w:rPr>
          <w:rFonts w:ascii="Verdana" w:hAnsi="Verdana"/>
          <w:lang w:val="en-GB"/>
        </w:rPr>
        <w:t xml:space="preserve">Genotyping by PCR was performed using the KK4702 - KAPA PROBE FAST UNI genotyping kit (Sigma Aldrich), according to manufacturer’s instructions. In brief, a mix of </w:t>
      </w:r>
      <w:r w:rsidRPr="00BE59D3">
        <w:rPr>
          <w:rFonts w:ascii="Verdana" w:hAnsi="Verdana"/>
        </w:rPr>
        <w:t>12.5μl of 2xKAPA2G Fast Hot Start Genotyping Mix, 1.25</w:t>
      </w:r>
      <w:r w:rsidRPr="00BE59D3">
        <w:rPr>
          <w:rFonts w:ascii="Verdana" w:hAnsi="Verdana" w:cstheme="minorHAnsi"/>
          <w:lang w:val="en-GB"/>
        </w:rPr>
        <w:t>µ</w:t>
      </w:r>
      <w:r w:rsidRPr="00BE59D3">
        <w:rPr>
          <w:rFonts w:ascii="Verdana" w:hAnsi="Verdana"/>
          <w:lang w:val="en-GB"/>
        </w:rPr>
        <w:t>l of 10</w:t>
      </w:r>
      <w:r w:rsidRPr="00BE59D3">
        <w:rPr>
          <w:rFonts w:ascii="Verdana" w:hAnsi="Verdana" w:cstheme="minorHAnsi"/>
          <w:lang w:val="en-GB"/>
        </w:rPr>
        <w:t>µ</w:t>
      </w:r>
      <w:r w:rsidRPr="00BE59D3">
        <w:rPr>
          <w:rFonts w:ascii="Verdana" w:hAnsi="Verdana"/>
          <w:lang w:val="en-GB"/>
        </w:rPr>
        <w:t>M forward and reverse primer</w:t>
      </w:r>
      <w:r w:rsidR="00FD6C03">
        <w:rPr>
          <w:rFonts w:ascii="Verdana" w:hAnsi="Verdana"/>
          <w:lang w:val="en-GB"/>
        </w:rPr>
        <w:t xml:space="preserve">, </w:t>
      </w:r>
      <w:r w:rsidRPr="00BE59D3">
        <w:rPr>
          <w:rFonts w:ascii="Verdana" w:hAnsi="Verdana"/>
        </w:rPr>
        <w:t>2</w:t>
      </w:r>
      <w:r w:rsidRPr="00BE59D3">
        <w:rPr>
          <w:rFonts w:ascii="Verdana" w:hAnsi="Verdana" w:cstheme="minorHAnsi"/>
        </w:rPr>
        <w:t>µ</w:t>
      </w:r>
      <w:r w:rsidRPr="00BE59D3">
        <w:rPr>
          <w:rFonts w:ascii="Verdana" w:hAnsi="Verdana"/>
        </w:rPr>
        <w:t>l of DNA and 8</w:t>
      </w:r>
      <w:r w:rsidRPr="00BE59D3">
        <w:rPr>
          <w:rFonts w:ascii="Verdana" w:hAnsi="Verdana" w:cstheme="minorHAnsi"/>
        </w:rPr>
        <w:t>µ</w:t>
      </w:r>
      <w:r w:rsidRPr="00BE59D3">
        <w:rPr>
          <w:rFonts w:ascii="Verdana" w:hAnsi="Verdana"/>
        </w:rPr>
        <w:t>l of PCR grad water was prepared.</w:t>
      </w:r>
      <w:r w:rsidR="00FD6C03" w:rsidRPr="00FD6C03">
        <w:rPr>
          <w:rFonts w:ascii="Verdana" w:hAnsi="Verdana"/>
          <w:lang w:val="en-GB"/>
        </w:rPr>
        <w:t xml:space="preserve"> </w:t>
      </w:r>
      <w:r w:rsidR="00AE41CA">
        <w:rPr>
          <w:rFonts w:ascii="Verdana" w:hAnsi="Verdana"/>
          <w:lang w:val="en-GB"/>
        </w:rPr>
        <w:t>The following</w:t>
      </w:r>
      <w:r w:rsidR="00214F7F">
        <w:rPr>
          <w:rFonts w:ascii="Verdana" w:hAnsi="Verdana"/>
          <w:lang w:val="en-GB"/>
        </w:rPr>
        <w:t xml:space="preserve"> 5-3</w:t>
      </w:r>
      <w:r w:rsidR="00AE41CA">
        <w:rPr>
          <w:rFonts w:ascii="Verdana" w:hAnsi="Verdana"/>
          <w:lang w:val="en-GB"/>
        </w:rPr>
        <w:t xml:space="preserve"> </w:t>
      </w:r>
      <w:r w:rsidR="00FD6C03" w:rsidRPr="00BE59D3">
        <w:rPr>
          <w:rFonts w:ascii="Verdana" w:hAnsi="Verdana"/>
        </w:rPr>
        <w:t>primer pair</w:t>
      </w:r>
      <w:r w:rsidR="00AE41CA">
        <w:rPr>
          <w:rFonts w:ascii="Verdana" w:hAnsi="Verdana"/>
        </w:rPr>
        <w:t>s were used:</w:t>
      </w:r>
      <w:r w:rsidR="00FD6C03" w:rsidRPr="00BE59D3">
        <w:rPr>
          <w:rFonts w:ascii="Verdana" w:hAnsi="Verdana"/>
        </w:rPr>
        <w:t xml:space="preserve"> </w:t>
      </w:r>
    </w:p>
    <w:p w14:paraId="481CC0A7" w14:textId="7805CC76" w:rsidR="00D60033" w:rsidRDefault="00BC0470" w:rsidP="004F0024">
      <w:pPr>
        <w:pStyle w:val="ListParagraph"/>
        <w:numPr>
          <w:ilvl w:val="0"/>
          <w:numId w:val="2"/>
        </w:numPr>
        <w:spacing w:line="360" w:lineRule="auto"/>
        <w:jc w:val="both"/>
        <w:rPr>
          <w:rFonts w:ascii="Verdana" w:hAnsi="Verdana"/>
        </w:rPr>
      </w:pPr>
      <w:r w:rsidRPr="00D60033">
        <w:rPr>
          <w:rFonts w:ascii="Verdana" w:hAnsi="Verdana"/>
        </w:rPr>
        <w:t xml:space="preserve">SNCA*E46K: </w:t>
      </w:r>
      <w:r w:rsidR="00FD6C03" w:rsidRPr="00D60033">
        <w:rPr>
          <w:rFonts w:ascii="Verdana" w:hAnsi="Verdana"/>
        </w:rPr>
        <w:t>forward</w:t>
      </w:r>
      <w:r w:rsidR="00D60033" w:rsidRPr="00D60033">
        <w:rPr>
          <w:rFonts w:ascii="Verdana" w:hAnsi="Verdana"/>
        </w:rPr>
        <w:t>,</w:t>
      </w:r>
      <w:r w:rsidR="00FD6C03" w:rsidRPr="00D60033">
        <w:rPr>
          <w:rFonts w:ascii="Verdana" w:hAnsi="Verdana"/>
        </w:rPr>
        <w:t xml:space="preserve"> GAT-TTC-CTT-CTT-TGT-CTC-CTA-TAG-CAC-TGG</w:t>
      </w:r>
      <w:r w:rsidR="00D60033">
        <w:rPr>
          <w:rFonts w:ascii="Verdana" w:hAnsi="Verdana"/>
        </w:rPr>
        <w:t>;</w:t>
      </w:r>
      <w:r w:rsidR="00FD6C03" w:rsidRPr="00D60033">
        <w:rPr>
          <w:rFonts w:ascii="Verdana" w:hAnsi="Verdana"/>
        </w:rPr>
        <w:t xml:space="preserve"> reverse GAA-GCA-GGT-ATT-ACT-GGC-AGA-TGA-GGC</w:t>
      </w:r>
      <w:r w:rsidR="00D60033">
        <w:rPr>
          <w:rFonts w:ascii="Verdana" w:hAnsi="Verdana"/>
        </w:rPr>
        <w:t>.</w:t>
      </w:r>
      <w:r w:rsidR="00A10902" w:rsidRPr="00D60033">
        <w:rPr>
          <w:rFonts w:ascii="Verdana" w:hAnsi="Verdana"/>
        </w:rPr>
        <w:t xml:space="preserve"> </w:t>
      </w:r>
    </w:p>
    <w:p w14:paraId="58FD7838" w14:textId="3324F5E0" w:rsidR="00FD6C03" w:rsidRDefault="00214F7F" w:rsidP="004F0024">
      <w:pPr>
        <w:pStyle w:val="ListParagraph"/>
        <w:numPr>
          <w:ilvl w:val="0"/>
          <w:numId w:val="2"/>
        </w:numPr>
        <w:spacing w:line="360" w:lineRule="auto"/>
        <w:jc w:val="both"/>
        <w:rPr>
          <w:rFonts w:ascii="Verdana" w:hAnsi="Verdana"/>
        </w:rPr>
      </w:pPr>
      <w:r w:rsidRPr="00D60033">
        <w:rPr>
          <w:rFonts w:ascii="Verdana" w:hAnsi="Verdana"/>
        </w:rPr>
        <w:t>DJ-1</w:t>
      </w:r>
      <w:r w:rsidR="00D60033" w:rsidRPr="00D60033">
        <w:rPr>
          <w:rFonts w:ascii="Verdana" w:hAnsi="Verdana"/>
        </w:rPr>
        <w:t>:</w:t>
      </w:r>
      <w:r w:rsidRPr="00D60033">
        <w:rPr>
          <w:rFonts w:ascii="Verdana" w:hAnsi="Verdana"/>
        </w:rPr>
        <w:t xml:space="preserve"> </w:t>
      </w:r>
      <w:r w:rsidR="00D60033" w:rsidRPr="00D60033">
        <w:rPr>
          <w:rFonts w:ascii="Verdana" w:hAnsi="Verdana"/>
        </w:rPr>
        <w:t>forward</w:t>
      </w:r>
      <w:r w:rsidR="00D60033">
        <w:rPr>
          <w:rFonts w:ascii="Verdana" w:hAnsi="Verdana"/>
        </w:rPr>
        <w:t>,</w:t>
      </w:r>
      <w:r w:rsidR="00D60033" w:rsidRPr="00D60033">
        <w:rPr>
          <w:rFonts w:ascii="Verdana" w:hAnsi="Verdana"/>
        </w:rPr>
        <w:t xml:space="preserve"> AGG-CAG-TGG-AGA-AGT-CCA-TC</w:t>
      </w:r>
      <w:r w:rsidR="00D60033">
        <w:rPr>
          <w:rFonts w:ascii="Verdana" w:hAnsi="Verdana"/>
        </w:rPr>
        <w:t>;</w:t>
      </w:r>
      <w:r w:rsidR="00D60033" w:rsidRPr="00D60033">
        <w:rPr>
          <w:rFonts w:ascii="Verdana" w:hAnsi="Verdana"/>
        </w:rPr>
        <w:t xml:space="preserve"> reverse WT</w:t>
      </w:r>
      <w:r w:rsidR="00D60033">
        <w:rPr>
          <w:rFonts w:ascii="Verdana" w:hAnsi="Verdana"/>
        </w:rPr>
        <w:t>,</w:t>
      </w:r>
      <w:r w:rsidR="00D60033" w:rsidRPr="00D60033">
        <w:rPr>
          <w:rFonts w:ascii="Verdana" w:hAnsi="Verdana"/>
        </w:rPr>
        <w:t xml:space="preserve"> AAC-ATA-CAG-ACC-CGG-GAT-GA</w:t>
      </w:r>
      <w:r w:rsidR="00D60033">
        <w:rPr>
          <w:rFonts w:ascii="Verdana" w:hAnsi="Verdana"/>
        </w:rPr>
        <w:t xml:space="preserve">; reverse KO, </w:t>
      </w:r>
      <w:r w:rsidR="00D60033" w:rsidRPr="00D60033">
        <w:rPr>
          <w:rFonts w:ascii="Verdana" w:hAnsi="Verdana"/>
        </w:rPr>
        <w:t>CGG-TAC-CAG-ACT-CTC-CCA-TC</w:t>
      </w:r>
      <w:r w:rsidR="00D60033">
        <w:rPr>
          <w:rFonts w:ascii="Verdana" w:hAnsi="Verdana"/>
        </w:rPr>
        <w:t>.</w:t>
      </w:r>
    </w:p>
    <w:p w14:paraId="0D859694" w14:textId="53A38580" w:rsidR="00FD6C03" w:rsidRPr="00D60033" w:rsidRDefault="00D60033" w:rsidP="004F0024">
      <w:pPr>
        <w:pStyle w:val="ListParagraph"/>
        <w:numPr>
          <w:ilvl w:val="0"/>
          <w:numId w:val="2"/>
        </w:numPr>
        <w:spacing w:line="360" w:lineRule="auto"/>
        <w:jc w:val="both"/>
        <w:rPr>
          <w:rFonts w:ascii="Verdana" w:hAnsi="Verdana"/>
        </w:rPr>
      </w:pPr>
      <w:r>
        <w:rPr>
          <w:rFonts w:ascii="Verdana" w:hAnsi="Verdana"/>
        </w:rPr>
        <w:t>SNCA WT: forward,</w:t>
      </w:r>
      <w:r w:rsidR="00A52F0B">
        <w:rPr>
          <w:rFonts w:ascii="Verdana" w:hAnsi="Verdana"/>
        </w:rPr>
        <w:t xml:space="preserve"> </w:t>
      </w:r>
      <w:r w:rsidR="00A52F0B" w:rsidRPr="00A52F0B">
        <w:rPr>
          <w:rFonts w:ascii="Verdana" w:hAnsi="Verdana"/>
        </w:rPr>
        <w:t>AAG-GCC-AAG-GAG-GGA-GTT-GTG</w:t>
      </w:r>
      <w:r>
        <w:rPr>
          <w:rFonts w:ascii="Verdana" w:hAnsi="Verdana"/>
        </w:rPr>
        <w:t xml:space="preserve">; reverse, </w:t>
      </w:r>
      <w:r w:rsidR="009F593B" w:rsidRPr="009F593B">
        <w:rPr>
          <w:rFonts w:ascii="Verdana" w:hAnsi="Verdana"/>
          <w:lang w:val="fr-LU"/>
        </w:rPr>
        <w:t>TTC-CTC-AGA-AGG-CAT-TTC-ATA-AGC</w:t>
      </w:r>
      <w:r>
        <w:rPr>
          <w:rFonts w:ascii="Verdana" w:hAnsi="Verdana"/>
        </w:rPr>
        <w:t>.</w:t>
      </w:r>
    </w:p>
    <w:p w14:paraId="37D3BA0E" w14:textId="70D5AF99" w:rsidR="00BE59D3" w:rsidRDefault="00BE59D3" w:rsidP="00FD6C03">
      <w:pPr>
        <w:spacing w:line="360" w:lineRule="auto"/>
        <w:jc w:val="both"/>
        <w:rPr>
          <w:rFonts w:ascii="Verdana" w:hAnsi="Verdana"/>
          <w:lang w:val="en-GB"/>
        </w:rPr>
      </w:pPr>
      <w:r w:rsidRPr="00BE59D3">
        <w:rPr>
          <w:rFonts w:ascii="Verdana" w:hAnsi="Verdana"/>
        </w:rPr>
        <w:t xml:space="preserve">The PCR reaction was run on a </w:t>
      </w:r>
      <w:proofErr w:type="spellStart"/>
      <w:r w:rsidRPr="00BE59D3">
        <w:rPr>
          <w:rFonts w:ascii="Verdana" w:hAnsi="Verdana"/>
        </w:rPr>
        <w:t>Biometra</w:t>
      </w:r>
      <w:proofErr w:type="spellEnd"/>
      <w:r w:rsidRPr="00BE59D3">
        <w:rPr>
          <w:rFonts w:ascii="Verdana" w:hAnsi="Verdana"/>
        </w:rPr>
        <w:t xml:space="preserve"> </w:t>
      </w:r>
      <w:proofErr w:type="spellStart"/>
      <w:r w:rsidRPr="00BE59D3">
        <w:rPr>
          <w:rFonts w:ascii="Verdana" w:hAnsi="Verdana"/>
        </w:rPr>
        <w:t>TOne</w:t>
      </w:r>
      <w:proofErr w:type="spellEnd"/>
      <w:r w:rsidRPr="00BE59D3">
        <w:rPr>
          <w:rFonts w:ascii="Verdana" w:hAnsi="Verdana"/>
        </w:rPr>
        <w:t xml:space="preserve"> thermocycler (</w:t>
      </w:r>
      <w:proofErr w:type="spellStart"/>
      <w:r w:rsidRPr="00BE59D3">
        <w:rPr>
          <w:rFonts w:ascii="Verdana" w:hAnsi="Verdana"/>
        </w:rPr>
        <w:t>Westburg</w:t>
      </w:r>
      <w:proofErr w:type="spellEnd"/>
      <w:r w:rsidRPr="00BE59D3">
        <w:rPr>
          <w:rFonts w:ascii="Verdana" w:hAnsi="Verdana"/>
        </w:rPr>
        <w:t>) using the following protocol: initial denaturation of 3 minutes at 95</w:t>
      </w:r>
      <w:r w:rsidRPr="00BE59D3">
        <w:rPr>
          <w:rFonts w:ascii="Verdana" w:hAnsi="Verdana" w:cstheme="minorHAnsi"/>
        </w:rPr>
        <w:t>°</w:t>
      </w:r>
      <w:r w:rsidRPr="00BE59D3">
        <w:rPr>
          <w:rFonts w:ascii="Verdana" w:hAnsi="Verdana"/>
        </w:rPr>
        <w:t xml:space="preserve">C; 30 cycles </w:t>
      </w:r>
      <w:r w:rsidR="009B150F">
        <w:rPr>
          <w:rFonts w:ascii="Verdana" w:hAnsi="Verdana"/>
        </w:rPr>
        <w:t>of</w:t>
      </w:r>
      <w:r w:rsidRPr="00BE59D3">
        <w:rPr>
          <w:rFonts w:ascii="Verdana" w:hAnsi="Verdana"/>
        </w:rPr>
        <w:t xml:space="preserve"> 95</w:t>
      </w:r>
      <w:r w:rsidRPr="00BE59D3">
        <w:rPr>
          <w:rFonts w:ascii="Verdana" w:hAnsi="Verdana" w:cstheme="minorHAnsi"/>
        </w:rPr>
        <w:t>°</w:t>
      </w:r>
      <w:r w:rsidRPr="00BE59D3">
        <w:rPr>
          <w:rFonts w:ascii="Verdana" w:hAnsi="Verdana"/>
        </w:rPr>
        <w:t>C for 30 seconds, 65</w:t>
      </w:r>
      <w:r w:rsidRPr="00BE59D3">
        <w:rPr>
          <w:rFonts w:ascii="Verdana" w:hAnsi="Verdana" w:cstheme="minorHAnsi"/>
        </w:rPr>
        <w:t>°</w:t>
      </w:r>
      <w:r w:rsidRPr="00BE59D3">
        <w:rPr>
          <w:rFonts w:ascii="Verdana" w:hAnsi="Verdana"/>
        </w:rPr>
        <w:t>C for 30 seconds (annealing) and 72</w:t>
      </w:r>
      <w:r w:rsidRPr="00BE59D3">
        <w:rPr>
          <w:rFonts w:ascii="Verdana" w:hAnsi="Verdana" w:cstheme="minorHAnsi"/>
        </w:rPr>
        <w:t>°</w:t>
      </w:r>
      <w:r w:rsidRPr="00BE59D3">
        <w:rPr>
          <w:rFonts w:ascii="Verdana" w:hAnsi="Verdana"/>
        </w:rPr>
        <w:t>C for 1.5 minutes (elongation); final elongation at 72</w:t>
      </w:r>
      <w:r w:rsidRPr="00BE59D3">
        <w:rPr>
          <w:rFonts w:ascii="Verdana" w:hAnsi="Verdana" w:cstheme="minorHAnsi"/>
        </w:rPr>
        <w:t>°</w:t>
      </w:r>
      <w:r w:rsidRPr="00BE59D3">
        <w:rPr>
          <w:rFonts w:ascii="Verdana" w:hAnsi="Verdana"/>
        </w:rPr>
        <w:t xml:space="preserve">C for 5 minutes. </w:t>
      </w:r>
      <w:r w:rsidRPr="00BE59D3">
        <w:rPr>
          <w:rFonts w:ascii="Verdana" w:hAnsi="Verdana"/>
          <w:lang w:val="en-GB"/>
        </w:rPr>
        <w:t xml:space="preserve">The PCR products were separated by electrophoresis on a 2% agarose gel (90V constant, 400mA), and visualized under UV light using the </w:t>
      </w:r>
      <w:proofErr w:type="spellStart"/>
      <w:r w:rsidRPr="00BE59D3">
        <w:rPr>
          <w:rFonts w:ascii="Verdana" w:hAnsi="Verdana"/>
          <w:lang w:val="en-GB"/>
        </w:rPr>
        <w:t>GelRed</w:t>
      </w:r>
      <w:proofErr w:type="spellEnd"/>
      <w:r w:rsidRPr="00BE59D3">
        <w:rPr>
          <w:rFonts w:ascii="Verdana" w:hAnsi="Verdana"/>
          <w:lang w:val="en-GB"/>
        </w:rPr>
        <w:t>® Nucleic Acid Gel Stain (</w:t>
      </w:r>
      <w:proofErr w:type="spellStart"/>
      <w:r w:rsidRPr="00BE59D3">
        <w:rPr>
          <w:rFonts w:ascii="Verdana" w:hAnsi="Verdana"/>
          <w:lang w:val="en-GB"/>
        </w:rPr>
        <w:t>Biotium</w:t>
      </w:r>
      <w:proofErr w:type="spellEnd"/>
      <w:r w:rsidRPr="00BE59D3">
        <w:rPr>
          <w:rFonts w:ascii="Verdana" w:hAnsi="Verdana"/>
          <w:lang w:val="en-GB"/>
        </w:rPr>
        <w:t>)</w:t>
      </w:r>
      <w:r w:rsidR="006108DE">
        <w:rPr>
          <w:rFonts w:ascii="Verdana" w:hAnsi="Verdana"/>
          <w:lang w:val="en-GB"/>
        </w:rPr>
        <w:t xml:space="preserve"> and a </w:t>
      </w:r>
      <w:proofErr w:type="spellStart"/>
      <w:r w:rsidR="006108DE">
        <w:rPr>
          <w:rFonts w:ascii="Verdana" w:hAnsi="Verdana"/>
          <w:lang w:val="en-GB"/>
        </w:rPr>
        <w:t>Biometra</w:t>
      </w:r>
      <w:proofErr w:type="spellEnd"/>
      <w:r w:rsidR="006108DE">
        <w:rPr>
          <w:rFonts w:ascii="Verdana" w:hAnsi="Verdana"/>
          <w:lang w:val="en-GB"/>
        </w:rPr>
        <w:t xml:space="preserve"> </w:t>
      </w:r>
      <w:proofErr w:type="spellStart"/>
      <w:r w:rsidR="006108DE">
        <w:rPr>
          <w:rFonts w:ascii="Verdana" w:hAnsi="Verdana"/>
          <w:lang w:val="en-GB"/>
        </w:rPr>
        <w:t>BioDocAnalyze</w:t>
      </w:r>
      <w:proofErr w:type="spellEnd"/>
      <w:r w:rsidR="006108DE">
        <w:rPr>
          <w:rFonts w:ascii="Verdana" w:hAnsi="Verdana"/>
          <w:lang w:val="en-GB"/>
        </w:rPr>
        <w:t xml:space="preserve"> (</w:t>
      </w:r>
      <w:proofErr w:type="spellStart"/>
      <w:r w:rsidR="006108DE">
        <w:rPr>
          <w:rFonts w:ascii="Verdana" w:hAnsi="Verdana"/>
          <w:lang w:val="en-GB"/>
        </w:rPr>
        <w:t>Westburg</w:t>
      </w:r>
      <w:proofErr w:type="spellEnd"/>
      <w:r w:rsidR="006108DE">
        <w:rPr>
          <w:rFonts w:ascii="Verdana" w:hAnsi="Verdana"/>
          <w:lang w:val="en-GB"/>
        </w:rPr>
        <w:t>).</w:t>
      </w:r>
    </w:p>
    <w:p w14:paraId="5B36E343" w14:textId="77777777" w:rsidR="009B150F" w:rsidRPr="00BE59D3" w:rsidRDefault="009B150F" w:rsidP="00BE59D3">
      <w:pPr>
        <w:spacing w:line="360" w:lineRule="auto"/>
        <w:jc w:val="both"/>
        <w:rPr>
          <w:rFonts w:ascii="Verdana" w:hAnsi="Verdana"/>
        </w:rPr>
      </w:pPr>
    </w:p>
    <w:p w14:paraId="50956B13" w14:textId="7CD1AB78" w:rsidR="00BE59D3" w:rsidRPr="009B150F" w:rsidRDefault="00BE59D3" w:rsidP="00767F9D">
      <w:pPr>
        <w:pStyle w:val="Heading3"/>
        <w:rPr>
          <w:lang w:val="en-GB"/>
        </w:rPr>
      </w:pPr>
      <w:bookmarkStart w:id="39" w:name="_Toc130223405"/>
      <w:r w:rsidRPr="009B150F">
        <w:rPr>
          <w:lang w:val="en-GB"/>
        </w:rPr>
        <w:t>Behaviour</w:t>
      </w:r>
      <w:r w:rsidR="009B150F">
        <w:rPr>
          <w:lang w:val="en-GB"/>
        </w:rPr>
        <w:t>al testing</w:t>
      </w:r>
      <w:bookmarkEnd w:id="39"/>
    </w:p>
    <w:p w14:paraId="6088854E" w14:textId="3DCC518F" w:rsidR="00BF429B" w:rsidRDefault="00F03085" w:rsidP="00BE59D3">
      <w:pPr>
        <w:spacing w:line="360" w:lineRule="auto"/>
        <w:jc w:val="both"/>
        <w:rPr>
          <w:rFonts w:ascii="Verdana" w:hAnsi="Verdana"/>
          <w:lang w:val="en-GB"/>
        </w:rPr>
      </w:pPr>
      <w:r>
        <w:rPr>
          <w:rFonts w:ascii="Verdana" w:hAnsi="Verdana"/>
          <w:lang w:val="en-GB"/>
        </w:rPr>
        <w:t>Be</w:t>
      </w:r>
      <w:r w:rsidR="00DB5F90">
        <w:rPr>
          <w:rFonts w:ascii="Verdana" w:hAnsi="Verdana"/>
          <w:lang w:val="en-GB"/>
        </w:rPr>
        <w:t>havioural testing was executed be</w:t>
      </w:r>
      <w:r>
        <w:rPr>
          <w:rFonts w:ascii="Verdana" w:hAnsi="Verdana"/>
          <w:lang w:val="en-GB"/>
        </w:rPr>
        <w:t>fore euthanasia</w:t>
      </w:r>
      <w:r w:rsidR="00DB5F90">
        <w:rPr>
          <w:rFonts w:ascii="Verdana" w:hAnsi="Verdana"/>
          <w:lang w:val="en-GB"/>
        </w:rPr>
        <w:t>.</w:t>
      </w:r>
      <w:r>
        <w:rPr>
          <w:rFonts w:ascii="Verdana" w:hAnsi="Verdana"/>
          <w:lang w:val="en-GB"/>
        </w:rPr>
        <w:t xml:space="preserve"> </w:t>
      </w:r>
      <w:r w:rsidR="00DB5F90">
        <w:rPr>
          <w:rFonts w:ascii="Verdana" w:hAnsi="Verdana"/>
          <w:lang w:val="en-GB"/>
        </w:rPr>
        <w:t>W</w:t>
      </w:r>
      <w:r w:rsidR="00353E74">
        <w:rPr>
          <w:rFonts w:ascii="Verdana" w:hAnsi="Verdana"/>
          <w:lang w:val="en-GB"/>
        </w:rPr>
        <w:t xml:space="preserve">e tested for the presence of motor impairment </w:t>
      </w:r>
      <w:r>
        <w:rPr>
          <w:rFonts w:ascii="Verdana" w:hAnsi="Verdana"/>
          <w:lang w:val="en-GB"/>
        </w:rPr>
        <w:t xml:space="preserve">using the </w:t>
      </w:r>
      <w:r w:rsidR="00E5128E">
        <w:rPr>
          <w:rFonts w:ascii="Verdana" w:hAnsi="Verdana"/>
          <w:lang w:val="en-GB"/>
        </w:rPr>
        <w:t>I</w:t>
      </w:r>
      <w:r>
        <w:rPr>
          <w:rFonts w:ascii="Verdana" w:hAnsi="Verdana"/>
          <w:lang w:val="en-GB"/>
        </w:rPr>
        <w:t xml:space="preserve">nverted </w:t>
      </w:r>
      <w:r w:rsidR="00E5128E">
        <w:rPr>
          <w:rFonts w:ascii="Verdana" w:hAnsi="Verdana"/>
          <w:lang w:val="en-GB"/>
        </w:rPr>
        <w:t>G</w:t>
      </w:r>
      <w:r>
        <w:rPr>
          <w:rFonts w:ascii="Verdana" w:hAnsi="Verdana"/>
          <w:lang w:val="en-GB"/>
        </w:rPr>
        <w:t>rid</w:t>
      </w:r>
      <w:r w:rsidR="00DB5F90">
        <w:rPr>
          <w:rFonts w:ascii="Verdana" w:hAnsi="Verdana"/>
          <w:lang w:val="en-GB"/>
        </w:rPr>
        <w:t>,</w:t>
      </w:r>
      <w:r>
        <w:rPr>
          <w:rFonts w:ascii="Verdana" w:hAnsi="Verdana"/>
          <w:lang w:val="en-GB"/>
        </w:rPr>
        <w:t xml:space="preserve"> the </w:t>
      </w:r>
      <w:r w:rsidR="00E5128E">
        <w:rPr>
          <w:rFonts w:ascii="Verdana" w:hAnsi="Verdana"/>
          <w:lang w:val="en-GB"/>
        </w:rPr>
        <w:t xml:space="preserve">Adhesive Removal </w:t>
      </w:r>
      <w:r w:rsidR="00DB5F90">
        <w:rPr>
          <w:rFonts w:ascii="Verdana" w:hAnsi="Verdana"/>
          <w:lang w:val="en-GB"/>
        </w:rPr>
        <w:t xml:space="preserve">and the </w:t>
      </w:r>
      <w:r w:rsidR="00AB6D13">
        <w:rPr>
          <w:rFonts w:ascii="Verdana" w:hAnsi="Verdana"/>
          <w:lang w:val="en-GB"/>
        </w:rPr>
        <w:t xml:space="preserve">Grip Strength </w:t>
      </w:r>
      <w:r w:rsidR="00E5128E">
        <w:rPr>
          <w:rFonts w:ascii="Verdana" w:hAnsi="Verdana"/>
          <w:lang w:val="en-GB"/>
        </w:rPr>
        <w:t>tests.</w:t>
      </w:r>
      <w:r w:rsidR="00BF429B">
        <w:rPr>
          <w:rFonts w:ascii="Verdana" w:hAnsi="Verdana"/>
          <w:lang w:val="en-GB"/>
        </w:rPr>
        <w:t xml:space="preserve"> </w:t>
      </w:r>
      <w:r w:rsidR="00BE59D3" w:rsidRPr="00BE59D3">
        <w:rPr>
          <w:rFonts w:ascii="Verdana" w:hAnsi="Verdana"/>
          <w:lang w:val="en-GB"/>
        </w:rPr>
        <w:t xml:space="preserve">The cognitive capability of transgenic and wild-type </w:t>
      </w:r>
      <w:r w:rsidR="00BE59D3" w:rsidRPr="00BE59D3">
        <w:rPr>
          <w:rFonts w:ascii="Verdana" w:hAnsi="Verdana"/>
          <w:lang w:val="en-GB"/>
        </w:rPr>
        <w:lastRenderedPageBreak/>
        <w:t>mice was assessed</w:t>
      </w:r>
      <w:r>
        <w:rPr>
          <w:rFonts w:ascii="Verdana" w:hAnsi="Verdana"/>
          <w:lang w:val="en-GB"/>
        </w:rPr>
        <w:t xml:space="preserve"> </w:t>
      </w:r>
      <w:r w:rsidR="00BE59D3" w:rsidRPr="00BE59D3">
        <w:rPr>
          <w:rFonts w:ascii="Verdana" w:hAnsi="Verdana"/>
          <w:lang w:val="en-GB"/>
        </w:rPr>
        <w:t>using the Y-maze</w:t>
      </w:r>
      <w:r w:rsidR="00DB5F90">
        <w:rPr>
          <w:rFonts w:ascii="Verdana" w:hAnsi="Verdana"/>
          <w:lang w:val="en-GB"/>
        </w:rPr>
        <w:t xml:space="preserve"> test</w:t>
      </w:r>
      <w:r w:rsidR="009E340C">
        <w:rPr>
          <w:rFonts w:ascii="Verdana" w:hAnsi="Verdana"/>
          <w:lang w:val="en-GB"/>
        </w:rPr>
        <w:t>. All tests were conducted in SPF conditions.</w:t>
      </w:r>
    </w:p>
    <w:p w14:paraId="0B114C01" w14:textId="31ED3998" w:rsidR="003F6CC5" w:rsidRPr="00AB6D13" w:rsidRDefault="003F6CC5" w:rsidP="00AB6D13">
      <w:pPr>
        <w:ind w:firstLine="0"/>
        <w:rPr>
          <w:rFonts w:ascii="Verdana" w:hAnsi="Verdana"/>
          <w:lang w:val="en-GB"/>
        </w:rPr>
      </w:pPr>
    </w:p>
    <w:p w14:paraId="0075EA74" w14:textId="77777777" w:rsidR="003F6CC5" w:rsidRPr="00D535A2" w:rsidRDefault="003F6CC5" w:rsidP="00D535A2">
      <w:pPr>
        <w:pStyle w:val="Heading4"/>
      </w:pPr>
      <w:r w:rsidRPr="00D535A2">
        <w:t>Hindlimb clasping</w:t>
      </w:r>
    </w:p>
    <w:p w14:paraId="7754BD92" w14:textId="4D394499" w:rsidR="00B056E2" w:rsidRDefault="00B056E2" w:rsidP="003F6CC5">
      <w:pPr>
        <w:autoSpaceDE w:val="0"/>
        <w:autoSpaceDN w:val="0"/>
        <w:adjustRightInd w:val="0"/>
        <w:spacing w:after="0" w:line="360" w:lineRule="auto"/>
        <w:jc w:val="both"/>
        <w:rPr>
          <w:rFonts w:ascii="Verdana" w:hAnsi="Verdana"/>
        </w:rPr>
      </w:pPr>
      <w:r>
        <w:rPr>
          <w:rFonts w:ascii="Verdana" w:hAnsi="Verdana"/>
        </w:rPr>
        <w:t xml:space="preserve">Animals </w:t>
      </w:r>
      <w:r w:rsidR="00AB7E72">
        <w:rPr>
          <w:rFonts w:ascii="Verdana" w:hAnsi="Verdana"/>
        </w:rPr>
        <w:t xml:space="preserve">were </w:t>
      </w:r>
      <w:r w:rsidR="002867BB">
        <w:rPr>
          <w:rFonts w:ascii="Verdana" w:hAnsi="Verdana"/>
        </w:rPr>
        <w:t>suspended by the base of the tail for 10sec</w:t>
      </w:r>
      <w:r w:rsidR="0035222F">
        <w:rPr>
          <w:rFonts w:ascii="Verdana" w:hAnsi="Verdana"/>
        </w:rPr>
        <w:t>, and the hindlimb clasping was scored as follows: 0, if both hindlimb were stretched for &gt;50% of the suspension time; 1, if one hindlimb was retracted for over 50% of the suspension time; 2, if both limbs were retracted</w:t>
      </w:r>
      <w:r w:rsidR="00BC5810">
        <w:rPr>
          <w:rFonts w:ascii="Verdana" w:hAnsi="Verdana"/>
        </w:rPr>
        <w:t xml:space="preserve"> for &gt;50% of the time; 3, if both limbs were retracted for the whole duration of the test; 4, </w:t>
      </w:r>
      <w:r w:rsidR="009E41DD">
        <w:rPr>
          <w:rFonts w:ascii="Verdana" w:hAnsi="Verdana"/>
        </w:rPr>
        <w:t>if limbs were retracted and animals twisted or curled up.</w:t>
      </w:r>
    </w:p>
    <w:p w14:paraId="66DD6DFE" w14:textId="77777777" w:rsidR="00B056E2" w:rsidRDefault="00B056E2" w:rsidP="003F6CC5">
      <w:pPr>
        <w:autoSpaceDE w:val="0"/>
        <w:autoSpaceDN w:val="0"/>
        <w:adjustRightInd w:val="0"/>
        <w:spacing w:after="0" w:line="360" w:lineRule="auto"/>
        <w:jc w:val="both"/>
        <w:rPr>
          <w:rFonts w:ascii="Verdana" w:hAnsi="Verdana"/>
        </w:rPr>
      </w:pPr>
    </w:p>
    <w:p w14:paraId="1ED0E86B" w14:textId="1EA50D9D" w:rsidR="009E41DD" w:rsidRPr="00AE17C4" w:rsidRDefault="003F6CC5" w:rsidP="00D535A2">
      <w:pPr>
        <w:pStyle w:val="Heading4"/>
      </w:pPr>
      <w:r w:rsidRPr="00AE17C4">
        <w:t>Grip strength</w:t>
      </w:r>
    </w:p>
    <w:p w14:paraId="56DFE70F" w14:textId="0616FF28" w:rsidR="003F6CC5" w:rsidRPr="00B0795C" w:rsidRDefault="00AA6EB7" w:rsidP="00815EFD">
      <w:pPr>
        <w:autoSpaceDE w:val="0"/>
        <w:autoSpaceDN w:val="0"/>
        <w:adjustRightInd w:val="0"/>
        <w:spacing w:after="0" w:line="360" w:lineRule="auto"/>
        <w:jc w:val="both"/>
        <w:rPr>
          <w:rFonts w:ascii="Verdana" w:hAnsi="Verdana"/>
        </w:rPr>
      </w:pPr>
      <w:r>
        <w:rPr>
          <w:rFonts w:ascii="Verdana" w:hAnsi="Verdana"/>
        </w:rPr>
        <w:t xml:space="preserve">To assess the grip strength, we used a </w:t>
      </w:r>
      <w:proofErr w:type="spellStart"/>
      <w:r>
        <w:rPr>
          <w:rFonts w:ascii="Verdana" w:hAnsi="Verdana"/>
        </w:rPr>
        <w:t>Bioseb’s</w:t>
      </w:r>
      <w:proofErr w:type="spellEnd"/>
      <w:r>
        <w:rPr>
          <w:rFonts w:ascii="Verdana" w:hAnsi="Verdana"/>
        </w:rPr>
        <w:t xml:space="preserve"> grip strength </w:t>
      </w:r>
      <w:proofErr w:type="spellStart"/>
      <w:r>
        <w:rPr>
          <w:rFonts w:ascii="Verdana" w:hAnsi="Verdana"/>
        </w:rPr>
        <w:t>metre</w:t>
      </w:r>
      <w:proofErr w:type="spellEnd"/>
      <w:r>
        <w:rPr>
          <w:rFonts w:ascii="Verdana" w:hAnsi="Verdana"/>
        </w:rPr>
        <w:t xml:space="preserve"> (</w:t>
      </w:r>
      <w:proofErr w:type="spellStart"/>
      <w:r>
        <w:rPr>
          <w:rFonts w:ascii="Verdana" w:hAnsi="Verdana"/>
        </w:rPr>
        <w:t>Vitrolles</w:t>
      </w:r>
      <w:proofErr w:type="spellEnd"/>
      <w:r>
        <w:rPr>
          <w:rFonts w:ascii="Verdana" w:hAnsi="Verdana"/>
        </w:rPr>
        <w:t xml:space="preserve">, France). </w:t>
      </w:r>
      <w:r w:rsidR="003440C1">
        <w:rPr>
          <w:rFonts w:ascii="Verdana" w:hAnsi="Verdana"/>
        </w:rPr>
        <w:t xml:space="preserve">Briefly, </w:t>
      </w:r>
      <w:r w:rsidR="005C4A15">
        <w:rPr>
          <w:rFonts w:ascii="Verdana" w:hAnsi="Verdana"/>
        </w:rPr>
        <w:t xml:space="preserve">the mouse was placed in the middle of the grid and allowed to grab it with all paws. </w:t>
      </w:r>
      <w:r w:rsidR="00815EFD">
        <w:rPr>
          <w:rFonts w:ascii="Verdana" w:hAnsi="Verdana"/>
        </w:rPr>
        <w:t>After few seconds, it was gently pulled back from the tail using a smooth continuous movement.</w:t>
      </w:r>
      <w:r w:rsidR="00B0795C">
        <w:rPr>
          <w:rFonts w:ascii="Verdana" w:hAnsi="Verdana"/>
        </w:rPr>
        <w:t xml:space="preserve"> </w:t>
      </w:r>
      <w:r w:rsidR="00815EFD">
        <w:rPr>
          <w:rFonts w:ascii="Verdana" w:hAnsi="Verdana"/>
        </w:rPr>
        <w:t>Each mouse was</w:t>
      </w:r>
      <w:r w:rsidR="00B0795C">
        <w:rPr>
          <w:rFonts w:ascii="Verdana" w:hAnsi="Verdana"/>
        </w:rPr>
        <w:t xml:space="preserve"> tested three times and for each mouse, the results were averaged and normalized to the weight.</w:t>
      </w:r>
    </w:p>
    <w:p w14:paraId="5167DFA6" w14:textId="77777777" w:rsidR="00353E74" w:rsidRDefault="00353E74" w:rsidP="009E340C">
      <w:pPr>
        <w:spacing w:line="360" w:lineRule="auto"/>
        <w:ind w:firstLine="0"/>
        <w:jc w:val="both"/>
        <w:rPr>
          <w:rFonts w:ascii="Verdana" w:hAnsi="Verdana"/>
          <w:lang w:val="en-GB"/>
        </w:rPr>
      </w:pPr>
    </w:p>
    <w:p w14:paraId="1CAB51E3" w14:textId="3F4B175B" w:rsidR="00EE5329" w:rsidRDefault="000B6DDB" w:rsidP="00D535A2">
      <w:pPr>
        <w:pStyle w:val="Heading4"/>
        <w:rPr>
          <w:lang w:val="en-GB"/>
        </w:rPr>
      </w:pPr>
      <w:r>
        <w:rPr>
          <w:lang w:val="en-GB"/>
        </w:rPr>
        <w:t>Inverted Grid</w:t>
      </w:r>
    </w:p>
    <w:p w14:paraId="310D2292" w14:textId="4BD70C4A" w:rsidR="00053043" w:rsidRDefault="000B6DDB" w:rsidP="00BE59D3">
      <w:pPr>
        <w:spacing w:line="360" w:lineRule="auto"/>
        <w:jc w:val="both"/>
        <w:rPr>
          <w:rFonts w:ascii="Verdana" w:hAnsi="Verdana"/>
          <w:lang w:val="en-GB"/>
        </w:rPr>
      </w:pPr>
      <w:r>
        <w:rPr>
          <w:rFonts w:ascii="Verdana" w:hAnsi="Verdana"/>
          <w:lang w:val="en-GB"/>
        </w:rPr>
        <w:t xml:space="preserve">The Inverted Grid test </w:t>
      </w:r>
      <w:r w:rsidR="00DB1127">
        <w:rPr>
          <w:rFonts w:ascii="Verdana" w:hAnsi="Verdana"/>
          <w:lang w:val="en-GB"/>
        </w:rPr>
        <w:t>was</w:t>
      </w:r>
      <w:r>
        <w:rPr>
          <w:rFonts w:ascii="Verdana" w:hAnsi="Verdana"/>
          <w:lang w:val="en-GB"/>
        </w:rPr>
        <w:t xml:space="preserve"> used to assess </w:t>
      </w:r>
      <w:r w:rsidR="00DB1127">
        <w:rPr>
          <w:rFonts w:ascii="Verdana" w:hAnsi="Verdana"/>
          <w:lang w:val="en-GB"/>
        </w:rPr>
        <w:t xml:space="preserve">the muscular strength of the animals. </w:t>
      </w:r>
      <w:r w:rsidR="008D3959">
        <w:rPr>
          <w:rFonts w:ascii="Verdana" w:hAnsi="Verdana"/>
          <w:lang w:val="en-GB"/>
        </w:rPr>
        <w:t>The mice</w:t>
      </w:r>
      <w:r w:rsidR="001A796E">
        <w:rPr>
          <w:rFonts w:ascii="Verdana" w:hAnsi="Verdana"/>
          <w:lang w:val="en-GB"/>
        </w:rPr>
        <w:t xml:space="preserve"> were brought to the experimental room </w:t>
      </w:r>
      <w:r w:rsidR="003E790F">
        <w:rPr>
          <w:rFonts w:ascii="Verdana" w:hAnsi="Verdana"/>
          <w:lang w:val="en-GB"/>
        </w:rPr>
        <w:t>30 minutes before testing. The test was performed during the day phase of the 12h day-night cycle. The mice</w:t>
      </w:r>
      <w:r w:rsidR="008D3959">
        <w:rPr>
          <w:rFonts w:ascii="Verdana" w:hAnsi="Verdana"/>
          <w:lang w:val="en-GB"/>
        </w:rPr>
        <w:t xml:space="preserve"> were placed on</w:t>
      </w:r>
      <w:r w:rsidR="00F76FC1">
        <w:rPr>
          <w:rFonts w:ascii="Verdana" w:hAnsi="Verdana"/>
          <w:lang w:val="en-GB"/>
        </w:rPr>
        <w:t xml:space="preserve"> the centre of</w:t>
      </w:r>
      <w:r w:rsidR="008D3959">
        <w:rPr>
          <w:rFonts w:ascii="Verdana" w:hAnsi="Verdana"/>
          <w:lang w:val="en-GB"/>
        </w:rPr>
        <w:t xml:space="preserve"> a metal grid</w:t>
      </w:r>
      <w:r w:rsidR="00FA0897">
        <w:rPr>
          <w:rFonts w:ascii="Verdana" w:hAnsi="Verdana"/>
          <w:lang w:val="en-GB"/>
        </w:rPr>
        <w:t xml:space="preserve"> suspended at about 20 cm from the </w:t>
      </w:r>
      <w:r w:rsidR="00384329">
        <w:rPr>
          <w:rFonts w:ascii="Verdana" w:hAnsi="Verdana"/>
          <w:lang w:val="en-GB"/>
        </w:rPr>
        <w:t>tabletop</w:t>
      </w:r>
      <w:r w:rsidR="008D3959">
        <w:rPr>
          <w:rFonts w:ascii="Verdana" w:hAnsi="Verdana"/>
          <w:lang w:val="en-GB"/>
        </w:rPr>
        <w:t xml:space="preserve">, and the grid was rotated </w:t>
      </w:r>
      <w:r w:rsidR="008F647E">
        <w:rPr>
          <w:rFonts w:ascii="Verdana" w:hAnsi="Verdana"/>
          <w:lang w:val="en-GB"/>
        </w:rPr>
        <w:t>to an inverted position over 2 seconds. Once</w:t>
      </w:r>
      <w:r w:rsidR="001D7231">
        <w:rPr>
          <w:rFonts w:ascii="Verdana" w:hAnsi="Verdana"/>
          <w:lang w:val="en-GB"/>
        </w:rPr>
        <w:t xml:space="preserve"> the inverted position was reached, a</w:t>
      </w:r>
      <w:r w:rsidR="00384329">
        <w:rPr>
          <w:rFonts w:ascii="Verdana" w:hAnsi="Verdana"/>
          <w:lang w:val="en-GB"/>
        </w:rPr>
        <w:t xml:space="preserve"> clock</w:t>
      </w:r>
      <w:r w:rsidR="001D7231">
        <w:rPr>
          <w:rFonts w:ascii="Verdana" w:hAnsi="Verdana"/>
          <w:lang w:val="en-GB"/>
        </w:rPr>
        <w:t xml:space="preserve"> was started. </w:t>
      </w:r>
      <w:r w:rsidR="00D9613B">
        <w:rPr>
          <w:rFonts w:ascii="Verdana" w:hAnsi="Verdana"/>
          <w:lang w:val="en-GB"/>
        </w:rPr>
        <w:t>The grid was held steadily for a total time of 30 seconds.</w:t>
      </w:r>
      <w:r w:rsidR="008D2E60">
        <w:rPr>
          <w:rFonts w:ascii="Verdana" w:hAnsi="Verdana"/>
          <w:lang w:val="en-GB"/>
        </w:rPr>
        <w:t xml:space="preserve"> The time of falling was recorded, otherwise the maximum time of 30 seconds was used.</w:t>
      </w:r>
    </w:p>
    <w:p w14:paraId="13FF581D" w14:textId="77777777" w:rsidR="009E340C" w:rsidRDefault="009E340C" w:rsidP="00BE59D3">
      <w:pPr>
        <w:spacing w:line="360" w:lineRule="auto"/>
        <w:jc w:val="both"/>
        <w:rPr>
          <w:rFonts w:ascii="Verdana" w:hAnsi="Verdana"/>
          <w:lang w:val="en-GB"/>
        </w:rPr>
      </w:pPr>
    </w:p>
    <w:p w14:paraId="4A4D9FFA" w14:textId="42215157" w:rsidR="00053043" w:rsidRDefault="00053043" w:rsidP="00D535A2">
      <w:pPr>
        <w:pStyle w:val="Heading4"/>
        <w:rPr>
          <w:lang w:val="en-GB"/>
        </w:rPr>
      </w:pPr>
      <w:r>
        <w:rPr>
          <w:lang w:val="en-GB"/>
        </w:rPr>
        <w:t>Adhesive removal</w:t>
      </w:r>
    </w:p>
    <w:p w14:paraId="133A51A5" w14:textId="00C87E6D" w:rsidR="00053043" w:rsidRPr="00053043" w:rsidRDefault="000935BD" w:rsidP="00BE59D3">
      <w:pPr>
        <w:spacing w:line="360" w:lineRule="auto"/>
        <w:jc w:val="both"/>
        <w:rPr>
          <w:rFonts w:ascii="Verdana" w:hAnsi="Verdana"/>
          <w:lang w:val="en-GB"/>
        </w:rPr>
      </w:pPr>
      <w:r>
        <w:rPr>
          <w:rFonts w:ascii="Verdana" w:hAnsi="Verdana"/>
          <w:lang w:val="en-GB"/>
        </w:rPr>
        <w:t>W</w:t>
      </w:r>
      <w:r w:rsidR="00053043">
        <w:rPr>
          <w:rFonts w:ascii="Verdana" w:hAnsi="Verdana"/>
          <w:lang w:val="en-GB"/>
        </w:rPr>
        <w:t>e</w:t>
      </w:r>
      <w:r>
        <w:rPr>
          <w:rFonts w:ascii="Verdana" w:hAnsi="Verdana"/>
          <w:lang w:val="en-GB"/>
        </w:rPr>
        <w:t xml:space="preserve"> used the</w:t>
      </w:r>
      <w:r w:rsidR="00053043">
        <w:rPr>
          <w:rFonts w:ascii="Verdana" w:hAnsi="Verdana"/>
          <w:lang w:val="en-GB"/>
        </w:rPr>
        <w:t xml:space="preserve"> Adhes</w:t>
      </w:r>
      <w:r w:rsidR="00A051D1">
        <w:rPr>
          <w:rFonts w:ascii="Verdana" w:hAnsi="Verdana"/>
          <w:lang w:val="en-GB"/>
        </w:rPr>
        <w:t xml:space="preserve">ive Removal test to </w:t>
      </w:r>
      <w:r>
        <w:rPr>
          <w:rFonts w:ascii="Verdana" w:hAnsi="Verdana"/>
          <w:lang w:val="en-GB"/>
        </w:rPr>
        <w:t xml:space="preserve">quantify </w:t>
      </w:r>
      <w:r w:rsidR="00A051D1">
        <w:rPr>
          <w:rFonts w:ascii="Verdana" w:hAnsi="Verdana"/>
          <w:lang w:val="en-GB"/>
        </w:rPr>
        <w:t>fine sensory-motor deficits</w:t>
      </w:r>
      <w:r w:rsidR="005E46FE">
        <w:rPr>
          <w:rFonts w:ascii="Verdana" w:hAnsi="Verdana"/>
          <w:lang w:val="en-GB"/>
        </w:rPr>
        <w:t>. The animals were tested one at a time</w:t>
      </w:r>
      <w:r w:rsidR="003F71C0">
        <w:rPr>
          <w:rFonts w:ascii="Verdana" w:hAnsi="Verdana"/>
          <w:lang w:val="en-GB"/>
        </w:rPr>
        <w:t>,</w:t>
      </w:r>
      <w:r w:rsidR="005E46FE">
        <w:rPr>
          <w:rFonts w:ascii="Verdana" w:hAnsi="Verdana"/>
          <w:lang w:val="en-GB"/>
        </w:rPr>
        <w:t xml:space="preserve"> during the day phase </w:t>
      </w:r>
      <w:r w:rsidR="003F71C0">
        <w:rPr>
          <w:rFonts w:ascii="Verdana" w:hAnsi="Verdana"/>
          <w:lang w:val="en-GB"/>
        </w:rPr>
        <w:t xml:space="preserve">of the 12h </w:t>
      </w:r>
      <w:r w:rsidR="003F71C0">
        <w:rPr>
          <w:rFonts w:ascii="Verdana" w:hAnsi="Verdana"/>
          <w:lang w:val="en-GB"/>
        </w:rPr>
        <w:lastRenderedPageBreak/>
        <w:t xml:space="preserve">day-night cycle. </w:t>
      </w:r>
      <w:r w:rsidR="00255749">
        <w:rPr>
          <w:rFonts w:ascii="Verdana" w:hAnsi="Verdana"/>
          <w:lang w:val="en-GB"/>
        </w:rPr>
        <w:t xml:space="preserve">Before performing the test, the mice were let habituate to the testing room for 30 minutes. </w:t>
      </w:r>
      <w:r w:rsidR="002451B6">
        <w:rPr>
          <w:rFonts w:ascii="Verdana" w:hAnsi="Verdana"/>
          <w:lang w:val="en-GB"/>
        </w:rPr>
        <w:t xml:space="preserve">Animals were placed in a round transparent arena and let habituate. </w:t>
      </w:r>
      <w:r w:rsidR="0053179D">
        <w:rPr>
          <w:rFonts w:ascii="Verdana" w:hAnsi="Verdana"/>
          <w:lang w:val="en-GB"/>
        </w:rPr>
        <w:t xml:space="preserve">After a </w:t>
      </w:r>
      <w:proofErr w:type="gramStart"/>
      <w:r w:rsidR="0053179D">
        <w:rPr>
          <w:rFonts w:ascii="Verdana" w:hAnsi="Verdana"/>
          <w:lang w:val="en-GB"/>
        </w:rPr>
        <w:t>1</w:t>
      </w:r>
      <w:r w:rsidR="001443EE">
        <w:rPr>
          <w:rFonts w:ascii="Verdana" w:hAnsi="Verdana"/>
          <w:lang w:val="en-GB"/>
        </w:rPr>
        <w:t xml:space="preserve"> </w:t>
      </w:r>
      <w:r w:rsidR="0053179D">
        <w:rPr>
          <w:rFonts w:ascii="Verdana" w:hAnsi="Verdana"/>
          <w:lang w:val="en-GB"/>
        </w:rPr>
        <w:t>minute</w:t>
      </w:r>
      <w:proofErr w:type="gramEnd"/>
      <w:r w:rsidR="0053179D">
        <w:rPr>
          <w:rFonts w:ascii="Verdana" w:hAnsi="Verdana"/>
          <w:lang w:val="en-GB"/>
        </w:rPr>
        <w:t xml:space="preserve"> habituation, the mice were removed from the arena</w:t>
      </w:r>
      <w:r w:rsidR="00E02E86">
        <w:rPr>
          <w:rFonts w:ascii="Verdana" w:hAnsi="Verdana"/>
          <w:lang w:val="en-GB"/>
        </w:rPr>
        <w:t xml:space="preserve">, and a piece of rectangular tape of 3 by 5 mm was placed on the </w:t>
      </w:r>
      <w:r w:rsidR="00C51F76">
        <w:rPr>
          <w:rFonts w:ascii="Verdana" w:hAnsi="Verdana"/>
          <w:lang w:val="en-GB"/>
        </w:rPr>
        <w:t>left forepaw</w:t>
      </w:r>
      <w:r w:rsidR="00D74441">
        <w:rPr>
          <w:rFonts w:ascii="Verdana" w:hAnsi="Verdana"/>
          <w:lang w:val="en-GB"/>
        </w:rPr>
        <w:t>. The animals were reintroduced in the arena, and a timer for 2 minutes was set</w:t>
      </w:r>
      <w:r w:rsidR="007A1505">
        <w:rPr>
          <w:rFonts w:ascii="Verdana" w:hAnsi="Verdana"/>
          <w:lang w:val="en-GB"/>
        </w:rPr>
        <w:t xml:space="preserve">. </w:t>
      </w:r>
      <w:r>
        <w:rPr>
          <w:rFonts w:ascii="Verdana" w:hAnsi="Verdana"/>
          <w:lang w:val="en-GB"/>
        </w:rPr>
        <w:t>Two</w:t>
      </w:r>
      <w:r w:rsidR="007A1505">
        <w:rPr>
          <w:rFonts w:ascii="Verdana" w:hAnsi="Verdana"/>
          <w:lang w:val="en-GB"/>
        </w:rPr>
        <w:t xml:space="preserve"> </w:t>
      </w:r>
      <w:r w:rsidR="00587F72">
        <w:rPr>
          <w:rFonts w:ascii="Verdana" w:hAnsi="Verdana"/>
          <w:lang w:val="en-GB"/>
        </w:rPr>
        <w:t>experimenters independently</w:t>
      </w:r>
      <w:r>
        <w:rPr>
          <w:rFonts w:ascii="Verdana" w:hAnsi="Verdana"/>
          <w:lang w:val="en-GB"/>
        </w:rPr>
        <w:t xml:space="preserve"> recorded the time of first touch of the adhesive tape and the time at full removal of the tape</w:t>
      </w:r>
      <w:r w:rsidR="00587F72">
        <w:rPr>
          <w:rFonts w:ascii="Verdana" w:hAnsi="Verdana"/>
          <w:lang w:val="en-GB"/>
        </w:rPr>
        <w:t xml:space="preserve">. </w:t>
      </w:r>
      <w:r w:rsidR="00A92FEE">
        <w:rPr>
          <w:rFonts w:ascii="Verdana" w:hAnsi="Verdana"/>
          <w:lang w:val="en-GB"/>
        </w:rPr>
        <w:t>If the mouse did not manage to remove the adhesive</w:t>
      </w:r>
      <w:r w:rsidR="004877B3">
        <w:rPr>
          <w:rFonts w:ascii="Verdana" w:hAnsi="Verdana"/>
          <w:lang w:val="en-GB"/>
        </w:rPr>
        <w:t>, the maximum time of 120 seconds was reported. The test was performed twice per each mouse, and the best performance was selected for analysis.</w:t>
      </w:r>
    </w:p>
    <w:p w14:paraId="1391D086" w14:textId="77777777" w:rsidR="000B6DDB" w:rsidRPr="000B6DDB" w:rsidRDefault="000B6DDB" w:rsidP="00BE59D3">
      <w:pPr>
        <w:spacing w:line="360" w:lineRule="auto"/>
        <w:jc w:val="both"/>
        <w:rPr>
          <w:rFonts w:ascii="Verdana" w:hAnsi="Verdana"/>
          <w:lang w:val="en-GB"/>
        </w:rPr>
      </w:pPr>
    </w:p>
    <w:p w14:paraId="372F325F" w14:textId="0EACF7CE" w:rsidR="00353E74" w:rsidRPr="00353E74" w:rsidRDefault="00353E74" w:rsidP="00D535A2">
      <w:pPr>
        <w:pStyle w:val="Heading4"/>
        <w:rPr>
          <w:lang w:val="en-GB"/>
        </w:rPr>
      </w:pPr>
      <w:r w:rsidRPr="00353E74">
        <w:rPr>
          <w:lang w:val="en-GB"/>
        </w:rPr>
        <w:t>Y-maze</w:t>
      </w:r>
    </w:p>
    <w:p w14:paraId="703EF0E1" w14:textId="23835F6F" w:rsidR="00BE59D3" w:rsidRPr="008412E0" w:rsidRDefault="00BE59D3" w:rsidP="008412E0">
      <w:pPr>
        <w:spacing w:line="360" w:lineRule="auto"/>
        <w:jc w:val="both"/>
        <w:rPr>
          <w:rFonts w:ascii="Verdana" w:hAnsi="Verdana"/>
          <w:lang w:val="en-GB"/>
        </w:rPr>
      </w:pPr>
      <w:r w:rsidRPr="00BE59D3">
        <w:rPr>
          <w:rFonts w:ascii="Verdana" w:hAnsi="Verdana"/>
          <w:lang w:val="en-GB"/>
        </w:rPr>
        <w:t>The Y-maze test investigates spatial learning and short-term memory. The maze is composed by three arms placed at 120 degrees from each other.</w:t>
      </w:r>
      <w:r w:rsidR="00A413FC">
        <w:rPr>
          <w:rFonts w:ascii="Verdana" w:hAnsi="Verdana"/>
          <w:lang w:val="en-GB"/>
        </w:rPr>
        <w:t xml:space="preserve"> Mice were tested one at a time.</w:t>
      </w:r>
      <w:r w:rsidRPr="00BE59D3">
        <w:rPr>
          <w:rFonts w:ascii="Verdana" w:hAnsi="Verdana"/>
          <w:lang w:val="en-GB"/>
        </w:rPr>
        <w:t xml:space="preserve"> The mouse was introduced in the maze at the end of one arm, facing away from the centre of the maze; the starting arm was alternated between tests to minimise potential biases. The mouse movements were recorded for a total time of 5 minutes. During the test time, two experimenters independently recorded the number of entries into each arm of the maze and the specific sequence of entrance. The mouse was considered as inside one arm if its shoulders were to surpass a 5cm point from the beginning of the arm.</w:t>
      </w:r>
      <w:r w:rsidR="009E340C">
        <w:rPr>
          <w:rFonts w:ascii="Verdana" w:hAnsi="Verdana"/>
          <w:lang w:val="en-GB"/>
        </w:rPr>
        <w:t xml:space="preserve"> T</w:t>
      </w:r>
      <w:r w:rsidR="009E340C" w:rsidRPr="00BE59D3">
        <w:rPr>
          <w:rFonts w:ascii="Verdana" w:hAnsi="Verdana"/>
          <w:lang w:val="en-GB"/>
        </w:rPr>
        <w:t xml:space="preserve">he </w:t>
      </w:r>
      <w:proofErr w:type="spellStart"/>
      <w:r w:rsidR="009E340C" w:rsidRPr="00BE59D3">
        <w:rPr>
          <w:rFonts w:ascii="Verdana" w:hAnsi="Verdana"/>
          <w:lang w:val="en-GB"/>
        </w:rPr>
        <w:t>EthoVision</w:t>
      </w:r>
      <w:proofErr w:type="spellEnd"/>
      <w:r w:rsidR="009E340C" w:rsidRPr="00BE59D3">
        <w:rPr>
          <w:rFonts w:ascii="Verdana" w:hAnsi="Verdana"/>
          <w:lang w:val="en-GB"/>
        </w:rPr>
        <w:t xml:space="preserve"> XT software v13 (</w:t>
      </w:r>
      <w:proofErr w:type="spellStart"/>
      <w:r w:rsidR="009E340C" w:rsidRPr="00BE59D3">
        <w:rPr>
          <w:rFonts w:ascii="Verdana" w:hAnsi="Verdana"/>
          <w:lang w:val="en-GB"/>
        </w:rPr>
        <w:t>Noldus</w:t>
      </w:r>
      <w:proofErr w:type="spellEnd"/>
      <w:r w:rsidR="009E340C" w:rsidRPr="00BE59D3">
        <w:rPr>
          <w:rFonts w:ascii="Verdana" w:hAnsi="Verdana"/>
          <w:lang w:val="en-GB"/>
        </w:rPr>
        <w:t>) was used for video trackin</w:t>
      </w:r>
      <w:r w:rsidR="00A54EF2">
        <w:rPr>
          <w:rFonts w:ascii="Verdana" w:hAnsi="Verdana"/>
          <w:lang w:val="en-GB"/>
        </w:rPr>
        <w:t>g</w:t>
      </w:r>
      <w:r w:rsidR="009E340C" w:rsidRPr="00BE59D3">
        <w:rPr>
          <w:rFonts w:ascii="Verdana" w:hAnsi="Verdana"/>
          <w:lang w:val="en-GB"/>
        </w:rPr>
        <w:t>.</w:t>
      </w:r>
    </w:p>
    <w:p w14:paraId="165ECF76" w14:textId="77777777" w:rsidR="001937BA" w:rsidRPr="00BE59D3" w:rsidRDefault="001937BA" w:rsidP="00A54EF2">
      <w:pPr>
        <w:spacing w:line="360" w:lineRule="auto"/>
        <w:ind w:firstLine="0"/>
        <w:jc w:val="both"/>
        <w:rPr>
          <w:rFonts w:ascii="Verdana" w:hAnsi="Verdana"/>
          <w:u w:val="single"/>
          <w:lang w:val="en-GB"/>
        </w:rPr>
      </w:pPr>
    </w:p>
    <w:p w14:paraId="1E858DF3" w14:textId="77777777" w:rsidR="00AB6D13" w:rsidRPr="00D535A2" w:rsidRDefault="00AB6D13" w:rsidP="00767F9D">
      <w:pPr>
        <w:pStyle w:val="Heading3"/>
      </w:pPr>
      <w:bookmarkStart w:id="40" w:name="_Toc130223406"/>
      <w:r w:rsidRPr="00D535A2">
        <w:t>Bacterial solution preparation and gavage</w:t>
      </w:r>
      <w:bookmarkEnd w:id="40"/>
    </w:p>
    <w:p w14:paraId="7365856B" w14:textId="462FB08F" w:rsidR="00AF264F" w:rsidRPr="00AF264F" w:rsidRDefault="00AB6D13" w:rsidP="008729FF">
      <w:pPr>
        <w:autoSpaceDE w:val="0"/>
        <w:autoSpaceDN w:val="0"/>
        <w:adjustRightInd w:val="0"/>
        <w:spacing w:after="0" w:line="360" w:lineRule="auto"/>
        <w:jc w:val="both"/>
        <w:rPr>
          <w:rFonts w:ascii="Verdana" w:hAnsi="Verdana"/>
        </w:rPr>
      </w:pPr>
      <w:r>
        <w:rPr>
          <w:rFonts w:ascii="Verdana" w:hAnsi="Verdana"/>
        </w:rPr>
        <w:t xml:space="preserve">For the results presented in Chapter 7, </w:t>
      </w:r>
      <w:r w:rsidR="000D23BE">
        <w:rPr>
          <w:rFonts w:ascii="Verdana" w:hAnsi="Verdana"/>
        </w:rPr>
        <w:t xml:space="preserve">mice were </w:t>
      </w:r>
      <w:proofErr w:type="spellStart"/>
      <w:r w:rsidR="000D23BE">
        <w:rPr>
          <w:rFonts w:ascii="Verdana" w:hAnsi="Verdana"/>
        </w:rPr>
        <w:t>gavaged</w:t>
      </w:r>
      <w:proofErr w:type="spellEnd"/>
      <w:r w:rsidR="000D23BE">
        <w:rPr>
          <w:rFonts w:ascii="Verdana" w:hAnsi="Verdana"/>
        </w:rPr>
        <w:t xml:space="preserve"> with a C600 </w:t>
      </w:r>
      <w:r w:rsidR="000D23BE" w:rsidRPr="000D23BE">
        <w:rPr>
          <w:rFonts w:ascii="Verdana" w:hAnsi="Verdana"/>
          <w:i/>
          <w:iCs/>
        </w:rPr>
        <w:t>E. coli</w:t>
      </w:r>
      <w:r w:rsidR="000D23BE">
        <w:rPr>
          <w:rFonts w:ascii="Verdana" w:hAnsi="Verdana"/>
        </w:rPr>
        <w:t xml:space="preserve"> strain (EC) and its isogenic Curli-operon Knock-out </w:t>
      </w:r>
      <w:r w:rsidR="000D23BE" w:rsidRPr="00AE17C4">
        <w:rPr>
          <w:rFonts w:ascii="Verdana" w:hAnsi="Verdana"/>
        </w:rPr>
        <w:t>(ΔEC)</w:t>
      </w:r>
      <w:r w:rsidR="000D23BE">
        <w:rPr>
          <w:rFonts w:ascii="Verdana" w:hAnsi="Verdana"/>
        </w:rPr>
        <w:t xml:space="preserve"> strain, both gifted by</w:t>
      </w:r>
      <w:r w:rsidRPr="00AE17C4">
        <w:rPr>
          <w:rFonts w:ascii="Verdana" w:hAnsi="Verdana"/>
        </w:rPr>
        <w:t xml:space="preserve"> Matthew Chapman</w:t>
      </w:r>
      <w:r w:rsidR="000D23BE">
        <w:rPr>
          <w:rFonts w:ascii="Verdana" w:hAnsi="Verdana"/>
        </w:rPr>
        <w:t xml:space="preserve"> (</w:t>
      </w:r>
      <w:r w:rsidRPr="00AE17C4">
        <w:rPr>
          <w:rFonts w:ascii="Verdana" w:hAnsi="Verdana"/>
        </w:rPr>
        <w:t>University of Michigan</w:t>
      </w:r>
      <w:r w:rsidR="000D23BE">
        <w:rPr>
          <w:rFonts w:ascii="Verdana" w:hAnsi="Verdana"/>
        </w:rPr>
        <w:t>)</w:t>
      </w:r>
      <w:r w:rsidRPr="00AE17C4">
        <w:rPr>
          <w:rFonts w:ascii="Verdana" w:hAnsi="Verdana"/>
        </w:rPr>
        <w:t xml:space="preserve">. </w:t>
      </w:r>
      <w:r w:rsidR="00AF264F">
        <w:rPr>
          <w:rFonts w:ascii="Verdana" w:hAnsi="Verdana"/>
        </w:rPr>
        <w:t>PCR</w:t>
      </w:r>
      <w:r w:rsidR="00B11257">
        <w:rPr>
          <w:rFonts w:ascii="Verdana" w:hAnsi="Verdana"/>
        </w:rPr>
        <w:t xml:space="preserve"> was used to confirm transcription of the Curli operon</w:t>
      </w:r>
      <w:r w:rsidR="00AF264F">
        <w:rPr>
          <w:rFonts w:ascii="Verdana" w:hAnsi="Verdana"/>
        </w:rPr>
        <w:t xml:space="preserve"> (</w:t>
      </w:r>
      <w:r w:rsidRPr="00AE17C4">
        <w:rPr>
          <w:rFonts w:ascii="Verdana" w:hAnsi="Verdana"/>
        </w:rPr>
        <w:t>csgA_F-5’-GCG-TGA-CAC-AAC-GTT-AAT-TTC-CA-3’, csgA_R-5’-CAT-ATT-CTT-CTC-CCG-AAA-AAA-AAC-AG-3’; csgB_F-5’-CCA-TCG-GAT-TGA-TTT-AAA-AGT-CGA-AT-3’, csgB_R-5’-AAT-TTC-TTA-AAT-GTA-CGA-CCA-GGT-CC-3’</w:t>
      </w:r>
      <w:r w:rsidR="00AF264F">
        <w:rPr>
          <w:rFonts w:ascii="Verdana" w:hAnsi="Verdana"/>
        </w:rPr>
        <w:t>), an</w:t>
      </w:r>
      <w:r w:rsidR="001956EC">
        <w:rPr>
          <w:rFonts w:ascii="Verdana" w:hAnsi="Verdana"/>
        </w:rPr>
        <w:t>d Congo red staining was used to confirm expression at the protein level</w:t>
      </w:r>
      <w:r w:rsidR="00AF264F">
        <w:rPr>
          <w:rFonts w:ascii="Verdana" w:hAnsi="Verdana"/>
        </w:rPr>
        <w:t>.</w:t>
      </w:r>
      <w:r w:rsidR="008729FF">
        <w:rPr>
          <w:rFonts w:ascii="Verdana" w:hAnsi="Verdana"/>
        </w:rPr>
        <w:t xml:space="preserve"> Culture of both </w:t>
      </w:r>
      <w:r w:rsidR="008729FF" w:rsidRPr="008729FF">
        <w:rPr>
          <w:rFonts w:ascii="Verdana" w:hAnsi="Verdana"/>
          <w:i/>
          <w:iCs/>
        </w:rPr>
        <w:t>E. coli</w:t>
      </w:r>
      <w:r w:rsidR="008729FF">
        <w:rPr>
          <w:rFonts w:ascii="Verdana" w:hAnsi="Verdana"/>
        </w:rPr>
        <w:t xml:space="preserve"> strains was performed at </w:t>
      </w:r>
      <w:r w:rsidR="008729FF">
        <w:rPr>
          <w:rFonts w:ascii="Verdana" w:hAnsi="Verdana"/>
        </w:rPr>
        <w:lastRenderedPageBreak/>
        <w:t>5% CO</w:t>
      </w:r>
      <w:r w:rsidR="008729FF">
        <w:rPr>
          <w:rFonts w:ascii="Verdana" w:hAnsi="Verdana"/>
          <w:vertAlign w:val="subscript"/>
        </w:rPr>
        <w:t>2</w:t>
      </w:r>
      <w:r w:rsidR="008729FF">
        <w:rPr>
          <w:rFonts w:ascii="Verdana" w:hAnsi="Verdana"/>
        </w:rPr>
        <w:t>, 37</w:t>
      </w:r>
      <w:r w:rsidR="008729FF" w:rsidRPr="00AE17C4">
        <w:rPr>
          <w:rFonts w:ascii="Verdana" w:hAnsi="Verdana"/>
        </w:rPr>
        <w:t>°C</w:t>
      </w:r>
      <w:r w:rsidR="008729FF">
        <w:rPr>
          <w:rFonts w:ascii="Verdana" w:hAnsi="Verdana"/>
        </w:rPr>
        <w:t xml:space="preserve"> in agitation at 300rpm, using Lennox broth. </w:t>
      </w:r>
      <w:r w:rsidR="00AF264F">
        <w:rPr>
          <w:rFonts w:ascii="Verdana" w:hAnsi="Verdana"/>
        </w:rPr>
        <w:t>For oral administration,</w:t>
      </w:r>
      <w:r w:rsidR="00B11257">
        <w:rPr>
          <w:rFonts w:ascii="Verdana" w:hAnsi="Verdana"/>
        </w:rPr>
        <w:t xml:space="preserve"> a suspension </w:t>
      </w:r>
      <w:proofErr w:type="gramStart"/>
      <w:r w:rsidR="00B11257">
        <w:rPr>
          <w:rFonts w:ascii="Verdana" w:hAnsi="Verdana"/>
        </w:rPr>
        <w:t xml:space="preserve">of </w:t>
      </w:r>
      <w:r w:rsidR="00AF264F">
        <w:rPr>
          <w:rFonts w:ascii="Verdana" w:hAnsi="Verdana"/>
        </w:rPr>
        <w:t xml:space="preserve"> </w:t>
      </w:r>
      <w:r w:rsidR="005A7906">
        <w:rPr>
          <w:rFonts w:ascii="Verdana" w:hAnsi="Verdana"/>
        </w:rPr>
        <w:t>1010</w:t>
      </w:r>
      <w:proofErr w:type="gramEnd"/>
      <w:r w:rsidR="005A7906">
        <w:rPr>
          <w:rFonts w:ascii="Verdana" w:hAnsi="Verdana"/>
        </w:rPr>
        <w:t>CFUs/ml</w:t>
      </w:r>
      <w:r w:rsidR="00B11257">
        <w:rPr>
          <w:rFonts w:ascii="Verdana" w:hAnsi="Verdana"/>
        </w:rPr>
        <w:t xml:space="preserve"> in sterile PBS was used</w:t>
      </w:r>
      <w:r w:rsidR="005A7906">
        <w:rPr>
          <w:rFonts w:ascii="Verdana" w:hAnsi="Verdana"/>
        </w:rPr>
        <w:t xml:space="preserve">, and each mouse was </w:t>
      </w:r>
      <w:proofErr w:type="spellStart"/>
      <w:r w:rsidR="005A7906">
        <w:rPr>
          <w:rFonts w:ascii="Verdana" w:hAnsi="Verdana"/>
        </w:rPr>
        <w:t>gavaged</w:t>
      </w:r>
      <w:proofErr w:type="spellEnd"/>
      <w:r w:rsidR="005A7906">
        <w:rPr>
          <w:rFonts w:ascii="Verdana" w:hAnsi="Verdana"/>
        </w:rPr>
        <w:t xml:space="preserve"> with </w:t>
      </w:r>
      <w:r w:rsidR="005A7906" w:rsidRPr="00AE17C4">
        <w:rPr>
          <w:rFonts w:ascii="Verdana" w:hAnsi="Verdana"/>
        </w:rPr>
        <w:t>100μL of bacterial solution</w:t>
      </w:r>
      <w:r w:rsidR="005A7906">
        <w:rPr>
          <w:rFonts w:ascii="Verdana" w:hAnsi="Verdana"/>
        </w:rPr>
        <w:t xml:space="preserve"> or PBS, using reusable stainless steel 20G feeding needles</w:t>
      </w:r>
      <w:r w:rsidR="005A7906" w:rsidRPr="00AE17C4">
        <w:rPr>
          <w:rFonts w:ascii="Verdana" w:hAnsi="Verdana"/>
        </w:rPr>
        <w:t xml:space="preserve"> (Fine Science Tools, 18060-20)</w:t>
      </w:r>
      <w:r w:rsidR="005A7906">
        <w:rPr>
          <w:rFonts w:ascii="Verdana" w:hAnsi="Verdana"/>
        </w:rPr>
        <w:t>.</w:t>
      </w:r>
    </w:p>
    <w:p w14:paraId="4A650465" w14:textId="77777777" w:rsidR="00AB6D13" w:rsidRPr="00AE17C4" w:rsidRDefault="00AB6D13" w:rsidP="005A7906">
      <w:pPr>
        <w:autoSpaceDE w:val="0"/>
        <w:autoSpaceDN w:val="0"/>
        <w:adjustRightInd w:val="0"/>
        <w:spacing w:after="0" w:line="360" w:lineRule="auto"/>
        <w:ind w:firstLine="0"/>
        <w:jc w:val="both"/>
        <w:rPr>
          <w:rFonts w:ascii="Verdana" w:hAnsi="Verdana"/>
        </w:rPr>
      </w:pPr>
    </w:p>
    <w:p w14:paraId="1C08F401" w14:textId="77777777" w:rsidR="00AB6D13" w:rsidRDefault="00AB6D13" w:rsidP="005A7906">
      <w:pPr>
        <w:spacing w:line="360" w:lineRule="auto"/>
        <w:ind w:firstLine="0"/>
        <w:jc w:val="both"/>
        <w:rPr>
          <w:rFonts w:ascii="Verdana" w:hAnsi="Verdana"/>
          <w:b/>
          <w:bCs/>
          <w:lang w:val="en-GB"/>
        </w:rPr>
      </w:pPr>
    </w:p>
    <w:p w14:paraId="39ABE5D8" w14:textId="5DF85CB2" w:rsidR="00BE59D3" w:rsidRPr="00D74818" w:rsidRDefault="00BE59D3" w:rsidP="00767F9D">
      <w:pPr>
        <w:pStyle w:val="Heading3"/>
        <w:rPr>
          <w:lang w:val="en-GB"/>
        </w:rPr>
      </w:pPr>
      <w:bookmarkStart w:id="41" w:name="_Toc130223407"/>
      <w:r w:rsidRPr="00D74818">
        <w:rPr>
          <w:lang w:val="en-GB"/>
        </w:rPr>
        <w:t>Euthanasia and tissue collection</w:t>
      </w:r>
      <w:bookmarkEnd w:id="41"/>
    </w:p>
    <w:p w14:paraId="129D5DEC" w14:textId="7CA9A6BA" w:rsidR="00BE59D3" w:rsidRDefault="001937BA" w:rsidP="00BE59D3">
      <w:pPr>
        <w:spacing w:line="360" w:lineRule="auto"/>
        <w:jc w:val="both"/>
        <w:rPr>
          <w:rFonts w:ascii="Verdana" w:hAnsi="Verdana"/>
          <w:lang w:val="en-GB"/>
        </w:rPr>
      </w:pPr>
      <w:r>
        <w:rPr>
          <w:rFonts w:ascii="Verdana" w:hAnsi="Verdana"/>
          <w:lang w:val="en-GB"/>
        </w:rPr>
        <w:t>T</w:t>
      </w:r>
      <w:r w:rsidR="00BE59D3" w:rsidRPr="00BE59D3">
        <w:rPr>
          <w:rFonts w:ascii="Verdana" w:hAnsi="Verdana"/>
          <w:lang w:val="en-GB"/>
        </w:rPr>
        <w:t xml:space="preserve">he mice were anesthetized with a mixture of Ketamine (150mg/kg) and Medetomidine (1mg/kg), and </w:t>
      </w:r>
      <w:proofErr w:type="spellStart"/>
      <w:r w:rsidR="00BE59D3" w:rsidRPr="00BE59D3">
        <w:rPr>
          <w:rFonts w:ascii="Verdana" w:hAnsi="Verdana"/>
          <w:lang w:val="en-GB"/>
        </w:rPr>
        <w:t>transcardially</w:t>
      </w:r>
      <w:proofErr w:type="spellEnd"/>
      <w:r w:rsidR="00BE59D3" w:rsidRPr="00BE59D3">
        <w:rPr>
          <w:rFonts w:ascii="Verdana" w:hAnsi="Verdana"/>
          <w:lang w:val="en-GB"/>
        </w:rPr>
        <w:t xml:space="preserve"> perfused </w:t>
      </w:r>
      <w:r w:rsidR="004700D7">
        <w:rPr>
          <w:rFonts w:ascii="Verdana" w:hAnsi="Verdana"/>
          <w:lang w:val="en-GB"/>
        </w:rPr>
        <w:t>using room temperature</w:t>
      </w:r>
      <w:r w:rsidR="00BE59D3" w:rsidRPr="00BE59D3">
        <w:rPr>
          <w:rFonts w:ascii="Verdana" w:hAnsi="Verdana"/>
          <w:lang w:val="en-GB"/>
        </w:rPr>
        <w:t xml:space="preserve"> PBS</w:t>
      </w:r>
      <w:r w:rsidR="004700D7">
        <w:rPr>
          <w:rFonts w:ascii="Verdana" w:hAnsi="Verdana"/>
          <w:lang w:val="en-GB"/>
        </w:rPr>
        <w:t xml:space="preserve"> 1X</w:t>
      </w:r>
      <w:r w:rsidR="00BE59D3" w:rsidRPr="00BE59D3">
        <w:rPr>
          <w:rFonts w:ascii="Verdana" w:hAnsi="Verdana"/>
          <w:lang w:val="en-GB"/>
        </w:rPr>
        <w:t xml:space="preserve">. After euthanasia, the brains were extracted from the skull, placed on ice, </w:t>
      </w:r>
      <w:r w:rsidR="004700D7">
        <w:rPr>
          <w:rFonts w:ascii="Verdana" w:hAnsi="Verdana"/>
          <w:lang w:val="en-GB"/>
        </w:rPr>
        <w:t xml:space="preserve">and </w:t>
      </w:r>
      <w:r w:rsidR="00BE59D3" w:rsidRPr="00BE59D3">
        <w:rPr>
          <w:rFonts w:ascii="Verdana" w:hAnsi="Verdana"/>
          <w:lang w:val="en-GB"/>
        </w:rPr>
        <w:t>two hemi brains</w:t>
      </w:r>
      <w:r w:rsidR="004700D7">
        <w:rPr>
          <w:rFonts w:ascii="Verdana" w:hAnsi="Verdana"/>
          <w:lang w:val="en-GB"/>
        </w:rPr>
        <w:t xml:space="preserve"> were separated using a metal blade</w:t>
      </w:r>
      <w:r w:rsidR="00BE59D3" w:rsidRPr="00BE59D3">
        <w:rPr>
          <w:rFonts w:ascii="Verdana" w:hAnsi="Verdana"/>
          <w:lang w:val="en-GB"/>
        </w:rPr>
        <w:t xml:space="preserve">. </w:t>
      </w:r>
      <w:r w:rsidR="003A0046">
        <w:rPr>
          <w:rFonts w:ascii="Verdana" w:hAnsi="Verdana"/>
          <w:lang w:val="en-GB"/>
        </w:rPr>
        <w:t>Different regions of interest</w:t>
      </w:r>
      <w:r w:rsidR="00BE59D3" w:rsidRPr="00BE59D3">
        <w:rPr>
          <w:rFonts w:ascii="Verdana" w:hAnsi="Verdana"/>
          <w:lang w:val="en-GB"/>
        </w:rPr>
        <w:t xml:space="preserve"> (striatum, midbrain, </w:t>
      </w:r>
      <w:proofErr w:type="gramStart"/>
      <w:r w:rsidR="00BE59D3" w:rsidRPr="00BE59D3">
        <w:rPr>
          <w:rFonts w:ascii="Verdana" w:hAnsi="Verdana"/>
          <w:lang w:val="en-GB"/>
        </w:rPr>
        <w:t>hippocampus</w:t>
      </w:r>
      <w:proofErr w:type="gramEnd"/>
      <w:r w:rsidR="00BE59D3" w:rsidRPr="00BE59D3">
        <w:rPr>
          <w:rFonts w:ascii="Verdana" w:hAnsi="Verdana"/>
          <w:lang w:val="en-GB"/>
        </w:rPr>
        <w:t xml:space="preserve"> and cortex)</w:t>
      </w:r>
      <w:r w:rsidR="003A0046">
        <w:rPr>
          <w:rFonts w:ascii="Verdana" w:hAnsi="Verdana"/>
          <w:lang w:val="en-GB"/>
        </w:rPr>
        <w:t xml:space="preserve"> were dissected</w:t>
      </w:r>
      <w:r w:rsidR="00BE59D3" w:rsidRPr="00BE59D3">
        <w:rPr>
          <w:rFonts w:ascii="Verdana" w:hAnsi="Verdana"/>
          <w:lang w:val="en-GB"/>
        </w:rPr>
        <w:t xml:space="preserve"> for molecular biology analyses</w:t>
      </w:r>
      <w:r w:rsidR="003A0046">
        <w:rPr>
          <w:rFonts w:ascii="Verdana" w:hAnsi="Verdana"/>
          <w:lang w:val="en-GB"/>
        </w:rPr>
        <w:t xml:space="preserve"> from one of the two hemi brains</w:t>
      </w:r>
      <w:r w:rsidR="00BE59D3" w:rsidRPr="00BE59D3">
        <w:rPr>
          <w:rFonts w:ascii="Verdana" w:hAnsi="Verdana"/>
          <w:lang w:val="en-GB"/>
        </w:rPr>
        <w:t xml:space="preserve">; the dissected </w:t>
      </w:r>
      <w:r w:rsidR="003A0046">
        <w:rPr>
          <w:rFonts w:ascii="Verdana" w:hAnsi="Verdana"/>
          <w:lang w:val="en-GB"/>
        </w:rPr>
        <w:t xml:space="preserve">brain </w:t>
      </w:r>
      <w:r w:rsidR="00BE59D3" w:rsidRPr="00BE59D3">
        <w:rPr>
          <w:rFonts w:ascii="Verdana" w:hAnsi="Verdana"/>
          <w:lang w:val="en-GB"/>
        </w:rPr>
        <w:t>regions were snap frozen in dry ice and stored at -80</w:t>
      </w:r>
      <w:r w:rsidR="00BE59D3" w:rsidRPr="00BE59D3">
        <w:rPr>
          <w:rFonts w:ascii="Verdana" w:hAnsi="Verdana" w:cstheme="minorHAnsi"/>
          <w:lang w:val="en-GB"/>
        </w:rPr>
        <w:t>°</w:t>
      </w:r>
      <w:r w:rsidR="00BE59D3" w:rsidRPr="00BE59D3">
        <w:rPr>
          <w:rFonts w:ascii="Verdana" w:hAnsi="Verdana"/>
          <w:lang w:val="en-GB"/>
        </w:rPr>
        <w:t>C until use. The other hemi brain was fixed for 48 hours at 4</w:t>
      </w:r>
      <w:r w:rsidR="00BE59D3" w:rsidRPr="00BE59D3">
        <w:rPr>
          <w:rFonts w:ascii="Verdana" w:hAnsi="Verdana" w:cstheme="minorHAnsi"/>
          <w:lang w:val="en-GB"/>
        </w:rPr>
        <w:t>°</w:t>
      </w:r>
      <w:r w:rsidR="00BE59D3" w:rsidRPr="00BE59D3">
        <w:rPr>
          <w:rFonts w:ascii="Verdana" w:hAnsi="Verdana"/>
          <w:lang w:val="en-GB"/>
        </w:rPr>
        <w:t>C in 4% PBS-buffered paraformaldehyde (PFA), and then stored in PBS + 0.02% sodium-</w:t>
      </w:r>
      <w:proofErr w:type="spellStart"/>
      <w:r w:rsidR="00BE59D3" w:rsidRPr="00BE59D3">
        <w:rPr>
          <w:rFonts w:ascii="Verdana" w:hAnsi="Verdana"/>
          <w:lang w:val="en-GB"/>
        </w:rPr>
        <w:t>azide</w:t>
      </w:r>
      <w:proofErr w:type="spellEnd"/>
      <w:r w:rsidR="00BE59D3" w:rsidRPr="00BE59D3">
        <w:rPr>
          <w:rFonts w:ascii="Verdana" w:hAnsi="Verdana"/>
          <w:lang w:val="en-GB"/>
        </w:rPr>
        <w:t xml:space="preserve"> at 4</w:t>
      </w:r>
      <w:r w:rsidR="00BE59D3" w:rsidRPr="00BE59D3">
        <w:rPr>
          <w:rFonts w:ascii="Verdana" w:hAnsi="Verdana" w:cstheme="minorHAnsi"/>
          <w:lang w:val="en-GB"/>
        </w:rPr>
        <w:t>°</w:t>
      </w:r>
      <w:r w:rsidR="00BE59D3" w:rsidRPr="00BE59D3">
        <w:rPr>
          <w:rFonts w:ascii="Verdana" w:hAnsi="Verdana"/>
          <w:lang w:val="en-GB"/>
        </w:rPr>
        <w:t>C for immunohistochemistry. The fixed hemi brains were</w:t>
      </w:r>
      <w:r w:rsidR="005B6913">
        <w:rPr>
          <w:rFonts w:ascii="Verdana" w:hAnsi="Verdana"/>
          <w:lang w:val="en-GB"/>
        </w:rPr>
        <w:t xml:space="preserve"> </w:t>
      </w:r>
      <w:r w:rsidR="00BE59D3" w:rsidRPr="00BE59D3">
        <w:rPr>
          <w:rFonts w:ascii="Verdana" w:hAnsi="Verdana"/>
          <w:lang w:val="en-GB"/>
        </w:rPr>
        <w:t>cut using a Leica vibratome VT1000 (</w:t>
      </w:r>
      <w:proofErr w:type="spellStart"/>
      <w:r w:rsidR="00BE59D3" w:rsidRPr="00BE59D3">
        <w:rPr>
          <w:rFonts w:ascii="Verdana" w:hAnsi="Verdana"/>
          <w:lang w:val="en-GB"/>
        </w:rPr>
        <w:t>Wetzlar</w:t>
      </w:r>
      <w:proofErr w:type="spellEnd"/>
      <w:r w:rsidR="00BE59D3" w:rsidRPr="00BE59D3">
        <w:rPr>
          <w:rFonts w:ascii="Verdana" w:hAnsi="Verdana"/>
          <w:lang w:val="en-GB"/>
        </w:rPr>
        <w:t xml:space="preserve">), to generate </w:t>
      </w:r>
      <w:r w:rsidR="00050270">
        <w:rPr>
          <w:rFonts w:ascii="Verdana" w:hAnsi="Verdana"/>
          <w:lang w:val="en-GB"/>
        </w:rPr>
        <w:t>30-50</w:t>
      </w:r>
      <w:r w:rsidR="00BE59D3" w:rsidRPr="00BE59D3">
        <w:rPr>
          <w:rFonts w:ascii="Verdana" w:hAnsi="Verdana" w:cstheme="minorHAnsi"/>
          <w:lang w:val="en-GB"/>
        </w:rPr>
        <w:t>µ</w:t>
      </w:r>
      <w:r w:rsidR="00BE59D3" w:rsidRPr="00BE59D3">
        <w:rPr>
          <w:rFonts w:ascii="Verdana" w:hAnsi="Verdana"/>
          <w:lang w:val="en-GB"/>
        </w:rPr>
        <w:t xml:space="preserve">m thick free-floating </w:t>
      </w:r>
      <w:r w:rsidR="006F1401">
        <w:rPr>
          <w:rFonts w:ascii="Verdana" w:hAnsi="Verdana"/>
          <w:lang w:val="en-GB"/>
        </w:rPr>
        <w:t xml:space="preserve">sagittal </w:t>
      </w:r>
      <w:r w:rsidR="00BE59D3" w:rsidRPr="00BE59D3">
        <w:rPr>
          <w:rFonts w:ascii="Verdana" w:hAnsi="Verdana"/>
          <w:lang w:val="en-GB"/>
        </w:rPr>
        <w:t>sections, and the sections were stored at -20</w:t>
      </w:r>
      <w:r w:rsidR="00BE59D3" w:rsidRPr="00BE59D3">
        <w:rPr>
          <w:rFonts w:ascii="Verdana" w:hAnsi="Verdana" w:cstheme="minorHAnsi"/>
          <w:lang w:val="en-GB"/>
        </w:rPr>
        <w:t>°</w:t>
      </w:r>
      <w:r w:rsidR="00BE59D3" w:rsidRPr="00BE59D3">
        <w:rPr>
          <w:rFonts w:ascii="Verdana" w:hAnsi="Verdana"/>
          <w:lang w:val="en-GB"/>
        </w:rPr>
        <w:t>C in a cryoprotectant medium (1% polyvinyl pyrrolidone, 50% ethylene glycol in 1X PBS) until further use.</w:t>
      </w:r>
    </w:p>
    <w:p w14:paraId="21FC1670" w14:textId="2554A95D" w:rsidR="005A7906" w:rsidRPr="00AE17C4" w:rsidRDefault="005A7906" w:rsidP="007513DB">
      <w:pPr>
        <w:autoSpaceDE w:val="0"/>
        <w:autoSpaceDN w:val="0"/>
        <w:adjustRightInd w:val="0"/>
        <w:spacing w:after="0" w:line="360" w:lineRule="auto"/>
        <w:jc w:val="both"/>
        <w:rPr>
          <w:rFonts w:ascii="Verdana" w:hAnsi="Verdana"/>
        </w:rPr>
      </w:pPr>
      <w:r>
        <w:rPr>
          <w:rFonts w:ascii="Verdana" w:hAnsi="Verdana"/>
        </w:rPr>
        <w:t>After dissection, colon samples were fixed in a solution of 60% absolute methanol, 30% chloroform and 10% glacial acetic acid (</w:t>
      </w:r>
      <w:proofErr w:type="spellStart"/>
      <w:r>
        <w:rPr>
          <w:rFonts w:ascii="Verdana" w:hAnsi="Verdana"/>
        </w:rPr>
        <w:t>Methacarn</w:t>
      </w:r>
      <w:proofErr w:type="spellEnd"/>
      <w:r>
        <w:rPr>
          <w:rFonts w:ascii="Verdana" w:hAnsi="Verdana"/>
        </w:rPr>
        <w:t>) for 2-4h at RT under a chemical hood. Tissue</w:t>
      </w:r>
      <w:r w:rsidR="003D374E">
        <w:rPr>
          <w:rFonts w:ascii="Verdana" w:hAnsi="Verdana"/>
        </w:rPr>
        <w:t>s</w:t>
      </w:r>
      <w:r>
        <w:rPr>
          <w:rFonts w:ascii="Verdana" w:hAnsi="Verdana"/>
        </w:rPr>
        <w:t xml:space="preserve"> were then transferred to 90% ethanol and stored at </w:t>
      </w:r>
      <w:r w:rsidRPr="00AE17C4">
        <w:rPr>
          <w:rFonts w:ascii="Verdana" w:hAnsi="Verdana"/>
        </w:rPr>
        <w:t>4°C</w:t>
      </w:r>
      <w:r>
        <w:rPr>
          <w:rFonts w:ascii="Verdana" w:hAnsi="Verdana"/>
        </w:rPr>
        <w:t>.</w:t>
      </w:r>
      <w:r w:rsidR="00C66C39">
        <w:rPr>
          <w:rFonts w:ascii="Verdana" w:hAnsi="Verdana"/>
        </w:rPr>
        <w:t xml:space="preserve"> 4-5mm long transversal sections were cut from</w:t>
      </w:r>
      <w:r w:rsidR="003D374E">
        <w:rPr>
          <w:rFonts w:ascii="Verdana" w:hAnsi="Verdana"/>
        </w:rPr>
        <w:t xml:space="preserve"> </w:t>
      </w:r>
      <w:r w:rsidR="00C66C39">
        <w:rPr>
          <w:rFonts w:ascii="Verdana" w:hAnsi="Verdana"/>
        </w:rPr>
        <w:t>c</w:t>
      </w:r>
      <w:r>
        <w:rPr>
          <w:rFonts w:ascii="Verdana" w:hAnsi="Verdana"/>
        </w:rPr>
        <w:t xml:space="preserve">olon samples </w:t>
      </w:r>
      <w:r w:rsidR="00C66C39">
        <w:rPr>
          <w:rFonts w:ascii="Verdana" w:hAnsi="Verdana"/>
        </w:rPr>
        <w:t>using</w:t>
      </w:r>
      <w:r>
        <w:rPr>
          <w:rFonts w:ascii="Verdana" w:hAnsi="Verdana"/>
        </w:rPr>
        <w:t xml:space="preserve"> a microtome blade</w:t>
      </w:r>
      <w:r w:rsidR="00C66C39">
        <w:rPr>
          <w:rFonts w:ascii="Verdana" w:hAnsi="Verdana"/>
        </w:rPr>
        <w:t>.</w:t>
      </w:r>
      <w:r w:rsidR="00E40C55">
        <w:rPr>
          <w:rFonts w:ascii="Verdana" w:hAnsi="Verdana"/>
        </w:rPr>
        <w:t xml:space="preserve"> </w:t>
      </w:r>
      <w:r w:rsidR="00C66C39">
        <w:rPr>
          <w:rFonts w:ascii="Verdana" w:hAnsi="Verdana"/>
        </w:rPr>
        <w:t>These</w:t>
      </w:r>
      <w:r w:rsidR="00E40C55">
        <w:rPr>
          <w:rFonts w:ascii="Verdana" w:hAnsi="Verdana"/>
        </w:rPr>
        <w:t xml:space="preserve"> were then inserted in histological cassettes maintaining the proximal-distal orientation. S</w:t>
      </w:r>
      <w:r w:rsidR="007513DB">
        <w:rPr>
          <w:rFonts w:ascii="Verdana" w:hAnsi="Verdana"/>
        </w:rPr>
        <w:t>amples</w:t>
      </w:r>
      <w:r w:rsidR="00E40C55">
        <w:rPr>
          <w:rFonts w:ascii="Verdana" w:hAnsi="Verdana"/>
        </w:rPr>
        <w:t xml:space="preserve"> were </w:t>
      </w:r>
      <w:r w:rsidR="00277310">
        <w:rPr>
          <w:rFonts w:ascii="Verdana" w:hAnsi="Verdana"/>
        </w:rPr>
        <w:t xml:space="preserve">held in place in a perforated sponge soaked in </w:t>
      </w:r>
      <w:proofErr w:type="gramStart"/>
      <w:r w:rsidR="00277310">
        <w:rPr>
          <w:rFonts w:ascii="Verdana" w:hAnsi="Verdana"/>
        </w:rPr>
        <w:t>ethanol, and</w:t>
      </w:r>
      <w:proofErr w:type="gramEnd"/>
      <w:r w:rsidR="00277310">
        <w:rPr>
          <w:rFonts w:ascii="Verdana" w:hAnsi="Verdana"/>
        </w:rPr>
        <w:t xml:space="preserve"> were post-fixated for 24h in formalin. Next, </w:t>
      </w:r>
      <w:r w:rsidR="00BF3501">
        <w:rPr>
          <w:rFonts w:ascii="Verdana" w:hAnsi="Verdana"/>
        </w:rPr>
        <w:t xml:space="preserve">a vacuum infiltration processor was used to process </w:t>
      </w:r>
      <w:r w:rsidR="00277310">
        <w:rPr>
          <w:rFonts w:ascii="Verdana" w:hAnsi="Verdana"/>
        </w:rPr>
        <w:t>the sample</w:t>
      </w:r>
      <w:r w:rsidR="00BF3501">
        <w:rPr>
          <w:rFonts w:ascii="Verdana" w:hAnsi="Verdana"/>
        </w:rPr>
        <w:t xml:space="preserve">s. </w:t>
      </w:r>
      <w:r w:rsidR="00517A13">
        <w:rPr>
          <w:rFonts w:ascii="Verdana" w:hAnsi="Verdana"/>
        </w:rPr>
        <w:t>Following paraffin embedding, samples were cut</w:t>
      </w:r>
      <w:r w:rsidR="007513DB">
        <w:rPr>
          <w:rFonts w:ascii="Verdana" w:hAnsi="Verdana"/>
        </w:rPr>
        <w:t xml:space="preserve"> in </w:t>
      </w:r>
      <w:r w:rsidR="007513DB" w:rsidRPr="00AE17C4">
        <w:rPr>
          <w:rFonts w:ascii="Verdana" w:hAnsi="Verdana"/>
        </w:rPr>
        <w:t>3μm</w:t>
      </w:r>
      <w:r w:rsidR="007513DB">
        <w:rPr>
          <w:rFonts w:ascii="Verdana" w:hAnsi="Verdana"/>
        </w:rPr>
        <w:t xml:space="preserve"> thick sections</w:t>
      </w:r>
      <w:r w:rsidR="00517A13">
        <w:rPr>
          <w:rFonts w:ascii="Verdana" w:hAnsi="Verdana"/>
        </w:rPr>
        <w:t xml:space="preserve"> using a microtome</w:t>
      </w:r>
      <w:r w:rsidR="007513DB">
        <w:rPr>
          <w:rFonts w:ascii="Verdana" w:hAnsi="Verdana"/>
        </w:rPr>
        <w:t xml:space="preserve">. The slides </w:t>
      </w:r>
      <w:r w:rsidRPr="00AE17C4">
        <w:rPr>
          <w:rFonts w:ascii="Verdana" w:hAnsi="Verdana"/>
        </w:rPr>
        <w:t xml:space="preserve">were stored at 4°C </w:t>
      </w:r>
      <w:r w:rsidR="007513DB">
        <w:rPr>
          <w:rFonts w:ascii="Verdana" w:hAnsi="Verdana"/>
        </w:rPr>
        <w:t>until staining</w:t>
      </w:r>
      <w:r w:rsidRPr="00AE17C4">
        <w:rPr>
          <w:rFonts w:ascii="Verdana" w:hAnsi="Verdana"/>
        </w:rPr>
        <w:t>.</w:t>
      </w:r>
    </w:p>
    <w:p w14:paraId="7B8B16F1" w14:textId="77777777" w:rsidR="005A7906" w:rsidRDefault="005A7906" w:rsidP="00BE59D3">
      <w:pPr>
        <w:spacing w:line="360" w:lineRule="auto"/>
        <w:jc w:val="both"/>
        <w:rPr>
          <w:rFonts w:ascii="Verdana" w:hAnsi="Verdana"/>
          <w:lang w:val="en-GB"/>
        </w:rPr>
      </w:pPr>
    </w:p>
    <w:p w14:paraId="3B411C4B" w14:textId="77777777" w:rsidR="00A50CE3" w:rsidRDefault="00A50CE3">
      <w:pPr>
        <w:ind w:firstLine="0"/>
        <w:rPr>
          <w:rFonts w:ascii="Verdana" w:hAnsi="Verdana"/>
          <w:lang w:val="en-GB"/>
        </w:rPr>
      </w:pPr>
    </w:p>
    <w:p w14:paraId="02337299" w14:textId="77777777" w:rsidR="00A50CE3" w:rsidRDefault="00A50CE3">
      <w:pPr>
        <w:ind w:firstLine="0"/>
        <w:rPr>
          <w:rFonts w:ascii="Verdana" w:hAnsi="Verdana"/>
          <w:lang w:val="en-GB"/>
        </w:rPr>
      </w:pPr>
    </w:p>
    <w:p w14:paraId="0601BE48" w14:textId="77777777" w:rsidR="00A50CE3" w:rsidRDefault="00A50CE3">
      <w:pPr>
        <w:ind w:firstLine="0"/>
        <w:rPr>
          <w:rFonts w:ascii="Verdana" w:hAnsi="Verdana"/>
          <w:lang w:val="en-GB"/>
        </w:rPr>
      </w:pPr>
    </w:p>
    <w:p w14:paraId="30838330" w14:textId="77777777" w:rsidR="00A50CE3" w:rsidRDefault="00A50CE3">
      <w:pPr>
        <w:ind w:firstLine="0"/>
        <w:rPr>
          <w:rFonts w:ascii="Verdana" w:hAnsi="Verdana"/>
          <w:lang w:val="en-GB"/>
        </w:rPr>
      </w:pPr>
    </w:p>
    <w:p w14:paraId="57B1EB36" w14:textId="77777777" w:rsidR="00A50CE3" w:rsidRDefault="00A50CE3">
      <w:pPr>
        <w:ind w:firstLine="0"/>
        <w:rPr>
          <w:rFonts w:ascii="Verdana" w:hAnsi="Verdana"/>
          <w:lang w:val="en-GB"/>
        </w:rPr>
      </w:pPr>
    </w:p>
    <w:p w14:paraId="1B6D9F1D" w14:textId="77777777" w:rsidR="00A50CE3" w:rsidRDefault="00A50CE3">
      <w:pPr>
        <w:ind w:firstLine="0"/>
        <w:rPr>
          <w:rFonts w:ascii="Verdana" w:hAnsi="Verdana"/>
          <w:lang w:val="en-GB"/>
        </w:rPr>
      </w:pPr>
    </w:p>
    <w:p w14:paraId="11BA8969" w14:textId="77777777" w:rsidR="00A50CE3" w:rsidRDefault="00A50CE3">
      <w:pPr>
        <w:ind w:firstLine="0"/>
        <w:rPr>
          <w:rFonts w:ascii="Verdana" w:hAnsi="Verdana"/>
          <w:lang w:val="en-GB"/>
        </w:rPr>
      </w:pPr>
    </w:p>
    <w:p w14:paraId="06EC652B" w14:textId="77777777" w:rsidR="00A50CE3" w:rsidRDefault="00A50CE3">
      <w:pPr>
        <w:ind w:firstLine="0"/>
        <w:rPr>
          <w:rFonts w:ascii="Verdana" w:hAnsi="Verdana"/>
          <w:lang w:val="en-GB"/>
        </w:rPr>
      </w:pPr>
    </w:p>
    <w:p w14:paraId="1C3BD166" w14:textId="77777777" w:rsidR="00A50CE3" w:rsidRDefault="00A50CE3">
      <w:pPr>
        <w:ind w:firstLine="0"/>
        <w:rPr>
          <w:rFonts w:ascii="Verdana" w:hAnsi="Verdana"/>
          <w:lang w:val="en-GB"/>
        </w:rPr>
      </w:pPr>
    </w:p>
    <w:p w14:paraId="6270101D" w14:textId="77777777" w:rsidR="00A50CE3" w:rsidRDefault="00A50CE3">
      <w:pPr>
        <w:ind w:firstLine="0"/>
        <w:rPr>
          <w:rFonts w:ascii="Verdana" w:hAnsi="Verdana"/>
          <w:lang w:val="en-GB"/>
        </w:rPr>
      </w:pPr>
    </w:p>
    <w:p w14:paraId="7824D9E8" w14:textId="77777777" w:rsidR="00A50CE3" w:rsidRDefault="00A50CE3">
      <w:pPr>
        <w:ind w:firstLine="0"/>
        <w:rPr>
          <w:rFonts w:ascii="Verdana" w:hAnsi="Verdana"/>
          <w:lang w:val="en-GB"/>
        </w:rPr>
      </w:pPr>
    </w:p>
    <w:p w14:paraId="043ED864" w14:textId="77777777" w:rsidR="00A50CE3" w:rsidRDefault="00A50CE3">
      <w:pPr>
        <w:ind w:firstLine="0"/>
        <w:rPr>
          <w:rFonts w:ascii="Verdana" w:hAnsi="Verdana"/>
          <w:lang w:val="en-GB"/>
        </w:rPr>
      </w:pPr>
    </w:p>
    <w:p w14:paraId="73DB71CE" w14:textId="77777777" w:rsidR="00A50CE3" w:rsidRDefault="00A50CE3">
      <w:pPr>
        <w:ind w:firstLine="0"/>
        <w:rPr>
          <w:rFonts w:ascii="Verdana" w:hAnsi="Verdana"/>
          <w:lang w:val="en-GB"/>
        </w:rPr>
      </w:pPr>
    </w:p>
    <w:p w14:paraId="456F51C7" w14:textId="77777777" w:rsidR="00A50CE3" w:rsidRDefault="00A50CE3">
      <w:pPr>
        <w:ind w:firstLine="0"/>
        <w:rPr>
          <w:rFonts w:ascii="Verdana" w:hAnsi="Verdana"/>
          <w:lang w:val="en-GB"/>
        </w:rPr>
      </w:pPr>
    </w:p>
    <w:p w14:paraId="70486ACA" w14:textId="77777777" w:rsidR="00A50CE3" w:rsidRDefault="00A50CE3">
      <w:pPr>
        <w:ind w:firstLine="0"/>
        <w:rPr>
          <w:rFonts w:ascii="Verdana" w:hAnsi="Verdana"/>
          <w:lang w:val="en-GB"/>
        </w:rPr>
      </w:pPr>
    </w:p>
    <w:p w14:paraId="46993C0B" w14:textId="3D94FF28" w:rsidR="00CB6C21" w:rsidRDefault="00CB6C21">
      <w:pPr>
        <w:ind w:firstLine="0"/>
        <w:rPr>
          <w:rFonts w:ascii="Verdana" w:hAnsi="Verdana"/>
          <w:b/>
          <w:bCs/>
          <w:sz w:val="24"/>
          <w:szCs w:val="24"/>
          <w:lang w:val="en-GB"/>
        </w:rPr>
      </w:pPr>
      <w:r>
        <w:rPr>
          <w:rFonts w:ascii="Verdana" w:hAnsi="Verdana"/>
          <w:b/>
          <w:bCs/>
          <w:sz w:val="24"/>
          <w:szCs w:val="24"/>
          <w:lang w:val="en-GB"/>
        </w:rPr>
        <w:br w:type="page"/>
      </w:r>
    </w:p>
    <w:p w14:paraId="180D8317" w14:textId="77777777" w:rsidR="00CB6C21" w:rsidRDefault="00CB6C21">
      <w:pPr>
        <w:ind w:firstLine="0"/>
        <w:rPr>
          <w:rFonts w:ascii="Verdana" w:hAnsi="Verdana"/>
          <w:b/>
          <w:bCs/>
          <w:sz w:val="24"/>
          <w:szCs w:val="24"/>
          <w:lang w:val="en-GB"/>
        </w:rPr>
      </w:pPr>
    </w:p>
    <w:p w14:paraId="6726E219" w14:textId="77777777" w:rsidR="00CB6C21" w:rsidRDefault="00CB6C21">
      <w:pPr>
        <w:ind w:firstLine="0"/>
        <w:rPr>
          <w:rFonts w:ascii="Verdana" w:hAnsi="Verdana"/>
          <w:b/>
          <w:bCs/>
          <w:sz w:val="24"/>
          <w:szCs w:val="24"/>
          <w:lang w:val="en-GB"/>
        </w:rPr>
      </w:pPr>
    </w:p>
    <w:p w14:paraId="38EF04F9" w14:textId="77777777" w:rsidR="00CB6C21" w:rsidRDefault="00CB6C21">
      <w:pPr>
        <w:ind w:firstLine="0"/>
        <w:rPr>
          <w:rFonts w:ascii="Verdana" w:hAnsi="Verdana"/>
          <w:b/>
          <w:bCs/>
          <w:sz w:val="24"/>
          <w:szCs w:val="24"/>
          <w:lang w:val="en-GB"/>
        </w:rPr>
      </w:pPr>
    </w:p>
    <w:p w14:paraId="14429A40" w14:textId="77777777" w:rsidR="00CB6C21" w:rsidRDefault="00CB6C21">
      <w:pPr>
        <w:ind w:firstLine="0"/>
        <w:rPr>
          <w:rFonts w:ascii="Verdana" w:hAnsi="Verdana"/>
          <w:b/>
          <w:bCs/>
          <w:sz w:val="24"/>
          <w:szCs w:val="24"/>
          <w:lang w:val="en-GB"/>
        </w:rPr>
      </w:pPr>
    </w:p>
    <w:p w14:paraId="3BF834B5" w14:textId="77777777" w:rsidR="00CB6C21" w:rsidRDefault="00CB6C21">
      <w:pPr>
        <w:ind w:firstLine="0"/>
        <w:rPr>
          <w:rFonts w:ascii="Verdana" w:hAnsi="Verdana"/>
          <w:b/>
          <w:bCs/>
          <w:sz w:val="24"/>
          <w:szCs w:val="24"/>
          <w:lang w:val="en-GB"/>
        </w:rPr>
      </w:pPr>
    </w:p>
    <w:p w14:paraId="074E689F" w14:textId="77777777" w:rsidR="00CB6C21" w:rsidRDefault="00CB6C21">
      <w:pPr>
        <w:ind w:firstLine="0"/>
        <w:rPr>
          <w:rFonts w:ascii="Verdana" w:hAnsi="Verdana"/>
          <w:b/>
          <w:bCs/>
          <w:sz w:val="24"/>
          <w:szCs w:val="24"/>
          <w:lang w:val="en-GB"/>
        </w:rPr>
      </w:pPr>
    </w:p>
    <w:p w14:paraId="184A0507" w14:textId="77777777" w:rsidR="00CB6C21" w:rsidRDefault="00CB6C21">
      <w:pPr>
        <w:ind w:firstLine="0"/>
        <w:rPr>
          <w:rFonts w:ascii="Verdana" w:hAnsi="Verdana"/>
          <w:b/>
          <w:bCs/>
          <w:sz w:val="24"/>
          <w:szCs w:val="24"/>
          <w:lang w:val="en-GB"/>
        </w:rPr>
      </w:pPr>
    </w:p>
    <w:p w14:paraId="2B96252B" w14:textId="66103EE7" w:rsidR="00A50CE3" w:rsidRPr="00A50CE3" w:rsidRDefault="00A50CE3" w:rsidP="00D535A2">
      <w:pPr>
        <w:pStyle w:val="Heading2"/>
        <w:rPr>
          <w:lang w:val="en-GB"/>
        </w:rPr>
      </w:pPr>
      <w:bookmarkStart w:id="42" w:name="_Toc130223408"/>
      <w:r>
        <w:rPr>
          <w:lang w:val="en-GB"/>
        </w:rPr>
        <w:t>LUHMES cells</w:t>
      </w:r>
      <w:bookmarkEnd w:id="42"/>
    </w:p>
    <w:p w14:paraId="7B6E2CEC" w14:textId="77777777" w:rsidR="00A50CE3" w:rsidRDefault="00A50CE3">
      <w:pPr>
        <w:ind w:firstLine="0"/>
        <w:rPr>
          <w:rFonts w:ascii="Verdana" w:hAnsi="Verdana"/>
          <w:lang w:val="en-GB"/>
        </w:rPr>
      </w:pPr>
    </w:p>
    <w:p w14:paraId="46416B48" w14:textId="77777777" w:rsidR="00A50CE3" w:rsidRPr="00A50CE3" w:rsidRDefault="00A50CE3" w:rsidP="00767F9D">
      <w:pPr>
        <w:pStyle w:val="Heading3"/>
        <w:rPr>
          <w:lang w:val="en-GB"/>
        </w:rPr>
      </w:pPr>
      <w:bookmarkStart w:id="43" w:name="_Toc130223409"/>
      <w:r w:rsidRPr="00A50CE3">
        <w:rPr>
          <w:lang w:val="en-GB"/>
        </w:rPr>
        <w:t>Cell culture</w:t>
      </w:r>
      <w:bookmarkEnd w:id="43"/>
    </w:p>
    <w:p w14:paraId="33A4F03E" w14:textId="04481B52" w:rsidR="00B920A2" w:rsidRDefault="00E86658" w:rsidP="006D7D3A">
      <w:pPr>
        <w:spacing w:line="360" w:lineRule="auto"/>
        <w:jc w:val="both"/>
        <w:rPr>
          <w:rFonts w:ascii="Verdana" w:hAnsi="Verdana"/>
          <w:lang w:val="en-GB"/>
        </w:rPr>
      </w:pPr>
      <w:r>
        <w:rPr>
          <w:rFonts w:ascii="Verdana" w:hAnsi="Verdana"/>
          <w:lang w:val="en-GB"/>
        </w:rPr>
        <w:t xml:space="preserve">Wild-type and DJ-1 knock-down </w:t>
      </w:r>
      <w:r w:rsidRPr="00E86658">
        <w:rPr>
          <w:rFonts w:ascii="Verdana" w:hAnsi="Verdana"/>
          <w:lang w:val="en-GB"/>
        </w:rPr>
        <w:t>Lund human mesencephalic (LUHMES) cells</w:t>
      </w:r>
      <w:r>
        <w:rPr>
          <w:rFonts w:ascii="Verdana" w:hAnsi="Verdana"/>
          <w:lang w:val="en-GB"/>
        </w:rPr>
        <w:t xml:space="preserve"> were donated </w:t>
      </w:r>
      <w:r w:rsidR="00D0588D">
        <w:rPr>
          <w:rFonts w:ascii="Verdana" w:hAnsi="Verdana"/>
          <w:lang w:val="en-GB"/>
        </w:rPr>
        <w:t>by the Integrative Cell Signalling group at the Luxembourg Centre for Systems Biomedicine</w:t>
      </w:r>
      <w:r w:rsidR="004865E9">
        <w:rPr>
          <w:rFonts w:ascii="Verdana" w:hAnsi="Verdana"/>
          <w:lang w:val="en-GB"/>
        </w:rPr>
        <w:t xml:space="preserve"> (</w:t>
      </w:r>
      <w:proofErr w:type="spellStart"/>
      <w:r w:rsidR="004865E9">
        <w:rPr>
          <w:rFonts w:ascii="Verdana" w:hAnsi="Verdana"/>
          <w:lang w:val="en-GB"/>
        </w:rPr>
        <w:t>Meiser</w:t>
      </w:r>
      <w:proofErr w:type="spellEnd"/>
      <w:r w:rsidR="004865E9">
        <w:rPr>
          <w:rFonts w:ascii="Verdana" w:hAnsi="Verdana"/>
          <w:lang w:val="en-GB"/>
        </w:rPr>
        <w:t xml:space="preserve"> et al., 2016)</w:t>
      </w:r>
      <w:r w:rsidR="00D0588D">
        <w:rPr>
          <w:rFonts w:ascii="Verdana" w:hAnsi="Verdana"/>
          <w:lang w:val="en-GB"/>
        </w:rPr>
        <w:t xml:space="preserve">. </w:t>
      </w:r>
      <w:r w:rsidR="000E4C64">
        <w:rPr>
          <w:rFonts w:ascii="Verdana" w:hAnsi="Verdana"/>
          <w:lang w:val="en-GB"/>
        </w:rPr>
        <w:t xml:space="preserve">Cells were grown in </w:t>
      </w:r>
      <w:r w:rsidR="00AC4A18">
        <w:rPr>
          <w:rFonts w:ascii="Verdana" w:hAnsi="Verdana"/>
          <w:lang w:val="en-GB"/>
        </w:rPr>
        <w:t>T75 flasks (</w:t>
      </w:r>
      <w:proofErr w:type="spellStart"/>
      <w:r w:rsidR="00AC4A18">
        <w:rPr>
          <w:rFonts w:ascii="Verdana" w:hAnsi="Verdana"/>
          <w:lang w:val="en-GB"/>
        </w:rPr>
        <w:t>ThermoFisher</w:t>
      </w:r>
      <w:proofErr w:type="spellEnd"/>
      <w:r w:rsidR="00AC4A18">
        <w:rPr>
          <w:rFonts w:ascii="Verdana" w:hAnsi="Verdana"/>
          <w:lang w:val="en-GB"/>
        </w:rPr>
        <w:t>) or in multi-well plates, coated with 1</w:t>
      </w:r>
      <w:r w:rsidR="00A86C5A">
        <w:rPr>
          <w:rFonts w:ascii="Verdana" w:hAnsi="Verdana"/>
          <w:lang w:val="en-GB"/>
        </w:rPr>
        <w:t>mg/ml Poly-L-</w:t>
      </w:r>
      <w:proofErr w:type="spellStart"/>
      <w:r w:rsidR="00A86C5A">
        <w:rPr>
          <w:rFonts w:ascii="Verdana" w:hAnsi="Verdana"/>
          <w:lang w:val="en-GB"/>
        </w:rPr>
        <w:t>Ornithin</w:t>
      </w:r>
      <w:proofErr w:type="spellEnd"/>
      <w:r w:rsidR="00A86C5A">
        <w:rPr>
          <w:rFonts w:ascii="Verdana" w:hAnsi="Verdana"/>
          <w:lang w:val="en-GB"/>
        </w:rPr>
        <w:t xml:space="preserve"> </w:t>
      </w:r>
      <w:r w:rsidR="003F535A">
        <w:rPr>
          <w:rFonts w:ascii="Verdana" w:hAnsi="Verdana"/>
          <w:lang w:val="en-GB"/>
        </w:rPr>
        <w:t>(</w:t>
      </w:r>
      <w:r w:rsidR="003F535A" w:rsidRPr="003F535A">
        <w:rPr>
          <w:rFonts w:ascii="Verdana" w:hAnsi="Verdana"/>
          <w:lang w:val="en-GB"/>
        </w:rPr>
        <w:t>P-3655-100mg</w:t>
      </w:r>
      <w:r w:rsidR="003F535A">
        <w:rPr>
          <w:rFonts w:ascii="Verdana" w:hAnsi="Verdana"/>
          <w:lang w:val="en-GB"/>
        </w:rPr>
        <w:t>, Sigma-Aldrich) and 1mg/ml Fibronectin</w:t>
      </w:r>
      <w:r w:rsidR="0097111F">
        <w:rPr>
          <w:rFonts w:ascii="Verdana" w:hAnsi="Verdana"/>
          <w:lang w:val="en-GB"/>
        </w:rPr>
        <w:t xml:space="preserve"> (</w:t>
      </w:r>
      <w:r w:rsidR="0097111F" w:rsidRPr="0097111F">
        <w:rPr>
          <w:rFonts w:ascii="Verdana" w:hAnsi="Verdana"/>
          <w:lang w:val="en-GB"/>
        </w:rPr>
        <w:t>F-1141-5mg</w:t>
      </w:r>
      <w:r w:rsidR="0097111F">
        <w:rPr>
          <w:rFonts w:ascii="Verdana" w:hAnsi="Verdana"/>
          <w:lang w:val="en-GB"/>
        </w:rPr>
        <w:t>, Sigma-Aldrich).</w:t>
      </w:r>
      <w:r w:rsidR="001E007E">
        <w:rPr>
          <w:rFonts w:ascii="Verdana" w:hAnsi="Verdana"/>
          <w:lang w:val="en-GB"/>
        </w:rPr>
        <w:t xml:space="preserve"> For defrosting, cells were quickly warmed up and diluted in 10ml</w:t>
      </w:r>
      <w:r w:rsidR="006D7D3A">
        <w:rPr>
          <w:rFonts w:ascii="Verdana" w:hAnsi="Verdana"/>
          <w:lang w:val="en-GB"/>
        </w:rPr>
        <w:t xml:space="preserve"> </w:t>
      </w:r>
      <w:r w:rsidR="006D7D3A" w:rsidRPr="006D7D3A">
        <w:rPr>
          <w:rFonts w:ascii="Verdana" w:hAnsi="Verdana"/>
          <w:lang w:val="en-GB"/>
        </w:rPr>
        <w:t>Advanced DMEM/F-12</w:t>
      </w:r>
      <w:r w:rsidR="006D7D3A">
        <w:rPr>
          <w:rFonts w:ascii="Verdana" w:hAnsi="Verdana"/>
          <w:lang w:val="en-GB"/>
        </w:rPr>
        <w:t xml:space="preserve"> (</w:t>
      </w:r>
      <w:r w:rsidR="006D7D3A" w:rsidRPr="006D7D3A">
        <w:rPr>
          <w:rFonts w:ascii="Verdana" w:hAnsi="Verdana"/>
          <w:lang w:val="en-GB"/>
        </w:rPr>
        <w:t>12634-010</w:t>
      </w:r>
      <w:r w:rsidR="006D7D3A">
        <w:rPr>
          <w:rFonts w:ascii="Verdana" w:hAnsi="Verdana"/>
          <w:lang w:val="en-GB"/>
        </w:rPr>
        <w:t xml:space="preserve">, </w:t>
      </w:r>
      <w:r w:rsidR="006D7D3A" w:rsidRPr="006D7D3A">
        <w:rPr>
          <w:rFonts w:ascii="Verdana" w:hAnsi="Verdana"/>
          <w:lang w:val="en-GB"/>
        </w:rPr>
        <w:t>Gibco/Invitrogen</w:t>
      </w:r>
      <w:r w:rsidR="006D7D3A">
        <w:rPr>
          <w:rFonts w:ascii="Verdana" w:hAnsi="Verdana"/>
          <w:lang w:val="en-GB"/>
        </w:rPr>
        <w:t>)</w:t>
      </w:r>
      <w:r w:rsidR="001E007E">
        <w:rPr>
          <w:rFonts w:ascii="Verdana" w:hAnsi="Verdana"/>
          <w:lang w:val="en-GB"/>
        </w:rPr>
        <w:t xml:space="preserve"> without additives. The cell suspension was centrifuged </w:t>
      </w:r>
      <w:r w:rsidR="00113C8F">
        <w:rPr>
          <w:rFonts w:ascii="Verdana" w:hAnsi="Verdana"/>
          <w:lang w:val="en-GB"/>
        </w:rPr>
        <w:t xml:space="preserve">at 300g for 5min, the supernatant was </w:t>
      </w:r>
      <w:proofErr w:type="gramStart"/>
      <w:r w:rsidR="00113C8F">
        <w:rPr>
          <w:rFonts w:ascii="Verdana" w:hAnsi="Verdana"/>
          <w:lang w:val="en-GB"/>
        </w:rPr>
        <w:t>removed</w:t>
      </w:r>
      <w:proofErr w:type="gramEnd"/>
      <w:r w:rsidR="00113C8F">
        <w:rPr>
          <w:rFonts w:ascii="Verdana" w:hAnsi="Verdana"/>
          <w:lang w:val="en-GB"/>
        </w:rPr>
        <w:t xml:space="preserve"> and the pellet was resuspended in 10ml of proliferation medium (</w:t>
      </w:r>
      <w:r w:rsidR="00840C6D">
        <w:rPr>
          <w:rFonts w:ascii="Verdana" w:hAnsi="Verdana"/>
          <w:lang w:val="en-GB"/>
        </w:rPr>
        <w:t xml:space="preserve">for 10ml DMEM/F12: </w:t>
      </w:r>
      <w:r w:rsidR="00944C55">
        <w:rPr>
          <w:rFonts w:ascii="Verdana" w:hAnsi="Verdana"/>
          <w:lang w:val="en-GB"/>
        </w:rPr>
        <w:t>100</w:t>
      </w:r>
      <w:r w:rsidR="00840C6D" w:rsidRPr="00840C6D">
        <w:rPr>
          <w:rFonts w:ascii="Verdana" w:hAnsi="Verdana" w:cs="Calibri"/>
          <w:lang w:val="en-GB"/>
        </w:rPr>
        <w:t>µ</w:t>
      </w:r>
      <w:r w:rsidR="00840C6D" w:rsidRPr="00840C6D">
        <w:rPr>
          <w:rFonts w:ascii="Verdana" w:hAnsi="Verdana"/>
          <w:lang w:val="en-GB"/>
        </w:rPr>
        <w:t>l</w:t>
      </w:r>
      <w:r w:rsidR="00944C55">
        <w:rPr>
          <w:rFonts w:ascii="Verdana" w:hAnsi="Verdana"/>
          <w:lang w:val="en-GB"/>
        </w:rPr>
        <w:t xml:space="preserve"> L-Gl</w:t>
      </w:r>
      <w:r w:rsidR="00703DF2">
        <w:rPr>
          <w:rFonts w:ascii="Verdana" w:hAnsi="Verdana"/>
          <w:lang w:val="en-GB"/>
        </w:rPr>
        <w:t>utamine (</w:t>
      </w:r>
      <w:r w:rsidR="00703DF2" w:rsidRPr="00703DF2">
        <w:rPr>
          <w:rFonts w:ascii="Verdana" w:hAnsi="Verdana"/>
          <w:lang w:val="en-GB"/>
        </w:rPr>
        <w:t>G7513</w:t>
      </w:r>
      <w:r w:rsidR="00703DF2">
        <w:rPr>
          <w:rFonts w:ascii="Verdana" w:hAnsi="Verdana"/>
          <w:lang w:val="en-GB"/>
        </w:rPr>
        <w:t xml:space="preserve">, </w:t>
      </w:r>
      <w:r w:rsidR="00703DF2" w:rsidRPr="00703DF2">
        <w:rPr>
          <w:rFonts w:ascii="Verdana" w:hAnsi="Verdana"/>
          <w:lang w:val="en-GB"/>
        </w:rPr>
        <w:t>Sigma-Aldrich</w:t>
      </w:r>
      <w:r w:rsidR="00703DF2">
        <w:rPr>
          <w:rFonts w:ascii="Verdana" w:hAnsi="Verdana"/>
          <w:lang w:val="en-GB"/>
        </w:rPr>
        <w:t>)</w:t>
      </w:r>
      <w:r w:rsidR="00703DF2" w:rsidRPr="00703DF2">
        <w:rPr>
          <w:rFonts w:ascii="Verdana" w:hAnsi="Verdana"/>
          <w:lang w:val="en-GB"/>
        </w:rPr>
        <w:t>,</w:t>
      </w:r>
      <w:r w:rsidR="00703DF2">
        <w:rPr>
          <w:rFonts w:ascii="Verdana" w:hAnsi="Verdana"/>
          <w:lang w:val="en-GB"/>
        </w:rPr>
        <w:t xml:space="preserve"> </w:t>
      </w:r>
      <w:r w:rsidR="00840C6D">
        <w:rPr>
          <w:rFonts w:ascii="Verdana" w:hAnsi="Verdana"/>
          <w:lang w:val="en-GB"/>
        </w:rPr>
        <w:t>100</w:t>
      </w:r>
      <w:r w:rsidR="00840C6D" w:rsidRPr="00840C6D">
        <w:rPr>
          <w:rFonts w:ascii="Verdana" w:hAnsi="Verdana" w:cs="Calibri"/>
          <w:lang w:val="en-GB"/>
        </w:rPr>
        <w:t>µ</w:t>
      </w:r>
      <w:r w:rsidR="00840C6D">
        <w:rPr>
          <w:rFonts w:ascii="Verdana" w:hAnsi="Verdana"/>
          <w:lang w:val="en-GB"/>
        </w:rPr>
        <w:t xml:space="preserve">l </w:t>
      </w:r>
      <w:r w:rsidR="00840C6D" w:rsidRPr="00840C6D">
        <w:rPr>
          <w:rFonts w:ascii="Verdana" w:hAnsi="Verdana"/>
          <w:lang w:val="en-GB"/>
        </w:rPr>
        <w:t xml:space="preserve">N-2 </w:t>
      </w:r>
      <w:r w:rsidR="00DA6A7D">
        <w:rPr>
          <w:rFonts w:ascii="Verdana" w:hAnsi="Verdana"/>
          <w:lang w:val="en-GB"/>
        </w:rPr>
        <w:t>(</w:t>
      </w:r>
      <w:r w:rsidR="00840C6D" w:rsidRPr="00840C6D">
        <w:rPr>
          <w:rFonts w:ascii="Verdana" w:hAnsi="Verdana"/>
          <w:lang w:val="en-GB"/>
        </w:rPr>
        <w:t>17502048</w:t>
      </w:r>
      <w:r w:rsidR="00DA6A7D">
        <w:rPr>
          <w:rFonts w:ascii="Verdana" w:hAnsi="Verdana"/>
          <w:lang w:val="en-GB"/>
        </w:rPr>
        <w:t xml:space="preserve">, </w:t>
      </w:r>
      <w:r w:rsidR="00DA6A7D" w:rsidRPr="00840C6D">
        <w:rPr>
          <w:rFonts w:ascii="Verdana" w:hAnsi="Verdana"/>
          <w:lang w:val="en-GB"/>
        </w:rPr>
        <w:t>Gibco/Invitrogen</w:t>
      </w:r>
      <w:r w:rsidR="00DA6A7D">
        <w:rPr>
          <w:rFonts w:ascii="Verdana" w:hAnsi="Verdana"/>
          <w:lang w:val="en-GB"/>
        </w:rPr>
        <w:t>), 2.5</w:t>
      </w:r>
      <w:r w:rsidR="00DA6A7D" w:rsidRPr="00840C6D">
        <w:rPr>
          <w:rFonts w:ascii="Verdana" w:hAnsi="Verdana" w:cs="Calibri"/>
          <w:lang w:val="en-GB"/>
        </w:rPr>
        <w:t>µ</w:t>
      </w:r>
      <w:r w:rsidR="00DA6A7D">
        <w:rPr>
          <w:rFonts w:ascii="Verdana" w:hAnsi="Verdana" w:cs="Calibri"/>
          <w:lang w:val="en-GB"/>
        </w:rPr>
        <w:t xml:space="preserve">l </w:t>
      </w:r>
      <w:r w:rsidR="00E51DA6">
        <w:rPr>
          <w:rFonts w:ascii="Verdana" w:hAnsi="Verdana" w:cs="Calibri"/>
          <w:lang w:val="en-GB"/>
        </w:rPr>
        <w:t xml:space="preserve">Recombinant Human </w:t>
      </w:r>
      <w:r w:rsidR="00DA6A7D" w:rsidRPr="00DA6A7D">
        <w:rPr>
          <w:rFonts w:ascii="Verdana" w:hAnsi="Verdana"/>
          <w:lang w:val="en-GB"/>
        </w:rPr>
        <w:t>FGF</w:t>
      </w:r>
      <w:r w:rsidR="004E1530">
        <w:rPr>
          <w:rFonts w:ascii="Verdana" w:hAnsi="Verdana"/>
          <w:lang w:val="en-GB"/>
        </w:rPr>
        <w:t xml:space="preserve">2 </w:t>
      </w:r>
      <w:r w:rsidR="00DA6A7D">
        <w:rPr>
          <w:rFonts w:ascii="Verdana" w:hAnsi="Verdana"/>
          <w:lang w:val="en-GB"/>
        </w:rPr>
        <w:t xml:space="preserve">(4114-TC, </w:t>
      </w:r>
      <w:r w:rsidR="00DA6A7D" w:rsidRPr="00DA6A7D">
        <w:rPr>
          <w:rFonts w:ascii="Verdana" w:hAnsi="Verdana"/>
          <w:lang w:val="en-GB"/>
        </w:rPr>
        <w:t>R&amp;D Systems</w:t>
      </w:r>
      <w:r w:rsidR="00DA6A7D">
        <w:rPr>
          <w:rFonts w:ascii="Verdana" w:hAnsi="Verdana"/>
          <w:lang w:val="en-GB"/>
        </w:rPr>
        <w:t>)).</w:t>
      </w:r>
      <w:r w:rsidR="006D7D3A">
        <w:rPr>
          <w:rFonts w:ascii="Verdana" w:hAnsi="Verdana"/>
          <w:lang w:val="en-GB"/>
        </w:rPr>
        <w:t xml:space="preserve"> Cells were</w:t>
      </w:r>
      <w:r w:rsidR="00415317">
        <w:rPr>
          <w:rFonts w:ascii="Verdana" w:hAnsi="Verdana"/>
          <w:lang w:val="en-GB"/>
        </w:rPr>
        <w:t xml:space="preserve"> incubated at 37°C in 5% CO</w:t>
      </w:r>
      <w:r w:rsidR="00415317" w:rsidRPr="00415317">
        <w:rPr>
          <w:rFonts w:ascii="Verdana" w:hAnsi="Verdana"/>
          <w:vertAlign w:val="subscript"/>
          <w:lang w:val="en-GB"/>
        </w:rPr>
        <w:t>2</w:t>
      </w:r>
      <w:r w:rsidR="00415317">
        <w:rPr>
          <w:rFonts w:ascii="Verdana" w:hAnsi="Verdana"/>
          <w:lang w:val="en-GB"/>
        </w:rPr>
        <w:t>, and</w:t>
      </w:r>
      <w:r w:rsidR="006D7D3A">
        <w:rPr>
          <w:rFonts w:ascii="Verdana" w:hAnsi="Verdana"/>
          <w:lang w:val="en-GB"/>
        </w:rPr>
        <w:t xml:space="preserve"> split after 2 days, even if they had not reached confluence.</w:t>
      </w:r>
      <w:r w:rsidR="00AF34F2">
        <w:rPr>
          <w:rFonts w:ascii="Verdana" w:hAnsi="Verdana"/>
          <w:lang w:val="en-GB"/>
        </w:rPr>
        <w:t xml:space="preserve"> Cells were </w:t>
      </w:r>
      <w:r w:rsidR="004C5D7C">
        <w:rPr>
          <w:rFonts w:ascii="Verdana" w:hAnsi="Verdana"/>
          <w:lang w:val="en-GB"/>
        </w:rPr>
        <w:t>regularly tested for mycoplasma contaminations using the</w:t>
      </w:r>
      <w:r w:rsidR="00AF34F2">
        <w:rPr>
          <w:rFonts w:ascii="Verdana" w:hAnsi="Verdana"/>
          <w:lang w:val="en-GB"/>
        </w:rPr>
        <w:t xml:space="preserve"> </w:t>
      </w:r>
      <w:proofErr w:type="spellStart"/>
      <w:r w:rsidR="00AF34F2" w:rsidRPr="00AF34F2">
        <w:rPr>
          <w:rFonts w:ascii="Verdana" w:hAnsi="Verdana"/>
          <w:lang w:val="en-GB"/>
        </w:rPr>
        <w:t>MycoAlert</w:t>
      </w:r>
      <w:r w:rsidR="006F28FE">
        <w:rPr>
          <w:rFonts w:ascii="Verdana" w:hAnsi="Verdana"/>
          <w:vertAlign w:val="superscript"/>
          <w:lang w:val="en-GB"/>
        </w:rPr>
        <w:t>TM</w:t>
      </w:r>
      <w:proofErr w:type="spellEnd"/>
      <w:r w:rsidR="00AF34F2" w:rsidRPr="00AF34F2">
        <w:rPr>
          <w:rFonts w:ascii="Verdana" w:hAnsi="Verdana"/>
          <w:lang w:val="en-GB"/>
        </w:rPr>
        <w:t xml:space="preserve"> Mycoplasma detection kit </w:t>
      </w:r>
      <w:r w:rsidR="00AF34F2" w:rsidRPr="004C5D7C">
        <w:rPr>
          <w:rFonts w:ascii="Verdana" w:hAnsi="Verdana"/>
          <w:lang w:val="en-GB"/>
        </w:rPr>
        <w:t>(</w:t>
      </w:r>
      <w:r w:rsidR="004C5D7C" w:rsidRPr="00D8526B">
        <w:rPr>
          <w:rFonts w:ascii="Verdana" w:hAnsi="Verdana" w:cs="Calibri"/>
          <w:color w:val="000000"/>
          <w:lang w:val="en-GB"/>
        </w:rPr>
        <w:t>LT07-418</w:t>
      </w:r>
      <w:r w:rsidR="004C5D7C" w:rsidRPr="004C5D7C">
        <w:rPr>
          <w:rFonts w:ascii="Verdana" w:hAnsi="Verdana" w:cs="Calibri"/>
          <w:color w:val="000000"/>
          <w:lang w:val="en-GB"/>
        </w:rPr>
        <w:t xml:space="preserve">, </w:t>
      </w:r>
      <w:proofErr w:type="spellStart"/>
      <w:r w:rsidR="004C5D7C" w:rsidRPr="004C5D7C">
        <w:rPr>
          <w:rFonts w:ascii="Verdana" w:hAnsi="Verdana" w:cs="Calibri"/>
          <w:color w:val="000000"/>
          <w:lang w:val="en-GB"/>
        </w:rPr>
        <w:t>Westburg</w:t>
      </w:r>
      <w:proofErr w:type="spellEnd"/>
      <w:r w:rsidR="004C5D7C" w:rsidRPr="004C5D7C">
        <w:rPr>
          <w:rFonts w:ascii="Verdana" w:hAnsi="Verdana" w:cs="Calibri"/>
          <w:color w:val="000000"/>
          <w:lang w:val="en-GB"/>
        </w:rPr>
        <w:t>).</w:t>
      </w:r>
    </w:p>
    <w:p w14:paraId="2F3EDCDA" w14:textId="7CA1F22A" w:rsidR="00B920A2" w:rsidRPr="00F02E31" w:rsidRDefault="006D7D3A" w:rsidP="00F02E31">
      <w:pPr>
        <w:spacing w:line="360" w:lineRule="auto"/>
        <w:jc w:val="both"/>
        <w:rPr>
          <w:rFonts w:ascii="Verdana" w:hAnsi="Verdana"/>
        </w:rPr>
      </w:pPr>
      <w:r>
        <w:rPr>
          <w:rFonts w:ascii="Verdana" w:hAnsi="Verdana"/>
          <w:lang w:val="en-GB"/>
        </w:rPr>
        <w:t xml:space="preserve">For subculture, </w:t>
      </w:r>
      <w:r w:rsidR="00284095">
        <w:rPr>
          <w:rFonts w:ascii="Verdana" w:hAnsi="Verdana"/>
          <w:lang w:val="en-GB"/>
        </w:rPr>
        <w:t xml:space="preserve">cells were grown in proliferation medium in T75 flasks and split when they reached 80% confluence. Cells were washed twice with 10ml of PBS and incubated with 4ml of </w:t>
      </w:r>
      <w:proofErr w:type="spellStart"/>
      <w:r w:rsidR="00415317">
        <w:rPr>
          <w:rFonts w:ascii="Verdana" w:hAnsi="Verdana"/>
          <w:lang w:val="en-GB"/>
        </w:rPr>
        <w:t>TrypLE</w:t>
      </w:r>
      <w:proofErr w:type="spellEnd"/>
      <w:r w:rsidR="00415317">
        <w:rPr>
          <w:rFonts w:ascii="Verdana" w:hAnsi="Verdana"/>
          <w:lang w:val="en-GB"/>
        </w:rPr>
        <w:t xml:space="preserve"> Express Enzyme (</w:t>
      </w:r>
      <w:r w:rsidR="00415317" w:rsidRPr="00415317">
        <w:rPr>
          <w:rFonts w:ascii="Verdana" w:hAnsi="Verdana"/>
          <w:lang w:val="en-GB"/>
        </w:rPr>
        <w:t>12604013</w:t>
      </w:r>
      <w:r w:rsidR="00415317">
        <w:rPr>
          <w:rFonts w:ascii="Verdana" w:hAnsi="Verdana"/>
          <w:lang w:val="en-GB"/>
        </w:rPr>
        <w:t>, Gibco) at 37°C for 5min. 10ml of Advanced DMEM/F12 were added, and the cell s</w:t>
      </w:r>
      <w:r w:rsidR="005D3A1F">
        <w:rPr>
          <w:rFonts w:ascii="Verdana" w:hAnsi="Verdana"/>
          <w:lang w:val="en-GB"/>
        </w:rPr>
        <w:t>uspension</w:t>
      </w:r>
      <w:r w:rsidR="00415317">
        <w:rPr>
          <w:rFonts w:ascii="Verdana" w:hAnsi="Verdana"/>
          <w:lang w:val="en-GB"/>
        </w:rPr>
        <w:t xml:space="preserve"> was c</w:t>
      </w:r>
      <w:r w:rsidR="005D3A1F">
        <w:rPr>
          <w:rFonts w:ascii="Verdana" w:hAnsi="Verdana"/>
          <w:lang w:val="en-GB"/>
        </w:rPr>
        <w:t xml:space="preserve">entrifuged at 300g for 5min. The supernatant was removed, and the pellet was resuspended in 5ml Advanced DMEM/F12 without additives. </w:t>
      </w:r>
      <w:r w:rsidR="005D3A1F">
        <w:rPr>
          <w:rFonts w:ascii="Verdana" w:hAnsi="Verdana"/>
          <w:lang w:val="en-GB"/>
        </w:rPr>
        <w:lastRenderedPageBreak/>
        <w:t xml:space="preserve">Cells were counted in a Neubauer chamber and seeded in 10ml proliferation </w:t>
      </w:r>
      <w:r w:rsidR="005D3A1F" w:rsidRPr="00F02E31">
        <w:rPr>
          <w:rFonts w:ascii="Verdana" w:hAnsi="Verdana"/>
          <w:lang w:val="en-GB"/>
        </w:rPr>
        <w:t>medium.</w:t>
      </w:r>
    </w:p>
    <w:p w14:paraId="0E60B5A9" w14:textId="42FD256C" w:rsidR="00105276" w:rsidRDefault="005D3A1F" w:rsidP="00557B12">
      <w:pPr>
        <w:spacing w:line="360" w:lineRule="auto"/>
        <w:jc w:val="both"/>
        <w:rPr>
          <w:rFonts w:ascii="Verdana" w:hAnsi="Verdana"/>
          <w:lang w:val="da-DK"/>
        </w:rPr>
      </w:pPr>
      <w:r w:rsidRPr="00F02E31">
        <w:rPr>
          <w:rFonts w:ascii="Verdana" w:hAnsi="Verdana"/>
          <w:lang w:val="en-GB"/>
        </w:rPr>
        <w:t xml:space="preserve">The differentiation process was split in two phases. For the pre-differentiation, </w:t>
      </w:r>
      <w:r w:rsidR="00F02E31" w:rsidRPr="00F02E31">
        <w:rPr>
          <w:rFonts w:ascii="Verdana" w:hAnsi="Verdana"/>
          <w:lang w:val="en-GB"/>
        </w:rPr>
        <w:t xml:space="preserve">2 million </w:t>
      </w:r>
      <w:r w:rsidRPr="00F02E31">
        <w:rPr>
          <w:rFonts w:ascii="Verdana" w:hAnsi="Verdana"/>
          <w:lang w:val="en-GB"/>
        </w:rPr>
        <w:t xml:space="preserve">cells were seeded in </w:t>
      </w:r>
      <w:r w:rsidR="00F02E31" w:rsidRPr="00F02E31">
        <w:rPr>
          <w:rFonts w:ascii="Verdana" w:hAnsi="Verdana"/>
          <w:lang w:val="en-GB"/>
        </w:rPr>
        <w:t>a T75 flask in 10ml proliferation medium.</w:t>
      </w:r>
      <w:r w:rsidR="00F02E31">
        <w:rPr>
          <w:rFonts w:ascii="Verdana" w:hAnsi="Verdana"/>
          <w:lang w:val="en-GB"/>
        </w:rPr>
        <w:t xml:space="preserve"> After 24h, </w:t>
      </w:r>
      <w:r w:rsidR="004222EC">
        <w:rPr>
          <w:rFonts w:ascii="Verdana" w:hAnsi="Verdana"/>
          <w:lang w:val="en-GB"/>
        </w:rPr>
        <w:t>proliferation medium was exchanged with differentiation medium</w:t>
      </w:r>
      <w:r w:rsidR="00366754">
        <w:rPr>
          <w:rFonts w:ascii="Verdana" w:hAnsi="Verdana"/>
          <w:lang w:val="en-GB"/>
        </w:rPr>
        <w:t xml:space="preserve"> (for 10ml Advanced/DMEM: 100</w:t>
      </w:r>
      <w:r w:rsidR="00366754" w:rsidRPr="00840C6D">
        <w:rPr>
          <w:rFonts w:ascii="Verdana" w:hAnsi="Verdana" w:cs="Calibri"/>
          <w:lang w:val="en-GB"/>
        </w:rPr>
        <w:t>µ</w:t>
      </w:r>
      <w:r w:rsidR="00366754" w:rsidRPr="00840C6D">
        <w:rPr>
          <w:rFonts w:ascii="Verdana" w:hAnsi="Verdana"/>
          <w:lang w:val="en-GB"/>
        </w:rPr>
        <w:t>l</w:t>
      </w:r>
      <w:r w:rsidR="00366754">
        <w:rPr>
          <w:rFonts w:ascii="Verdana" w:hAnsi="Verdana"/>
          <w:lang w:val="en-GB"/>
        </w:rPr>
        <w:t xml:space="preserve"> L-Glutamine, 100</w:t>
      </w:r>
      <w:r w:rsidR="00366754" w:rsidRPr="00840C6D">
        <w:rPr>
          <w:rFonts w:ascii="Verdana" w:hAnsi="Verdana" w:cs="Calibri"/>
          <w:lang w:val="en-GB"/>
        </w:rPr>
        <w:t>µ</w:t>
      </w:r>
      <w:r w:rsidR="00366754">
        <w:rPr>
          <w:rFonts w:ascii="Verdana" w:hAnsi="Verdana"/>
          <w:lang w:val="en-GB"/>
        </w:rPr>
        <w:t xml:space="preserve">l </w:t>
      </w:r>
      <w:r w:rsidR="00366754" w:rsidRPr="00840C6D">
        <w:rPr>
          <w:rFonts w:ascii="Verdana" w:hAnsi="Verdana"/>
          <w:lang w:val="en-GB"/>
        </w:rPr>
        <w:t>N-2</w:t>
      </w:r>
      <w:r w:rsidR="003E1316">
        <w:rPr>
          <w:rFonts w:ascii="Verdana" w:hAnsi="Verdana"/>
          <w:lang w:val="en-GB"/>
        </w:rPr>
        <w:t>, 100</w:t>
      </w:r>
      <w:r w:rsidR="003E1316" w:rsidRPr="00840C6D">
        <w:rPr>
          <w:rFonts w:ascii="Verdana" w:hAnsi="Verdana" w:cs="Calibri"/>
          <w:lang w:val="en-GB"/>
        </w:rPr>
        <w:t>µ</w:t>
      </w:r>
      <w:r w:rsidR="003E1316">
        <w:rPr>
          <w:rFonts w:ascii="Verdana" w:hAnsi="Verdana"/>
          <w:lang w:val="en-GB"/>
        </w:rPr>
        <w:t>l</w:t>
      </w:r>
      <w:r w:rsidR="00047669">
        <w:rPr>
          <w:rFonts w:ascii="Verdana" w:hAnsi="Verdana"/>
          <w:lang w:val="en-GB"/>
        </w:rPr>
        <w:t xml:space="preserve"> </w:t>
      </w:r>
      <w:proofErr w:type="spellStart"/>
      <w:r w:rsidR="00E40DFC">
        <w:rPr>
          <w:rFonts w:ascii="Verdana" w:hAnsi="Verdana"/>
          <w:lang w:val="en-GB"/>
        </w:rPr>
        <w:t>db</w:t>
      </w:r>
      <w:proofErr w:type="spellEnd"/>
      <w:r w:rsidR="00E40DFC">
        <w:rPr>
          <w:rFonts w:ascii="Verdana" w:hAnsi="Verdana"/>
          <w:lang w:val="en-GB"/>
        </w:rPr>
        <w:t>-</w:t>
      </w:r>
      <w:r w:rsidR="00047669" w:rsidRPr="00047669">
        <w:rPr>
          <w:rFonts w:ascii="Verdana" w:hAnsi="Verdana"/>
          <w:lang w:val="en-GB"/>
        </w:rPr>
        <w:t>cAMP</w:t>
      </w:r>
      <w:r w:rsidR="00047669">
        <w:rPr>
          <w:rFonts w:ascii="Verdana" w:hAnsi="Verdana"/>
          <w:lang w:val="en-GB"/>
        </w:rPr>
        <w:t xml:space="preserve"> (D0627, </w:t>
      </w:r>
      <w:r w:rsidR="00047669" w:rsidRPr="00047669">
        <w:rPr>
          <w:rFonts w:ascii="Verdana" w:hAnsi="Verdana"/>
          <w:lang w:val="en-GB"/>
        </w:rPr>
        <w:t>Sigma-Aldrich</w:t>
      </w:r>
      <w:r w:rsidR="00047669">
        <w:rPr>
          <w:rFonts w:ascii="Verdana" w:hAnsi="Verdana"/>
          <w:lang w:val="en-GB"/>
        </w:rPr>
        <w:t>), 10</w:t>
      </w:r>
      <w:r w:rsidR="00047669" w:rsidRPr="00840C6D">
        <w:rPr>
          <w:rFonts w:ascii="Verdana" w:hAnsi="Verdana" w:cs="Calibri"/>
          <w:lang w:val="en-GB"/>
        </w:rPr>
        <w:t>µ</w:t>
      </w:r>
      <w:r w:rsidR="00047669">
        <w:rPr>
          <w:rFonts w:ascii="Verdana" w:hAnsi="Verdana"/>
          <w:lang w:val="en-GB"/>
        </w:rPr>
        <w:t>l</w:t>
      </w:r>
      <w:r w:rsidR="00B371A4">
        <w:rPr>
          <w:rFonts w:ascii="Verdana" w:hAnsi="Verdana"/>
          <w:lang w:val="en-GB"/>
        </w:rPr>
        <w:t xml:space="preserve"> </w:t>
      </w:r>
      <w:r w:rsidR="00F969A1">
        <w:rPr>
          <w:rFonts w:ascii="Verdana" w:hAnsi="Verdana"/>
          <w:lang w:val="en-GB"/>
        </w:rPr>
        <w:t>tetracycline</w:t>
      </w:r>
      <w:r w:rsidR="00B371A4">
        <w:rPr>
          <w:rFonts w:ascii="Verdana" w:hAnsi="Verdana"/>
          <w:lang w:val="en-GB"/>
        </w:rPr>
        <w:t xml:space="preserve"> (</w:t>
      </w:r>
      <w:r w:rsidR="00F969A1">
        <w:rPr>
          <w:rFonts w:ascii="Verdana" w:hAnsi="Verdana"/>
          <w:lang w:val="en-GB"/>
        </w:rPr>
        <w:t xml:space="preserve">T-7760, Sigma-Aldrich), and </w:t>
      </w:r>
      <w:r w:rsidR="00047669">
        <w:rPr>
          <w:rFonts w:ascii="Verdana" w:hAnsi="Verdana"/>
          <w:lang w:val="en-GB"/>
        </w:rPr>
        <w:t>1</w:t>
      </w:r>
      <w:r w:rsidR="00047669" w:rsidRPr="00840C6D">
        <w:rPr>
          <w:rFonts w:ascii="Verdana" w:hAnsi="Verdana" w:cs="Calibri"/>
          <w:lang w:val="en-GB"/>
        </w:rPr>
        <w:t>µ</w:t>
      </w:r>
      <w:r w:rsidR="00047669">
        <w:rPr>
          <w:rFonts w:ascii="Verdana" w:hAnsi="Verdana"/>
          <w:lang w:val="en-GB"/>
        </w:rPr>
        <w:t>l</w:t>
      </w:r>
      <w:r w:rsidR="00F969A1">
        <w:rPr>
          <w:rFonts w:ascii="Verdana" w:hAnsi="Verdana"/>
          <w:lang w:val="en-GB"/>
        </w:rPr>
        <w:t xml:space="preserve"> </w:t>
      </w:r>
      <w:r w:rsidR="00E51DA6">
        <w:rPr>
          <w:rFonts w:ascii="Verdana" w:hAnsi="Verdana"/>
          <w:lang w:val="en-GB"/>
        </w:rPr>
        <w:t xml:space="preserve">Recombinant Human </w:t>
      </w:r>
      <w:r w:rsidR="00F969A1">
        <w:rPr>
          <w:rFonts w:ascii="Verdana" w:hAnsi="Verdana"/>
          <w:lang w:val="en-GB"/>
        </w:rPr>
        <w:t>G</w:t>
      </w:r>
      <w:r w:rsidR="00882C45">
        <w:rPr>
          <w:rFonts w:ascii="Verdana" w:hAnsi="Verdana"/>
          <w:lang w:val="en-GB"/>
        </w:rPr>
        <w:t>DNF (212-GD, R&amp;D Systems</w:t>
      </w:r>
      <w:r w:rsidR="00882C45" w:rsidRPr="00882C45">
        <w:rPr>
          <w:rFonts w:ascii="Verdana" w:hAnsi="Verdana"/>
          <w:lang w:val="en-GB"/>
        </w:rPr>
        <w:t>)</w:t>
      </w:r>
      <w:r w:rsidR="00882C45" w:rsidRPr="00882C45">
        <w:rPr>
          <w:rFonts w:ascii="Verdana" w:hAnsi="Verdana"/>
          <w:lang w:val="da-DK"/>
        </w:rPr>
        <w:t>. After additio</w:t>
      </w:r>
      <w:r w:rsidR="00882C45">
        <w:rPr>
          <w:rFonts w:ascii="Verdana" w:hAnsi="Verdana"/>
          <w:lang w:val="da-DK"/>
        </w:rPr>
        <w:t>nal 48h, the pre-differentiation was completed. Cells were detached with TrypLE</w:t>
      </w:r>
      <w:r w:rsidR="00F638B8">
        <w:rPr>
          <w:rFonts w:ascii="Verdana" w:hAnsi="Verdana"/>
          <w:lang w:val="da-DK"/>
        </w:rPr>
        <w:t xml:space="preserve"> and the pellet was resuspended in 10ml of differentiation medium; after counting, cells were plated in multi-well </w:t>
      </w:r>
      <w:r w:rsidR="00D620A1">
        <w:rPr>
          <w:rFonts w:ascii="Verdana" w:hAnsi="Verdana"/>
          <w:lang w:val="da-DK"/>
        </w:rPr>
        <w:t>plates in desired quantity.</w:t>
      </w:r>
      <w:r w:rsidR="00445A78">
        <w:rPr>
          <w:rFonts w:ascii="Verdana" w:hAnsi="Verdana"/>
          <w:lang w:val="da-DK"/>
        </w:rPr>
        <w:t xml:space="preserve"> </w:t>
      </w:r>
      <w:r w:rsidR="00557B12">
        <w:rPr>
          <w:rFonts w:ascii="Verdana" w:hAnsi="Verdana"/>
          <w:lang w:val="da-DK"/>
        </w:rPr>
        <w:t>After 72h incubation in differentiation medium, the differentiation process was completed and cells were ready for treatment.</w:t>
      </w:r>
    </w:p>
    <w:p w14:paraId="097C4502" w14:textId="7F700463" w:rsidR="00557B12" w:rsidRDefault="00557B12" w:rsidP="00557B12">
      <w:pPr>
        <w:spacing w:line="360" w:lineRule="auto"/>
        <w:jc w:val="both"/>
        <w:rPr>
          <w:rFonts w:ascii="Verdana" w:hAnsi="Verdana"/>
          <w:lang w:val="da-DK"/>
        </w:rPr>
      </w:pPr>
    </w:p>
    <w:p w14:paraId="07653FAE" w14:textId="68D7CF5D" w:rsidR="00557B12" w:rsidRPr="00920BE0" w:rsidRDefault="00D817DE" w:rsidP="00767F9D">
      <w:pPr>
        <w:pStyle w:val="Heading3"/>
        <w:rPr>
          <w:lang w:val="da-DK"/>
        </w:rPr>
      </w:pPr>
      <w:bookmarkStart w:id="44" w:name="_Toc130223410"/>
      <w:r w:rsidRPr="00920BE0">
        <w:rPr>
          <w:lang w:val="da-DK"/>
        </w:rPr>
        <w:t>MTT test</w:t>
      </w:r>
      <w:bookmarkEnd w:id="44"/>
    </w:p>
    <w:p w14:paraId="31708C0A" w14:textId="0A861FD9" w:rsidR="0018492C" w:rsidRDefault="00FD3B22" w:rsidP="00920BE0">
      <w:pPr>
        <w:spacing w:line="360" w:lineRule="auto"/>
        <w:jc w:val="both"/>
        <w:rPr>
          <w:rFonts w:ascii="Verdana" w:hAnsi="Verdana"/>
          <w:lang w:val="en-GB"/>
        </w:rPr>
      </w:pPr>
      <w:r>
        <w:rPr>
          <w:rFonts w:ascii="Verdana" w:hAnsi="Verdana"/>
          <w:lang w:val="da-DK"/>
        </w:rPr>
        <w:t>50.000 c</w:t>
      </w:r>
      <w:r w:rsidR="006C7E87">
        <w:rPr>
          <w:rFonts w:ascii="Verdana" w:hAnsi="Verdana"/>
          <w:lang w:val="da-DK"/>
        </w:rPr>
        <w:t>ells were plated in 96-wells plates</w:t>
      </w:r>
      <w:r w:rsidR="00E94979">
        <w:rPr>
          <w:rFonts w:ascii="Verdana" w:hAnsi="Verdana"/>
          <w:lang w:val="da-DK"/>
        </w:rPr>
        <w:t>. Four wells per condition were used.</w:t>
      </w:r>
      <w:r w:rsidR="00854EDF">
        <w:rPr>
          <w:rFonts w:ascii="Verdana" w:hAnsi="Verdana"/>
          <w:lang w:val="da-DK"/>
        </w:rPr>
        <w:t xml:space="preserve"> At the end of the differentiation process,</w:t>
      </w:r>
      <w:r w:rsidR="00920BE0">
        <w:rPr>
          <w:rFonts w:ascii="Verdana" w:hAnsi="Verdana"/>
          <w:lang w:val="da-DK"/>
        </w:rPr>
        <w:t xml:space="preserve"> medium was exchanged with ½ Neurobasal</w:t>
      </w:r>
      <w:r w:rsidR="00854EDF">
        <w:rPr>
          <w:rFonts w:ascii="Verdana" w:hAnsi="Verdana"/>
          <w:lang w:val="da-DK"/>
        </w:rPr>
        <w:t xml:space="preserve"> (</w:t>
      </w:r>
      <w:r w:rsidR="00A556BD">
        <w:rPr>
          <w:rFonts w:ascii="Verdana" w:hAnsi="Verdana"/>
          <w:lang w:val="da-DK"/>
        </w:rPr>
        <w:t>21103-049, Gibco</w:t>
      </w:r>
      <w:r w:rsidR="00854EDF">
        <w:rPr>
          <w:rFonts w:ascii="Verdana" w:hAnsi="Verdana"/>
          <w:lang w:val="da-DK"/>
        </w:rPr>
        <w:t>) ½ Advanced DMEM</w:t>
      </w:r>
      <w:r w:rsidR="00893B14">
        <w:rPr>
          <w:rFonts w:ascii="Verdana" w:hAnsi="Verdana"/>
          <w:lang w:val="da-DK"/>
        </w:rPr>
        <w:t xml:space="preserve">/F12 supplemented with L-Glutamine, N-2, </w:t>
      </w:r>
      <w:r w:rsidR="00E40DFC">
        <w:rPr>
          <w:rFonts w:ascii="Verdana" w:hAnsi="Verdana"/>
          <w:lang w:val="da-DK"/>
        </w:rPr>
        <w:t>db-cAMP, tetracycline and GDNF.</w:t>
      </w:r>
      <w:r w:rsidR="007736E0">
        <w:rPr>
          <w:rFonts w:ascii="Verdana" w:hAnsi="Verdana"/>
          <w:lang w:val="da-DK"/>
        </w:rPr>
        <w:t xml:space="preserve"> After one day</w:t>
      </w:r>
      <w:r w:rsidR="00FD6157">
        <w:rPr>
          <w:rFonts w:ascii="Verdana" w:hAnsi="Verdana"/>
          <w:lang w:val="da-DK"/>
        </w:rPr>
        <w:t>, cells were treated with alpha-synuclein moieties (see Chapter 8, Table 2) or Gluta</w:t>
      </w:r>
      <w:r w:rsidR="00916999">
        <w:rPr>
          <w:rFonts w:ascii="Verdana" w:hAnsi="Verdana"/>
          <w:lang w:val="da-DK"/>
        </w:rPr>
        <w:t>mmate diluted at the appropriate concentration in Neurobasal medium without additives.</w:t>
      </w:r>
      <w:r w:rsidR="00656B40">
        <w:rPr>
          <w:rFonts w:ascii="Verdana" w:hAnsi="Verdana"/>
          <w:lang w:val="da-DK"/>
        </w:rPr>
        <w:t xml:space="preserve"> For 5-days treatments, 100</w:t>
      </w:r>
      <w:r w:rsidR="00656B40" w:rsidRPr="00840C6D">
        <w:rPr>
          <w:rFonts w:ascii="Verdana" w:hAnsi="Verdana" w:cs="Calibri"/>
          <w:lang w:val="en-GB"/>
        </w:rPr>
        <w:t>µ</w:t>
      </w:r>
      <w:r w:rsidR="00656B40">
        <w:rPr>
          <w:rFonts w:ascii="Verdana" w:hAnsi="Verdana"/>
          <w:lang w:val="en-GB"/>
        </w:rPr>
        <w:t>l of fresh Neurobasal medium were added to each well.</w:t>
      </w:r>
      <w:r w:rsidR="00AF34F2">
        <w:rPr>
          <w:rFonts w:ascii="Verdana" w:hAnsi="Verdana"/>
          <w:lang w:val="en-GB"/>
        </w:rPr>
        <w:t xml:space="preserve"> </w:t>
      </w:r>
      <w:r w:rsidR="00B522F4">
        <w:rPr>
          <w:rFonts w:ascii="Verdana" w:hAnsi="Verdana"/>
          <w:lang w:val="en-GB"/>
        </w:rPr>
        <w:t>Cytotoxicity was tested using the Thiazol</w:t>
      </w:r>
      <w:r w:rsidR="001133F1">
        <w:rPr>
          <w:rFonts w:ascii="Verdana" w:hAnsi="Verdana"/>
          <w:lang w:val="en-GB"/>
        </w:rPr>
        <w:t>yl Blue Tetrazolium Bromide (</w:t>
      </w:r>
      <w:r w:rsidR="00AF34F2">
        <w:rPr>
          <w:rFonts w:ascii="Verdana" w:hAnsi="Verdana"/>
          <w:lang w:val="en-GB"/>
        </w:rPr>
        <w:t>MTT</w:t>
      </w:r>
      <w:r w:rsidR="001133F1">
        <w:rPr>
          <w:rFonts w:ascii="Verdana" w:hAnsi="Verdana"/>
          <w:lang w:val="en-GB"/>
        </w:rPr>
        <w:t xml:space="preserve">) assay </w:t>
      </w:r>
      <w:r w:rsidR="004C5D7C">
        <w:rPr>
          <w:rFonts w:ascii="Verdana" w:hAnsi="Verdana"/>
          <w:lang w:val="en-GB"/>
        </w:rPr>
        <w:t>(</w:t>
      </w:r>
      <w:r w:rsidR="00D3703D">
        <w:rPr>
          <w:rFonts w:ascii="Verdana" w:hAnsi="Verdana"/>
          <w:lang w:val="en-GB"/>
        </w:rPr>
        <w:t>M5655-1G, Sigma-Aldrich)</w:t>
      </w:r>
      <w:r w:rsidR="001133F1">
        <w:rPr>
          <w:rFonts w:ascii="Verdana" w:hAnsi="Verdana"/>
          <w:lang w:val="en-GB"/>
        </w:rPr>
        <w:t xml:space="preserve"> according to manufacturer’s instructions. Briefly, </w:t>
      </w:r>
      <w:r w:rsidR="00A7412E">
        <w:rPr>
          <w:rFonts w:ascii="Verdana" w:hAnsi="Verdana"/>
          <w:lang w:val="en-GB"/>
        </w:rPr>
        <w:t xml:space="preserve">cells were washed twice with PBS 1X and incubated with </w:t>
      </w:r>
      <w:r w:rsidR="00101869">
        <w:rPr>
          <w:rFonts w:ascii="Verdana" w:hAnsi="Verdana"/>
          <w:lang w:val="en-GB"/>
        </w:rPr>
        <w:t>a 1:10 dilution of MTT in Neurobasal medium for 3h at 37°C.</w:t>
      </w:r>
      <w:r w:rsidR="00691FBF">
        <w:rPr>
          <w:rFonts w:ascii="Verdana" w:hAnsi="Verdana"/>
          <w:lang w:val="en-GB"/>
        </w:rPr>
        <w:t xml:space="preserve"> Then, the medium containing the MTT reagent was removed, and cells were incubated in acidified isopropanol</w:t>
      </w:r>
      <w:r w:rsidR="00F71195">
        <w:rPr>
          <w:rFonts w:ascii="Verdana" w:hAnsi="Verdana"/>
          <w:lang w:val="en-GB"/>
        </w:rPr>
        <w:t xml:space="preserve"> at 37°C protected from light until measurement. </w:t>
      </w:r>
      <w:r w:rsidR="008C6DC9">
        <w:rPr>
          <w:rFonts w:ascii="Verdana" w:hAnsi="Verdana"/>
          <w:lang w:val="en-GB"/>
        </w:rPr>
        <w:t>Absorbance of formazan was measured in a plate reader at 570nm</w:t>
      </w:r>
      <w:r w:rsidR="003A3221">
        <w:rPr>
          <w:rFonts w:ascii="Verdana" w:hAnsi="Verdana"/>
          <w:lang w:val="en-GB"/>
        </w:rPr>
        <w:t xml:space="preserve"> (specific) and 690nm (</w:t>
      </w:r>
      <w:r w:rsidR="0018492C">
        <w:rPr>
          <w:rFonts w:ascii="Verdana" w:hAnsi="Verdana"/>
          <w:lang w:val="en-GB"/>
        </w:rPr>
        <w:t>non-</w:t>
      </w:r>
      <w:r w:rsidR="003A3221">
        <w:rPr>
          <w:rFonts w:ascii="Verdana" w:hAnsi="Verdana"/>
          <w:lang w:val="en-GB"/>
        </w:rPr>
        <w:t>specific)</w:t>
      </w:r>
      <w:r w:rsidR="008C6DC9">
        <w:rPr>
          <w:rFonts w:ascii="Verdana" w:hAnsi="Verdana"/>
          <w:lang w:val="en-GB"/>
        </w:rPr>
        <w:t xml:space="preserve">. Absorbance at 690nm was </w:t>
      </w:r>
      <w:r w:rsidR="003A3221">
        <w:rPr>
          <w:rFonts w:ascii="Verdana" w:hAnsi="Verdana"/>
          <w:lang w:val="en-GB"/>
        </w:rPr>
        <w:t xml:space="preserve">then subtracted from 570nm absorbance values, </w:t>
      </w:r>
      <w:r w:rsidR="00410E0D">
        <w:rPr>
          <w:rFonts w:ascii="Verdana" w:hAnsi="Verdana"/>
          <w:lang w:val="en-GB"/>
        </w:rPr>
        <w:t xml:space="preserve">then the average absorbance for each condition was calculated. Absorbance for “media only” was subtracted from averaged values, and </w:t>
      </w:r>
      <w:r w:rsidR="00ED75CF">
        <w:rPr>
          <w:rFonts w:ascii="Verdana" w:hAnsi="Verdana"/>
          <w:lang w:val="en-GB"/>
        </w:rPr>
        <w:t xml:space="preserve">the </w:t>
      </w:r>
      <w:r w:rsidR="00ED75CF">
        <w:rPr>
          <w:rFonts w:ascii="Verdana" w:hAnsi="Verdana"/>
          <w:lang w:val="en-GB"/>
        </w:rPr>
        <w:lastRenderedPageBreak/>
        <w:t>viability was calculated as a percentage of the absorbance value of the untreated cells (negative control). 1% triton was used as a positive control for cytotoxicity.</w:t>
      </w:r>
    </w:p>
    <w:p w14:paraId="695CE1A2" w14:textId="77777777" w:rsidR="0018492C" w:rsidRDefault="0018492C" w:rsidP="00920BE0">
      <w:pPr>
        <w:spacing w:line="360" w:lineRule="auto"/>
        <w:jc w:val="both"/>
        <w:rPr>
          <w:rFonts w:ascii="Verdana" w:hAnsi="Verdana"/>
          <w:lang w:val="en-GB"/>
        </w:rPr>
      </w:pPr>
    </w:p>
    <w:p w14:paraId="3A3B1833" w14:textId="3B8C04F0" w:rsidR="00D817DE" w:rsidRPr="0018492C" w:rsidRDefault="00F71195" w:rsidP="00767F9D">
      <w:pPr>
        <w:pStyle w:val="Heading3"/>
        <w:rPr>
          <w:lang w:val="en-GB"/>
        </w:rPr>
      </w:pPr>
      <w:r w:rsidRPr="0018492C">
        <w:rPr>
          <w:lang w:val="en-GB"/>
        </w:rPr>
        <w:t xml:space="preserve"> </w:t>
      </w:r>
      <w:bookmarkStart w:id="45" w:name="_Toc130223411"/>
      <w:r w:rsidR="0018492C" w:rsidRPr="0018492C">
        <w:rPr>
          <w:lang w:val="en-GB"/>
        </w:rPr>
        <w:t>Immunofluorescence staining</w:t>
      </w:r>
      <w:bookmarkEnd w:id="45"/>
    </w:p>
    <w:p w14:paraId="05A64841" w14:textId="48181631" w:rsidR="0018492C" w:rsidRDefault="003F2C73" w:rsidP="00245065">
      <w:pPr>
        <w:spacing w:line="360" w:lineRule="auto"/>
        <w:jc w:val="both"/>
        <w:rPr>
          <w:rFonts w:ascii="Verdana" w:hAnsi="Verdana"/>
          <w:lang w:val="da-DK"/>
        </w:rPr>
      </w:pPr>
      <w:r>
        <w:rPr>
          <w:rFonts w:ascii="Verdana" w:hAnsi="Verdana"/>
          <w:lang w:val="da-DK"/>
        </w:rPr>
        <w:t xml:space="preserve">For immunofluorescnce staining, </w:t>
      </w:r>
      <w:r w:rsidR="006632E9">
        <w:rPr>
          <w:rFonts w:ascii="Verdana" w:hAnsi="Verdana"/>
          <w:lang w:val="da-DK"/>
        </w:rPr>
        <w:t>1 million cells were seeded on a glass cover slip in a 12-wells plate</w:t>
      </w:r>
      <w:r w:rsidR="004F0C0B">
        <w:rPr>
          <w:rFonts w:ascii="Verdana" w:hAnsi="Verdana"/>
          <w:lang w:val="da-DK"/>
        </w:rPr>
        <w:t xml:space="preserve"> coated with poly-ornithin and fibronectin. </w:t>
      </w:r>
      <w:r w:rsidR="00665B88">
        <w:rPr>
          <w:rFonts w:ascii="Verdana" w:hAnsi="Verdana"/>
          <w:lang w:val="da-DK"/>
        </w:rPr>
        <w:t xml:space="preserve">Cells were fixed with 4% PFA </w:t>
      </w:r>
      <w:r w:rsidR="009212B3">
        <w:rPr>
          <w:rFonts w:ascii="Verdana" w:hAnsi="Verdana"/>
          <w:lang w:val="da-DK"/>
        </w:rPr>
        <w:t xml:space="preserve">in PBS 1X for 15min, then wells were washed </w:t>
      </w:r>
      <w:r w:rsidR="00375B0D">
        <w:rPr>
          <w:rFonts w:ascii="Verdana" w:hAnsi="Verdana"/>
          <w:lang w:val="da-DK"/>
        </w:rPr>
        <w:t xml:space="preserve">3 x 5min with PBS 1X. </w:t>
      </w:r>
      <w:r w:rsidR="004A0926">
        <w:rPr>
          <w:rFonts w:ascii="Verdana" w:hAnsi="Verdana"/>
          <w:lang w:val="da-DK"/>
        </w:rPr>
        <w:t xml:space="preserve">Cells were permeabilized with 0.05% Triton X-100 in PBS 1X for 3min on ice. </w:t>
      </w:r>
      <w:r w:rsidR="000C74B9">
        <w:rPr>
          <w:rFonts w:ascii="Verdana" w:hAnsi="Verdana"/>
          <w:lang w:val="da-DK"/>
        </w:rPr>
        <w:t xml:space="preserve">After 3 x 5 min washing with PBS 1X, cells were </w:t>
      </w:r>
      <w:r w:rsidR="00854F4B">
        <w:rPr>
          <w:rFonts w:ascii="Verdana" w:hAnsi="Verdana"/>
          <w:lang w:val="da-DK"/>
        </w:rPr>
        <w:t xml:space="preserve">incubated in a blocking solution of 10% fetal </w:t>
      </w:r>
      <w:r w:rsidR="00A824CA">
        <w:rPr>
          <w:rFonts w:ascii="Verdana" w:hAnsi="Verdana"/>
          <w:lang w:val="da-DK"/>
        </w:rPr>
        <w:t>bovine</w:t>
      </w:r>
      <w:r w:rsidR="00854F4B">
        <w:rPr>
          <w:rFonts w:ascii="Verdana" w:hAnsi="Verdana"/>
          <w:lang w:val="da-DK"/>
        </w:rPr>
        <w:t xml:space="preserve"> serum</w:t>
      </w:r>
      <w:r w:rsidR="00263BCA">
        <w:rPr>
          <w:rFonts w:ascii="Verdana" w:hAnsi="Verdana"/>
          <w:lang w:val="da-DK"/>
        </w:rPr>
        <w:t xml:space="preserve"> (FBS)</w:t>
      </w:r>
      <w:r w:rsidR="00854F4B">
        <w:rPr>
          <w:rFonts w:ascii="Verdana" w:hAnsi="Verdana"/>
          <w:lang w:val="da-DK"/>
        </w:rPr>
        <w:t xml:space="preserve"> </w:t>
      </w:r>
      <w:r w:rsidR="00A824CA">
        <w:rPr>
          <w:rFonts w:ascii="Verdana" w:hAnsi="Verdana"/>
          <w:lang w:val="da-DK"/>
        </w:rPr>
        <w:t>(</w:t>
      </w:r>
      <w:r w:rsidR="00A824CA" w:rsidRPr="00A824CA">
        <w:rPr>
          <w:rFonts w:ascii="Verdana" w:hAnsi="Verdana"/>
          <w:lang w:val="da-DK"/>
        </w:rPr>
        <w:t>10270-106</w:t>
      </w:r>
      <w:r w:rsidR="00A824CA">
        <w:rPr>
          <w:rFonts w:ascii="Verdana" w:hAnsi="Verdana"/>
          <w:lang w:val="da-DK"/>
        </w:rPr>
        <w:t>,</w:t>
      </w:r>
      <w:r w:rsidR="00F3371B">
        <w:rPr>
          <w:rFonts w:ascii="Verdana" w:hAnsi="Verdana"/>
          <w:lang w:val="da-DK"/>
        </w:rPr>
        <w:t xml:space="preserve"> Life Technologies)</w:t>
      </w:r>
      <w:r w:rsidR="00957D77">
        <w:rPr>
          <w:rFonts w:ascii="Verdana" w:hAnsi="Verdana"/>
          <w:lang w:val="da-DK"/>
        </w:rPr>
        <w:t xml:space="preserve"> for 1h at RT. C</w:t>
      </w:r>
      <w:r w:rsidR="00705913">
        <w:rPr>
          <w:rFonts w:ascii="Verdana" w:hAnsi="Verdana"/>
          <w:lang w:val="da-DK"/>
        </w:rPr>
        <w:t>overslips</w:t>
      </w:r>
      <w:r w:rsidR="00957D77">
        <w:rPr>
          <w:rFonts w:ascii="Verdana" w:hAnsi="Verdana"/>
          <w:lang w:val="da-DK"/>
        </w:rPr>
        <w:t xml:space="preserve"> were incubated with</w:t>
      </w:r>
      <w:r w:rsidR="00E6768A">
        <w:rPr>
          <w:rFonts w:ascii="Verdana" w:hAnsi="Verdana"/>
          <w:lang w:val="da-DK"/>
        </w:rPr>
        <w:t xml:space="preserve"> </w:t>
      </w:r>
      <w:r w:rsidR="00CE0C3B">
        <w:rPr>
          <w:rFonts w:ascii="Verdana" w:hAnsi="Verdana"/>
          <w:lang w:val="da-DK"/>
        </w:rPr>
        <w:t>3</w:t>
      </w:r>
      <w:r w:rsidR="003C4216">
        <w:rPr>
          <w:rFonts w:ascii="Verdana" w:hAnsi="Verdana"/>
          <w:lang w:val="da-DK"/>
        </w:rPr>
        <w:t>0</w:t>
      </w:r>
      <w:r w:rsidR="003C4216" w:rsidRPr="003C4216">
        <w:rPr>
          <w:rFonts w:ascii="Verdana" w:hAnsi="Verdana" w:cs="Calibri"/>
          <w:lang w:val="da-DK"/>
        </w:rPr>
        <w:t>µ</w:t>
      </w:r>
      <w:r w:rsidR="003C4216" w:rsidRPr="003C4216">
        <w:rPr>
          <w:rFonts w:ascii="Verdana" w:hAnsi="Verdana"/>
          <w:lang w:val="da-DK"/>
        </w:rPr>
        <w:t>l</w:t>
      </w:r>
      <w:r w:rsidR="005A678E">
        <w:rPr>
          <w:rFonts w:ascii="Verdana" w:hAnsi="Verdana"/>
          <w:lang w:val="da-DK"/>
        </w:rPr>
        <w:t xml:space="preserve"> of a mouse monoclonal</w:t>
      </w:r>
      <w:r w:rsidR="00C0376E">
        <w:rPr>
          <w:rFonts w:ascii="Verdana" w:hAnsi="Verdana"/>
          <w:lang w:val="da-DK"/>
        </w:rPr>
        <w:t xml:space="preserve"> </w:t>
      </w:r>
      <w:r w:rsidR="00C0376E" w:rsidRPr="005A678E">
        <w:rPr>
          <w:rFonts w:ascii="Verdana" w:hAnsi="Verdana"/>
          <w:lang w:val="da-DK"/>
        </w:rPr>
        <w:t>anti-Tu</w:t>
      </w:r>
      <w:r w:rsidR="0047300F">
        <w:rPr>
          <w:rFonts w:ascii="Verdana" w:hAnsi="Verdana"/>
          <w:lang w:val="da-DK"/>
        </w:rPr>
        <w:t>bulin β 3 (TUBB3)</w:t>
      </w:r>
      <w:r w:rsidR="00C0376E" w:rsidRPr="005A678E">
        <w:rPr>
          <w:rFonts w:ascii="Verdana" w:hAnsi="Verdana"/>
          <w:lang w:val="da-DK"/>
        </w:rPr>
        <w:t xml:space="preserve"> antibody</w:t>
      </w:r>
      <w:r w:rsidR="0056185A" w:rsidRPr="005A678E">
        <w:rPr>
          <w:rFonts w:ascii="Verdana" w:hAnsi="Verdana"/>
          <w:lang w:val="da-DK"/>
        </w:rPr>
        <w:t xml:space="preserve"> </w:t>
      </w:r>
      <w:r w:rsidR="0056185A" w:rsidRPr="002311FC">
        <w:rPr>
          <w:rFonts w:ascii="Verdana" w:hAnsi="Verdana"/>
          <w:lang w:val="da-DK"/>
        </w:rPr>
        <w:t>(</w:t>
      </w:r>
      <w:r w:rsidR="008C4ABF" w:rsidRPr="002311FC">
        <w:rPr>
          <w:rFonts w:ascii="Verdana" w:hAnsi="Verdana"/>
          <w:lang w:val="da-DK"/>
        </w:rPr>
        <w:t>clone Tuj1</w:t>
      </w:r>
      <w:r w:rsidR="0056185A" w:rsidRPr="002311FC">
        <w:rPr>
          <w:rFonts w:ascii="Verdana" w:hAnsi="Verdana"/>
          <w:lang w:val="da-DK"/>
        </w:rPr>
        <w:t>,</w:t>
      </w:r>
      <w:r w:rsidR="00E3372B">
        <w:rPr>
          <w:rFonts w:ascii="Verdana" w:hAnsi="Verdana"/>
          <w:lang w:val="da-DK"/>
        </w:rPr>
        <w:t xml:space="preserve"> 11580,</w:t>
      </w:r>
      <w:r w:rsidR="0056185A" w:rsidRPr="002311FC">
        <w:rPr>
          <w:rFonts w:ascii="Verdana" w:hAnsi="Verdana"/>
          <w:lang w:val="da-DK"/>
        </w:rPr>
        <w:t xml:space="preserve"> </w:t>
      </w:r>
      <w:r w:rsidR="002311FC" w:rsidRPr="002311FC">
        <w:rPr>
          <w:rFonts w:ascii="Verdana" w:hAnsi="Verdana"/>
          <w:lang w:val="da-DK"/>
        </w:rPr>
        <w:t xml:space="preserve">BioLegend, </w:t>
      </w:r>
      <w:r w:rsidR="0056185A" w:rsidRPr="002311FC">
        <w:rPr>
          <w:rFonts w:ascii="Verdana" w:hAnsi="Verdana"/>
          <w:lang w:val="da-DK"/>
        </w:rPr>
        <w:t>1</w:t>
      </w:r>
      <w:r w:rsidR="008B773E" w:rsidRPr="002311FC">
        <w:rPr>
          <w:rFonts w:ascii="Verdana" w:hAnsi="Verdana"/>
          <w:lang w:val="da-DK"/>
        </w:rPr>
        <w:t>:500)</w:t>
      </w:r>
      <w:r w:rsidR="00957D77" w:rsidRPr="002311FC">
        <w:rPr>
          <w:rFonts w:ascii="Verdana" w:hAnsi="Verdana"/>
          <w:lang w:val="da-DK"/>
        </w:rPr>
        <w:t xml:space="preserve"> </w:t>
      </w:r>
      <w:r w:rsidR="00263BCA" w:rsidRPr="00263BCA">
        <w:rPr>
          <w:rFonts w:ascii="Verdana" w:hAnsi="Verdana"/>
          <w:lang w:val="da-DK"/>
        </w:rPr>
        <w:t xml:space="preserve">diluted in </w:t>
      </w:r>
      <w:r w:rsidR="00263BCA">
        <w:rPr>
          <w:rFonts w:ascii="Verdana" w:hAnsi="Verdana"/>
          <w:lang w:val="da-DK"/>
        </w:rPr>
        <w:t xml:space="preserve">10% FBS </w:t>
      </w:r>
      <w:r w:rsidR="00705913">
        <w:rPr>
          <w:rFonts w:ascii="Verdana" w:hAnsi="Verdana"/>
          <w:lang w:val="da-DK"/>
        </w:rPr>
        <w:t>for 90min at RT in a wet chamber.</w:t>
      </w:r>
      <w:r w:rsidR="003A3575">
        <w:rPr>
          <w:rFonts w:ascii="Verdana" w:hAnsi="Verdana"/>
          <w:lang w:val="da-DK"/>
        </w:rPr>
        <w:t xml:space="preserve"> After incubation with the priary antibody, coverslips were placed once again in a 12-wells plate, and cells were washed </w:t>
      </w:r>
      <w:r w:rsidR="00354CFA">
        <w:rPr>
          <w:rFonts w:ascii="Verdana" w:hAnsi="Verdana"/>
          <w:lang w:val="da-DK"/>
        </w:rPr>
        <w:t xml:space="preserve">3 x 5min with PBS 1X. </w:t>
      </w:r>
      <w:r w:rsidR="00FB7EC3">
        <w:rPr>
          <w:rFonts w:ascii="Verdana" w:hAnsi="Verdana"/>
          <w:lang w:val="da-DK"/>
        </w:rPr>
        <w:t xml:space="preserve">The </w:t>
      </w:r>
      <w:r w:rsidR="00354CFA" w:rsidRPr="00FB7EC3">
        <w:rPr>
          <w:rFonts w:ascii="Verdana" w:hAnsi="Verdana"/>
          <w:lang w:val="da-DK"/>
        </w:rPr>
        <w:t>Alexa</w:t>
      </w:r>
      <w:r w:rsidR="00896EF8" w:rsidRPr="00FB7EC3">
        <w:rPr>
          <w:rFonts w:ascii="Verdana" w:hAnsi="Verdana"/>
          <w:lang w:val="da-DK"/>
        </w:rPr>
        <w:t xml:space="preserve"> Fluor® </w:t>
      </w:r>
      <w:r w:rsidR="005767A1">
        <w:rPr>
          <w:rFonts w:ascii="Verdana" w:hAnsi="Verdana"/>
          <w:lang w:val="da-DK"/>
        </w:rPr>
        <w:t>594</w:t>
      </w:r>
      <w:r w:rsidR="0056185A" w:rsidRPr="00FB7EC3">
        <w:rPr>
          <w:rFonts w:ascii="Verdana" w:hAnsi="Verdana"/>
          <w:lang w:val="da-DK"/>
        </w:rPr>
        <w:t xml:space="preserve"> </w:t>
      </w:r>
      <w:r w:rsidR="00FB7EC3" w:rsidRPr="00FB7EC3">
        <w:rPr>
          <w:rFonts w:ascii="Verdana" w:hAnsi="Verdana"/>
          <w:lang w:val="da-DK"/>
        </w:rPr>
        <w:t xml:space="preserve">goat </w:t>
      </w:r>
      <w:r w:rsidR="0056185A" w:rsidRPr="00FB7EC3">
        <w:rPr>
          <w:rFonts w:ascii="Verdana" w:hAnsi="Verdana"/>
          <w:lang w:val="da-DK"/>
        </w:rPr>
        <w:t xml:space="preserve">anti </w:t>
      </w:r>
      <w:r w:rsidR="00FB7EC3" w:rsidRPr="00FB7EC3">
        <w:rPr>
          <w:rFonts w:ascii="Verdana" w:hAnsi="Verdana"/>
          <w:lang w:val="da-DK"/>
        </w:rPr>
        <w:t>mouse</w:t>
      </w:r>
      <w:r w:rsidR="0056185A" w:rsidRPr="00FB7EC3">
        <w:rPr>
          <w:rFonts w:ascii="Verdana" w:hAnsi="Verdana"/>
          <w:lang w:val="da-DK"/>
        </w:rPr>
        <w:t xml:space="preserve"> secondary antibody (1:1000)</w:t>
      </w:r>
      <w:r w:rsidR="00050A83" w:rsidRPr="00FB7EC3">
        <w:rPr>
          <w:rFonts w:ascii="Verdana" w:hAnsi="Verdana"/>
          <w:lang w:val="da-DK"/>
        </w:rPr>
        <w:t xml:space="preserve"> </w:t>
      </w:r>
      <w:r w:rsidR="00050A83">
        <w:rPr>
          <w:rFonts w:ascii="Verdana" w:hAnsi="Verdana"/>
          <w:lang w:val="da-DK"/>
        </w:rPr>
        <w:t xml:space="preserve">was diluted in 10% FBS and cells were incubated in secondary antibody </w:t>
      </w:r>
      <w:r w:rsidR="00CD5B43">
        <w:rPr>
          <w:rFonts w:ascii="Verdana" w:hAnsi="Verdana"/>
          <w:lang w:val="da-DK"/>
        </w:rPr>
        <w:t xml:space="preserve">for 60min at RT under a light trap. </w:t>
      </w:r>
      <w:r w:rsidR="00F94689">
        <w:rPr>
          <w:rFonts w:ascii="Verdana" w:hAnsi="Verdana"/>
          <w:lang w:val="da-DK"/>
        </w:rPr>
        <w:t>Cells were then</w:t>
      </w:r>
      <w:r w:rsidR="00F25A89">
        <w:rPr>
          <w:rFonts w:ascii="Verdana" w:hAnsi="Verdana"/>
          <w:lang w:val="da-DK"/>
        </w:rPr>
        <w:t xml:space="preserve"> washed 3 x 5min with PBS 1X and</w:t>
      </w:r>
      <w:r w:rsidR="00F94689">
        <w:rPr>
          <w:rFonts w:ascii="Verdana" w:hAnsi="Verdana"/>
          <w:lang w:val="da-DK"/>
        </w:rPr>
        <w:t xml:space="preserve"> incubated in a 1:10,000 DAPI solution </w:t>
      </w:r>
      <w:r w:rsidR="006A6721">
        <w:rPr>
          <w:rFonts w:ascii="Verdana" w:hAnsi="Verdana"/>
          <w:lang w:val="da-DK"/>
        </w:rPr>
        <w:t>for 30min under a light trap. Cells were washed once</w:t>
      </w:r>
      <w:r w:rsidR="00220C8F">
        <w:rPr>
          <w:rFonts w:ascii="Verdana" w:hAnsi="Verdana"/>
          <w:lang w:val="da-DK"/>
        </w:rPr>
        <w:t xml:space="preserve"> with distilled water for</w:t>
      </w:r>
      <w:r w:rsidR="006A6721">
        <w:rPr>
          <w:rFonts w:ascii="Verdana" w:hAnsi="Verdana"/>
          <w:lang w:val="da-DK"/>
        </w:rPr>
        <w:t xml:space="preserve"> </w:t>
      </w:r>
      <w:r w:rsidR="00220C8F">
        <w:rPr>
          <w:rFonts w:ascii="Verdana" w:hAnsi="Verdana"/>
          <w:lang w:val="da-DK"/>
        </w:rPr>
        <w:t>5min at RT</w:t>
      </w:r>
      <w:r w:rsidR="00CA0F99">
        <w:rPr>
          <w:rFonts w:ascii="Verdana" w:hAnsi="Verdana"/>
          <w:lang w:val="da-DK"/>
        </w:rPr>
        <w:t xml:space="preserve">, then the coverslips were mounted on </w:t>
      </w:r>
      <w:r w:rsidR="006E4454">
        <w:rPr>
          <w:rFonts w:ascii="Verdana" w:hAnsi="Verdana"/>
          <w:lang w:val="da-DK"/>
        </w:rPr>
        <w:t>a glass slide with 20</w:t>
      </w:r>
      <w:r w:rsidR="006E4454" w:rsidRPr="003C4216">
        <w:rPr>
          <w:rFonts w:ascii="Verdana" w:hAnsi="Verdana" w:cs="Calibri"/>
          <w:lang w:val="da-DK"/>
        </w:rPr>
        <w:t>µ</w:t>
      </w:r>
      <w:r w:rsidR="006E4454" w:rsidRPr="003C4216">
        <w:rPr>
          <w:rFonts w:ascii="Verdana" w:hAnsi="Verdana"/>
          <w:lang w:val="da-DK"/>
        </w:rPr>
        <w:t>l</w:t>
      </w:r>
      <w:r w:rsidR="006E4454">
        <w:rPr>
          <w:rFonts w:ascii="Verdana" w:hAnsi="Verdana"/>
          <w:lang w:val="da-DK"/>
        </w:rPr>
        <w:t xml:space="preserve"> of mounting medium</w:t>
      </w:r>
      <w:r w:rsidR="00672D9F">
        <w:rPr>
          <w:rFonts w:ascii="Verdana" w:hAnsi="Verdana"/>
          <w:lang w:val="da-DK"/>
        </w:rPr>
        <w:t>. Slides were dried in the dark and stored at 4°C until imaging.</w:t>
      </w:r>
    </w:p>
    <w:p w14:paraId="36560F7C" w14:textId="0C1A24C4" w:rsidR="00000DDA" w:rsidRDefault="00000DDA" w:rsidP="00245065">
      <w:pPr>
        <w:spacing w:line="360" w:lineRule="auto"/>
        <w:jc w:val="both"/>
        <w:rPr>
          <w:rFonts w:ascii="Verdana" w:hAnsi="Verdana"/>
          <w:lang w:val="da-DK"/>
        </w:rPr>
      </w:pPr>
    </w:p>
    <w:p w14:paraId="7F6B02FC" w14:textId="57484F61" w:rsidR="00000DDA" w:rsidRPr="00050827" w:rsidRDefault="00050827" w:rsidP="00767F9D">
      <w:pPr>
        <w:pStyle w:val="Heading3"/>
        <w:rPr>
          <w:lang w:val="da-DK"/>
        </w:rPr>
      </w:pPr>
      <w:bookmarkStart w:id="46" w:name="_Toc130223412"/>
      <w:r w:rsidRPr="00050827">
        <w:rPr>
          <w:lang w:val="da-DK"/>
        </w:rPr>
        <w:t>Electron Microscopy</w:t>
      </w:r>
      <w:bookmarkEnd w:id="46"/>
    </w:p>
    <w:p w14:paraId="3FEAAFC1" w14:textId="746B1808" w:rsidR="00C5728D" w:rsidRPr="00050A83" w:rsidRDefault="001A50E1" w:rsidP="00184606">
      <w:pPr>
        <w:spacing w:line="360" w:lineRule="auto"/>
        <w:jc w:val="both"/>
        <w:rPr>
          <w:rFonts w:ascii="Verdana" w:hAnsi="Verdana"/>
          <w:lang w:val="da-DK"/>
        </w:rPr>
      </w:pPr>
      <w:r>
        <w:rPr>
          <w:rFonts w:ascii="Verdana" w:hAnsi="Verdana"/>
          <w:lang w:val="da-DK"/>
        </w:rPr>
        <w:t>Electron microscopy was used for the characterisation of al</w:t>
      </w:r>
      <w:r w:rsidR="00050827">
        <w:rPr>
          <w:rFonts w:ascii="Verdana" w:hAnsi="Verdana"/>
          <w:lang w:val="da-DK"/>
        </w:rPr>
        <w:t>pha-synuclein monomers, oligomers and pre-formed-fibrils (PFFs)</w:t>
      </w:r>
      <w:r>
        <w:rPr>
          <w:rFonts w:ascii="Verdana" w:hAnsi="Verdana"/>
          <w:lang w:val="da-DK"/>
        </w:rPr>
        <w:t xml:space="preserve">. </w:t>
      </w:r>
      <w:r w:rsidR="00DC0E09">
        <w:rPr>
          <w:rFonts w:ascii="Verdana" w:hAnsi="Verdana"/>
          <w:lang w:val="da-DK"/>
        </w:rPr>
        <w:t>Alpha-synuclein moieties were diluted 1:10 in PBS 1X</w:t>
      </w:r>
      <w:r w:rsidR="00E41DC3">
        <w:rPr>
          <w:rFonts w:ascii="Verdana" w:hAnsi="Verdana"/>
          <w:lang w:val="da-DK"/>
        </w:rPr>
        <w:t xml:space="preserve"> and samples were stored on ice.</w:t>
      </w:r>
      <w:r w:rsidR="00EE0343">
        <w:rPr>
          <w:rFonts w:ascii="Verdana" w:hAnsi="Verdana"/>
          <w:lang w:val="da-DK"/>
        </w:rPr>
        <w:t xml:space="preserve"> Sonication of PFFs was performed in a Bioruptor</w:t>
      </w:r>
      <w:r w:rsidR="00EE0343" w:rsidRPr="00EE0343">
        <w:rPr>
          <w:rFonts w:ascii="Verdana" w:hAnsi="Verdana"/>
          <w:lang w:val="da-DK"/>
        </w:rPr>
        <w:t xml:space="preserve"> </w:t>
      </w:r>
      <w:r w:rsidR="00EE0343" w:rsidRPr="00D01511">
        <w:rPr>
          <w:rFonts w:ascii="Verdana" w:hAnsi="Verdana"/>
          <w:lang w:val="da-DK"/>
        </w:rPr>
        <w:t>UCD 300 (Diagenode, Seraing, Belgium)</w:t>
      </w:r>
      <w:r w:rsidR="00331790">
        <w:rPr>
          <w:rFonts w:ascii="Verdana" w:hAnsi="Verdana"/>
          <w:lang w:val="da-DK"/>
        </w:rPr>
        <w:t xml:space="preserve"> for a total of 30 cycles (15sec ON + 15sec OFF) at </w:t>
      </w:r>
      <w:r w:rsidR="00D01511" w:rsidRPr="00D01511">
        <w:rPr>
          <w:rFonts w:ascii="Verdana" w:hAnsi="Verdana"/>
          <w:lang w:val="da-DK"/>
        </w:rPr>
        <w:t>4°C</w:t>
      </w:r>
      <w:r w:rsidR="004B7CAB">
        <w:rPr>
          <w:rFonts w:ascii="Verdana" w:hAnsi="Verdana"/>
          <w:lang w:val="da-DK"/>
        </w:rPr>
        <w:t>.</w:t>
      </w:r>
      <w:r w:rsidR="00A101BD" w:rsidRPr="00A101BD">
        <w:t xml:space="preserve"> </w:t>
      </w:r>
      <w:r w:rsidR="006B3947">
        <w:rPr>
          <w:rFonts w:ascii="Verdana" w:hAnsi="Verdana"/>
          <w:lang w:val="da-DK"/>
        </w:rPr>
        <w:t xml:space="preserve">Samples were prepared for </w:t>
      </w:r>
      <w:r w:rsidR="00184606">
        <w:rPr>
          <w:rFonts w:ascii="Verdana" w:hAnsi="Verdana"/>
          <w:lang w:val="da-DK"/>
        </w:rPr>
        <w:t xml:space="preserve">negative staining using the so-called </w:t>
      </w:r>
      <w:r w:rsidR="006B3947">
        <w:rPr>
          <w:rFonts w:ascii="Verdana" w:hAnsi="Verdana"/>
          <w:lang w:val="da-DK"/>
        </w:rPr>
        <w:t>”</w:t>
      </w:r>
      <w:r w:rsidR="00A101BD" w:rsidRPr="00A101BD">
        <w:rPr>
          <w:rFonts w:ascii="Verdana" w:hAnsi="Verdana"/>
          <w:lang w:val="da-DK"/>
        </w:rPr>
        <w:t>direct application method</w:t>
      </w:r>
      <w:r w:rsidR="00184606">
        <w:rPr>
          <w:rFonts w:ascii="Verdana" w:hAnsi="Verdana"/>
          <w:lang w:val="da-DK"/>
        </w:rPr>
        <w:t>”</w:t>
      </w:r>
      <w:r w:rsidR="006B3947">
        <w:rPr>
          <w:rFonts w:ascii="Verdana" w:hAnsi="Verdana"/>
          <w:lang w:val="da-DK"/>
        </w:rPr>
        <w:t>.</w:t>
      </w:r>
      <w:r w:rsidR="00066206">
        <w:rPr>
          <w:rFonts w:ascii="Verdana" w:hAnsi="Verdana"/>
          <w:lang w:val="da-DK"/>
        </w:rPr>
        <w:t xml:space="preserve"> Formvar/carbon coated 100 mesh</w:t>
      </w:r>
      <w:r w:rsidR="00066206" w:rsidRPr="00066206">
        <w:rPr>
          <w:rFonts w:ascii="Verdana" w:hAnsi="Verdana"/>
          <w:lang w:val="da-DK"/>
        </w:rPr>
        <w:t xml:space="preserve"> copper grids (EMS, FCF100H-CU, Lot# 190405)</w:t>
      </w:r>
      <w:r w:rsidR="00066206">
        <w:rPr>
          <w:rFonts w:ascii="Verdana" w:hAnsi="Verdana"/>
          <w:lang w:val="da-DK"/>
        </w:rPr>
        <w:t xml:space="preserve"> were lined up on a glass coverslip and inspected under an optic microscope to ensure carbon film integrity. Grids were charged using a glow </w:t>
      </w:r>
      <w:r w:rsidR="00066206">
        <w:rPr>
          <w:rFonts w:ascii="Verdana" w:hAnsi="Verdana"/>
          <w:lang w:val="da-DK"/>
        </w:rPr>
        <w:lastRenderedPageBreak/>
        <w:t>discharge apparatus</w:t>
      </w:r>
      <w:r w:rsidR="00066206" w:rsidRPr="00066206">
        <w:rPr>
          <w:rFonts w:ascii="Verdana" w:hAnsi="Verdana"/>
          <w:lang w:val="da-DK"/>
        </w:rPr>
        <w:t xml:space="preserve"> </w:t>
      </w:r>
      <w:r w:rsidR="00066206">
        <w:rPr>
          <w:rFonts w:ascii="Verdana" w:hAnsi="Verdana"/>
          <w:lang w:val="da-DK"/>
        </w:rPr>
        <w:t xml:space="preserve">at 0.1 mbar, 10 high tension (HT) for 10 seconds, and again inspected under the microscope. </w:t>
      </w:r>
      <w:r w:rsidR="00C5728D">
        <w:rPr>
          <w:rFonts w:ascii="Verdana" w:hAnsi="Verdana"/>
          <w:lang w:val="da-DK"/>
        </w:rPr>
        <w:t xml:space="preserve">To increase contrast to allow for imaging of very small proteins, </w:t>
      </w:r>
      <w:r w:rsidR="00EB7CFA">
        <w:rPr>
          <w:rFonts w:ascii="Verdana" w:hAnsi="Verdana"/>
          <w:lang w:val="da-DK"/>
        </w:rPr>
        <w:t xml:space="preserve">we stained the samples with depleted uranium. Briefly, under a chemical hood, </w:t>
      </w:r>
      <w:r w:rsidR="00FC1583">
        <w:rPr>
          <w:rFonts w:ascii="Verdana" w:hAnsi="Verdana"/>
          <w:lang w:val="da-DK"/>
        </w:rPr>
        <w:t>we loaded 2</w:t>
      </w:r>
      <w:r w:rsidR="00FC1583" w:rsidRPr="00FC1583">
        <w:rPr>
          <w:rFonts w:ascii="Verdana" w:hAnsi="Verdana" w:cs="Calibri"/>
          <w:lang w:val="da-DK"/>
        </w:rPr>
        <w:t>µ</w:t>
      </w:r>
      <w:r w:rsidR="00FC1583">
        <w:rPr>
          <w:rFonts w:ascii="Verdana" w:hAnsi="Verdana"/>
          <w:lang w:val="da-DK"/>
        </w:rPr>
        <w:t xml:space="preserve">l of sample </w:t>
      </w:r>
      <w:r w:rsidR="00BC1192">
        <w:rPr>
          <w:rFonts w:ascii="Verdana" w:hAnsi="Verdana"/>
          <w:lang w:val="da-DK"/>
        </w:rPr>
        <w:t xml:space="preserve">onto an imaging disk, waited for 1min and then blot off the excess on Whitman </w:t>
      </w:r>
      <w:r w:rsidR="00902E54">
        <w:rPr>
          <w:rFonts w:ascii="Verdana" w:hAnsi="Verdana"/>
          <w:lang w:val="da-DK"/>
        </w:rPr>
        <w:t xml:space="preserve">filter </w:t>
      </w:r>
      <w:r w:rsidR="00BC1192">
        <w:rPr>
          <w:rFonts w:ascii="Verdana" w:hAnsi="Verdana"/>
          <w:lang w:val="da-DK"/>
        </w:rPr>
        <w:t xml:space="preserve">paper. </w:t>
      </w:r>
      <w:r w:rsidR="001D5A30">
        <w:rPr>
          <w:rFonts w:ascii="Verdana" w:hAnsi="Verdana"/>
          <w:lang w:val="da-DK"/>
        </w:rPr>
        <w:t xml:space="preserve">Next, we dipped the disk in </w:t>
      </w:r>
      <w:r w:rsidR="00211890">
        <w:rPr>
          <w:rFonts w:ascii="Verdana" w:hAnsi="Verdana"/>
          <w:lang w:val="da-DK"/>
        </w:rPr>
        <w:t>sterile purified</w:t>
      </w:r>
      <w:r w:rsidR="001D5A30">
        <w:rPr>
          <w:rFonts w:ascii="Verdana" w:hAnsi="Verdana"/>
          <w:lang w:val="da-DK"/>
        </w:rPr>
        <w:t xml:space="preserve"> water</w:t>
      </w:r>
      <w:r w:rsidR="00211890">
        <w:rPr>
          <w:rFonts w:ascii="Verdana" w:hAnsi="Verdana"/>
          <w:lang w:val="da-DK"/>
        </w:rPr>
        <w:t xml:space="preserve"> (Millipore)</w:t>
      </w:r>
      <w:r w:rsidR="001D5A30">
        <w:rPr>
          <w:rFonts w:ascii="Verdana" w:hAnsi="Verdana"/>
          <w:lang w:val="da-DK"/>
        </w:rPr>
        <w:t xml:space="preserve"> and blot the excess on Whitman paper for three times. </w:t>
      </w:r>
      <w:r w:rsidR="00CB1F1C">
        <w:rPr>
          <w:rFonts w:ascii="Verdana" w:hAnsi="Verdana"/>
          <w:lang w:val="da-DK"/>
        </w:rPr>
        <w:t xml:space="preserve">Then, we dipped the disk in a drop of </w:t>
      </w:r>
      <w:r w:rsidR="00BC6FA0" w:rsidRPr="00BC6FA0">
        <w:rPr>
          <w:rFonts w:ascii="Verdana" w:hAnsi="Verdana"/>
          <w:lang w:val="da-DK"/>
        </w:rPr>
        <w:t xml:space="preserve">aqueous 2% uranyl acetate </w:t>
      </w:r>
      <w:r w:rsidR="00CB1F1C">
        <w:rPr>
          <w:rFonts w:ascii="Verdana" w:hAnsi="Verdana"/>
          <w:lang w:val="da-DK"/>
        </w:rPr>
        <w:t xml:space="preserve">and left incubating for 20sec. </w:t>
      </w:r>
      <w:r w:rsidR="000C5E3B">
        <w:rPr>
          <w:rFonts w:ascii="Verdana" w:hAnsi="Verdana"/>
          <w:lang w:val="da-DK"/>
        </w:rPr>
        <w:t>We blot</w:t>
      </w:r>
      <w:r w:rsidR="00317FC7">
        <w:rPr>
          <w:rFonts w:ascii="Verdana" w:hAnsi="Verdana"/>
          <w:lang w:val="da-DK"/>
        </w:rPr>
        <w:t>ted</w:t>
      </w:r>
      <w:r w:rsidR="000C5E3B">
        <w:rPr>
          <w:rFonts w:ascii="Verdana" w:hAnsi="Verdana"/>
          <w:lang w:val="da-DK"/>
        </w:rPr>
        <w:t xml:space="preserve"> off the excess on paper</w:t>
      </w:r>
      <w:r w:rsidR="00FF6E3A">
        <w:rPr>
          <w:rFonts w:ascii="Verdana" w:hAnsi="Verdana"/>
          <w:lang w:val="da-DK"/>
        </w:rPr>
        <w:t>, let the grid dry,</w:t>
      </w:r>
      <w:r w:rsidR="000C5E3B">
        <w:rPr>
          <w:rFonts w:ascii="Verdana" w:hAnsi="Verdana"/>
          <w:lang w:val="da-DK"/>
        </w:rPr>
        <w:t xml:space="preserve"> and washed once in mQ water.</w:t>
      </w:r>
      <w:r w:rsidR="00007B54">
        <w:rPr>
          <w:rFonts w:ascii="Verdana" w:hAnsi="Verdana"/>
          <w:lang w:val="da-DK"/>
        </w:rPr>
        <w:t xml:space="preserve"> Then, we let the disks dry</w:t>
      </w:r>
      <w:r w:rsidR="000F1FB6">
        <w:rPr>
          <w:rFonts w:ascii="Verdana" w:hAnsi="Verdana"/>
          <w:lang w:val="da-DK"/>
        </w:rPr>
        <w:t xml:space="preserve"> before image acquisition. Images were acquired with a</w:t>
      </w:r>
      <w:r w:rsidR="00E554C8">
        <w:rPr>
          <w:rFonts w:ascii="Verdana" w:hAnsi="Verdana"/>
          <w:lang w:val="da-DK"/>
        </w:rPr>
        <w:t xml:space="preserve"> </w:t>
      </w:r>
      <w:r w:rsidR="00E554C8" w:rsidRPr="00E554C8">
        <w:rPr>
          <w:rFonts w:ascii="Verdana" w:hAnsi="Verdana"/>
          <w:lang w:val="da-DK"/>
        </w:rPr>
        <w:t>Scanning Electron Microscope (Zeiss GeminiSEM 300) using an accelerating voltage of 20Kv.</w:t>
      </w:r>
    </w:p>
    <w:p w14:paraId="65D81927" w14:textId="2E49EBCC" w:rsidR="00D8526B" w:rsidRDefault="00D8526B" w:rsidP="00920BE0">
      <w:pPr>
        <w:spacing w:line="360" w:lineRule="auto"/>
        <w:jc w:val="both"/>
        <w:rPr>
          <w:rFonts w:ascii="Verdana" w:hAnsi="Verdana"/>
          <w:lang w:val="da-DK"/>
        </w:rPr>
      </w:pPr>
    </w:p>
    <w:p w14:paraId="64E7C9E6" w14:textId="77777777" w:rsidR="00D8526B" w:rsidRPr="00920BE0" w:rsidRDefault="00D8526B" w:rsidP="00920BE0">
      <w:pPr>
        <w:spacing w:line="360" w:lineRule="auto"/>
        <w:jc w:val="both"/>
        <w:rPr>
          <w:rFonts w:ascii="Verdana" w:hAnsi="Verdana"/>
          <w:lang w:val="da-DK"/>
        </w:rPr>
      </w:pPr>
    </w:p>
    <w:p w14:paraId="3A28E107" w14:textId="77777777" w:rsidR="00BE59D3" w:rsidRPr="00BE59D3" w:rsidRDefault="00BE59D3" w:rsidP="00BE59D3">
      <w:pPr>
        <w:spacing w:line="360" w:lineRule="auto"/>
        <w:jc w:val="both"/>
        <w:rPr>
          <w:rFonts w:ascii="Verdana" w:hAnsi="Verdana"/>
          <w:lang w:val="en-GB"/>
        </w:rPr>
      </w:pPr>
    </w:p>
    <w:p w14:paraId="4D4DAF85" w14:textId="77777777" w:rsidR="00BE59D3" w:rsidRPr="00BE59D3" w:rsidRDefault="00BE59D3" w:rsidP="00BE59D3">
      <w:pPr>
        <w:spacing w:line="360" w:lineRule="auto"/>
        <w:jc w:val="both"/>
        <w:rPr>
          <w:rFonts w:ascii="Verdana" w:hAnsi="Verdana"/>
          <w:lang w:val="en-GB"/>
        </w:rPr>
      </w:pPr>
      <w:r w:rsidRPr="00BE59D3">
        <w:rPr>
          <w:rFonts w:ascii="Verdana" w:hAnsi="Verdana"/>
          <w:lang w:val="en-GB"/>
        </w:rPr>
        <w:br w:type="page"/>
      </w:r>
    </w:p>
    <w:p w14:paraId="3879EBC4" w14:textId="77777777" w:rsidR="00144B4B" w:rsidRDefault="00144B4B" w:rsidP="00BE59D3">
      <w:pPr>
        <w:spacing w:line="360" w:lineRule="auto"/>
        <w:jc w:val="both"/>
        <w:rPr>
          <w:rFonts w:ascii="Verdana" w:hAnsi="Verdana"/>
          <w:b/>
          <w:sz w:val="24"/>
          <w:szCs w:val="24"/>
          <w:lang w:val="en-GB"/>
        </w:rPr>
      </w:pPr>
    </w:p>
    <w:p w14:paraId="6AE8E8A0" w14:textId="77777777" w:rsidR="00144B4B" w:rsidRDefault="00144B4B" w:rsidP="00BE59D3">
      <w:pPr>
        <w:spacing w:line="360" w:lineRule="auto"/>
        <w:jc w:val="both"/>
        <w:rPr>
          <w:rFonts w:ascii="Verdana" w:hAnsi="Verdana"/>
          <w:b/>
          <w:sz w:val="24"/>
          <w:szCs w:val="24"/>
          <w:lang w:val="en-GB"/>
        </w:rPr>
      </w:pPr>
    </w:p>
    <w:p w14:paraId="6F2F54AE" w14:textId="77777777" w:rsidR="00144B4B" w:rsidRDefault="00144B4B" w:rsidP="00BE59D3">
      <w:pPr>
        <w:spacing w:line="360" w:lineRule="auto"/>
        <w:jc w:val="both"/>
        <w:rPr>
          <w:rFonts w:ascii="Verdana" w:hAnsi="Verdana"/>
          <w:b/>
          <w:sz w:val="24"/>
          <w:szCs w:val="24"/>
          <w:lang w:val="en-GB"/>
        </w:rPr>
      </w:pPr>
    </w:p>
    <w:p w14:paraId="2A905A66" w14:textId="77777777" w:rsidR="00144B4B" w:rsidRDefault="00144B4B" w:rsidP="00BE59D3">
      <w:pPr>
        <w:spacing w:line="360" w:lineRule="auto"/>
        <w:jc w:val="both"/>
        <w:rPr>
          <w:rFonts w:ascii="Verdana" w:hAnsi="Verdana"/>
          <w:b/>
          <w:sz w:val="24"/>
          <w:szCs w:val="24"/>
          <w:lang w:val="en-GB"/>
        </w:rPr>
      </w:pPr>
    </w:p>
    <w:p w14:paraId="403180EE" w14:textId="77777777" w:rsidR="00144B4B" w:rsidRDefault="00144B4B" w:rsidP="00BE59D3">
      <w:pPr>
        <w:spacing w:line="360" w:lineRule="auto"/>
        <w:jc w:val="both"/>
        <w:rPr>
          <w:rFonts w:ascii="Verdana" w:hAnsi="Verdana"/>
          <w:b/>
          <w:sz w:val="24"/>
          <w:szCs w:val="24"/>
          <w:lang w:val="en-GB"/>
        </w:rPr>
      </w:pPr>
    </w:p>
    <w:p w14:paraId="22F580E7" w14:textId="77777777" w:rsidR="00144B4B" w:rsidRDefault="00144B4B" w:rsidP="00BE59D3">
      <w:pPr>
        <w:spacing w:line="360" w:lineRule="auto"/>
        <w:jc w:val="both"/>
        <w:rPr>
          <w:rFonts w:ascii="Verdana" w:hAnsi="Verdana"/>
          <w:b/>
          <w:sz w:val="24"/>
          <w:szCs w:val="24"/>
          <w:lang w:val="en-GB"/>
        </w:rPr>
      </w:pPr>
    </w:p>
    <w:p w14:paraId="37D83038" w14:textId="77777777" w:rsidR="00144B4B" w:rsidRDefault="00144B4B" w:rsidP="00BE59D3">
      <w:pPr>
        <w:spacing w:line="360" w:lineRule="auto"/>
        <w:jc w:val="both"/>
        <w:rPr>
          <w:rFonts w:ascii="Verdana" w:hAnsi="Verdana"/>
          <w:b/>
          <w:sz w:val="24"/>
          <w:szCs w:val="24"/>
          <w:lang w:val="en-GB"/>
        </w:rPr>
      </w:pPr>
    </w:p>
    <w:p w14:paraId="38536353" w14:textId="6047D8E3" w:rsidR="00BE59D3" w:rsidRDefault="00BE59D3" w:rsidP="00D535A2">
      <w:pPr>
        <w:pStyle w:val="Heading2"/>
        <w:rPr>
          <w:lang w:val="en-GB"/>
        </w:rPr>
      </w:pPr>
      <w:bookmarkStart w:id="47" w:name="_Toc130223413"/>
      <w:r w:rsidRPr="00144B4B">
        <w:rPr>
          <w:lang w:val="en-GB"/>
        </w:rPr>
        <w:t>RNA</w:t>
      </w:r>
      <w:r w:rsidR="00752CE8">
        <w:rPr>
          <w:lang w:val="en-GB"/>
        </w:rPr>
        <w:t xml:space="preserve"> analysis</w:t>
      </w:r>
      <w:bookmarkEnd w:id="47"/>
    </w:p>
    <w:p w14:paraId="0C2F9915" w14:textId="77777777" w:rsidR="005B6126" w:rsidRPr="00144B4B" w:rsidRDefault="005B6126" w:rsidP="00BE59D3">
      <w:pPr>
        <w:spacing w:line="360" w:lineRule="auto"/>
        <w:jc w:val="both"/>
        <w:rPr>
          <w:rFonts w:ascii="Verdana" w:hAnsi="Verdana"/>
          <w:b/>
          <w:sz w:val="24"/>
          <w:szCs w:val="24"/>
          <w:lang w:val="en-GB"/>
        </w:rPr>
      </w:pPr>
    </w:p>
    <w:p w14:paraId="7216311B" w14:textId="77777777" w:rsidR="00BE59D3" w:rsidRPr="00144B4B" w:rsidRDefault="00BE59D3" w:rsidP="00767F9D">
      <w:pPr>
        <w:pStyle w:val="Heading3"/>
        <w:rPr>
          <w:lang w:val="en-GB"/>
        </w:rPr>
      </w:pPr>
      <w:bookmarkStart w:id="48" w:name="_Toc130223414"/>
      <w:r w:rsidRPr="00144B4B">
        <w:rPr>
          <w:lang w:val="en-GB"/>
        </w:rPr>
        <w:t>RNA extraction</w:t>
      </w:r>
      <w:bookmarkEnd w:id="48"/>
    </w:p>
    <w:p w14:paraId="21FEB1A5" w14:textId="1F016922" w:rsidR="00752CE8" w:rsidRDefault="00E25A31" w:rsidP="00BE59D3">
      <w:pPr>
        <w:spacing w:line="360" w:lineRule="auto"/>
        <w:jc w:val="both"/>
        <w:rPr>
          <w:rFonts w:ascii="Verdana" w:hAnsi="Verdana"/>
          <w:lang w:val="en-GB"/>
        </w:rPr>
      </w:pPr>
      <w:r>
        <w:rPr>
          <w:rFonts w:ascii="Verdana" w:hAnsi="Verdana"/>
          <w:lang w:val="en-GB"/>
        </w:rPr>
        <w:t>T</w:t>
      </w:r>
      <w:r w:rsidR="00BE59D3" w:rsidRPr="00BE59D3">
        <w:rPr>
          <w:rFonts w:ascii="Verdana" w:hAnsi="Verdana"/>
          <w:lang w:val="en-GB"/>
        </w:rPr>
        <w:t>he RNA</w:t>
      </w:r>
      <w:r>
        <w:rPr>
          <w:rFonts w:ascii="Verdana" w:hAnsi="Verdana"/>
          <w:lang w:val="en-GB"/>
        </w:rPr>
        <w:t xml:space="preserve"> was extracted</w:t>
      </w:r>
      <w:r w:rsidR="00BE59D3" w:rsidRPr="00BE59D3">
        <w:rPr>
          <w:rFonts w:ascii="Verdana" w:hAnsi="Verdana"/>
          <w:lang w:val="en-GB"/>
        </w:rPr>
        <w:t xml:space="preserve"> from the brain regions of interest using the RNeasy Plus Universal Mini kit (Qiagen) following the manufacturer’s instructions. The frozen samples were placed in ice cooled racks and were homogenized in a </w:t>
      </w:r>
      <w:proofErr w:type="spellStart"/>
      <w:r w:rsidR="00BE59D3" w:rsidRPr="00BE59D3">
        <w:rPr>
          <w:rFonts w:ascii="Verdana" w:hAnsi="Verdana"/>
          <w:lang w:val="en-GB"/>
        </w:rPr>
        <w:t>Retsch</w:t>
      </w:r>
      <w:proofErr w:type="spellEnd"/>
      <w:r w:rsidR="00BE59D3" w:rsidRPr="00BE59D3">
        <w:rPr>
          <w:rFonts w:ascii="Verdana" w:hAnsi="Verdana"/>
          <w:lang w:val="en-GB"/>
        </w:rPr>
        <w:t xml:space="preserve"> Mixer Mill MM400 at 20Hz for 2 minutes using three 5mm steel balls pre-cooled at -20</w:t>
      </w:r>
      <w:r w:rsidR="00BE59D3" w:rsidRPr="00BE59D3">
        <w:rPr>
          <w:rFonts w:ascii="Verdana" w:hAnsi="Verdana" w:cstheme="minorHAnsi"/>
          <w:lang w:val="en-GB"/>
        </w:rPr>
        <w:t>°</w:t>
      </w:r>
      <w:r w:rsidR="00BE59D3" w:rsidRPr="00BE59D3">
        <w:rPr>
          <w:rFonts w:ascii="Verdana" w:hAnsi="Verdana"/>
          <w:lang w:val="en-GB"/>
        </w:rPr>
        <w:t>C and 900</w:t>
      </w:r>
      <w:r w:rsidR="00BE59D3" w:rsidRPr="00BE59D3">
        <w:rPr>
          <w:rFonts w:ascii="Verdana" w:hAnsi="Verdana" w:cstheme="minorHAnsi"/>
          <w:lang w:val="en-GB"/>
        </w:rPr>
        <w:t>µ</w:t>
      </w:r>
      <w:r w:rsidR="00BE59D3" w:rsidRPr="00BE59D3">
        <w:rPr>
          <w:rFonts w:ascii="Verdana" w:hAnsi="Verdana"/>
          <w:lang w:val="en-GB"/>
        </w:rPr>
        <w:t xml:space="preserve">l of </w:t>
      </w:r>
      <w:proofErr w:type="spellStart"/>
      <w:r w:rsidR="00BE59D3" w:rsidRPr="00BE59D3">
        <w:rPr>
          <w:rFonts w:ascii="Verdana" w:hAnsi="Verdana"/>
          <w:lang w:val="en-GB"/>
        </w:rPr>
        <w:t>QIAzol</w:t>
      </w:r>
      <w:proofErr w:type="spellEnd"/>
      <w:r w:rsidR="00BE59D3" w:rsidRPr="00BE59D3">
        <w:rPr>
          <w:rFonts w:ascii="Verdana" w:hAnsi="Verdana"/>
          <w:lang w:val="en-GB"/>
        </w:rPr>
        <w:t xml:space="preserve"> lysis buffer (Qiagen). After homogenisation, the samples were let at room temperature for 5 minutes to allow the foam to disappear, then they were transferred in new RNase clean 1.5ml tubes. 100</w:t>
      </w:r>
      <w:r w:rsidR="00BE59D3" w:rsidRPr="00BE59D3">
        <w:rPr>
          <w:rFonts w:ascii="Verdana" w:hAnsi="Verdana" w:cstheme="minorHAnsi"/>
          <w:lang w:val="en-GB"/>
        </w:rPr>
        <w:t>µ</w:t>
      </w:r>
      <w:r w:rsidR="00BE59D3" w:rsidRPr="00BE59D3">
        <w:rPr>
          <w:rFonts w:ascii="Verdana" w:hAnsi="Verdana"/>
          <w:lang w:val="en-GB"/>
        </w:rPr>
        <w:t>l of gDNA eliminator solution were added, and the samples were vigorously shaken for 15 seconds. Subsequently, 180</w:t>
      </w:r>
      <w:r w:rsidR="00BE59D3" w:rsidRPr="00BE59D3">
        <w:rPr>
          <w:rFonts w:ascii="Verdana" w:hAnsi="Verdana" w:cstheme="minorHAnsi"/>
          <w:lang w:val="en-GB"/>
        </w:rPr>
        <w:t>µ</w:t>
      </w:r>
      <w:r w:rsidR="00BE59D3" w:rsidRPr="00BE59D3">
        <w:rPr>
          <w:rFonts w:ascii="Verdana" w:hAnsi="Verdana"/>
          <w:lang w:val="en-GB"/>
        </w:rPr>
        <w:t>l of chloroform were added, and the samples were once again shaken for 15 seconds. Homogenates were left at RT for 3 minutes, and then centrifuged at 12,000g for 15 minutes at 4</w:t>
      </w:r>
      <w:r w:rsidR="00BE59D3" w:rsidRPr="00BE59D3">
        <w:rPr>
          <w:rFonts w:ascii="Verdana" w:hAnsi="Verdana" w:cstheme="minorHAnsi"/>
          <w:lang w:val="en-GB"/>
        </w:rPr>
        <w:t>°</w:t>
      </w:r>
      <w:r w:rsidR="00BE59D3" w:rsidRPr="00BE59D3">
        <w:rPr>
          <w:rFonts w:ascii="Verdana" w:hAnsi="Verdana"/>
          <w:lang w:val="en-GB"/>
        </w:rPr>
        <w:t xml:space="preserve">C. After centrifugation, the upper aqueous phase was collected into a new 1.5ml RNase clean tube, and an equal volume of </w:t>
      </w:r>
      <w:r w:rsidR="00581859">
        <w:rPr>
          <w:rFonts w:ascii="Verdana" w:hAnsi="Verdana"/>
          <w:lang w:val="en-GB"/>
        </w:rPr>
        <w:t xml:space="preserve">70% </w:t>
      </w:r>
      <w:r w:rsidR="00BE59D3" w:rsidRPr="00BE59D3">
        <w:rPr>
          <w:rFonts w:ascii="Verdana" w:hAnsi="Verdana"/>
          <w:lang w:val="en-GB"/>
        </w:rPr>
        <w:t>ethanol was added. The samples were gently mixed by pipetting, and 500</w:t>
      </w:r>
      <w:r w:rsidR="00BE59D3" w:rsidRPr="00BE59D3">
        <w:rPr>
          <w:rFonts w:ascii="Verdana" w:hAnsi="Verdana" w:cstheme="minorHAnsi"/>
          <w:lang w:val="en-GB"/>
        </w:rPr>
        <w:t>µ</w:t>
      </w:r>
      <w:r w:rsidR="00BE59D3" w:rsidRPr="00BE59D3">
        <w:rPr>
          <w:rFonts w:ascii="Verdana" w:hAnsi="Verdana"/>
          <w:lang w:val="en-GB"/>
        </w:rPr>
        <w:t>l were added to a RNeasy mini spin column and centrifuged at 8,000g for 30 seconds at RT. The flow-through was discarded, and the previous step was repeated with the remaining of the samples. Afterwards, 700</w:t>
      </w:r>
      <w:r w:rsidR="00BE59D3" w:rsidRPr="00BE59D3">
        <w:rPr>
          <w:rFonts w:ascii="Verdana" w:hAnsi="Verdana" w:cstheme="minorHAnsi"/>
          <w:lang w:val="en-GB"/>
        </w:rPr>
        <w:t>µ</w:t>
      </w:r>
      <w:r w:rsidR="00BE59D3" w:rsidRPr="00BE59D3">
        <w:rPr>
          <w:rFonts w:ascii="Verdana" w:hAnsi="Verdana"/>
          <w:lang w:val="en-GB"/>
        </w:rPr>
        <w:t xml:space="preserve">l of RWT buffer were added, and the columns were spun at 8,000g for 30 seconds. The flow-through was discarded, </w:t>
      </w:r>
      <w:r w:rsidR="00DF3E00">
        <w:rPr>
          <w:rFonts w:ascii="Verdana" w:hAnsi="Verdana"/>
          <w:lang w:val="en-GB"/>
        </w:rPr>
        <w:t xml:space="preserve">and the centrifugation was repeated using </w:t>
      </w:r>
      <w:r w:rsidR="00BE59D3" w:rsidRPr="00BE59D3">
        <w:rPr>
          <w:rFonts w:ascii="Verdana" w:hAnsi="Verdana"/>
          <w:lang w:val="en-GB"/>
        </w:rPr>
        <w:t>500</w:t>
      </w:r>
      <w:r w:rsidR="00BE59D3" w:rsidRPr="00BE59D3">
        <w:rPr>
          <w:rFonts w:ascii="Verdana" w:hAnsi="Verdana" w:cstheme="minorHAnsi"/>
          <w:lang w:val="en-GB"/>
        </w:rPr>
        <w:t>µ</w:t>
      </w:r>
      <w:r w:rsidR="00BE59D3" w:rsidRPr="00BE59D3">
        <w:rPr>
          <w:rFonts w:ascii="Verdana" w:hAnsi="Verdana"/>
          <w:lang w:val="en-GB"/>
        </w:rPr>
        <w:t>l of RPE buffe</w:t>
      </w:r>
      <w:r w:rsidR="00DF3E00">
        <w:rPr>
          <w:rFonts w:ascii="Verdana" w:hAnsi="Verdana"/>
          <w:lang w:val="en-GB"/>
        </w:rPr>
        <w:t>r</w:t>
      </w:r>
      <w:r w:rsidR="00BE59D3" w:rsidRPr="00BE59D3">
        <w:rPr>
          <w:rFonts w:ascii="Verdana" w:hAnsi="Verdana"/>
          <w:lang w:val="en-GB"/>
        </w:rPr>
        <w:t>. The flow-through was again discarded. Another 500</w:t>
      </w:r>
      <w:r w:rsidR="00BE59D3" w:rsidRPr="00BE59D3">
        <w:rPr>
          <w:rFonts w:ascii="Verdana" w:hAnsi="Verdana" w:cstheme="minorHAnsi"/>
          <w:lang w:val="en-GB"/>
        </w:rPr>
        <w:t>µ</w:t>
      </w:r>
      <w:r w:rsidR="00BE59D3" w:rsidRPr="00BE59D3">
        <w:rPr>
          <w:rFonts w:ascii="Verdana" w:hAnsi="Verdana"/>
          <w:lang w:val="en-GB"/>
        </w:rPr>
        <w:t xml:space="preserve">l of RPE buffer were added, and the columns were </w:t>
      </w:r>
      <w:r w:rsidR="00BE59D3" w:rsidRPr="00BE59D3">
        <w:rPr>
          <w:rFonts w:ascii="Verdana" w:hAnsi="Verdana"/>
          <w:lang w:val="en-GB"/>
        </w:rPr>
        <w:lastRenderedPageBreak/>
        <w:t xml:space="preserve">centrifuged at 8,000g for 2 minutes at RT. </w:t>
      </w:r>
      <w:r w:rsidR="00B04AAB">
        <w:rPr>
          <w:rFonts w:ascii="Verdana" w:hAnsi="Verdana"/>
          <w:lang w:val="en-GB"/>
        </w:rPr>
        <w:t>Next</w:t>
      </w:r>
      <w:r w:rsidR="00BE59D3" w:rsidRPr="00BE59D3">
        <w:rPr>
          <w:rFonts w:ascii="Verdana" w:hAnsi="Verdana"/>
          <w:lang w:val="en-GB"/>
        </w:rPr>
        <w:t>, the columns were transferred to a new collection tube and spun for 1 minute at maximum speed. Finally, the columns were placed into new 1.5ml RNase-free tubes, and the RNA was eluted with 50</w:t>
      </w:r>
      <w:r w:rsidR="00BE59D3" w:rsidRPr="00BE59D3">
        <w:rPr>
          <w:rFonts w:ascii="Verdana" w:hAnsi="Verdana" w:cstheme="minorHAnsi"/>
          <w:lang w:val="en-GB"/>
        </w:rPr>
        <w:t>µ</w:t>
      </w:r>
      <w:r w:rsidR="00BE59D3" w:rsidRPr="00BE59D3">
        <w:rPr>
          <w:rFonts w:ascii="Verdana" w:hAnsi="Verdana"/>
          <w:lang w:val="en-GB"/>
        </w:rPr>
        <w:t xml:space="preserve">l of RNase-free water by centrifugation at 8,000g for 1 minute. </w:t>
      </w:r>
    </w:p>
    <w:p w14:paraId="787B69A1" w14:textId="4E172113" w:rsidR="00BE59D3" w:rsidRPr="00BE59D3" w:rsidRDefault="00BE59D3" w:rsidP="00BE59D3">
      <w:pPr>
        <w:spacing w:line="360" w:lineRule="auto"/>
        <w:jc w:val="both"/>
        <w:rPr>
          <w:rFonts w:ascii="Verdana" w:hAnsi="Verdana"/>
          <w:lang w:val="en-GB"/>
        </w:rPr>
      </w:pPr>
      <w:r w:rsidRPr="00BE59D3">
        <w:rPr>
          <w:rFonts w:ascii="Verdana" w:hAnsi="Verdana"/>
          <w:lang w:val="en-GB"/>
        </w:rPr>
        <w:t>The RNA samples were kept on ice for immediate use or stored at -80</w:t>
      </w:r>
      <w:r w:rsidRPr="00BE59D3">
        <w:rPr>
          <w:rFonts w:ascii="Verdana" w:hAnsi="Verdana" w:cstheme="minorHAnsi"/>
          <w:lang w:val="en-GB"/>
        </w:rPr>
        <w:t>°</w:t>
      </w:r>
      <w:r w:rsidRPr="00BE59D3">
        <w:rPr>
          <w:rFonts w:ascii="Verdana" w:hAnsi="Verdana"/>
          <w:lang w:val="en-GB"/>
        </w:rPr>
        <w:t>C.</w:t>
      </w:r>
      <w:r w:rsidR="00752CE8">
        <w:rPr>
          <w:rFonts w:ascii="Verdana" w:hAnsi="Verdana"/>
          <w:lang w:val="en-GB"/>
        </w:rPr>
        <w:t xml:space="preserve"> </w:t>
      </w:r>
      <w:r w:rsidRPr="00BE59D3">
        <w:rPr>
          <w:rFonts w:ascii="Verdana" w:hAnsi="Verdana"/>
          <w:lang w:val="en-GB"/>
        </w:rPr>
        <w:t xml:space="preserve">The purity and quality of the RNA was assessed using the </w:t>
      </w:r>
      <w:proofErr w:type="spellStart"/>
      <w:r w:rsidRPr="00BE59D3">
        <w:rPr>
          <w:rFonts w:ascii="Verdana" w:hAnsi="Verdana"/>
          <w:lang w:val="en-GB"/>
        </w:rPr>
        <w:t>NanoDrop</w:t>
      </w:r>
      <w:r w:rsidRPr="00BE59D3">
        <w:rPr>
          <w:rFonts w:ascii="Verdana" w:hAnsi="Verdana"/>
          <w:vertAlign w:val="superscript"/>
          <w:lang w:val="en-GB"/>
        </w:rPr>
        <w:t>TM</w:t>
      </w:r>
      <w:proofErr w:type="spellEnd"/>
      <w:r w:rsidRPr="00BE59D3">
        <w:rPr>
          <w:rFonts w:ascii="Verdana" w:hAnsi="Verdana"/>
          <w:lang w:val="en-GB"/>
        </w:rPr>
        <w:t xml:space="preserve"> 2000 (</w:t>
      </w:r>
      <w:proofErr w:type="spellStart"/>
      <w:r w:rsidRPr="00BE59D3">
        <w:rPr>
          <w:rFonts w:ascii="Verdana" w:hAnsi="Verdana"/>
          <w:lang w:val="en-GB"/>
        </w:rPr>
        <w:t>ThermoFischer</w:t>
      </w:r>
      <w:proofErr w:type="spellEnd"/>
      <w:r w:rsidRPr="00BE59D3">
        <w:rPr>
          <w:rFonts w:ascii="Verdana" w:hAnsi="Verdana"/>
          <w:lang w:val="en-GB"/>
        </w:rPr>
        <w:t xml:space="preserve"> Scientific) and the Agilent 2100 Bioanalyzer.</w:t>
      </w:r>
    </w:p>
    <w:p w14:paraId="31904551" w14:textId="77777777" w:rsidR="00BE59D3" w:rsidRPr="00BE59D3" w:rsidRDefault="00BE59D3" w:rsidP="00BE59D3">
      <w:pPr>
        <w:spacing w:line="360" w:lineRule="auto"/>
        <w:jc w:val="both"/>
        <w:rPr>
          <w:rFonts w:ascii="Verdana" w:hAnsi="Verdana"/>
          <w:lang w:val="en-GB"/>
        </w:rPr>
      </w:pPr>
    </w:p>
    <w:p w14:paraId="06C009C6" w14:textId="77777777" w:rsidR="00BE59D3" w:rsidRPr="005C360F" w:rsidRDefault="00BE59D3" w:rsidP="00767F9D">
      <w:pPr>
        <w:pStyle w:val="Heading3"/>
        <w:rPr>
          <w:lang w:val="en-GB"/>
        </w:rPr>
      </w:pPr>
      <w:bookmarkStart w:id="49" w:name="_Toc130223415"/>
      <w:r w:rsidRPr="005C360F">
        <w:rPr>
          <w:lang w:val="en-GB"/>
        </w:rPr>
        <w:t>RT-qPCR</w:t>
      </w:r>
      <w:bookmarkEnd w:id="49"/>
    </w:p>
    <w:p w14:paraId="1043A023" w14:textId="14CB748E" w:rsidR="00BE59D3" w:rsidRPr="00BE59D3" w:rsidRDefault="00BE59D3" w:rsidP="00BE59D3">
      <w:pPr>
        <w:spacing w:line="360" w:lineRule="auto"/>
        <w:jc w:val="both"/>
        <w:rPr>
          <w:rFonts w:ascii="Verdana" w:hAnsi="Verdana"/>
          <w:lang w:val="en-GB"/>
        </w:rPr>
      </w:pPr>
      <w:r w:rsidRPr="00BE59D3">
        <w:rPr>
          <w:rFonts w:ascii="Verdana" w:hAnsi="Verdana"/>
          <w:lang w:val="en-GB"/>
        </w:rPr>
        <w:t xml:space="preserve">The RNA was retro-transcribed to cDNA using the </w:t>
      </w:r>
      <w:proofErr w:type="spellStart"/>
      <w:r w:rsidRPr="00BE59D3">
        <w:rPr>
          <w:rFonts w:ascii="Verdana" w:hAnsi="Verdana"/>
          <w:lang w:val="en-GB"/>
        </w:rPr>
        <w:t>SuperScript</w:t>
      </w:r>
      <w:r w:rsidRPr="00BE59D3">
        <w:rPr>
          <w:rFonts w:ascii="Verdana" w:hAnsi="Verdana"/>
          <w:vertAlign w:val="superscript"/>
          <w:lang w:val="en-GB"/>
        </w:rPr>
        <w:t>TM</w:t>
      </w:r>
      <w:proofErr w:type="spellEnd"/>
      <w:r w:rsidRPr="00BE59D3">
        <w:rPr>
          <w:rFonts w:ascii="Verdana" w:hAnsi="Verdana"/>
          <w:lang w:val="en-GB"/>
        </w:rPr>
        <w:t xml:space="preserve"> III RT reverse transcriptase (Invitrogen). A mix of 1</w:t>
      </w:r>
      <w:r w:rsidRPr="00BE59D3">
        <w:rPr>
          <w:rFonts w:ascii="Verdana" w:hAnsi="Verdana" w:cstheme="minorHAnsi"/>
          <w:lang w:val="en-GB"/>
        </w:rPr>
        <w:t>µ</w:t>
      </w:r>
      <w:r w:rsidRPr="00BE59D3">
        <w:rPr>
          <w:rFonts w:ascii="Verdana" w:hAnsi="Verdana"/>
          <w:lang w:val="en-GB"/>
        </w:rPr>
        <w:t>g RNA, 1μL of oligo (dT) 20 (50μM), 1μL of 10mM dNTP mix and nuclease-free water up to a volume of 13</w:t>
      </w:r>
      <w:r w:rsidRPr="00BE59D3">
        <w:rPr>
          <w:rFonts w:ascii="Verdana" w:hAnsi="Verdana" w:cstheme="minorHAnsi"/>
          <w:lang w:val="en-GB"/>
        </w:rPr>
        <w:t>µ</w:t>
      </w:r>
      <w:r w:rsidRPr="00BE59D3">
        <w:rPr>
          <w:rFonts w:ascii="Verdana" w:hAnsi="Verdana"/>
          <w:lang w:val="en-GB"/>
        </w:rPr>
        <w:t>l was prepared on ice. The mixture was briefly spun down and heated at 65</w:t>
      </w:r>
      <w:r w:rsidRPr="00BE59D3">
        <w:rPr>
          <w:rFonts w:ascii="Verdana" w:hAnsi="Verdana" w:cstheme="minorHAnsi"/>
          <w:lang w:val="en-GB"/>
        </w:rPr>
        <w:t>°</w:t>
      </w:r>
      <w:r w:rsidRPr="00BE59D3">
        <w:rPr>
          <w:rFonts w:ascii="Verdana" w:hAnsi="Verdana"/>
          <w:lang w:val="en-GB"/>
        </w:rPr>
        <w:t>C for 5 minutes. After cooling on ice for at least 1 minute, 4</w:t>
      </w:r>
      <w:r w:rsidRPr="00BE59D3">
        <w:rPr>
          <w:rFonts w:ascii="Verdana" w:hAnsi="Verdana" w:cstheme="minorHAnsi"/>
          <w:lang w:val="en-GB"/>
        </w:rPr>
        <w:t>µ</w:t>
      </w:r>
      <w:r w:rsidRPr="00BE59D3">
        <w:rPr>
          <w:rFonts w:ascii="Verdana" w:hAnsi="Verdana"/>
          <w:lang w:val="en-GB"/>
        </w:rPr>
        <w:t>l of 5x First Strand buffer, 1</w:t>
      </w:r>
      <w:r w:rsidRPr="00BE59D3">
        <w:rPr>
          <w:rFonts w:ascii="Verdana" w:hAnsi="Verdana" w:cstheme="minorHAnsi"/>
          <w:lang w:val="en-GB"/>
        </w:rPr>
        <w:t>µ</w:t>
      </w:r>
      <w:r w:rsidRPr="00BE59D3">
        <w:rPr>
          <w:rFonts w:ascii="Verdana" w:hAnsi="Verdana"/>
          <w:lang w:val="en-GB"/>
        </w:rPr>
        <w:t>l of 0.1M DTT, 1</w:t>
      </w:r>
      <w:r w:rsidRPr="00BE59D3">
        <w:rPr>
          <w:rFonts w:ascii="Verdana" w:hAnsi="Verdana" w:cstheme="minorHAnsi"/>
          <w:lang w:val="en-GB"/>
        </w:rPr>
        <w:t>µ</w:t>
      </w:r>
      <w:r w:rsidRPr="00BE59D3">
        <w:rPr>
          <w:rFonts w:ascii="Verdana" w:hAnsi="Verdana"/>
          <w:lang w:val="en-GB"/>
        </w:rPr>
        <w:t>l of RNase OUT and 1</w:t>
      </w:r>
      <w:r w:rsidRPr="00BE59D3">
        <w:rPr>
          <w:rFonts w:ascii="Verdana" w:hAnsi="Verdana" w:cstheme="minorHAnsi"/>
          <w:lang w:val="en-GB"/>
        </w:rPr>
        <w:t>µ</w:t>
      </w:r>
      <w:r w:rsidRPr="00BE59D3">
        <w:rPr>
          <w:rFonts w:ascii="Verdana" w:hAnsi="Verdana"/>
          <w:lang w:val="en-GB"/>
        </w:rPr>
        <w:t>l of Superscript reverse transcriptase (200 U/</w:t>
      </w:r>
      <w:r w:rsidRPr="00BE59D3">
        <w:rPr>
          <w:rFonts w:ascii="Verdana" w:hAnsi="Verdana" w:cstheme="minorHAnsi"/>
          <w:lang w:val="en-GB"/>
        </w:rPr>
        <w:t>µ</w:t>
      </w:r>
      <w:r w:rsidRPr="00BE59D3">
        <w:rPr>
          <w:rFonts w:ascii="Verdana" w:hAnsi="Verdana"/>
          <w:lang w:val="en-GB"/>
        </w:rPr>
        <w:t xml:space="preserve">l) were added to the mix. The mixture was briefly </w:t>
      </w:r>
      <w:r w:rsidR="000A6781">
        <w:rPr>
          <w:rFonts w:ascii="Verdana" w:hAnsi="Verdana"/>
          <w:lang w:val="en-GB"/>
        </w:rPr>
        <w:t>centrifuged</w:t>
      </w:r>
      <w:r w:rsidRPr="00BE59D3">
        <w:rPr>
          <w:rFonts w:ascii="Verdana" w:hAnsi="Verdana"/>
          <w:lang w:val="en-GB"/>
        </w:rPr>
        <w:t xml:space="preserve"> and incubated at 50</w:t>
      </w:r>
      <w:r w:rsidRPr="00BE59D3">
        <w:rPr>
          <w:rFonts w:ascii="Verdana" w:hAnsi="Verdana" w:cstheme="minorHAnsi"/>
          <w:lang w:val="en-GB"/>
        </w:rPr>
        <w:t>°</w:t>
      </w:r>
      <w:r w:rsidRPr="00BE59D3">
        <w:rPr>
          <w:rFonts w:ascii="Verdana" w:hAnsi="Verdana"/>
          <w:lang w:val="en-GB"/>
        </w:rPr>
        <w:t xml:space="preserve">C for 1 hour, </w:t>
      </w:r>
      <w:r w:rsidR="000A6781">
        <w:rPr>
          <w:rFonts w:ascii="Verdana" w:hAnsi="Verdana"/>
          <w:lang w:val="en-GB"/>
        </w:rPr>
        <w:t xml:space="preserve">and then </w:t>
      </w:r>
      <w:r w:rsidRPr="00BE59D3">
        <w:rPr>
          <w:rFonts w:ascii="Verdana" w:hAnsi="Verdana"/>
          <w:lang w:val="en-GB"/>
        </w:rPr>
        <w:t>at 70</w:t>
      </w:r>
      <w:r w:rsidRPr="00BE59D3">
        <w:rPr>
          <w:rFonts w:ascii="Verdana" w:hAnsi="Verdana" w:cstheme="minorHAnsi"/>
          <w:lang w:val="en-GB"/>
        </w:rPr>
        <w:t>°</w:t>
      </w:r>
      <w:r w:rsidRPr="00BE59D3">
        <w:rPr>
          <w:rFonts w:ascii="Verdana" w:hAnsi="Verdana"/>
          <w:lang w:val="en-GB"/>
        </w:rPr>
        <w:t xml:space="preserve">C for </w:t>
      </w:r>
      <w:r w:rsidR="000A6781">
        <w:rPr>
          <w:rFonts w:ascii="Verdana" w:hAnsi="Verdana"/>
          <w:lang w:val="en-GB"/>
        </w:rPr>
        <w:t xml:space="preserve">15min. </w:t>
      </w:r>
      <w:r w:rsidRPr="00BE59D3">
        <w:rPr>
          <w:rFonts w:ascii="Verdana" w:hAnsi="Verdana"/>
          <w:lang w:val="en-GB"/>
        </w:rPr>
        <w:t>80</w:t>
      </w:r>
      <w:r w:rsidRPr="00BE59D3">
        <w:rPr>
          <w:rFonts w:ascii="Verdana" w:hAnsi="Verdana" w:cstheme="minorHAnsi"/>
          <w:lang w:val="en-GB"/>
        </w:rPr>
        <w:t>µ</w:t>
      </w:r>
      <w:r w:rsidRPr="00BE59D3">
        <w:rPr>
          <w:rFonts w:ascii="Verdana" w:hAnsi="Verdana"/>
          <w:lang w:val="en-GB"/>
        </w:rPr>
        <w:t>l of RNase-free water were added, and the cDNA samples were kept on ice for immediate use or stored at -20</w:t>
      </w:r>
      <w:r w:rsidRPr="00BE59D3">
        <w:rPr>
          <w:rFonts w:ascii="Verdana" w:hAnsi="Verdana" w:cstheme="minorHAnsi"/>
          <w:lang w:val="en-GB"/>
        </w:rPr>
        <w:t>°</w:t>
      </w:r>
      <w:r w:rsidRPr="00BE59D3">
        <w:rPr>
          <w:rFonts w:ascii="Verdana" w:hAnsi="Verdana"/>
          <w:lang w:val="en-GB"/>
        </w:rPr>
        <w:t>C.</w:t>
      </w:r>
    </w:p>
    <w:p w14:paraId="0D6322D4" w14:textId="31E32F25" w:rsidR="00BE59D3" w:rsidRDefault="00BE59D3" w:rsidP="007312BD">
      <w:pPr>
        <w:spacing w:line="360" w:lineRule="auto"/>
        <w:jc w:val="both"/>
        <w:rPr>
          <w:rFonts w:ascii="Verdana" w:hAnsi="Verdana"/>
        </w:rPr>
      </w:pPr>
      <w:r w:rsidRPr="00BE59D3">
        <w:rPr>
          <w:rFonts w:ascii="Verdana" w:hAnsi="Verdana"/>
          <w:lang w:val="en-GB"/>
        </w:rPr>
        <w:t xml:space="preserve">The Real Time (RT)-qPCR was performed using a </w:t>
      </w:r>
      <w:proofErr w:type="spellStart"/>
      <w:r w:rsidRPr="00BE59D3">
        <w:rPr>
          <w:rFonts w:ascii="Verdana" w:hAnsi="Verdana"/>
          <w:lang w:val="en-GB"/>
        </w:rPr>
        <w:t>LightCycler</w:t>
      </w:r>
      <w:proofErr w:type="spellEnd"/>
      <w:r w:rsidRPr="00BE59D3">
        <w:rPr>
          <w:rFonts w:ascii="Verdana" w:hAnsi="Verdana"/>
          <w:lang w:val="en-GB"/>
        </w:rPr>
        <w:t xml:space="preserve">® 480 II (Roche). Briefly, a reaction mix was prepared using 1X </w:t>
      </w:r>
      <w:proofErr w:type="spellStart"/>
      <w:r w:rsidRPr="00BE59D3">
        <w:rPr>
          <w:rFonts w:ascii="Verdana" w:hAnsi="Verdana"/>
          <w:lang w:val="en-GB"/>
        </w:rPr>
        <w:t>iQ</w:t>
      </w:r>
      <w:r w:rsidRPr="00BE59D3">
        <w:rPr>
          <w:rFonts w:ascii="Verdana" w:hAnsi="Verdana"/>
          <w:vertAlign w:val="superscript"/>
          <w:lang w:val="en-GB"/>
        </w:rPr>
        <w:t>TM</w:t>
      </w:r>
      <w:proofErr w:type="spellEnd"/>
      <w:r w:rsidRPr="00BE59D3">
        <w:rPr>
          <w:rFonts w:ascii="Verdana" w:hAnsi="Verdana"/>
          <w:vertAlign w:val="superscript"/>
          <w:lang w:val="en-GB"/>
        </w:rPr>
        <w:t xml:space="preserve"> </w:t>
      </w:r>
      <w:r w:rsidRPr="00BE59D3">
        <w:rPr>
          <w:rFonts w:ascii="Verdana" w:hAnsi="Verdana"/>
          <w:lang w:val="en-GB"/>
        </w:rPr>
        <w:t xml:space="preserve">SYBR® Green </w:t>
      </w:r>
      <w:proofErr w:type="spellStart"/>
      <w:r w:rsidRPr="00BE59D3">
        <w:rPr>
          <w:rFonts w:ascii="Verdana" w:hAnsi="Verdana"/>
          <w:lang w:val="en-GB"/>
        </w:rPr>
        <w:t>Supermix</w:t>
      </w:r>
      <w:proofErr w:type="spellEnd"/>
      <w:r w:rsidRPr="00BE59D3">
        <w:rPr>
          <w:rFonts w:ascii="Verdana" w:hAnsi="Verdana"/>
          <w:lang w:val="en-GB"/>
        </w:rPr>
        <w:t xml:space="preserve"> (Bio-Rad), 10</w:t>
      </w:r>
      <w:r w:rsidRPr="00BE59D3">
        <w:rPr>
          <w:rFonts w:ascii="Verdana" w:hAnsi="Verdana" w:cstheme="minorHAnsi"/>
          <w:lang w:val="en-GB"/>
        </w:rPr>
        <w:t>µ</w:t>
      </w:r>
      <w:r w:rsidRPr="00BE59D3">
        <w:rPr>
          <w:rFonts w:ascii="Verdana" w:hAnsi="Verdana"/>
          <w:lang w:val="en-GB"/>
        </w:rPr>
        <w:t>M forward and reverse primers, 2</w:t>
      </w:r>
      <w:r w:rsidRPr="00BE59D3">
        <w:rPr>
          <w:rFonts w:ascii="Verdana" w:hAnsi="Verdana" w:cstheme="minorHAnsi"/>
          <w:lang w:val="en-GB"/>
        </w:rPr>
        <w:t>µ</w:t>
      </w:r>
      <w:r w:rsidRPr="00BE59D3">
        <w:rPr>
          <w:rFonts w:ascii="Verdana" w:hAnsi="Verdana"/>
          <w:lang w:val="en-GB"/>
        </w:rPr>
        <w:t>l of cDNA and PCR grade water up to a volume of 20</w:t>
      </w:r>
      <w:r w:rsidRPr="00BE59D3">
        <w:rPr>
          <w:rFonts w:ascii="Verdana" w:hAnsi="Verdana" w:cstheme="minorHAnsi"/>
          <w:lang w:val="en-GB"/>
        </w:rPr>
        <w:t>µ</w:t>
      </w:r>
      <w:r w:rsidRPr="00BE59D3">
        <w:rPr>
          <w:rFonts w:ascii="Verdana" w:hAnsi="Verdana"/>
          <w:lang w:val="en-GB"/>
        </w:rPr>
        <w:t>l. Each sample was run in duplicates using a protocol that included an initial denaturation at 95</w:t>
      </w:r>
      <w:r w:rsidRPr="00BE59D3">
        <w:rPr>
          <w:rFonts w:ascii="Verdana" w:hAnsi="Verdana" w:cstheme="minorHAnsi"/>
          <w:lang w:val="en-GB"/>
        </w:rPr>
        <w:t>°</w:t>
      </w:r>
      <w:r w:rsidRPr="00BE59D3">
        <w:rPr>
          <w:rFonts w:ascii="Verdana" w:hAnsi="Verdana"/>
          <w:lang w:val="en-GB"/>
        </w:rPr>
        <w:t xml:space="preserve">C for 3 minutes; and 40 cycles of a brief denaturation </w:t>
      </w:r>
      <w:r w:rsidR="007B07D4">
        <w:rPr>
          <w:rFonts w:ascii="Verdana" w:hAnsi="Verdana"/>
          <w:lang w:val="en-GB"/>
        </w:rPr>
        <w:t>(</w:t>
      </w:r>
      <w:r w:rsidRPr="00BE59D3">
        <w:rPr>
          <w:rFonts w:ascii="Verdana" w:hAnsi="Verdana"/>
          <w:lang w:val="en-GB"/>
        </w:rPr>
        <w:t>30 seconds at 95</w:t>
      </w:r>
      <w:r w:rsidRPr="00BE59D3">
        <w:rPr>
          <w:rFonts w:ascii="Verdana" w:hAnsi="Verdana" w:cstheme="minorHAnsi"/>
          <w:lang w:val="en-GB"/>
        </w:rPr>
        <w:t>°</w:t>
      </w:r>
      <w:r w:rsidRPr="00BE59D3">
        <w:rPr>
          <w:rFonts w:ascii="Verdana" w:hAnsi="Verdana"/>
          <w:lang w:val="en-GB"/>
        </w:rPr>
        <w:t>C</w:t>
      </w:r>
      <w:r w:rsidR="007B07D4">
        <w:rPr>
          <w:rFonts w:ascii="Verdana" w:hAnsi="Verdana"/>
          <w:lang w:val="en-GB"/>
        </w:rPr>
        <w:t>)</w:t>
      </w:r>
      <w:r w:rsidRPr="00BE59D3">
        <w:rPr>
          <w:rFonts w:ascii="Verdana" w:hAnsi="Verdana"/>
          <w:lang w:val="en-GB"/>
        </w:rPr>
        <w:t xml:space="preserve">, annealing </w:t>
      </w:r>
      <w:r w:rsidR="007B07D4">
        <w:rPr>
          <w:rFonts w:ascii="Verdana" w:hAnsi="Verdana"/>
          <w:lang w:val="en-GB"/>
        </w:rPr>
        <w:t>(</w:t>
      </w:r>
      <w:r w:rsidRPr="00BE59D3">
        <w:rPr>
          <w:rFonts w:ascii="Verdana" w:hAnsi="Verdana"/>
          <w:lang w:val="en-GB"/>
        </w:rPr>
        <w:t>30 seconds at 62</w:t>
      </w:r>
      <w:r w:rsidRPr="00BE59D3">
        <w:rPr>
          <w:rFonts w:ascii="Verdana" w:hAnsi="Verdana" w:cstheme="minorHAnsi"/>
          <w:lang w:val="en-GB"/>
        </w:rPr>
        <w:t>°</w:t>
      </w:r>
      <w:r w:rsidRPr="00BE59D3">
        <w:rPr>
          <w:rFonts w:ascii="Verdana" w:hAnsi="Verdana"/>
          <w:lang w:val="en-GB"/>
        </w:rPr>
        <w:t>C</w:t>
      </w:r>
      <w:r w:rsidR="007B07D4">
        <w:rPr>
          <w:rFonts w:ascii="Verdana" w:hAnsi="Verdana"/>
          <w:lang w:val="en-GB"/>
        </w:rPr>
        <w:t>)</w:t>
      </w:r>
      <w:r w:rsidRPr="00BE59D3">
        <w:rPr>
          <w:rFonts w:ascii="Verdana" w:hAnsi="Verdana"/>
          <w:lang w:val="en-GB"/>
        </w:rPr>
        <w:t>, an</w:t>
      </w:r>
      <w:r w:rsidR="007B07D4">
        <w:rPr>
          <w:rFonts w:ascii="Verdana" w:hAnsi="Verdana"/>
          <w:lang w:val="en-GB"/>
        </w:rPr>
        <w:t>d</w:t>
      </w:r>
      <w:r w:rsidRPr="00BE59D3">
        <w:rPr>
          <w:rFonts w:ascii="Verdana" w:hAnsi="Verdana"/>
          <w:lang w:val="en-GB"/>
        </w:rPr>
        <w:t xml:space="preserve"> elongation </w:t>
      </w:r>
      <w:r w:rsidR="007B07D4">
        <w:rPr>
          <w:rFonts w:ascii="Verdana" w:hAnsi="Verdana"/>
          <w:lang w:val="en-GB"/>
        </w:rPr>
        <w:t>(</w:t>
      </w:r>
      <w:r w:rsidRPr="00BE59D3">
        <w:rPr>
          <w:rFonts w:ascii="Verdana" w:hAnsi="Verdana"/>
          <w:lang w:val="en-GB"/>
        </w:rPr>
        <w:t>30 seconds at 72</w:t>
      </w:r>
      <w:r w:rsidRPr="00BE59D3">
        <w:rPr>
          <w:rFonts w:ascii="Verdana" w:hAnsi="Verdana" w:cstheme="minorHAnsi"/>
          <w:lang w:val="en-GB"/>
        </w:rPr>
        <w:t>°</w:t>
      </w:r>
      <w:r w:rsidRPr="00BE59D3">
        <w:rPr>
          <w:rFonts w:ascii="Verdana" w:hAnsi="Verdana"/>
          <w:lang w:val="en-GB"/>
        </w:rPr>
        <w:t>C</w:t>
      </w:r>
      <w:r w:rsidR="007B07D4">
        <w:rPr>
          <w:rFonts w:ascii="Verdana" w:hAnsi="Verdana"/>
          <w:lang w:val="en-GB"/>
        </w:rPr>
        <w:t>)</w:t>
      </w:r>
      <w:r w:rsidRPr="00BE59D3">
        <w:rPr>
          <w:rFonts w:ascii="Verdana" w:hAnsi="Verdana"/>
          <w:lang w:val="en-GB"/>
        </w:rPr>
        <w:t xml:space="preserve">. </w:t>
      </w:r>
      <w:r w:rsidRPr="00BE59D3">
        <w:rPr>
          <w:rFonts w:ascii="Verdana" w:hAnsi="Verdana"/>
        </w:rPr>
        <w:t xml:space="preserve">Fluorescent data acquisition was performed during the annealing step using the </w:t>
      </w:r>
      <w:proofErr w:type="spellStart"/>
      <w:r w:rsidRPr="00BE59D3">
        <w:rPr>
          <w:rFonts w:ascii="Verdana" w:hAnsi="Verdana"/>
        </w:rPr>
        <w:t>LightCycler</w:t>
      </w:r>
      <w:proofErr w:type="spellEnd"/>
      <w:r w:rsidRPr="00BE59D3">
        <w:rPr>
          <w:rFonts w:ascii="Verdana" w:hAnsi="Verdana"/>
        </w:rPr>
        <w:t>® 480 Software (version 1.5.0.39).</w:t>
      </w:r>
      <w:r w:rsidR="00743E7F">
        <w:rPr>
          <w:rFonts w:ascii="Verdana" w:hAnsi="Verdana"/>
        </w:rPr>
        <w:t xml:space="preserve"> </w:t>
      </w:r>
      <w:r w:rsidR="007312BD">
        <w:rPr>
          <w:rFonts w:ascii="Verdana" w:hAnsi="Verdana"/>
        </w:rPr>
        <w:t>GAPDH was used to normalize the expression values for each target gene (</w:t>
      </w:r>
      <w:proofErr w:type="spellStart"/>
      <w:r w:rsidR="007312BD" w:rsidRPr="00743E7F">
        <w:rPr>
          <w:rFonts w:ascii="Verdana" w:hAnsi="Verdana"/>
        </w:rPr>
        <w:t>ΔCt</w:t>
      </w:r>
      <w:proofErr w:type="spellEnd"/>
      <w:r w:rsidR="007312BD">
        <w:rPr>
          <w:rFonts w:ascii="Verdana" w:hAnsi="Verdana"/>
        </w:rPr>
        <w:t>),</w:t>
      </w:r>
      <w:r w:rsidR="00743E7F" w:rsidRPr="00743E7F">
        <w:rPr>
          <w:rFonts w:ascii="Verdana" w:hAnsi="Verdana"/>
        </w:rPr>
        <w:t xml:space="preserve"> and fold change in expression</w:t>
      </w:r>
      <w:r w:rsidR="007312BD">
        <w:rPr>
          <w:rFonts w:ascii="Verdana" w:hAnsi="Verdana"/>
        </w:rPr>
        <w:t xml:space="preserve"> was calculated as</w:t>
      </w:r>
      <w:r w:rsidR="00743E7F" w:rsidRPr="00743E7F">
        <w:rPr>
          <w:rFonts w:ascii="Verdana" w:hAnsi="Verdana"/>
        </w:rPr>
        <w:t xml:space="preserve"> 2</w:t>
      </w:r>
      <w:r w:rsidR="00743E7F">
        <w:rPr>
          <w:rFonts w:ascii="Verdana" w:hAnsi="Verdana"/>
        </w:rPr>
        <w:t>^(</w:t>
      </w:r>
      <w:r w:rsidR="00743E7F" w:rsidRPr="00743E7F">
        <w:rPr>
          <w:rFonts w:ascii="Verdana" w:hAnsi="Verdana"/>
        </w:rPr>
        <w:t>−</w:t>
      </w:r>
      <w:proofErr w:type="spellStart"/>
      <w:r w:rsidR="00743E7F" w:rsidRPr="00743E7F">
        <w:rPr>
          <w:rFonts w:ascii="Verdana" w:hAnsi="Verdana"/>
        </w:rPr>
        <w:t>ΔCt</w:t>
      </w:r>
      <w:proofErr w:type="spellEnd"/>
      <w:r w:rsidR="00743E7F" w:rsidRPr="00743E7F">
        <w:rPr>
          <w:rFonts w:ascii="Verdana" w:hAnsi="Verdana"/>
        </w:rPr>
        <w:t>).</w:t>
      </w:r>
    </w:p>
    <w:p w14:paraId="5907233A" w14:textId="3202FAA4" w:rsidR="00B10130" w:rsidRDefault="00B10130" w:rsidP="00591E74">
      <w:pPr>
        <w:spacing w:line="360" w:lineRule="auto"/>
        <w:jc w:val="both"/>
        <w:rPr>
          <w:rFonts w:ascii="Verdana" w:hAnsi="Verdana"/>
        </w:rPr>
      </w:pPr>
      <w:r>
        <w:rPr>
          <w:rFonts w:ascii="Verdana" w:hAnsi="Verdana"/>
        </w:rPr>
        <w:t xml:space="preserve">The following primers were used: </w:t>
      </w:r>
      <w:r w:rsidRPr="00B10130">
        <w:rPr>
          <w:rFonts w:ascii="Verdana" w:hAnsi="Verdana"/>
        </w:rPr>
        <w:t xml:space="preserve">murine </w:t>
      </w:r>
      <w:proofErr w:type="spellStart"/>
      <w:r w:rsidRPr="00293633">
        <w:rPr>
          <w:rFonts w:ascii="Verdana" w:hAnsi="Verdana"/>
          <w:i/>
          <w:iCs/>
        </w:rPr>
        <w:t>Snca</w:t>
      </w:r>
      <w:proofErr w:type="spellEnd"/>
      <w:r w:rsidRPr="00B10130">
        <w:rPr>
          <w:rFonts w:ascii="Verdana" w:hAnsi="Verdana"/>
        </w:rPr>
        <w:t xml:space="preserve"> (forward 5′- CGC-ACC-TCC-AAC-CAA-CCC-G-3′; reverse </w:t>
      </w:r>
      <w:r w:rsidR="00C50973">
        <w:rPr>
          <w:rFonts w:ascii="Verdana" w:hAnsi="Verdana"/>
        </w:rPr>
        <w:t xml:space="preserve">5’- </w:t>
      </w:r>
      <w:r w:rsidRPr="00B10130">
        <w:rPr>
          <w:rFonts w:ascii="Verdana" w:hAnsi="Verdana"/>
        </w:rPr>
        <w:t xml:space="preserve">TGA-TTT-GTC-AGC-GCC-TCT-CCC-3′), </w:t>
      </w:r>
      <w:r w:rsidR="00E65294" w:rsidRPr="00B10130">
        <w:rPr>
          <w:rFonts w:ascii="Verdana" w:hAnsi="Verdana"/>
        </w:rPr>
        <w:t xml:space="preserve">human </w:t>
      </w:r>
      <w:r w:rsidR="00E65294" w:rsidRPr="00293633">
        <w:rPr>
          <w:rFonts w:ascii="Verdana" w:hAnsi="Verdana"/>
          <w:i/>
          <w:iCs/>
        </w:rPr>
        <w:t>SNCA</w:t>
      </w:r>
      <w:r w:rsidR="00E65294" w:rsidRPr="00B10130">
        <w:rPr>
          <w:rFonts w:ascii="Verdana" w:hAnsi="Verdana"/>
        </w:rPr>
        <w:t xml:space="preserve"> (forward 5′- AAG-AGG</w:t>
      </w:r>
      <w:r w:rsidR="00E65294">
        <w:rPr>
          <w:rFonts w:ascii="Verdana" w:hAnsi="Verdana"/>
        </w:rPr>
        <w:t>-</w:t>
      </w:r>
      <w:r w:rsidR="00E65294" w:rsidRPr="00B10130">
        <w:rPr>
          <w:rFonts w:ascii="Verdana" w:hAnsi="Verdana"/>
        </w:rPr>
        <w:t>GTG-TTC-TCT-ATG-TAG-GC-3′; reverse</w:t>
      </w:r>
      <w:r w:rsidR="00C50973">
        <w:rPr>
          <w:rFonts w:ascii="Verdana" w:hAnsi="Verdana"/>
        </w:rPr>
        <w:t xml:space="preserve"> </w:t>
      </w:r>
      <w:r w:rsidR="00E65294" w:rsidRPr="00B10130">
        <w:rPr>
          <w:rFonts w:ascii="Verdana" w:hAnsi="Verdana"/>
        </w:rPr>
        <w:t xml:space="preserve">5′- </w:t>
      </w:r>
      <w:r w:rsidR="00E65294" w:rsidRPr="00B10130">
        <w:rPr>
          <w:rFonts w:ascii="Verdana" w:hAnsi="Verdana"/>
        </w:rPr>
        <w:lastRenderedPageBreak/>
        <w:t>GCT-CCT</w:t>
      </w:r>
      <w:r w:rsidR="00E65294">
        <w:rPr>
          <w:rFonts w:ascii="Verdana" w:hAnsi="Verdana"/>
        </w:rPr>
        <w:t>-</w:t>
      </w:r>
      <w:r w:rsidR="00E65294" w:rsidRPr="00B10130">
        <w:rPr>
          <w:rFonts w:ascii="Verdana" w:hAnsi="Verdana"/>
        </w:rPr>
        <w:t>CCA-ACA-TTT-GTC-ACT-T-3′),</w:t>
      </w:r>
      <w:r w:rsidR="00E65294">
        <w:rPr>
          <w:rFonts w:ascii="Verdana" w:hAnsi="Verdana"/>
        </w:rPr>
        <w:t xml:space="preserve"> </w:t>
      </w:r>
      <w:r w:rsidRPr="00B10130">
        <w:rPr>
          <w:rFonts w:ascii="Verdana" w:hAnsi="Verdana"/>
        </w:rPr>
        <w:t xml:space="preserve">total </w:t>
      </w:r>
      <w:r w:rsidR="00E65294" w:rsidRPr="00293633">
        <w:rPr>
          <w:rFonts w:ascii="Verdana" w:hAnsi="Verdana"/>
          <w:i/>
          <w:iCs/>
        </w:rPr>
        <w:t>SNCA</w:t>
      </w:r>
      <w:r w:rsidRPr="00B10130">
        <w:rPr>
          <w:rFonts w:ascii="Verdana" w:hAnsi="Verdana"/>
        </w:rPr>
        <w:t xml:space="preserve"> (forward 5′- GAT-CCT-GGC-AGT-GAG-GCT-TA-3′; reverse 5′- GCT-TCA-GGC-TCA-TAG-TCT-TGG-3′)</w:t>
      </w:r>
      <w:r w:rsidR="00591E74">
        <w:rPr>
          <w:rFonts w:ascii="Verdana" w:hAnsi="Verdana"/>
        </w:rPr>
        <w:t xml:space="preserve">, </w:t>
      </w:r>
      <w:r w:rsidRPr="00B10130">
        <w:rPr>
          <w:rFonts w:ascii="Verdana" w:hAnsi="Verdana"/>
        </w:rPr>
        <w:t>GAPDH (forward 5′- TGC-GAC-TTC-AAC-AGC-AACTC-3′; reverse</w:t>
      </w:r>
      <w:r w:rsidR="00EF21FB">
        <w:rPr>
          <w:rFonts w:ascii="Verdana" w:hAnsi="Verdana"/>
        </w:rPr>
        <w:t xml:space="preserve"> </w:t>
      </w:r>
      <w:r w:rsidRPr="00B10130">
        <w:rPr>
          <w:rFonts w:ascii="Verdana" w:hAnsi="Verdana"/>
        </w:rPr>
        <w:t>5′-CTT-GCT-CAG-TGT-CCT-TGC-TG-3′)</w:t>
      </w:r>
      <w:r w:rsidR="00591E74">
        <w:rPr>
          <w:rFonts w:ascii="Verdana" w:hAnsi="Verdana"/>
        </w:rPr>
        <w:t>.</w:t>
      </w:r>
    </w:p>
    <w:p w14:paraId="6C01F835" w14:textId="50CAAC79" w:rsidR="004177C1" w:rsidRDefault="004177C1" w:rsidP="00BE59D3">
      <w:pPr>
        <w:spacing w:line="360" w:lineRule="auto"/>
        <w:jc w:val="both"/>
        <w:rPr>
          <w:rFonts w:ascii="Verdana" w:hAnsi="Verdana"/>
        </w:rPr>
      </w:pPr>
    </w:p>
    <w:p w14:paraId="5E921645" w14:textId="77777777" w:rsidR="00A06C9F" w:rsidRPr="00AF7006" w:rsidRDefault="00A06C9F" w:rsidP="00767F9D">
      <w:pPr>
        <w:pStyle w:val="Heading3"/>
        <w:rPr>
          <w:lang w:val="en-GB"/>
        </w:rPr>
      </w:pPr>
      <w:bookmarkStart w:id="50" w:name="_Toc130223416"/>
      <w:r w:rsidRPr="00AF7006">
        <w:rPr>
          <w:lang w:val="en-GB"/>
        </w:rPr>
        <w:t>Microarray Analysis</w:t>
      </w:r>
      <w:bookmarkEnd w:id="50"/>
    </w:p>
    <w:p w14:paraId="0A476D4F" w14:textId="68D2FD41" w:rsidR="00A06C9F" w:rsidRPr="00376D2B" w:rsidRDefault="00790600" w:rsidP="00A4450C">
      <w:pPr>
        <w:spacing w:line="360" w:lineRule="auto"/>
        <w:jc w:val="both"/>
        <w:rPr>
          <w:rFonts w:ascii="Verdana" w:hAnsi="Verdana"/>
          <w:lang w:val="en-GB"/>
        </w:rPr>
      </w:pPr>
      <w:r>
        <w:rPr>
          <w:rFonts w:ascii="Verdana" w:hAnsi="Verdana"/>
          <w:lang w:val="en-GB"/>
        </w:rPr>
        <w:t xml:space="preserve">For the microarray analysis, 150ng of total RNA per sample were </w:t>
      </w:r>
      <w:r w:rsidR="00711E6F">
        <w:rPr>
          <w:rFonts w:ascii="Verdana" w:hAnsi="Verdana"/>
          <w:lang w:val="en-GB"/>
        </w:rPr>
        <w:t xml:space="preserve">used. Processing of the samples was performed with the </w:t>
      </w:r>
      <w:r>
        <w:rPr>
          <w:rFonts w:ascii="Verdana" w:hAnsi="Verdana"/>
          <w:lang w:val="en-GB"/>
        </w:rPr>
        <w:t xml:space="preserve">Affymetrix </w:t>
      </w:r>
      <w:proofErr w:type="spellStart"/>
      <w:r>
        <w:rPr>
          <w:rFonts w:ascii="Verdana" w:hAnsi="Verdana"/>
          <w:lang w:val="en-GB"/>
        </w:rPr>
        <w:t>GeneChip</w:t>
      </w:r>
      <w:proofErr w:type="spellEnd"/>
      <w:r>
        <w:rPr>
          <w:rFonts w:ascii="Verdana" w:hAnsi="Verdana"/>
          <w:lang w:val="en-GB"/>
        </w:rPr>
        <w:t>®</w:t>
      </w:r>
      <w:r w:rsidR="00F538FC">
        <w:rPr>
          <w:rFonts w:ascii="Verdana" w:hAnsi="Verdana"/>
          <w:lang w:val="en-GB"/>
        </w:rPr>
        <w:t xml:space="preserve"> WT PLUS Reagent Kit and</w:t>
      </w:r>
      <w:r>
        <w:rPr>
          <w:rFonts w:ascii="Verdana" w:hAnsi="Verdana"/>
          <w:lang w:val="en-GB"/>
        </w:rPr>
        <w:t xml:space="preserve"> </w:t>
      </w:r>
      <w:r w:rsidR="00711E6F">
        <w:rPr>
          <w:rFonts w:ascii="Verdana" w:hAnsi="Verdana"/>
          <w:lang w:val="en-GB"/>
        </w:rPr>
        <w:t xml:space="preserve">the </w:t>
      </w:r>
      <w:r>
        <w:rPr>
          <w:rFonts w:ascii="Verdana" w:hAnsi="Verdana"/>
          <w:lang w:val="en-GB"/>
        </w:rPr>
        <w:t>run</w:t>
      </w:r>
      <w:r w:rsidR="00711E6F">
        <w:rPr>
          <w:rFonts w:ascii="Verdana" w:hAnsi="Verdana"/>
          <w:lang w:val="en-GB"/>
        </w:rPr>
        <w:t xml:space="preserve"> was executed</w:t>
      </w:r>
      <w:r>
        <w:rPr>
          <w:rFonts w:ascii="Verdana" w:hAnsi="Verdana"/>
          <w:lang w:val="en-GB"/>
        </w:rPr>
        <w:t xml:space="preserve"> on </w:t>
      </w:r>
      <w:proofErr w:type="spellStart"/>
      <w:r>
        <w:rPr>
          <w:rFonts w:ascii="Verdana" w:hAnsi="Verdana"/>
          <w:lang w:val="en-GB"/>
        </w:rPr>
        <w:t>GeneChip</w:t>
      </w:r>
      <w:proofErr w:type="spellEnd"/>
      <w:r>
        <w:rPr>
          <w:rFonts w:ascii="Verdana" w:hAnsi="Verdana"/>
          <w:lang w:val="en-GB"/>
        </w:rPr>
        <w:t xml:space="preserve"> Mouse Gene 2.0ST Arrays (</w:t>
      </w:r>
      <w:proofErr w:type="spellStart"/>
      <w:r>
        <w:rPr>
          <w:rFonts w:ascii="Verdana" w:hAnsi="Verdana"/>
          <w:lang w:val="en-GB"/>
        </w:rPr>
        <w:t>Affimetrix</w:t>
      </w:r>
      <w:proofErr w:type="spellEnd"/>
      <w:r>
        <w:rPr>
          <w:rFonts w:ascii="Verdana" w:hAnsi="Verdana"/>
          <w:lang w:val="en-GB"/>
        </w:rPr>
        <w:t>).</w:t>
      </w:r>
      <w:r w:rsidR="00F80749">
        <w:rPr>
          <w:rFonts w:ascii="Verdana" w:hAnsi="Verdana"/>
          <w:lang w:val="en-GB"/>
        </w:rPr>
        <w:t xml:space="preserve"> The scanning was performed with Affymetrix® </w:t>
      </w:r>
      <w:proofErr w:type="spellStart"/>
      <w:r w:rsidR="00F80749">
        <w:rPr>
          <w:rFonts w:ascii="Verdana" w:hAnsi="Verdana"/>
          <w:lang w:val="en-GB"/>
        </w:rPr>
        <w:t>GeneChip</w:t>
      </w:r>
      <w:proofErr w:type="spellEnd"/>
      <w:r w:rsidR="00F80749">
        <w:rPr>
          <w:rFonts w:ascii="Verdana" w:hAnsi="Verdana"/>
          <w:lang w:val="en-GB"/>
        </w:rPr>
        <w:t>® Scanner 3000</w:t>
      </w:r>
      <w:r w:rsidR="0017176E">
        <w:rPr>
          <w:rFonts w:ascii="Verdana" w:hAnsi="Verdana"/>
          <w:lang w:val="en-GB"/>
        </w:rPr>
        <w:t xml:space="preserve">. </w:t>
      </w:r>
      <w:r w:rsidR="00AB39E0">
        <w:rPr>
          <w:rFonts w:ascii="Verdana" w:hAnsi="Verdana"/>
          <w:lang w:val="en-GB"/>
        </w:rPr>
        <w:t>Q</w:t>
      </w:r>
      <w:r w:rsidR="00997D94">
        <w:rPr>
          <w:rFonts w:ascii="Verdana" w:hAnsi="Verdana"/>
          <w:lang w:val="en-GB"/>
        </w:rPr>
        <w:t>uality control</w:t>
      </w:r>
      <w:r w:rsidR="00AB39E0">
        <w:rPr>
          <w:rFonts w:ascii="Verdana" w:hAnsi="Verdana"/>
          <w:lang w:val="en-GB"/>
        </w:rPr>
        <w:t xml:space="preserve"> of the obtained data</w:t>
      </w:r>
      <w:r w:rsidR="00414C18">
        <w:rPr>
          <w:rFonts w:ascii="Verdana" w:hAnsi="Verdana"/>
          <w:lang w:val="en-GB"/>
        </w:rPr>
        <w:t xml:space="preserve"> w</w:t>
      </w:r>
      <w:r w:rsidR="00AB39E0">
        <w:rPr>
          <w:rFonts w:ascii="Verdana" w:hAnsi="Verdana"/>
          <w:lang w:val="en-GB"/>
        </w:rPr>
        <w:t>as</w:t>
      </w:r>
      <w:r w:rsidR="00414C18">
        <w:rPr>
          <w:rFonts w:ascii="Verdana" w:hAnsi="Verdana"/>
          <w:lang w:val="en-GB"/>
        </w:rPr>
        <w:t xml:space="preserve"> performed using the Bioconductor </w:t>
      </w:r>
      <w:r w:rsidR="00997D94">
        <w:rPr>
          <w:rFonts w:ascii="Verdana" w:hAnsi="Verdana"/>
          <w:lang w:val="en-GB"/>
        </w:rPr>
        <w:t xml:space="preserve">SCAN.UPC package and the Bioconductor </w:t>
      </w:r>
      <w:proofErr w:type="spellStart"/>
      <w:r w:rsidR="00997D94">
        <w:rPr>
          <w:rFonts w:ascii="Verdana" w:hAnsi="Verdana"/>
          <w:lang w:val="en-GB"/>
        </w:rPr>
        <w:t>arrayQualityMetrics</w:t>
      </w:r>
      <w:proofErr w:type="spellEnd"/>
      <w:r w:rsidR="00997D94">
        <w:rPr>
          <w:rFonts w:ascii="Verdana" w:hAnsi="Verdana"/>
          <w:lang w:val="en-GB"/>
        </w:rPr>
        <w:t xml:space="preserve"> package respectively.</w:t>
      </w:r>
      <w:r w:rsidR="00395A28">
        <w:rPr>
          <w:rFonts w:ascii="Verdana" w:hAnsi="Verdana"/>
          <w:lang w:val="en-GB"/>
        </w:rPr>
        <w:t xml:space="preserve"> Differential expression analysis was performed </w:t>
      </w:r>
      <w:r w:rsidR="0092747E">
        <w:rPr>
          <w:rFonts w:ascii="Verdana" w:hAnsi="Verdana"/>
          <w:lang w:val="en-GB"/>
        </w:rPr>
        <w:t xml:space="preserve">between genotypes as well as between age groups using the Bioconductor </w:t>
      </w:r>
      <w:proofErr w:type="spellStart"/>
      <w:r w:rsidR="0092747E">
        <w:rPr>
          <w:rFonts w:ascii="Verdana" w:hAnsi="Verdana"/>
          <w:lang w:val="en-GB"/>
        </w:rPr>
        <w:t>limma</w:t>
      </w:r>
      <w:proofErr w:type="spellEnd"/>
      <w:r w:rsidR="0092747E">
        <w:rPr>
          <w:rFonts w:ascii="Verdana" w:hAnsi="Verdana"/>
          <w:lang w:val="en-GB"/>
        </w:rPr>
        <w:t xml:space="preserve"> package</w:t>
      </w:r>
      <w:r w:rsidR="0087114E">
        <w:rPr>
          <w:rFonts w:ascii="Verdana" w:hAnsi="Verdana"/>
          <w:lang w:val="en-GB"/>
        </w:rPr>
        <w:t xml:space="preserve"> with </w:t>
      </w:r>
      <w:proofErr w:type="spellStart"/>
      <w:r w:rsidR="0087114E">
        <w:rPr>
          <w:rFonts w:ascii="Verdana" w:hAnsi="Verdana"/>
          <w:lang w:val="en-GB"/>
        </w:rPr>
        <w:t>Benjamini-Hocberg</w:t>
      </w:r>
      <w:proofErr w:type="spellEnd"/>
      <w:r w:rsidR="0087114E">
        <w:rPr>
          <w:rFonts w:ascii="Verdana" w:hAnsi="Verdana"/>
          <w:lang w:val="en-GB"/>
        </w:rPr>
        <w:t xml:space="preserve"> correction for multiple testing.</w:t>
      </w:r>
      <w:r w:rsidR="00AB39E0">
        <w:rPr>
          <w:rFonts w:ascii="Verdana" w:hAnsi="Verdana"/>
          <w:lang w:val="en-GB"/>
        </w:rPr>
        <w:t xml:space="preserve"> The </w:t>
      </w:r>
      <w:proofErr w:type="spellStart"/>
      <w:r w:rsidR="00376D2B" w:rsidRPr="00D534D1">
        <w:rPr>
          <w:rFonts w:ascii="Verdana" w:hAnsi="Verdana"/>
          <w:lang w:val="en-GB"/>
        </w:rPr>
        <w:t>Ensembl</w:t>
      </w:r>
      <w:proofErr w:type="spellEnd"/>
      <w:r w:rsidR="00376D2B">
        <w:rPr>
          <w:rFonts w:ascii="Verdana" w:hAnsi="Verdana"/>
          <w:lang w:val="en-GB"/>
        </w:rPr>
        <w:t xml:space="preserve"> </w:t>
      </w:r>
      <w:proofErr w:type="spellStart"/>
      <w:r w:rsidR="00376D2B" w:rsidRPr="00D534D1">
        <w:rPr>
          <w:rFonts w:ascii="Verdana" w:hAnsi="Verdana"/>
          <w:lang w:val="en-GB"/>
        </w:rPr>
        <w:t>Biomart</w:t>
      </w:r>
      <w:proofErr w:type="spellEnd"/>
      <w:r w:rsidR="00376D2B" w:rsidRPr="00D534D1">
        <w:rPr>
          <w:rFonts w:ascii="Verdana" w:hAnsi="Verdana"/>
          <w:lang w:val="en-GB"/>
        </w:rPr>
        <w:t xml:space="preserve"> database (https://m.ensembl.org/info/data/biomart/ index.html)</w:t>
      </w:r>
      <w:r w:rsidR="00AB39E0">
        <w:rPr>
          <w:rFonts w:ascii="Verdana" w:hAnsi="Verdana"/>
          <w:lang w:val="en-GB"/>
        </w:rPr>
        <w:t xml:space="preserve"> was used to identify human orthologues</w:t>
      </w:r>
      <w:r w:rsidR="00C01418">
        <w:rPr>
          <w:rFonts w:ascii="Verdana" w:hAnsi="Verdana"/>
          <w:lang w:val="en-GB"/>
        </w:rPr>
        <w:t xml:space="preserve"> correspondent</w:t>
      </w:r>
      <w:r w:rsidR="00AB39E0">
        <w:rPr>
          <w:rFonts w:ascii="Verdana" w:hAnsi="Verdana"/>
          <w:lang w:val="en-GB"/>
        </w:rPr>
        <w:t xml:space="preserve"> to the</w:t>
      </w:r>
      <w:r w:rsidR="00C01418">
        <w:rPr>
          <w:rFonts w:ascii="Verdana" w:hAnsi="Verdana"/>
          <w:lang w:val="en-GB"/>
        </w:rPr>
        <w:t xml:space="preserve"> mouse</w:t>
      </w:r>
      <w:r w:rsidR="00AB39E0">
        <w:rPr>
          <w:rFonts w:ascii="Verdana" w:hAnsi="Verdana"/>
          <w:lang w:val="en-GB"/>
        </w:rPr>
        <w:t xml:space="preserve"> DEGs</w:t>
      </w:r>
      <w:r w:rsidR="00376D2B" w:rsidRPr="00D534D1">
        <w:rPr>
          <w:rFonts w:ascii="Verdana" w:hAnsi="Verdana"/>
          <w:lang w:val="en-GB"/>
        </w:rPr>
        <w:t xml:space="preserve">. </w:t>
      </w:r>
      <w:r w:rsidR="00376D2B">
        <w:rPr>
          <w:rFonts w:ascii="Verdana" w:hAnsi="Verdana"/>
          <w:lang w:val="en-GB"/>
        </w:rPr>
        <w:t xml:space="preserve">A </w:t>
      </w:r>
      <w:r w:rsidR="00376D2B" w:rsidRPr="00344D7B">
        <w:rPr>
          <w:rFonts w:ascii="Verdana" w:hAnsi="Verdana"/>
          <w:lang w:val="en-GB"/>
        </w:rPr>
        <w:t xml:space="preserve">text mining analysis </w:t>
      </w:r>
      <w:r w:rsidR="00C01418">
        <w:rPr>
          <w:rFonts w:ascii="Verdana" w:hAnsi="Verdana"/>
          <w:lang w:val="en-GB"/>
        </w:rPr>
        <w:t>for the term “Parkinson</w:t>
      </w:r>
      <w:r w:rsidR="00A4450C">
        <w:rPr>
          <w:rFonts w:ascii="Verdana" w:hAnsi="Verdana"/>
          <w:lang w:val="en-GB"/>
        </w:rPr>
        <w:t xml:space="preserve"> disease” from the</w:t>
      </w:r>
      <w:r w:rsidR="00376D2B" w:rsidRPr="00344D7B">
        <w:rPr>
          <w:rFonts w:ascii="Verdana" w:hAnsi="Verdana"/>
          <w:lang w:val="en-GB"/>
        </w:rPr>
        <w:t xml:space="preserve"> Medical Subject Headings (</w:t>
      </w:r>
      <w:proofErr w:type="spellStart"/>
      <w:r w:rsidR="00376D2B" w:rsidRPr="00344D7B">
        <w:rPr>
          <w:rFonts w:ascii="Verdana" w:hAnsi="Verdana"/>
          <w:lang w:val="en-GB"/>
        </w:rPr>
        <w:t>MeSH</w:t>
      </w:r>
      <w:proofErr w:type="spellEnd"/>
      <w:r w:rsidR="00376D2B" w:rsidRPr="00344D7B">
        <w:rPr>
          <w:rFonts w:ascii="Verdana" w:hAnsi="Verdana"/>
          <w:lang w:val="en-GB"/>
        </w:rPr>
        <w:t>)</w:t>
      </w:r>
      <w:r w:rsidR="00376D2B">
        <w:rPr>
          <w:rFonts w:ascii="Verdana" w:hAnsi="Verdana"/>
          <w:lang w:val="en-GB"/>
        </w:rPr>
        <w:t xml:space="preserve"> was performed using </w:t>
      </w:r>
      <w:r w:rsidR="00376D2B" w:rsidRPr="00344D7B">
        <w:rPr>
          <w:rFonts w:ascii="Verdana" w:hAnsi="Verdana"/>
          <w:lang w:val="en-GB"/>
        </w:rPr>
        <w:t>the Pointwise Mutual Information (PMI) co-occurrence measure</w:t>
      </w:r>
      <w:r w:rsidR="00376D2B">
        <w:rPr>
          <w:rFonts w:ascii="Verdana" w:hAnsi="Verdana"/>
          <w:lang w:val="en-GB"/>
        </w:rPr>
        <w:t xml:space="preserve">. </w:t>
      </w:r>
      <w:r w:rsidR="00A4450C">
        <w:rPr>
          <w:rFonts w:ascii="Verdana" w:hAnsi="Verdana"/>
          <w:lang w:val="en-GB"/>
        </w:rPr>
        <w:t xml:space="preserve">The </w:t>
      </w:r>
      <w:proofErr w:type="spellStart"/>
      <w:r w:rsidR="00A4450C" w:rsidRPr="00CD72AD">
        <w:rPr>
          <w:rFonts w:ascii="Verdana" w:hAnsi="Verdana"/>
          <w:lang w:val="en-GB"/>
        </w:rPr>
        <w:t>GeneGO</w:t>
      </w:r>
      <w:proofErr w:type="spellEnd"/>
      <w:r w:rsidR="00A4450C" w:rsidRPr="00CD72AD">
        <w:rPr>
          <w:rFonts w:ascii="Verdana" w:hAnsi="Verdana"/>
          <w:lang w:val="en-GB"/>
        </w:rPr>
        <w:t xml:space="preserve"> </w:t>
      </w:r>
      <w:proofErr w:type="spellStart"/>
      <w:r w:rsidR="00A4450C" w:rsidRPr="00CD72AD">
        <w:rPr>
          <w:rFonts w:ascii="Verdana" w:hAnsi="Verdana"/>
          <w:lang w:val="en-GB"/>
        </w:rPr>
        <w:t>MetaCore</w:t>
      </w:r>
      <w:r w:rsidR="00A4450C" w:rsidRPr="007C20AD">
        <w:rPr>
          <w:rFonts w:ascii="Verdana" w:hAnsi="Verdana"/>
          <w:i/>
          <w:iCs/>
          <w:vertAlign w:val="superscript"/>
          <w:lang w:val="en-GB"/>
        </w:rPr>
        <w:t>TM</w:t>
      </w:r>
      <w:proofErr w:type="spellEnd"/>
      <w:r w:rsidR="00A4450C" w:rsidRPr="00CD72AD">
        <w:rPr>
          <w:rFonts w:ascii="Verdana" w:hAnsi="Verdana"/>
          <w:lang w:val="en-GB"/>
        </w:rPr>
        <w:t xml:space="preserve"> </w:t>
      </w:r>
      <w:r w:rsidR="00A4450C">
        <w:rPr>
          <w:rFonts w:ascii="Verdana" w:hAnsi="Verdana"/>
          <w:lang w:val="en-GB"/>
        </w:rPr>
        <w:t xml:space="preserve">software </w:t>
      </w:r>
      <w:r w:rsidR="00A4450C" w:rsidRPr="00CD72AD">
        <w:rPr>
          <w:rFonts w:ascii="Verdana" w:hAnsi="Verdana"/>
          <w:lang w:val="en-GB"/>
        </w:rPr>
        <w:t>(https:// portal.genego.com</w:t>
      </w:r>
      <w:r w:rsidR="00A4450C">
        <w:rPr>
          <w:rFonts w:ascii="Verdana" w:hAnsi="Verdana"/>
          <w:lang w:val="en-GB"/>
        </w:rPr>
        <w:t xml:space="preserve">) was used to run a pathway enrichment analysis on the </w:t>
      </w:r>
      <w:r w:rsidR="00047CD8">
        <w:rPr>
          <w:rFonts w:ascii="Verdana" w:hAnsi="Verdana"/>
          <w:lang w:val="en-GB"/>
        </w:rPr>
        <w:t>significant (</w:t>
      </w:r>
      <w:r w:rsidR="00047CD8" w:rsidRPr="00CD72AD">
        <w:rPr>
          <w:rFonts w:ascii="Verdana" w:hAnsi="Verdana"/>
          <w:lang w:val="en-GB"/>
        </w:rPr>
        <w:t xml:space="preserve">adjusted </w:t>
      </w:r>
      <w:r w:rsidR="00047CD8" w:rsidRPr="00693239">
        <w:rPr>
          <w:rFonts w:ascii="Verdana" w:hAnsi="Verdana"/>
          <w:i/>
          <w:iCs/>
          <w:lang w:val="en-GB"/>
        </w:rPr>
        <w:t>p</w:t>
      </w:r>
      <w:r w:rsidR="00047CD8" w:rsidRPr="00CD72AD">
        <w:rPr>
          <w:rFonts w:ascii="Verdana" w:hAnsi="Verdana"/>
          <w:lang w:val="en-GB"/>
        </w:rPr>
        <w:t xml:space="preserve"> value ≤ 0.05</w:t>
      </w:r>
      <w:r w:rsidR="00047CD8">
        <w:rPr>
          <w:rFonts w:ascii="Verdana" w:hAnsi="Verdana"/>
          <w:lang w:val="en-GB"/>
        </w:rPr>
        <w:t xml:space="preserve">) </w:t>
      </w:r>
      <w:r w:rsidR="00376D2B" w:rsidRPr="00CD72AD">
        <w:rPr>
          <w:rFonts w:ascii="Verdana" w:hAnsi="Verdana"/>
          <w:lang w:val="en-GB"/>
        </w:rPr>
        <w:t xml:space="preserve">human orthologues of the </w:t>
      </w:r>
      <w:r w:rsidR="00047CD8">
        <w:rPr>
          <w:rFonts w:ascii="Verdana" w:hAnsi="Verdana"/>
          <w:lang w:val="en-GB"/>
        </w:rPr>
        <w:t xml:space="preserve">mouse </w:t>
      </w:r>
      <w:r w:rsidR="00376D2B" w:rsidRPr="00CD72AD">
        <w:rPr>
          <w:rFonts w:ascii="Verdana" w:hAnsi="Verdana"/>
          <w:lang w:val="en-GB"/>
        </w:rPr>
        <w:t>DEGs</w:t>
      </w:r>
      <w:r w:rsidR="00376D2B">
        <w:rPr>
          <w:rFonts w:ascii="Verdana" w:hAnsi="Verdana"/>
          <w:lang w:val="en-GB"/>
        </w:rPr>
        <w:t>. M</w:t>
      </w:r>
      <w:r w:rsidR="00376D2B" w:rsidRPr="0084649E">
        <w:rPr>
          <w:rFonts w:ascii="Verdana" w:hAnsi="Verdana"/>
          <w:lang w:val="en-GB"/>
        </w:rPr>
        <w:t xml:space="preserve">olecular sub-networks were determined </w:t>
      </w:r>
      <w:r w:rsidR="00376D2B">
        <w:rPr>
          <w:rFonts w:ascii="Verdana" w:hAnsi="Verdana"/>
          <w:lang w:val="en-GB"/>
        </w:rPr>
        <w:t xml:space="preserve">using the </w:t>
      </w:r>
      <w:r w:rsidR="00047CD8">
        <w:rPr>
          <w:rFonts w:ascii="Verdana" w:hAnsi="Verdana"/>
          <w:lang w:val="en-GB"/>
        </w:rPr>
        <w:t>“</w:t>
      </w:r>
      <w:proofErr w:type="spellStart"/>
      <w:r w:rsidR="00047CD8" w:rsidRPr="0084649E">
        <w:rPr>
          <w:rFonts w:ascii="Verdana" w:hAnsi="Verdana"/>
          <w:lang w:val="en-GB"/>
        </w:rPr>
        <w:t>Analyze</w:t>
      </w:r>
      <w:proofErr w:type="spellEnd"/>
      <w:r w:rsidR="00047CD8" w:rsidRPr="0084649E">
        <w:rPr>
          <w:rFonts w:ascii="Verdana" w:hAnsi="Verdana"/>
          <w:lang w:val="en-GB"/>
        </w:rPr>
        <w:t xml:space="preserve"> network”</w:t>
      </w:r>
      <w:r w:rsidR="00047CD8">
        <w:rPr>
          <w:rFonts w:ascii="Verdana" w:hAnsi="Verdana"/>
          <w:lang w:val="en-GB"/>
        </w:rPr>
        <w:t xml:space="preserve"> feature from the </w:t>
      </w:r>
      <w:proofErr w:type="spellStart"/>
      <w:r w:rsidR="00376D2B" w:rsidRPr="0084649E">
        <w:rPr>
          <w:rFonts w:ascii="Verdana" w:hAnsi="Verdana"/>
          <w:lang w:val="en-GB"/>
        </w:rPr>
        <w:t>GeneGO</w:t>
      </w:r>
      <w:proofErr w:type="spellEnd"/>
      <w:r w:rsidR="00376D2B" w:rsidRPr="0084649E">
        <w:rPr>
          <w:rFonts w:ascii="Verdana" w:hAnsi="Verdana"/>
          <w:lang w:val="en-GB"/>
        </w:rPr>
        <w:t xml:space="preserve"> </w:t>
      </w:r>
      <w:proofErr w:type="spellStart"/>
      <w:r w:rsidR="00376D2B" w:rsidRPr="0084649E">
        <w:rPr>
          <w:rFonts w:ascii="Verdana" w:hAnsi="Verdana"/>
          <w:lang w:val="en-GB"/>
        </w:rPr>
        <w:t>MetaCore</w:t>
      </w:r>
      <w:r w:rsidR="00376D2B" w:rsidRPr="00EE38FA">
        <w:rPr>
          <w:rFonts w:ascii="Verdana" w:hAnsi="Verdana"/>
          <w:i/>
          <w:iCs/>
          <w:vertAlign w:val="superscript"/>
          <w:lang w:val="en-GB"/>
        </w:rPr>
        <w:t>TM</w:t>
      </w:r>
      <w:proofErr w:type="spellEnd"/>
      <w:r w:rsidR="00047CD8">
        <w:rPr>
          <w:rFonts w:ascii="Verdana" w:hAnsi="Verdana"/>
          <w:lang w:val="en-GB"/>
        </w:rPr>
        <w:t xml:space="preserve"> software.</w:t>
      </w:r>
    </w:p>
    <w:p w14:paraId="26C72EB2" w14:textId="77777777" w:rsidR="005B6126" w:rsidRPr="00BE59D3" w:rsidRDefault="005B6126" w:rsidP="00BE59D3">
      <w:pPr>
        <w:spacing w:line="360" w:lineRule="auto"/>
        <w:jc w:val="both"/>
        <w:rPr>
          <w:rFonts w:ascii="Verdana" w:hAnsi="Verdana"/>
        </w:rPr>
      </w:pPr>
    </w:p>
    <w:p w14:paraId="726C2DFC" w14:textId="3D08A2C3" w:rsidR="002E6A32" w:rsidRPr="00684471" w:rsidRDefault="00BE59D3" w:rsidP="00767F9D">
      <w:pPr>
        <w:pStyle w:val="Heading3"/>
        <w:rPr>
          <w:lang w:val="en-GB"/>
        </w:rPr>
      </w:pPr>
      <w:bookmarkStart w:id="51" w:name="_Toc130223417"/>
      <w:r w:rsidRPr="004177C1">
        <w:rPr>
          <w:lang w:val="en-GB"/>
        </w:rPr>
        <w:t>RNA sequencing</w:t>
      </w:r>
      <w:bookmarkEnd w:id="51"/>
    </w:p>
    <w:p w14:paraId="51F67ABD" w14:textId="3140FD71" w:rsidR="00BF620A" w:rsidRDefault="002E6A32" w:rsidP="00BE59D3">
      <w:pPr>
        <w:spacing w:line="360" w:lineRule="auto"/>
        <w:jc w:val="both"/>
        <w:rPr>
          <w:rFonts w:ascii="Verdana" w:hAnsi="Verdana"/>
          <w:lang w:val="en-GB"/>
        </w:rPr>
      </w:pPr>
      <w:r>
        <w:rPr>
          <w:rFonts w:ascii="Verdana" w:hAnsi="Verdana"/>
          <w:lang w:val="en-GB"/>
        </w:rPr>
        <w:t>RNA sequencing was performed at the University of Luxembourg</w:t>
      </w:r>
      <w:r w:rsidR="005569D7">
        <w:rPr>
          <w:rFonts w:ascii="Verdana" w:hAnsi="Verdana"/>
          <w:lang w:val="en-GB"/>
        </w:rPr>
        <w:t xml:space="preserve"> in collaboration with the sequencing platform of the Luxembourg Centre for Systems Biomedicine (LCSB).</w:t>
      </w:r>
      <w:r w:rsidR="00E8434C">
        <w:rPr>
          <w:rFonts w:ascii="Verdana" w:hAnsi="Verdana"/>
          <w:lang w:val="en-GB"/>
        </w:rPr>
        <w:t xml:space="preserve"> A total quantity of 1µg of RNA was used</w:t>
      </w:r>
      <w:r w:rsidR="00BF620A">
        <w:rPr>
          <w:rFonts w:ascii="Verdana" w:hAnsi="Verdana"/>
          <w:lang w:val="en-GB"/>
        </w:rPr>
        <w:t xml:space="preserve"> for mRNA sequencing. The Illumina </w:t>
      </w:r>
      <w:r w:rsidR="00A8379F">
        <w:rPr>
          <w:rFonts w:ascii="Verdana" w:hAnsi="Verdana"/>
          <w:lang w:val="en-GB"/>
        </w:rPr>
        <w:t xml:space="preserve">Stranded </w:t>
      </w:r>
      <w:r w:rsidR="00AC2574">
        <w:rPr>
          <w:rFonts w:ascii="Verdana" w:hAnsi="Verdana"/>
          <w:lang w:val="en-GB"/>
        </w:rPr>
        <w:t>mRNA Prep kit was used for library preparation</w:t>
      </w:r>
      <w:r w:rsidR="00374D00">
        <w:rPr>
          <w:rFonts w:ascii="Verdana" w:hAnsi="Verdana"/>
          <w:lang w:val="en-GB"/>
        </w:rPr>
        <w:t xml:space="preserve">, and the library was quantified using a </w:t>
      </w:r>
      <w:proofErr w:type="spellStart"/>
      <w:r w:rsidR="00F86449">
        <w:rPr>
          <w:rFonts w:ascii="Verdana" w:hAnsi="Verdana"/>
          <w:lang w:val="en-GB"/>
        </w:rPr>
        <w:t>Qubit</w:t>
      </w:r>
      <w:r w:rsidR="0023549A" w:rsidRPr="0023549A">
        <w:rPr>
          <w:rFonts w:ascii="Verdana" w:hAnsi="Verdana"/>
          <w:vertAlign w:val="superscript"/>
          <w:lang w:val="en-GB"/>
        </w:rPr>
        <w:t>TM</w:t>
      </w:r>
      <w:proofErr w:type="spellEnd"/>
      <w:r w:rsidR="0023549A">
        <w:rPr>
          <w:rFonts w:ascii="Verdana" w:hAnsi="Verdana"/>
          <w:lang w:val="en-GB"/>
        </w:rPr>
        <w:t xml:space="preserve"> 4 </w:t>
      </w:r>
      <w:proofErr w:type="spellStart"/>
      <w:r w:rsidR="0023549A">
        <w:rPr>
          <w:rFonts w:ascii="Verdana" w:hAnsi="Verdana"/>
          <w:lang w:val="en-GB"/>
        </w:rPr>
        <w:t>Flurometer</w:t>
      </w:r>
      <w:proofErr w:type="spellEnd"/>
      <w:r w:rsidR="00B60C76">
        <w:rPr>
          <w:rFonts w:ascii="Verdana" w:hAnsi="Verdana"/>
          <w:lang w:val="en-GB"/>
        </w:rPr>
        <w:t xml:space="preserve"> (Invitrogen).</w:t>
      </w:r>
      <w:r w:rsidR="001C2439">
        <w:rPr>
          <w:rFonts w:ascii="Verdana" w:hAnsi="Verdana"/>
          <w:lang w:val="en-GB"/>
        </w:rPr>
        <w:t xml:space="preserve"> </w:t>
      </w:r>
      <w:r w:rsidR="002033E6">
        <w:rPr>
          <w:rFonts w:ascii="Verdana" w:hAnsi="Verdana"/>
          <w:lang w:val="en-GB"/>
        </w:rPr>
        <w:t xml:space="preserve">A </w:t>
      </w:r>
      <w:r w:rsidR="00E85CC1">
        <w:rPr>
          <w:rFonts w:ascii="Verdana" w:hAnsi="Verdana"/>
          <w:lang w:val="en-GB"/>
        </w:rPr>
        <w:t>single end</w:t>
      </w:r>
      <w:r w:rsidR="000A7B03">
        <w:rPr>
          <w:rFonts w:ascii="Verdana" w:hAnsi="Verdana"/>
          <w:lang w:val="en-GB"/>
        </w:rPr>
        <w:t xml:space="preserve"> sequencing</w:t>
      </w:r>
      <w:r w:rsidR="00E85CC1">
        <w:rPr>
          <w:rFonts w:ascii="Verdana" w:hAnsi="Verdana"/>
          <w:lang w:val="en-GB"/>
        </w:rPr>
        <w:t xml:space="preserve"> for the DJ-1 KO and the Thy-Syn14 </w:t>
      </w:r>
      <w:r w:rsidR="000A7B03">
        <w:rPr>
          <w:rFonts w:ascii="Verdana" w:hAnsi="Verdana"/>
          <w:lang w:val="en-GB"/>
        </w:rPr>
        <w:t xml:space="preserve">mouse </w:t>
      </w:r>
      <w:r w:rsidR="000A7B03">
        <w:rPr>
          <w:rFonts w:ascii="Verdana" w:hAnsi="Verdana"/>
          <w:lang w:val="en-GB"/>
        </w:rPr>
        <w:lastRenderedPageBreak/>
        <w:t>samples,</w:t>
      </w:r>
      <w:r w:rsidR="00E85CC1">
        <w:rPr>
          <w:rFonts w:ascii="Verdana" w:hAnsi="Verdana"/>
          <w:lang w:val="en-GB"/>
        </w:rPr>
        <w:t xml:space="preserve"> or a </w:t>
      </w:r>
      <w:r w:rsidR="002033E6">
        <w:rPr>
          <w:rFonts w:ascii="Verdana" w:hAnsi="Verdana"/>
          <w:lang w:val="en-GB"/>
        </w:rPr>
        <w:t>2 x 50bp paired end sequencing</w:t>
      </w:r>
      <w:r w:rsidR="000A7B03">
        <w:rPr>
          <w:rFonts w:ascii="Verdana" w:hAnsi="Verdana"/>
          <w:lang w:val="en-GB"/>
        </w:rPr>
        <w:t xml:space="preserve"> for the SNCA*E46K mice</w:t>
      </w:r>
      <w:r w:rsidR="002033E6">
        <w:rPr>
          <w:rFonts w:ascii="Verdana" w:hAnsi="Verdana"/>
          <w:lang w:val="en-GB"/>
        </w:rPr>
        <w:t xml:space="preserve"> </w:t>
      </w:r>
      <w:r w:rsidR="001C2439">
        <w:rPr>
          <w:rFonts w:ascii="Verdana" w:hAnsi="Verdana"/>
          <w:lang w:val="en-GB"/>
        </w:rPr>
        <w:t>was performed using a NextSeq2000 (Illumina)</w:t>
      </w:r>
      <w:r w:rsidR="002033E6">
        <w:rPr>
          <w:rFonts w:ascii="Verdana" w:hAnsi="Verdana"/>
          <w:lang w:val="en-GB"/>
        </w:rPr>
        <w:t>, with a sequencing depth of ~24 million reads per sample.</w:t>
      </w:r>
    </w:p>
    <w:p w14:paraId="2547AC32" w14:textId="1C34DD7B" w:rsidR="00780364" w:rsidRDefault="00780364" w:rsidP="00BE59D3">
      <w:pPr>
        <w:spacing w:line="360" w:lineRule="auto"/>
        <w:jc w:val="both"/>
        <w:rPr>
          <w:rFonts w:ascii="Verdana" w:hAnsi="Verdana"/>
          <w:lang w:val="en-GB"/>
        </w:rPr>
      </w:pPr>
      <w:r>
        <w:rPr>
          <w:rFonts w:ascii="Verdana" w:hAnsi="Verdana"/>
          <w:lang w:val="en-GB"/>
        </w:rPr>
        <w:t xml:space="preserve">For the differential expression analysis of Thy1-Syn14 and DJ-1 KO mice, quality of the reads was checked with </w:t>
      </w:r>
      <w:proofErr w:type="spellStart"/>
      <w:r>
        <w:rPr>
          <w:rFonts w:ascii="Verdana" w:hAnsi="Verdana"/>
          <w:lang w:val="en-GB"/>
        </w:rPr>
        <w:t>FastQC</w:t>
      </w:r>
      <w:proofErr w:type="spellEnd"/>
      <w:r>
        <w:rPr>
          <w:rFonts w:ascii="Verdana" w:hAnsi="Verdana"/>
          <w:lang w:val="en-GB"/>
        </w:rPr>
        <w:t xml:space="preserve"> (v0.11.5). Adapters were removed with PALEOMIX (v1.2.12) and ribosomal RNA reads were removed with </w:t>
      </w:r>
      <w:proofErr w:type="spellStart"/>
      <w:r>
        <w:rPr>
          <w:rFonts w:ascii="Verdana" w:hAnsi="Verdana"/>
          <w:lang w:val="en-GB"/>
        </w:rPr>
        <w:t>SortMeRNA</w:t>
      </w:r>
      <w:proofErr w:type="spellEnd"/>
      <w:r>
        <w:rPr>
          <w:rFonts w:ascii="Verdana" w:hAnsi="Verdana"/>
          <w:lang w:val="en-GB"/>
        </w:rPr>
        <w:t xml:space="preserve"> (v2.1). </w:t>
      </w:r>
      <w:r w:rsidR="00633297">
        <w:rPr>
          <w:rFonts w:ascii="Verdana" w:hAnsi="Verdana"/>
          <w:lang w:val="en-GB"/>
        </w:rPr>
        <w:t>Mapping was performed with STAR (v2.3.2b) using the GRCm38 release 102 mouse genome as a reference. Obtained BAM files were validated using Picard (v2.10.9)</w:t>
      </w:r>
      <w:r w:rsidR="00112D02">
        <w:rPr>
          <w:rFonts w:ascii="Verdana" w:hAnsi="Verdana"/>
          <w:lang w:val="en-GB"/>
        </w:rPr>
        <w:t xml:space="preserve"> and the read counts were produced in R using the </w:t>
      </w:r>
      <w:proofErr w:type="spellStart"/>
      <w:r w:rsidR="00112D02">
        <w:rPr>
          <w:rFonts w:ascii="Verdana" w:hAnsi="Verdana"/>
          <w:lang w:val="en-GB"/>
        </w:rPr>
        <w:t>featureCounts</w:t>
      </w:r>
      <w:proofErr w:type="spellEnd"/>
      <w:r w:rsidR="00112D02">
        <w:rPr>
          <w:rFonts w:ascii="Verdana" w:hAnsi="Verdana"/>
          <w:lang w:val="en-GB"/>
        </w:rPr>
        <w:t xml:space="preserve"> (</w:t>
      </w:r>
      <w:proofErr w:type="spellStart"/>
      <w:r w:rsidR="00112D02">
        <w:rPr>
          <w:rFonts w:ascii="Verdana" w:hAnsi="Verdana"/>
          <w:lang w:val="en-GB"/>
        </w:rPr>
        <w:t>Rsubread</w:t>
      </w:r>
      <w:proofErr w:type="spellEnd"/>
      <w:r w:rsidR="00112D02">
        <w:rPr>
          <w:rFonts w:ascii="Verdana" w:hAnsi="Verdana"/>
          <w:lang w:val="en-GB"/>
        </w:rPr>
        <w:t xml:space="preserve"> package, v1.28.1). Differential expression analysis was performed in R using the DESeq2 package (v1.20.0) using the counts as an input</w:t>
      </w:r>
      <w:r w:rsidR="00B35DB6">
        <w:rPr>
          <w:rFonts w:ascii="Verdana" w:hAnsi="Verdana"/>
          <w:lang w:val="en-GB"/>
        </w:rPr>
        <w:t xml:space="preserve">, and a cut-off of adjusted </w:t>
      </w:r>
      <w:r w:rsidR="00B35DB6" w:rsidRPr="000C1E23">
        <w:rPr>
          <w:rFonts w:ascii="Verdana" w:hAnsi="Verdana"/>
          <w:i/>
          <w:iCs/>
          <w:lang w:val="en-GB"/>
        </w:rPr>
        <w:t>p</w:t>
      </w:r>
      <w:r w:rsidR="00B35DB6">
        <w:rPr>
          <w:rFonts w:ascii="Verdana" w:hAnsi="Verdana"/>
          <w:lang w:val="en-GB"/>
        </w:rPr>
        <w:t>-</w:t>
      </w:r>
      <w:proofErr w:type="gramStart"/>
      <w:r w:rsidR="00B35DB6">
        <w:rPr>
          <w:rFonts w:ascii="Verdana" w:hAnsi="Verdana"/>
          <w:lang w:val="en-GB"/>
        </w:rPr>
        <w:t xml:space="preserve">value </w:t>
      </w:r>
      <w:r w:rsidR="000C1E23" w:rsidRPr="000C1E23">
        <w:rPr>
          <w:rFonts w:ascii="Arial" w:hAnsi="Arial" w:cs="Arial"/>
          <w:lang w:val="en-GB"/>
        </w:rPr>
        <w:t> </w:t>
      </w:r>
      <w:r w:rsidR="000C1E23" w:rsidRPr="000C1E23">
        <w:rPr>
          <w:rFonts w:ascii="Verdana" w:hAnsi="Verdana" w:cs="Verdana"/>
          <w:lang w:val="en-GB"/>
        </w:rPr>
        <w:t>≤</w:t>
      </w:r>
      <w:proofErr w:type="gramEnd"/>
      <w:r w:rsidR="000C1E23" w:rsidRPr="000C1E23">
        <w:rPr>
          <w:rFonts w:ascii="Arial" w:hAnsi="Arial" w:cs="Arial"/>
          <w:lang w:val="en-GB"/>
        </w:rPr>
        <w:t> </w:t>
      </w:r>
      <w:r w:rsidR="000C1E23" w:rsidRPr="000C1E23">
        <w:rPr>
          <w:rFonts w:ascii="Verdana" w:hAnsi="Verdana"/>
          <w:lang w:val="en-GB"/>
        </w:rPr>
        <w:t>0.05</w:t>
      </w:r>
      <w:r w:rsidR="000C1E23">
        <w:rPr>
          <w:rFonts w:ascii="Verdana" w:hAnsi="Verdana"/>
          <w:lang w:val="en-GB"/>
        </w:rPr>
        <w:t>.</w:t>
      </w:r>
    </w:p>
    <w:p w14:paraId="430424D7" w14:textId="735A2B0F" w:rsidR="00923B04" w:rsidRPr="00014E94" w:rsidRDefault="00923B04" w:rsidP="00014E94">
      <w:pPr>
        <w:spacing w:line="360" w:lineRule="auto"/>
        <w:jc w:val="both"/>
        <w:rPr>
          <w:rFonts w:ascii="Verdana" w:hAnsi="Verdana"/>
          <w:lang w:val="en-GB"/>
        </w:rPr>
      </w:pPr>
      <w:r>
        <w:rPr>
          <w:rFonts w:ascii="Verdana" w:hAnsi="Verdana"/>
          <w:lang w:val="en-GB"/>
        </w:rPr>
        <w:t xml:space="preserve">For the differential expression analysis of SNCA*E46K animals, quality of the reads was assessed using </w:t>
      </w:r>
      <w:proofErr w:type="spellStart"/>
      <w:r w:rsidR="00D70A88">
        <w:rPr>
          <w:rFonts w:ascii="Verdana" w:hAnsi="Verdana"/>
          <w:lang w:val="en-GB"/>
        </w:rPr>
        <w:t>FastQC</w:t>
      </w:r>
      <w:proofErr w:type="spellEnd"/>
      <w:r w:rsidR="00D70A88">
        <w:rPr>
          <w:rFonts w:ascii="Verdana" w:hAnsi="Verdana"/>
          <w:lang w:val="en-GB"/>
        </w:rPr>
        <w:t xml:space="preserve"> (v0.11.4)</w:t>
      </w:r>
      <w:r w:rsidR="00B40FA4">
        <w:rPr>
          <w:rFonts w:ascii="Verdana" w:hAnsi="Verdana"/>
          <w:lang w:val="en-GB"/>
        </w:rPr>
        <w:t>. H</w:t>
      </w:r>
      <w:r w:rsidR="00D70A88">
        <w:rPr>
          <w:rFonts w:ascii="Verdana" w:hAnsi="Verdana"/>
          <w:lang w:val="en-GB"/>
        </w:rPr>
        <w:t xml:space="preserve">igh-quality reads were aligned </w:t>
      </w:r>
      <w:r w:rsidR="00FA4285">
        <w:rPr>
          <w:rFonts w:ascii="Verdana" w:hAnsi="Verdana"/>
          <w:lang w:val="en-GB"/>
        </w:rPr>
        <w:t>with</w:t>
      </w:r>
      <w:r w:rsidR="00D70A88">
        <w:rPr>
          <w:rFonts w:ascii="Verdana" w:hAnsi="Verdana"/>
          <w:lang w:val="en-GB"/>
        </w:rPr>
        <w:t xml:space="preserve"> STAR (v</w:t>
      </w:r>
      <w:r w:rsidR="00B40FA4">
        <w:rPr>
          <w:rFonts w:ascii="Verdana" w:hAnsi="Verdana"/>
          <w:lang w:val="en-GB"/>
        </w:rPr>
        <w:t xml:space="preserve">2.7.9a), </w:t>
      </w:r>
      <w:r w:rsidR="00FA4285">
        <w:rPr>
          <w:rFonts w:ascii="Verdana" w:hAnsi="Verdana"/>
          <w:lang w:val="en-GB"/>
        </w:rPr>
        <w:t>using</w:t>
      </w:r>
      <w:r w:rsidR="00B40FA4">
        <w:rPr>
          <w:rFonts w:ascii="Verdana" w:hAnsi="Verdana"/>
          <w:lang w:val="en-GB"/>
        </w:rPr>
        <w:t xml:space="preserve"> a custom-built genome composed of the GRCm39 </w:t>
      </w:r>
      <w:r w:rsidR="00B40FA4" w:rsidRPr="00B40FA4">
        <w:rPr>
          <w:rFonts w:ascii="Verdana" w:hAnsi="Verdana"/>
          <w:i/>
          <w:iCs/>
          <w:lang w:val="en-GB"/>
        </w:rPr>
        <w:t>Mus musculus</w:t>
      </w:r>
      <w:r w:rsidR="00B40FA4">
        <w:rPr>
          <w:rFonts w:ascii="Verdana" w:hAnsi="Verdana"/>
          <w:lang w:val="en-GB"/>
        </w:rPr>
        <w:t xml:space="preserve"> </w:t>
      </w:r>
      <w:r w:rsidR="00FA4285">
        <w:rPr>
          <w:rFonts w:ascii="Verdana" w:hAnsi="Verdana"/>
          <w:lang w:val="en-GB"/>
        </w:rPr>
        <w:t xml:space="preserve">assembly and the human </w:t>
      </w:r>
      <w:r w:rsidR="00FA4285" w:rsidRPr="00FA4285">
        <w:rPr>
          <w:rFonts w:ascii="Verdana" w:hAnsi="Verdana"/>
          <w:i/>
          <w:iCs/>
          <w:lang w:val="en-GB"/>
        </w:rPr>
        <w:t>SNCA</w:t>
      </w:r>
      <w:r w:rsidR="00FA4285">
        <w:rPr>
          <w:rFonts w:ascii="Verdana" w:hAnsi="Verdana"/>
          <w:lang w:val="en-GB"/>
        </w:rPr>
        <w:t xml:space="preserve"> transgene together with </w:t>
      </w:r>
      <w:proofErr w:type="spellStart"/>
      <w:r w:rsidR="00FA4285">
        <w:rPr>
          <w:rFonts w:ascii="Verdana" w:hAnsi="Verdana"/>
          <w:lang w:val="en-GB"/>
        </w:rPr>
        <w:t>Ensembl</w:t>
      </w:r>
      <w:proofErr w:type="spellEnd"/>
      <w:r w:rsidR="00FA4285">
        <w:rPr>
          <w:rFonts w:ascii="Verdana" w:hAnsi="Verdana"/>
          <w:lang w:val="en-GB"/>
        </w:rPr>
        <w:t xml:space="preserve"> annotations v104.</w:t>
      </w:r>
      <w:r w:rsidR="002940C6">
        <w:rPr>
          <w:rFonts w:ascii="Verdana" w:hAnsi="Verdana"/>
          <w:lang w:val="en-GB"/>
        </w:rPr>
        <w:t xml:space="preserve"> </w:t>
      </w:r>
      <w:r w:rsidR="002B6C0B">
        <w:rPr>
          <w:rFonts w:ascii="Verdana" w:hAnsi="Verdana"/>
          <w:lang w:val="en-GB"/>
        </w:rPr>
        <w:t xml:space="preserve">Quality of alignments was checked using </w:t>
      </w:r>
      <w:proofErr w:type="spellStart"/>
      <w:r w:rsidR="002B6C0B">
        <w:rPr>
          <w:rFonts w:ascii="Verdana" w:hAnsi="Verdana"/>
          <w:lang w:val="en-GB"/>
        </w:rPr>
        <w:t>samtools</w:t>
      </w:r>
      <w:proofErr w:type="spellEnd"/>
      <w:r w:rsidR="002B6C0B">
        <w:rPr>
          <w:rFonts w:ascii="Verdana" w:hAnsi="Verdana"/>
          <w:lang w:val="en-GB"/>
        </w:rPr>
        <w:t xml:space="preserve"> (v1.10) and visually inspected in the Integrative Genome Viewer. </w:t>
      </w:r>
      <w:r w:rsidR="008F72D6">
        <w:rPr>
          <w:rFonts w:ascii="Verdana" w:hAnsi="Verdana"/>
          <w:lang w:val="en-GB"/>
        </w:rPr>
        <w:t xml:space="preserve">Normalised read counts were obtained in R using DESeq2 (v1.36.0). </w:t>
      </w:r>
      <w:r w:rsidR="008F72D6" w:rsidRPr="008F72D6">
        <w:rPr>
          <w:rFonts w:ascii="Verdana" w:hAnsi="Verdana"/>
          <w:lang w:val="en-GB"/>
        </w:rPr>
        <w:t>Transcripts covered with less than 20 reads in at least 75% of the samples were excluded from the analysis</w:t>
      </w:r>
      <w:r w:rsidR="0072513F">
        <w:rPr>
          <w:rFonts w:ascii="Verdana" w:hAnsi="Verdana"/>
          <w:lang w:val="en-GB"/>
        </w:rPr>
        <w:t>,</w:t>
      </w:r>
      <w:r w:rsidR="008F72D6" w:rsidRPr="008F72D6">
        <w:rPr>
          <w:rFonts w:ascii="Verdana" w:hAnsi="Verdana"/>
          <w:lang w:val="en-GB"/>
        </w:rPr>
        <w:t xml:space="preserve"> leaving ~18500 genes for differential expression analysis.</w:t>
      </w:r>
      <w:r w:rsidR="00B62075">
        <w:rPr>
          <w:rFonts w:ascii="Verdana" w:hAnsi="Verdana"/>
          <w:lang w:val="en-GB"/>
        </w:rPr>
        <w:t xml:space="preserve"> </w:t>
      </w:r>
      <w:r w:rsidR="00F22A5B">
        <w:rPr>
          <w:rFonts w:ascii="Verdana" w:hAnsi="Verdana"/>
          <w:lang w:val="en-GB"/>
        </w:rPr>
        <w:t>A generalised linear model was used to model the expression of genes as a function of genotype, age, and their interaction</w:t>
      </w:r>
      <w:r w:rsidR="000C1E23">
        <w:rPr>
          <w:rFonts w:ascii="Verdana" w:hAnsi="Verdana"/>
          <w:lang w:val="en-GB"/>
        </w:rPr>
        <w:t xml:space="preserve">, and differentially expressed genes were determined using a cut-off of adjusted </w:t>
      </w:r>
      <w:r w:rsidR="000C1E23" w:rsidRPr="000C1E23">
        <w:rPr>
          <w:rFonts w:ascii="Verdana" w:hAnsi="Verdana"/>
          <w:i/>
          <w:iCs/>
          <w:lang w:val="en-GB"/>
        </w:rPr>
        <w:t>p</w:t>
      </w:r>
      <w:r w:rsidR="000C1E23">
        <w:rPr>
          <w:rFonts w:ascii="Verdana" w:hAnsi="Verdana"/>
          <w:lang w:val="en-GB"/>
        </w:rPr>
        <w:t xml:space="preserve">-value </w:t>
      </w:r>
      <w:r w:rsidR="000C1E23" w:rsidRPr="000C1E23">
        <w:rPr>
          <w:rFonts w:ascii="Verdana" w:hAnsi="Verdana" w:cs="Verdana"/>
          <w:lang w:val="en-GB"/>
        </w:rPr>
        <w:t>≤</w:t>
      </w:r>
      <w:r w:rsidR="000C1E23" w:rsidRPr="000C1E23">
        <w:rPr>
          <w:rFonts w:ascii="Arial" w:hAnsi="Arial" w:cs="Arial"/>
          <w:lang w:val="en-GB"/>
        </w:rPr>
        <w:t> </w:t>
      </w:r>
      <w:r w:rsidR="000C1E23" w:rsidRPr="000C1E23">
        <w:rPr>
          <w:rFonts w:ascii="Verdana" w:hAnsi="Verdana"/>
          <w:lang w:val="en-GB"/>
        </w:rPr>
        <w:t>0.05</w:t>
      </w:r>
      <w:r w:rsidR="00F22A5B">
        <w:rPr>
          <w:rFonts w:ascii="Verdana" w:hAnsi="Verdana"/>
          <w:lang w:val="en-GB"/>
        </w:rPr>
        <w:t xml:space="preserve">. To minimise unwanted variation between samples, </w:t>
      </w:r>
      <w:r w:rsidR="00B35DB6">
        <w:rPr>
          <w:rFonts w:ascii="Verdana" w:hAnsi="Verdana"/>
          <w:lang w:val="en-GB"/>
        </w:rPr>
        <w:t>a surrogate variable analysis (</w:t>
      </w:r>
      <w:proofErr w:type="spellStart"/>
      <w:r w:rsidR="00B35DB6">
        <w:rPr>
          <w:rFonts w:ascii="Verdana" w:hAnsi="Verdana"/>
          <w:lang w:val="en-GB"/>
        </w:rPr>
        <w:t>sva</w:t>
      </w:r>
      <w:proofErr w:type="spellEnd"/>
      <w:r w:rsidR="00B35DB6">
        <w:rPr>
          <w:rFonts w:ascii="Verdana" w:hAnsi="Verdana"/>
          <w:lang w:val="en-GB"/>
        </w:rPr>
        <w:t>, v3.44) was used.</w:t>
      </w:r>
      <w:r w:rsidR="00014E94">
        <w:rPr>
          <w:rFonts w:ascii="Verdana" w:hAnsi="Verdana"/>
          <w:lang w:val="en-GB"/>
        </w:rPr>
        <w:t xml:space="preserve"> </w:t>
      </w:r>
      <w:r w:rsidRPr="00014E94">
        <w:rPr>
          <w:rFonts w:ascii="Verdana" w:hAnsi="Verdana"/>
        </w:rPr>
        <w:t xml:space="preserve">Functional enrichments among differentially expressed genes were obtained with </w:t>
      </w:r>
      <w:r w:rsidRPr="00014E94">
        <w:rPr>
          <w:rFonts w:ascii="Verdana" w:hAnsi="Verdana"/>
          <w:i/>
          <w:iCs/>
        </w:rPr>
        <w:t>Gprofiler2</w:t>
      </w:r>
      <w:r w:rsidRPr="00014E94">
        <w:rPr>
          <w:rFonts w:ascii="Verdana" w:hAnsi="Verdana"/>
        </w:rPr>
        <w:t xml:space="preserve"> (v0.2.1) with </w:t>
      </w:r>
      <w:proofErr w:type="spellStart"/>
      <w:r w:rsidRPr="00014E94">
        <w:rPr>
          <w:rFonts w:ascii="Verdana" w:hAnsi="Verdana"/>
          <w:i/>
          <w:iCs/>
        </w:rPr>
        <w:t>p</w:t>
      </w:r>
      <w:r w:rsidRPr="00014E94">
        <w:rPr>
          <w:rFonts w:ascii="Verdana" w:hAnsi="Verdana"/>
          <w:vertAlign w:val="subscript"/>
        </w:rPr>
        <w:t>FDR</w:t>
      </w:r>
      <w:proofErr w:type="spellEnd"/>
      <w:r w:rsidRPr="00014E94">
        <w:rPr>
          <w:rFonts w:ascii="Arial" w:hAnsi="Arial" w:cs="Arial"/>
        </w:rPr>
        <w:t> </w:t>
      </w:r>
      <w:r w:rsidRPr="00014E94">
        <w:rPr>
          <w:rFonts w:ascii="Verdana" w:hAnsi="Verdana" w:cs="Verdana"/>
        </w:rPr>
        <w:t>≤</w:t>
      </w:r>
      <w:r w:rsidRPr="00014E94">
        <w:rPr>
          <w:rFonts w:ascii="Arial" w:hAnsi="Arial" w:cs="Arial"/>
        </w:rPr>
        <w:t> </w:t>
      </w:r>
      <w:r w:rsidRPr="00014E94">
        <w:rPr>
          <w:rFonts w:ascii="Verdana" w:hAnsi="Verdana"/>
        </w:rPr>
        <w:t>0.05.</w:t>
      </w:r>
    </w:p>
    <w:p w14:paraId="33522BE0" w14:textId="77777777" w:rsidR="002B499E" w:rsidRDefault="002B499E" w:rsidP="00112D02">
      <w:pPr>
        <w:spacing w:line="360" w:lineRule="auto"/>
        <w:ind w:firstLine="0"/>
        <w:jc w:val="both"/>
        <w:rPr>
          <w:rFonts w:ascii="Verdana" w:hAnsi="Verdana"/>
          <w:b/>
          <w:lang w:val="en-GB"/>
        </w:rPr>
      </w:pPr>
    </w:p>
    <w:p w14:paraId="677E8404" w14:textId="77777777" w:rsidR="002B499E" w:rsidRDefault="002B499E" w:rsidP="00BE59D3">
      <w:pPr>
        <w:spacing w:line="360" w:lineRule="auto"/>
        <w:jc w:val="both"/>
        <w:rPr>
          <w:rFonts w:ascii="Verdana" w:hAnsi="Verdana"/>
          <w:b/>
          <w:lang w:val="en-GB"/>
        </w:rPr>
      </w:pPr>
    </w:p>
    <w:p w14:paraId="153AE9E2" w14:textId="77777777" w:rsidR="002B499E" w:rsidRDefault="002B499E" w:rsidP="00BE59D3">
      <w:pPr>
        <w:spacing w:line="360" w:lineRule="auto"/>
        <w:jc w:val="both"/>
        <w:rPr>
          <w:rFonts w:ascii="Verdana" w:hAnsi="Verdana"/>
          <w:b/>
          <w:lang w:val="en-GB"/>
        </w:rPr>
      </w:pPr>
    </w:p>
    <w:p w14:paraId="68B670F2" w14:textId="77777777" w:rsidR="002B499E" w:rsidRDefault="002B499E" w:rsidP="00BE59D3">
      <w:pPr>
        <w:spacing w:line="360" w:lineRule="auto"/>
        <w:jc w:val="both"/>
        <w:rPr>
          <w:rFonts w:ascii="Verdana" w:hAnsi="Verdana"/>
          <w:b/>
          <w:lang w:val="en-GB"/>
        </w:rPr>
      </w:pPr>
    </w:p>
    <w:p w14:paraId="4430B23E" w14:textId="77777777" w:rsidR="002B499E" w:rsidRDefault="002B499E" w:rsidP="00BE59D3">
      <w:pPr>
        <w:spacing w:line="360" w:lineRule="auto"/>
        <w:jc w:val="both"/>
        <w:rPr>
          <w:rFonts w:ascii="Verdana" w:hAnsi="Verdana"/>
          <w:b/>
          <w:lang w:val="en-GB"/>
        </w:rPr>
      </w:pPr>
    </w:p>
    <w:p w14:paraId="077413D7" w14:textId="77777777" w:rsidR="002B499E" w:rsidRDefault="002B499E" w:rsidP="00BE59D3">
      <w:pPr>
        <w:spacing w:line="360" w:lineRule="auto"/>
        <w:jc w:val="both"/>
        <w:rPr>
          <w:rFonts w:ascii="Verdana" w:hAnsi="Verdana"/>
          <w:b/>
          <w:lang w:val="en-GB"/>
        </w:rPr>
      </w:pPr>
    </w:p>
    <w:p w14:paraId="26569E7C" w14:textId="6532CB05" w:rsidR="00454211" w:rsidRDefault="00454211">
      <w:pPr>
        <w:ind w:firstLine="0"/>
        <w:rPr>
          <w:rFonts w:ascii="Verdana" w:hAnsi="Verdana"/>
          <w:b/>
          <w:lang w:val="en-GB"/>
        </w:rPr>
      </w:pPr>
    </w:p>
    <w:p w14:paraId="73DC0A97" w14:textId="5B8F3233" w:rsidR="002B499E" w:rsidRDefault="002B499E" w:rsidP="00BE59D3">
      <w:pPr>
        <w:spacing w:line="360" w:lineRule="auto"/>
        <w:jc w:val="both"/>
        <w:rPr>
          <w:rFonts w:ascii="Verdana" w:hAnsi="Verdana"/>
          <w:b/>
          <w:lang w:val="en-GB"/>
        </w:rPr>
      </w:pPr>
    </w:p>
    <w:p w14:paraId="1F85A55F" w14:textId="6525F4FE" w:rsidR="00454211" w:rsidRDefault="00454211" w:rsidP="00BE59D3">
      <w:pPr>
        <w:spacing w:line="360" w:lineRule="auto"/>
        <w:jc w:val="both"/>
        <w:rPr>
          <w:rFonts w:ascii="Verdana" w:hAnsi="Verdana"/>
          <w:b/>
          <w:lang w:val="en-GB"/>
        </w:rPr>
      </w:pPr>
    </w:p>
    <w:p w14:paraId="7C34990C" w14:textId="08E06D54" w:rsidR="00454211" w:rsidRDefault="00454211" w:rsidP="00BE59D3">
      <w:pPr>
        <w:spacing w:line="360" w:lineRule="auto"/>
        <w:jc w:val="both"/>
        <w:rPr>
          <w:rFonts w:ascii="Verdana" w:hAnsi="Verdana"/>
          <w:b/>
          <w:lang w:val="en-GB"/>
        </w:rPr>
      </w:pPr>
    </w:p>
    <w:p w14:paraId="23530FA1" w14:textId="448B678F" w:rsidR="00454211" w:rsidRDefault="00454211" w:rsidP="00881BF7">
      <w:pPr>
        <w:spacing w:line="360" w:lineRule="auto"/>
        <w:ind w:firstLine="0"/>
        <w:jc w:val="both"/>
        <w:rPr>
          <w:rFonts w:ascii="Verdana" w:hAnsi="Verdana"/>
          <w:b/>
          <w:lang w:val="en-GB"/>
        </w:rPr>
      </w:pPr>
    </w:p>
    <w:p w14:paraId="3310AB26" w14:textId="77777777" w:rsidR="00454211" w:rsidRDefault="00454211" w:rsidP="00BE59D3">
      <w:pPr>
        <w:spacing w:line="360" w:lineRule="auto"/>
        <w:jc w:val="both"/>
        <w:rPr>
          <w:rFonts w:ascii="Verdana" w:hAnsi="Verdana"/>
          <w:b/>
          <w:lang w:val="en-GB"/>
        </w:rPr>
      </w:pPr>
    </w:p>
    <w:p w14:paraId="25E36B93" w14:textId="3F586357" w:rsidR="00BE59D3" w:rsidRDefault="00BE59D3" w:rsidP="00D535A2">
      <w:pPr>
        <w:pStyle w:val="Heading2"/>
        <w:rPr>
          <w:lang w:val="en-GB"/>
        </w:rPr>
      </w:pPr>
      <w:bookmarkStart w:id="52" w:name="_Toc130223418"/>
      <w:r w:rsidRPr="002B499E">
        <w:rPr>
          <w:lang w:val="en-GB"/>
        </w:rPr>
        <w:t>Protein analysis</w:t>
      </w:r>
      <w:bookmarkEnd w:id="52"/>
    </w:p>
    <w:p w14:paraId="3CE7E981" w14:textId="77777777" w:rsidR="00752CE8" w:rsidRPr="002B499E" w:rsidRDefault="00752CE8" w:rsidP="00BE59D3">
      <w:pPr>
        <w:spacing w:line="360" w:lineRule="auto"/>
        <w:jc w:val="both"/>
        <w:rPr>
          <w:rFonts w:ascii="Verdana" w:hAnsi="Verdana"/>
          <w:b/>
          <w:sz w:val="24"/>
          <w:szCs w:val="24"/>
          <w:lang w:val="en-GB"/>
        </w:rPr>
      </w:pPr>
    </w:p>
    <w:p w14:paraId="20A2A39F" w14:textId="77777777" w:rsidR="00BE59D3" w:rsidRPr="002B499E" w:rsidRDefault="00BE59D3" w:rsidP="00767F9D">
      <w:pPr>
        <w:pStyle w:val="Heading3"/>
        <w:rPr>
          <w:lang w:val="en-GB"/>
        </w:rPr>
      </w:pPr>
      <w:bookmarkStart w:id="53" w:name="_Toc130223419"/>
      <w:r w:rsidRPr="002B499E">
        <w:rPr>
          <w:lang w:val="en-GB"/>
        </w:rPr>
        <w:t>Protein extraction</w:t>
      </w:r>
      <w:bookmarkEnd w:id="53"/>
    </w:p>
    <w:p w14:paraId="1A6BCD9A" w14:textId="67A88786" w:rsidR="00BE59D3" w:rsidRPr="00BE59D3" w:rsidRDefault="00BE59D3" w:rsidP="00BE59D3">
      <w:pPr>
        <w:spacing w:line="360" w:lineRule="auto"/>
        <w:jc w:val="both"/>
        <w:rPr>
          <w:rFonts w:ascii="Verdana" w:hAnsi="Verdana"/>
          <w:lang w:val="en-GB"/>
        </w:rPr>
      </w:pPr>
      <w:r w:rsidRPr="00BE59D3">
        <w:rPr>
          <w:rFonts w:ascii="Verdana" w:hAnsi="Verdana"/>
          <w:lang w:val="en-GB"/>
        </w:rPr>
        <w:t xml:space="preserve">For total protein extraction, the brain regions of interest were homogenized using a </w:t>
      </w:r>
      <w:r w:rsidR="00F30AE4">
        <w:rPr>
          <w:rFonts w:ascii="Verdana" w:hAnsi="Verdana"/>
          <w:lang w:val="en-GB"/>
        </w:rPr>
        <w:t>D</w:t>
      </w:r>
      <w:r w:rsidRPr="00BE59D3">
        <w:rPr>
          <w:rFonts w:ascii="Verdana" w:hAnsi="Verdana"/>
          <w:lang w:val="en-GB"/>
        </w:rPr>
        <w:t>ounce homogenizer in a lysis buffer containing 10mM Tris, 0.32M sucrose, 2mM EDTA, 1mM sodium orthovanadate (proteases inhibitor) (Sigma), and antiprotease cocktail (Roche). A volume of 400</w:t>
      </w:r>
      <w:r w:rsidRPr="00BE59D3">
        <w:rPr>
          <w:rFonts w:ascii="Verdana" w:hAnsi="Verdana" w:cstheme="minorHAnsi"/>
          <w:lang w:val="en-GB"/>
        </w:rPr>
        <w:t>µ</w:t>
      </w:r>
      <w:r w:rsidRPr="00BE59D3">
        <w:rPr>
          <w:rFonts w:ascii="Verdana" w:hAnsi="Verdana"/>
          <w:lang w:val="en-GB"/>
        </w:rPr>
        <w:t>l and 800</w:t>
      </w:r>
      <w:r w:rsidRPr="00BE59D3">
        <w:rPr>
          <w:rFonts w:ascii="Verdana" w:hAnsi="Verdana" w:cstheme="minorHAnsi"/>
          <w:lang w:val="en-GB"/>
        </w:rPr>
        <w:t>µ</w:t>
      </w:r>
      <w:r w:rsidRPr="00BE59D3">
        <w:rPr>
          <w:rFonts w:ascii="Verdana" w:hAnsi="Verdana"/>
          <w:lang w:val="en-GB"/>
        </w:rPr>
        <w:t>l of lysis buffer was used for hippocampus and cortex respectively. The protein extraction was performed on ice, and the extracted proteins were immediately frozen in dry ice and stored at -80</w:t>
      </w:r>
      <w:r w:rsidRPr="00BE59D3">
        <w:rPr>
          <w:rFonts w:ascii="Verdana" w:hAnsi="Verdana" w:cstheme="minorHAnsi"/>
          <w:lang w:val="en-GB"/>
        </w:rPr>
        <w:t>°</w:t>
      </w:r>
      <w:r w:rsidRPr="00BE59D3">
        <w:rPr>
          <w:rFonts w:ascii="Verdana" w:hAnsi="Verdana"/>
          <w:lang w:val="en-GB"/>
        </w:rPr>
        <w:t>C until use.</w:t>
      </w:r>
    </w:p>
    <w:p w14:paraId="34BB4152" w14:textId="77777777" w:rsidR="00BE59D3" w:rsidRPr="00BE59D3" w:rsidRDefault="00BE59D3" w:rsidP="00BE59D3">
      <w:pPr>
        <w:spacing w:line="360" w:lineRule="auto"/>
        <w:jc w:val="both"/>
        <w:rPr>
          <w:rFonts w:ascii="Verdana" w:hAnsi="Verdana"/>
          <w:lang w:val="en-GB"/>
        </w:rPr>
      </w:pPr>
    </w:p>
    <w:p w14:paraId="0EC5BF5C" w14:textId="77777777" w:rsidR="00BE59D3" w:rsidRPr="00DF3B42" w:rsidRDefault="00BE59D3" w:rsidP="00767F9D">
      <w:pPr>
        <w:pStyle w:val="Heading3"/>
        <w:rPr>
          <w:lang w:val="en-GB"/>
        </w:rPr>
      </w:pPr>
      <w:bookmarkStart w:id="54" w:name="_Toc130223420"/>
      <w:r w:rsidRPr="00DF3B42">
        <w:rPr>
          <w:lang w:val="en-GB"/>
        </w:rPr>
        <w:t>Western Blot</w:t>
      </w:r>
      <w:bookmarkEnd w:id="54"/>
    </w:p>
    <w:p w14:paraId="534AD45C" w14:textId="7C2D594F" w:rsidR="00BE59D3" w:rsidRPr="00BE59D3" w:rsidRDefault="00BE59D3" w:rsidP="00BE59D3">
      <w:pPr>
        <w:spacing w:line="360" w:lineRule="auto"/>
        <w:jc w:val="both"/>
        <w:rPr>
          <w:rFonts w:ascii="Verdana" w:hAnsi="Verdana"/>
          <w:lang w:val="en-GB"/>
        </w:rPr>
      </w:pPr>
      <w:r w:rsidRPr="00BE59D3">
        <w:rPr>
          <w:rFonts w:ascii="Verdana" w:hAnsi="Verdana"/>
          <w:lang w:val="en-GB"/>
        </w:rPr>
        <w:t>Protein concentrations were determined by a Bradford assay using the Protein Assay Dye Reagent Concentrate (</w:t>
      </w:r>
      <w:proofErr w:type="spellStart"/>
      <w:r w:rsidRPr="00BE59D3">
        <w:rPr>
          <w:rFonts w:ascii="Verdana" w:hAnsi="Verdana"/>
          <w:lang w:val="en-GB"/>
        </w:rPr>
        <w:t>BioRad</w:t>
      </w:r>
      <w:proofErr w:type="spellEnd"/>
      <w:r w:rsidRPr="00BE59D3">
        <w:rPr>
          <w:rFonts w:ascii="Verdana" w:hAnsi="Verdana"/>
          <w:lang w:val="en-GB"/>
        </w:rPr>
        <w:t xml:space="preserve">). Samples were mixed with 4x </w:t>
      </w:r>
      <w:proofErr w:type="spellStart"/>
      <w:r w:rsidRPr="00BE59D3">
        <w:rPr>
          <w:rFonts w:ascii="Verdana" w:hAnsi="Verdana"/>
          <w:lang w:val="en-GB"/>
        </w:rPr>
        <w:t>Laemmli</w:t>
      </w:r>
      <w:proofErr w:type="spellEnd"/>
      <w:r w:rsidRPr="00BE59D3">
        <w:rPr>
          <w:rFonts w:ascii="Verdana" w:hAnsi="Verdana"/>
          <w:lang w:val="en-GB"/>
        </w:rPr>
        <w:t xml:space="preserve"> sample buffer containing </w:t>
      </w:r>
      <w:r w:rsidRPr="00BE59D3">
        <w:rPr>
          <w:rFonts w:ascii="Verdana" w:hAnsi="Verdana" w:cstheme="minorHAnsi"/>
          <w:lang w:val="en-GB"/>
        </w:rPr>
        <w:t>β</w:t>
      </w:r>
      <w:r w:rsidRPr="00BE59D3">
        <w:rPr>
          <w:rFonts w:ascii="Verdana" w:hAnsi="Verdana"/>
          <w:lang w:val="en-GB"/>
        </w:rPr>
        <w:t>-</w:t>
      </w:r>
      <w:proofErr w:type="spellStart"/>
      <w:r w:rsidRPr="00BE59D3">
        <w:rPr>
          <w:rFonts w:ascii="Verdana" w:hAnsi="Verdana"/>
          <w:lang w:val="en-GB"/>
        </w:rPr>
        <w:t>mercapto</w:t>
      </w:r>
      <w:proofErr w:type="spellEnd"/>
      <w:r w:rsidRPr="00BE59D3">
        <w:rPr>
          <w:rFonts w:ascii="Verdana" w:hAnsi="Verdana"/>
          <w:lang w:val="en-GB"/>
        </w:rPr>
        <w:t>-ethanol and boiled at 95</w:t>
      </w:r>
      <w:r w:rsidRPr="00BE59D3">
        <w:rPr>
          <w:rFonts w:ascii="Verdana" w:hAnsi="Verdana" w:cstheme="minorHAnsi"/>
          <w:lang w:val="en-GB"/>
        </w:rPr>
        <w:t>°</w:t>
      </w:r>
      <w:r w:rsidRPr="00BE59D3">
        <w:rPr>
          <w:rFonts w:ascii="Verdana" w:hAnsi="Verdana"/>
          <w:lang w:val="en-GB"/>
        </w:rPr>
        <w:t xml:space="preserve">C for 5 minutes. </w:t>
      </w:r>
      <w:r w:rsidR="004F7345">
        <w:rPr>
          <w:rFonts w:ascii="Verdana" w:hAnsi="Verdana"/>
          <w:lang w:val="en-GB"/>
        </w:rPr>
        <w:t>1</w:t>
      </w:r>
      <w:r w:rsidRPr="004F7345">
        <w:rPr>
          <w:rFonts w:ascii="Verdana" w:hAnsi="Verdana"/>
          <w:lang w:val="en-GB"/>
        </w:rPr>
        <w:t>2</w:t>
      </w:r>
      <w:r w:rsidRPr="004F7345">
        <w:rPr>
          <w:rFonts w:ascii="Verdana" w:hAnsi="Verdana" w:cstheme="minorHAnsi"/>
          <w:lang w:val="en-GB"/>
        </w:rPr>
        <w:t>µ</w:t>
      </w:r>
      <w:r w:rsidRPr="004F7345">
        <w:rPr>
          <w:rFonts w:ascii="Verdana" w:hAnsi="Verdana"/>
          <w:lang w:val="en-GB"/>
        </w:rPr>
        <w:t xml:space="preserve">g </w:t>
      </w:r>
      <w:r w:rsidRPr="00BE59D3">
        <w:rPr>
          <w:rFonts w:ascii="Verdana" w:hAnsi="Verdana"/>
          <w:lang w:val="en-GB"/>
        </w:rPr>
        <w:t xml:space="preserve">of total protein were run on a 15% SDS-PAGE gel using a mini-PROTEAN Tetra </w:t>
      </w:r>
      <w:proofErr w:type="spellStart"/>
      <w:r w:rsidRPr="00BE59D3">
        <w:rPr>
          <w:rFonts w:ascii="Verdana" w:hAnsi="Verdana"/>
          <w:lang w:val="en-GB"/>
        </w:rPr>
        <w:t>Handcast</w:t>
      </w:r>
      <w:proofErr w:type="spellEnd"/>
      <w:r w:rsidRPr="00BE59D3">
        <w:rPr>
          <w:rFonts w:ascii="Verdana" w:hAnsi="Verdana"/>
          <w:lang w:val="en-GB"/>
        </w:rPr>
        <w:t xml:space="preserve"> and Electrophoresis System (</w:t>
      </w:r>
      <w:proofErr w:type="spellStart"/>
      <w:r w:rsidRPr="00BE59D3">
        <w:rPr>
          <w:rFonts w:ascii="Verdana" w:hAnsi="Verdana"/>
          <w:lang w:val="en-GB"/>
        </w:rPr>
        <w:t>BioRad</w:t>
      </w:r>
      <w:proofErr w:type="spellEnd"/>
      <w:r w:rsidRPr="00BE59D3">
        <w:rPr>
          <w:rFonts w:ascii="Verdana" w:hAnsi="Verdana"/>
          <w:lang w:val="en-GB"/>
        </w:rPr>
        <w:t xml:space="preserve">) at 200V constant. As a molecular </w:t>
      </w:r>
      <w:proofErr w:type="gramStart"/>
      <w:r w:rsidRPr="00BE59D3">
        <w:rPr>
          <w:rFonts w:ascii="Verdana" w:hAnsi="Verdana"/>
          <w:lang w:val="en-GB"/>
        </w:rPr>
        <w:t>weights</w:t>
      </w:r>
      <w:proofErr w:type="gramEnd"/>
      <w:r w:rsidRPr="00BE59D3">
        <w:rPr>
          <w:rFonts w:ascii="Verdana" w:hAnsi="Verdana"/>
          <w:lang w:val="en-GB"/>
        </w:rPr>
        <w:t xml:space="preserve"> marker, 10ul of the Precision Plus Protein Dual </w:t>
      </w:r>
      <w:proofErr w:type="spellStart"/>
      <w:r w:rsidRPr="00BE59D3">
        <w:rPr>
          <w:rFonts w:ascii="Verdana" w:hAnsi="Verdana"/>
          <w:lang w:val="en-GB"/>
        </w:rPr>
        <w:t>Color</w:t>
      </w:r>
      <w:proofErr w:type="spellEnd"/>
      <w:r w:rsidRPr="00BE59D3">
        <w:rPr>
          <w:rFonts w:ascii="Verdana" w:hAnsi="Verdana"/>
          <w:lang w:val="en-GB"/>
        </w:rPr>
        <w:t xml:space="preserve"> Standard were used. After separation, the proteins were transferred on a nitrocellulose membrane using the</w:t>
      </w:r>
      <w:r w:rsidR="007A0411">
        <w:rPr>
          <w:rFonts w:ascii="Verdana" w:hAnsi="Verdana"/>
          <w:lang w:val="en-GB"/>
        </w:rPr>
        <w:t xml:space="preserve"> </w:t>
      </w:r>
      <w:r w:rsidRPr="00BE59D3">
        <w:rPr>
          <w:rFonts w:ascii="Verdana" w:hAnsi="Verdana"/>
          <w:lang w:val="en-GB"/>
        </w:rPr>
        <w:t>Trans-Blot Turbo Transfer System (</w:t>
      </w:r>
      <w:proofErr w:type="spellStart"/>
      <w:r w:rsidRPr="00BE59D3">
        <w:rPr>
          <w:rFonts w:ascii="Verdana" w:hAnsi="Verdana"/>
          <w:lang w:val="en-GB"/>
        </w:rPr>
        <w:t>BioRad</w:t>
      </w:r>
      <w:proofErr w:type="spellEnd"/>
      <w:r w:rsidRPr="00BE59D3">
        <w:rPr>
          <w:rFonts w:ascii="Verdana" w:hAnsi="Verdana"/>
          <w:lang w:val="en-GB"/>
        </w:rPr>
        <w:t xml:space="preserve">). Protein transfer and correct separation was assessed using a Ponceau staining solution (Cleaver Scientific </w:t>
      </w:r>
      <w:proofErr w:type="spellStart"/>
      <w:r w:rsidRPr="00BE59D3">
        <w:rPr>
          <w:rFonts w:ascii="Verdana" w:hAnsi="Verdana"/>
          <w:lang w:val="en-GB"/>
        </w:rPr>
        <w:t>Ldt</w:t>
      </w:r>
      <w:proofErr w:type="spellEnd"/>
      <w:r w:rsidRPr="00BE59D3">
        <w:rPr>
          <w:rFonts w:ascii="Verdana" w:hAnsi="Verdana"/>
          <w:lang w:val="en-GB"/>
        </w:rPr>
        <w:t xml:space="preserve">). After Ponceau staining, </w:t>
      </w:r>
      <w:r w:rsidR="00096258">
        <w:rPr>
          <w:rFonts w:ascii="Verdana" w:hAnsi="Verdana"/>
          <w:lang w:val="en-GB"/>
        </w:rPr>
        <w:t>the membranes</w:t>
      </w:r>
      <w:r w:rsidRPr="00BE59D3">
        <w:rPr>
          <w:rFonts w:ascii="Verdana" w:hAnsi="Verdana"/>
          <w:lang w:val="en-GB"/>
        </w:rPr>
        <w:t xml:space="preserve"> were washed with PBS + 0.01% Tween20 (PBS-Tw) and blocked with 3% milk in PBS-</w:t>
      </w:r>
      <w:r w:rsidRPr="00BE59D3">
        <w:rPr>
          <w:rFonts w:ascii="Verdana" w:hAnsi="Verdana"/>
          <w:lang w:val="en-GB"/>
        </w:rPr>
        <w:lastRenderedPageBreak/>
        <w:t>Tw for 2 hours at RT on a shaker. Primary antibodies were diluted in 3% milk in PBS-Tw and membranes were incubated overnight at 4</w:t>
      </w:r>
      <w:r w:rsidRPr="00BE59D3">
        <w:rPr>
          <w:rFonts w:ascii="Verdana" w:hAnsi="Verdana" w:cstheme="minorHAnsi"/>
          <w:lang w:val="en-GB"/>
        </w:rPr>
        <w:t>°</w:t>
      </w:r>
      <w:r w:rsidRPr="00BE59D3">
        <w:rPr>
          <w:rFonts w:ascii="Verdana" w:hAnsi="Verdana"/>
          <w:lang w:val="en-GB"/>
        </w:rPr>
        <w:t>C on a shaker. For total alpha-synuclein detection, we used the rabbit polyclonal anti-pan-</w:t>
      </w:r>
      <w:r w:rsidRPr="00BE59D3">
        <w:rPr>
          <w:rFonts w:ascii="Verdana" w:hAnsi="Verdana" w:cstheme="minorHAnsi"/>
          <w:lang w:val="en-GB"/>
        </w:rPr>
        <w:t>α</w:t>
      </w:r>
      <w:r w:rsidRPr="00BE59D3">
        <w:rPr>
          <w:rFonts w:ascii="Verdana" w:hAnsi="Verdana"/>
          <w:lang w:val="en-GB"/>
        </w:rPr>
        <w:t>Syn antibody (S3062, Sigma-Aldrich, 1:1000).</w:t>
      </w:r>
      <w:r w:rsidR="00A774A6">
        <w:rPr>
          <w:rFonts w:ascii="Verdana" w:hAnsi="Verdana"/>
          <w:lang w:val="en-GB"/>
        </w:rPr>
        <w:t xml:space="preserve"> For human </w:t>
      </w:r>
      <w:r w:rsidR="00641311">
        <w:rPr>
          <w:rFonts w:ascii="Verdana" w:hAnsi="Verdana"/>
          <w:lang w:val="en-GB"/>
        </w:rPr>
        <w:t>alpha-synuclein detection, we used the</w:t>
      </w:r>
      <w:r w:rsidR="00440471" w:rsidRPr="00440471">
        <w:rPr>
          <w:rFonts w:ascii="Verdana" w:hAnsi="Verdana"/>
          <w:lang w:val="en-GB"/>
        </w:rPr>
        <w:t xml:space="preserve"> </w:t>
      </w:r>
      <w:r w:rsidR="00440471" w:rsidRPr="00BE59D3">
        <w:rPr>
          <w:rFonts w:ascii="Verdana" w:hAnsi="Verdana"/>
          <w:lang w:val="en-GB"/>
        </w:rPr>
        <w:t>mouse monoclonal anti-human-</w:t>
      </w:r>
      <w:r w:rsidR="00440471" w:rsidRPr="00BE59D3">
        <w:rPr>
          <w:rFonts w:ascii="Verdana" w:hAnsi="Verdana" w:cstheme="minorHAnsi"/>
          <w:lang w:val="en-GB"/>
        </w:rPr>
        <w:t>α</w:t>
      </w:r>
      <w:r w:rsidR="00440471" w:rsidRPr="00BE59D3">
        <w:rPr>
          <w:rFonts w:ascii="Verdana" w:hAnsi="Verdana"/>
          <w:lang w:val="en-GB"/>
        </w:rPr>
        <w:t>Syn (clone Syn211, S5566, Sigma-Aldrich, 1:1000</w:t>
      </w:r>
      <w:r w:rsidR="009C0FF0">
        <w:rPr>
          <w:rFonts w:ascii="Verdana" w:hAnsi="Verdana"/>
          <w:lang w:val="en-GB"/>
        </w:rPr>
        <w:t>).</w:t>
      </w:r>
      <w:r w:rsidRPr="00BE59D3">
        <w:rPr>
          <w:rFonts w:ascii="Verdana" w:hAnsi="Verdana"/>
          <w:lang w:val="en-GB"/>
        </w:rPr>
        <w:t xml:space="preserve"> As a loading control, we used </w:t>
      </w:r>
      <w:r w:rsidR="00E453B3">
        <w:rPr>
          <w:rFonts w:ascii="Verdana" w:hAnsi="Verdana"/>
          <w:lang w:val="en-GB"/>
        </w:rPr>
        <w:t>a rabbit polyclonal</w:t>
      </w:r>
      <w:r w:rsidRPr="009C0FF0">
        <w:rPr>
          <w:rFonts w:ascii="Verdana" w:hAnsi="Verdana"/>
          <w:color w:val="FF0000"/>
          <w:lang w:val="en-GB"/>
        </w:rPr>
        <w:t xml:space="preserve"> </w:t>
      </w:r>
      <w:r w:rsidRPr="009C0FF0">
        <w:rPr>
          <w:rFonts w:ascii="Verdana" w:hAnsi="Verdana"/>
          <w:lang w:val="en-GB"/>
        </w:rPr>
        <w:t>anti-</w:t>
      </w:r>
      <w:r w:rsidR="009C0FF0">
        <w:rPr>
          <w:rFonts w:ascii="Verdana" w:hAnsi="Verdana" w:cstheme="minorHAnsi"/>
          <w:lang w:val="en-GB"/>
        </w:rPr>
        <w:t>beta-Actin</w:t>
      </w:r>
      <w:r w:rsidRPr="009C0FF0">
        <w:rPr>
          <w:rFonts w:ascii="Verdana" w:hAnsi="Verdana"/>
          <w:lang w:val="en-GB"/>
        </w:rPr>
        <w:t xml:space="preserve"> </w:t>
      </w:r>
      <w:r w:rsidRPr="00BE59D3">
        <w:rPr>
          <w:rFonts w:ascii="Verdana" w:hAnsi="Verdana"/>
          <w:lang w:val="en-GB"/>
        </w:rPr>
        <w:t>antibody (</w:t>
      </w:r>
      <w:r w:rsidRPr="00A23746">
        <w:rPr>
          <w:rFonts w:ascii="Verdana" w:hAnsi="Verdana"/>
          <w:lang w:val="en-GB"/>
        </w:rPr>
        <w:t>ab</w:t>
      </w:r>
      <w:r w:rsidR="00A23746" w:rsidRPr="00A23746">
        <w:rPr>
          <w:rFonts w:ascii="Verdana" w:hAnsi="Verdana"/>
          <w:lang w:val="en-GB"/>
        </w:rPr>
        <w:t>8227</w:t>
      </w:r>
      <w:r w:rsidRPr="00A23746">
        <w:rPr>
          <w:rFonts w:ascii="Verdana" w:hAnsi="Verdana"/>
          <w:lang w:val="en-GB"/>
        </w:rPr>
        <w:t xml:space="preserve">, Abcam, </w:t>
      </w:r>
      <w:r w:rsidRPr="00BE59D3">
        <w:rPr>
          <w:rFonts w:ascii="Verdana" w:hAnsi="Verdana"/>
          <w:lang w:val="en-GB"/>
        </w:rPr>
        <w:t>1:1000)</w:t>
      </w:r>
      <w:r w:rsidR="00B1611C">
        <w:rPr>
          <w:rFonts w:ascii="Verdana" w:hAnsi="Verdana"/>
          <w:lang w:val="en-GB"/>
        </w:rPr>
        <w:t>, or a</w:t>
      </w:r>
      <w:r w:rsidR="00B1611C" w:rsidRPr="00AE17C4">
        <w:rPr>
          <w:rFonts w:ascii="Verdana" w:hAnsi="Verdana"/>
        </w:rPr>
        <w:t xml:space="preserve"> mouse</w:t>
      </w:r>
      <w:r w:rsidR="00B1611C">
        <w:rPr>
          <w:rFonts w:ascii="Verdana" w:hAnsi="Verdana"/>
        </w:rPr>
        <w:t xml:space="preserve"> monoclonal</w:t>
      </w:r>
      <w:r w:rsidR="00B1611C" w:rsidRPr="00AE17C4">
        <w:rPr>
          <w:rFonts w:ascii="Verdana" w:hAnsi="Verdana"/>
        </w:rPr>
        <w:t xml:space="preserve"> anti-</w:t>
      </w:r>
      <w:r w:rsidR="00B1611C">
        <w:rPr>
          <w:rFonts w:ascii="Verdana" w:hAnsi="Verdana"/>
        </w:rPr>
        <w:t>α</w:t>
      </w:r>
      <w:r w:rsidR="00B1611C" w:rsidRPr="00AE17C4">
        <w:rPr>
          <w:rFonts w:ascii="Verdana" w:hAnsi="Verdana"/>
        </w:rPr>
        <w:t>-tubulin antibody (clone [DM1A], ab7291, Abcam, 1:1000)</w:t>
      </w:r>
      <w:r w:rsidRPr="00BE59D3">
        <w:rPr>
          <w:rFonts w:ascii="Verdana" w:hAnsi="Verdana"/>
          <w:lang w:val="en-GB"/>
        </w:rPr>
        <w:t xml:space="preserve">. The next day, membranes were washed 3 x 10 minutes in PBS-Tw and incubated with the secondary antibodies diluted in 3% milk in PBS-Tw for 1 hour at RT on a shaker. The LI-COR </w:t>
      </w:r>
      <w:proofErr w:type="spellStart"/>
      <w:r w:rsidRPr="00BE59D3">
        <w:rPr>
          <w:rFonts w:ascii="Verdana" w:hAnsi="Verdana"/>
          <w:lang w:val="en-GB"/>
        </w:rPr>
        <w:t>IRDyeR</w:t>
      </w:r>
      <w:proofErr w:type="spellEnd"/>
      <w:r w:rsidRPr="00BE59D3">
        <w:rPr>
          <w:rFonts w:ascii="Verdana" w:hAnsi="Verdana"/>
          <w:lang w:val="en-GB"/>
        </w:rPr>
        <w:t xml:space="preserve"> 800CW donkey anti-rabbit (1:10000), and the </w:t>
      </w:r>
      <w:proofErr w:type="spellStart"/>
      <w:r w:rsidRPr="00BE59D3">
        <w:rPr>
          <w:rFonts w:ascii="Verdana" w:hAnsi="Verdana"/>
          <w:lang w:val="en-GB"/>
        </w:rPr>
        <w:t>IRDyeR</w:t>
      </w:r>
      <w:proofErr w:type="spellEnd"/>
      <w:r w:rsidRPr="00BE59D3">
        <w:rPr>
          <w:rFonts w:ascii="Verdana" w:hAnsi="Verdana"/>
          <w:lang w:val="en-GB"/>
        </w:rPr>
        <w:t xml:space="preserve"> 680LT donkey anti-mouse (1:10000) were used. Next, membranes were washed 3 x 20 minutes at RT on a shaker and imaged with the Odyssey® </w:t>
      </w:r>
      <w:proofErr w:type="spellStart"/>
      <w:r w:rsidRPr="00BE59D3">
        <w:rPr>
          <w:rFonts w:ascii="Verdana" w:hAnsi="Verdana"/>
          <w:lang w:val="en-GB"/>
        </w:rPr>
        <w:t>CLx</w:t>
      </w:r>
      <w:proofErr w:type="spellEnd"/>
      <w:r w:rsidRPr="00BE59D3">
        <w:rPr>
          <w:rFonts w:ascii="Verdana" w:hAnsi="Verdana"/>
          <w:lang w:val="en-GB"/>
        </w:rPr>
        <w:t xml:space="preserve"> Infrared Imaging System (LI-COR Biosciences).</w:t>
      </w:r>
    </w:p>
    <w:p w14:paraId="78C1A024" w14:textId="77777777" w:rsidR="00BE59D3" w:rsidRPr="00BE59D3" w:rsidRDefault="00BE59D3" w:rsidP="00BE59D3">
      <w:pPr>
        <w:spacing w:line="360" w:lineRule="auto"/>
        <w:jc w:val="both"/>
        <w:rPr>
          <w:rFonts w:ascii="Verdana" w:hAnsi="Verdana"/>
          <w:lang w:val="en-GB"/>
        </w:rPr>
      </w:pPr>
      <w:r w:rsidRPr="00BE59D3">
        <w:rPr>
          <w:rFonts w:ascii="Verdana" w:hAnsi="Verdana"/>
          <w:lang w:val="en-GB"/>
        </w:rPr>
        <w:t>Protein concentration was quantified using the ImageJ software.</w:t>
      </w:r>
    </w:p>
    <w:p w14:paraId="3729734C" w14:textId="77777777" w:rsidR="00BE59D3" w:rsidRPr="00BE59D3" w:rsidRDefault="00BE59D3" w:rsidP="00BE59D3">
      <w:pPr>
        <w:spacing w:line="360" w:lineRule="auto"/>
        <w:jc w:val="both"/>
        <w:rPr>
          <w:rFonts w:ascii="Verdana" w:hAnsi="Verdana"/>
          <w:u w:val="single"/>
          <w:lang w:val="en-GB"/>
        </w:rPr>
      </w:pPr>
    </w:p>
    <w:p w14:paraId="4C390BF1" w14:textId="77777777" w:rsidR="00BE59D3" w:rsidRPr="00DF3B42" w:rsidRDefault="00BE59D3" w:rsidP="00767F9D">
      <w:pPr>
        <w:pStyle w:val="Heading3"/>
        <w:rPr>
          <w:lang w:val="en-GB"/>
        </w:rPr>
      </w:pPr>
      <w:bookmarkStart w:id="55" w:name="_Toc130223421"/>
      <w:r w:rsidRPr="00DF3B42">
        <w:rPr>
          <w:lang w:val="en-GB"/>
        </w:rPr>
        <w:t>Immunofluorescence staining on free-floating brain sections</w:t>
      </w:r>
      <w:bookmarkEnd w:id="55"/>
    </w:p>
    <w:p w14:paraId="438BF484" w14:textId="777B9469" w:rsidR="00BE59D3" w:rsidRPr="006679C6" w:rsidRDefault="00BE59D3" w:rsidP="00183167">
      <w:pPr>
        <w:autoSpaceDE w:val="0"/>
        <w:autoSpaceDN w:val="0"/>
        <w:adjustRightInd w:val="0"/>
        <w:spacing w:after="0" w:line="360" w:lineRule="auto"/>
        <w:jc w:val="both"/>
        <w:rPr>
          <w:rFonts w:ascii="Verdana" w:hAnsi="Verdana"/>
          <w:lang w:val="en-GB"/>
        </w:rPr>
      </w:pPr>
      <w:r w:rsidRPr="00BE59D3">
        <w:rPr>
          <w:rFonts w:ascii="Verdana" w:hAnsi="Verdana"/>
          <w:lang w:val="en-GB"/>
        </w:rPr>
        <w:t>Immunofluorescence staining of free-floating brain sections was performed as previously described in Ashrafi et al., 2017. Briefly, sections were collected into a 24 wells plate with mesh and washed 3 x 10 minutes in PBS + 0.1% Triton X100 (PBS-T) to remove the cryo-protective solution. Then, the sections were permeabilised with a solution containing 1% Triton X100 and 3% H</w:t>
      </w:r>
      <w:r w:rsidRPr="00BE59D3">
        <w:rPr>
          <w:rFonts w:ascii="Verdana" w:hAnsi="Verdana"/>
          <w:vertAlign w:val="subscript"/>
          <w:lang w:val="en-GB"/>
        </w:rPr>
        <w:t>2</w:t>
      </w:r>
      <w:r w:rsidRPr="00BE59D3">
        <w:rPr>
          <w:rFonts w:ascii="Verdana" w:hAnsi="Verdana"/>
          <w:lang w:val="en-GB"/>
        </w:rPr>
        <w:t>O</w:t>
      </w:r>
      <w:r w:rsidRPr="00BE59D3">
        <w:rPr>
          <w:rFonts w:ascii="Verdana" w:hAnsi="Verdana"/>
          <w:vertAlign w:val="subscript"/>
          <w:lang w:val="en-GB"/>
        </w:rPr>
        <w:t>2</w:t>
      </w:r>
      <w:r w:rsidRPr="00BE59D3">
        <w:rPr>
          <w:rFonts w:ascii="Verdana" w:hAnsi="Verdana"/>
          <w:lang w:val="en-GB"/>
        </w:rPr>
        <w:t xml:space="preserve"> in PBS, for 30 minutes at RT on a shaker. Sections were washed 2 x 5 minutes with PBS-T and blocked with 5% BSA or goat serum in PBS-T for 1 hour at RT on shaker. After a quick rinse in PBS-T, sections were incubated overnight at RT on shaker with the primary antibodies diluted in 2% BSA in PBS-T. The following primary antibodies were used: mouse monoclonal anti-human-</w:t>
      </w:r>
      <w:r w:rsidRPr="00BE59D3">
        <w:rPr>
          <w:rFonts w:ascii="Verdana" w:hAnsi="Verdana" w:cstheme="minorHAnsi"/>
          <w:lang w:val="en-GB"/>
        </w:rPr>
        <w:t>α</w:t>
      </w:r>
      <w:r w:rsidRPr="00BE59D3">
        <w:rPr>
          <w:rFonts w:ascii="Verdana" w:hAnsi="Verdana"/>
          <w:lang w:val="en-GB"/>
        </w:rPr>
        <w:t>Syn (clone Syn211, S5566, Sigma-Aldrich, 1:1000); rabbit polyclonal anti-pan-</w:t>
      </w:r>
      <w:r w:rsidRPr="00BE59D3">
        <w:rPr>
          <w:rFonts w:ascii="Verdana" w:hAnsi="Verdana" w:cstheme="minorHAnsi"/>
          <w:lang w:val="en-GB"/>
        </w:rPr>
        <w:t>α</w:t>
      </w:r>
      <w:r w:rsidRPr="00BE59D3">
        <w:rPr>
          <w:rFonts w:ascii="Verdana" w:hAnsi="Verdana"/>
          <w:lang w:val="en-GB"/>
        </w:rPr>
        <w:t>Syn (S3062 Sigma-Aldrich, 1:1000);</w:t>
      </w:r>
      <w:r w:rsidR="004E1665">
        <w:rPr>
          <w:rFonts w:ascii="Verdana" w:hAnsi="Verdana"/>
          <w:lang w:val="en-GB"/>
        </w:rPr>
        <w:t xml:space="preserve"> </w:t>
      </w:r>
      <w:r w:rsidR="004E1665" w:rsidRPr="00AE17C4">
        <w:rPr>
          <w:rFonts w:ascii="Verdana" w:hAnsi="Verdana"/>
        </w:rPr>
        <w:t xml:space="preserve">rabbit </w:t>
      </w:r>
      <w:r w:rsidR="004E1665">
        <w:rPr>
          <w:rFonts w:ascii="Verdana" w:hAnsi="Verdana"/>
        </w:rPr>
        <w:t xml:space="preserve">monoclonal </w:t>
      </w:r>
      <w:r w:rsidR="004E1665" w:rsidRPr="00AE17C4">
        <w:rPr>
          <w:rFonts w:ascii="Verdana" w:hAnsi="Verdana"/>
        </w:rPr>
        <w:t xml:space="preserve">murine specific </w:t>
      </w:r>
      <w:r w:rsidR="00183167">
        <w:rPr>
          <w:rFonts w:ascii="Verdana" w:hAnsi="Verdana"/>
        </w:rPr>
        <w:t>α</w:t>
      </w:r>
      <w:r w:rsidR="004E1665" w:rsidRPr="00AE17C4">
        <w:rPr>
          <w:rFonts w:ascii="Verdana" w:hAnsi="Verdana"/>
        </w:rPr>
        <w:t xml:space="preserve">Syn </w:t>
      </w:r>
      <w:r w:rsidR="00183167">
        <w:rPr>
          <w:rFonts w:ascii="Verdana" w:hAnsi="Verdana"/>
        </w:rPr>
        <w:t xml:space="preserve">(clone </w:t>
      </w:r>
      <w:r w:rsidR="004E1665" w:rsidRPr="00AE17C4">
        <w:rPr>
          <w:rFonts w:ascii="Verdana" w:hAnsi="Verdana"/>
        </w:rPr>
        <w:t>D37A6</w:t>
      </w:r>
      <w:r w:rsidR="00183167">
        <w:rPr>
          <w:rFonts w:ascii="Verdana" w:hAnsi="Verdana"/>
        </w:rPr>
        <w:t xml:space="preserve">, </w:t>
      </w:r>
      <w:r w:rsidR="004E1665" w:rsidRPr="00AE17C4">
        <w:rPr>
          <w:rFonts w:ascii="Verdana" w:hAnsi="Verdana"/>
        </w:rPr>
        <w:t xml:space="preserve">4179S, Cell </w:t>
      </w:r>
      <w:proofErr w:type="spellStart"/>
      <w:r w:rsidR="004E1665" w:rsidRPr="00AE17C4">
        <w:rPr>
          <w:rFonts w:ascii="Verdana" w:hAnsi="Verdana"/>
        </w:rPr>
        <w:t>Signalling</w:t>
      </w:r>
      <w:proofErr w:type="spellEnd"/>
      <w:r w:rsidR="004E1665" w:rsidRPr="00AE17C4">
        <w:rPr>
          <w:rFonts w:ascii="Verdana" w:hAnsi="Verdana"/>
        </w:rPr>
        <w:t>, 1:1000)</w:t>
      </w:r>
      <w:r w:rsidR="00183167">
        <w:rPr>
          <w:rFonts w:ascii="Verdana" w:hAnsi="Verdana"/>
        </w:rPr>
        <w:t>;</w:t>
      </w:r>
      <w:r w:rsidRPr="00BE59D3">
        <w:rPr>
          <w:rFonts w:ascii="Verdana" w:hAnsi="Verdana"/>
          <w:lang w:val="en-GB"/>
        </w:rPr>
        <w:t xml:space="preserve"> mouse monoclonal anti-pS129-</w:t>
      </w:r>
      <w:r w:rsidRPr="00BE59D3">
        <w:rPr>
          <w:rFonts w:ascii="Verdana" w:hAnsi="Verdana" w:cstheme="minorHAnsi"/>
          <w:lang w:val="en-GB"/>
        </w:rPr>
        <w:t>α</w:t>
      </w:r>
      <w:r w:rsidRPr="00BE59D3">
        <w:rPr>
          <w:rFonts w:ascii="Verdana" w:hAnsi="Verdana"/>
          <w:lang w:val="en-GB"/>
        </w:rPr>
        <w:t xml:space="preserve">Syn (clone 11A5, #1347, </w:t>
      </w:r>
      <w:proofErr w:type="spellStart"/>
      <w:r w:rsidRPr="00BE59D3">
        <w:rPr>
          <w:rFonts w:ascii="Verdana" w:hAnsi="Verdana"/>
          <w:lang w:val="en-GB"/>
        </w:rPr>
        <w:t>Prothena</w:t>
      </w:r>
      <w:proofErr w:type="spellEnd"/>
      <w:r w:rsidRPr="00BE59D3">
        <w:rPr>
          <w:rFonts w:ascii="Verdana" w:hAnsi="Verdana"/>
          <w:lang w:val="en-GB"/>
        </w:rPr>
        <w:t xml:space="preserve"> Biosciences Inc., 1:1000);</w:t>
      </w:r>
      <w:r w:rsidR="0001005B">
        <w:rPr>
          <w:rFonts w:ascii="Verdana" w:hAnsi="Verdana"/>
          <w:lang w:val="en-GB"/>
        </w:rPr>
        <w:t xml:space="preserve"> </w:t>
      </w:r>
      <w:r w:rsidR="0001005B" w:rsidRPr="00AE17C4">
        <w:rPr>
          <w:rFonts w:ascii="Verdana" w:hAnsi="Verdana"/>
        </w:rPr>
        <w:t>rabbit</w:t>
      </w:r>
      <w:r w:rsidR="0001005B">
        <w:rPr>
          <w:rFonts w:ascii="Verdana" w:hAnsi="Verdana"/>
        </w:rPr>
        <w:t xml:space="preserve"> monoclonal</w:t>
      </w:r>
      <w:r w:rsidR="0001005B" w:rsidRPr="00AE17C4">
        <w:rPr>
          <w:rFonts w:ascii="Verdana" w:hAnsi="Verdana"/>
        </w:rPr>
        <w:t xml:space="preserve"> anti-pS129-αSyn</w:t>
      </w:r>
      <w:r w:rsidR="0001005B">
        <w:rPr>
          <w:rFonts w:ascii="Verdana" w:hAnsi="Verdana"/>
        </w:rPr>
        <w:t xml:space="preserve"> </w:t>
      </w:r>
      <w:r w:rsidR="0001005B" w:rsidRPr="00AE17C4">
        <w:rPr>
          <w:rFonts w:ascii="Verdana" w:hAnsi="Verdana"/>
        </w:rPr>
        <w:t>(ab51253</w:t>
      </w:r>
      <w:r w:rsidR="0001005B">
        <w:rPr>
          <w:rFonts w:ascii="Verdana" w:hAnsi="Verdana"/>
        </w:rPr>
        <w:t>, Abcam,</w:t>
      </w:r>
      <w:r w:rsidR="0001005B" w:rsidRPr="00AE17C4">
        <w:rPr>
          <w:rFonts w:ascii="Verdana" w:hAnsi="Verdana"/>
        </w:rPr>
        <w:t xml:space="preserve"> 1:1000)</w:t>
      </w:r>
      <w:r w:rsidR="00116476">
        <w:rPr>
          <w:rFonts w:ascii="Verdana" w:hAnsi="Verdana"/>
        </w:rPr>
        <w:t>;</w:t>
      </w:r>
      <w:r w:rsidRPr="00BE59D3">
        <w:rPr>
          <w:rFonts w:ascii="Verdana" w:hAnsi="Verdana"/>
          <w:lang w:val="en-GB"/>
        </w:rPr>
        <w:t xml:space="preserve"> </w:t>
      </w:r>
      <w:r w:rsidR="00B55C4D" w:rsidRPr="00B55C4D">
        <w:rPr>
          <w:rFonts w:ascii="Verdana" w:hAnsi="Verdana"/>
          <w:color w:val="000000" w:themeColor="text1"/>
          <w:lang w:val="en-GB"/>
        </w:rPr>
        <w:t>chicken</w:t>
      </w:r>
      <w:r w:rsidR="006F3123">
        <w:rPr>
          <w:rFonts w:ascii="Verdana" w:hAnsi="Verdana"/>
          <w:color w:val="000000" w:themeColor="text1"/>
          <w:lang w:val="en-GB"/>
        </w:rPr>
        <w:t xml:space="preserve"> polyclonal</w:t>
      </w:r>
      <w:r w:rsidR="00B55C4D" w:rsidRPr="00B55C4D">
        <w:rPr>
          <w:rFonts w:ascii="Verdana" w:hAnsi="Verdana"/>
          <w:color w:val="000000" w:themeColor="text1"/>
          <w:lang w:val="en-GB"/>
        </w:rPr>
        <w:t xml:space="preserve"> anti-</w:t>
      </w:r>
      <w:r w:rsidR="006A60EB" w:rsidRPr="00B55C4D">
        <w:rPr>
          <w:rFonts w:ascii="Verdana" w:hAnsi="Verdana"/>
          <w:color w:val="000000" w:themeColor="text1"/>
          <w:lang w:val="en-GB"/>
        </w:rPr>
        <w:t>T</w:t>
      </w:r>
      <w:r w:rsidR="006A60EB">
        <w:rPr>
          <w:rFonts w:ascii="Verdana" w:hAnsi="Verdana"/>
          <w:color w:val="000000" w:themeColor="text1"/>
          <w:lang w:val="en-GB"/>
        </w:rPr>
        <w:t>yrosine Hydroxylase  (</w:t>
      </w:r>
      <w:r w:rsidR="006F3123">
        <w:rPr>
          <w:rFonts w:ascii="Verdana" w:hAnsi="Verdana"/>
          <w:color w:val="000000" w:themeColor="text1"/>
          <w:lang w:val="en-GB"/>
        </w:rPr>
        <w:t>ab</w:t>
      </w:r>
      <w:r w:rsidR="002A1DB1">
        <w:rPr>
          <w:rFonts w:ascii="Verdana" w:hAnsi="Verdana"/>
          <w:color w:val="000000" w:themeColor="text1"/>
          <w:lang w:val="en-GB"/>
        </w:rPr>
        <w:t>76442 Abcam, 1:1000)</w:t>
      </w:r>
      <w:r w:rsidR="00116476">
        <w:rPr>
          <w:rFonts w:ascii="Verdana" w:hAnsi="Verdana"/>
          <w:color w:val="000000" w:themeColor="text1"/>
          <w:lang w:val="en-GB"/>
        </w:rPr>
        <w:t>;</w:t>
      </w:r>
      <w:r w:rsidR="002A1DB1">
        <w:rPr>
          <w:rFonts w:ascii="Verdana" w:hAnsi="Verdana"/>
          <w:color w:val="000000" w:themeColor="text1"/>
          <w:lang w:val="en-GB"/>
        </w:rPr>
        <w:t xml:space="preserve"> </w:t>
      </w:r>
      <w:r w:rsidR="0001005B" w:rsidRPr="00AE17C4">
        <w:rPr>
          <w:rFonts w:ascii="Verdana" w:hAnsi="Verdana"/>
        </w:rPr>
        <w:t>rabbit</w:t>
      </w:r>
      <w:r w:rsidR="0001005B">
        <w:rPr>
          <w:rFonts w:ascii="Verdana" w:hAnsi="Verdana"/>
        </w:rPr>
        <w:t xml:space="preserve"> polyclonal</w:t>
      </w:r>
      <w:r w:rsidR="0001005B" w:rsidRPr="00AE17C4">
        <w:rPr>
          <w:rFonts w:ascii="Verdana" w:hAnsi="Verdana"/>
        </w:rPr>
        <w:t xml:space="preserve"> anti-</w:t>
      </w:r>
      <w:r w:rsidR="0001005B">
        <w:rPr>
          <w:rFonts w:ascii="Verdana" w:hAnsi="Verdana"/>
        </w:rPr>
        <w:t>T</w:t>
      </w:r>
      <w:r w:rsidR="0001005B" w:rsidRPr="00AE17C4">
        <w:rPr>
          <w:rFonts w:ascii="Verdana" w:hAnsi="Verdana"/>
        </w:rPr>
        <w:t xml:space="preserve">yrosine </w:t>
      </w:r>
      <w:r w:rsidR="0001005B">
        <w:rPr>
          <w:rFonts w:ascii="Verdana" w:hAnsi="Verdana"/>
        </w:rPr>
        <w:lastRenderedPageBreak/>
        <w:t>H</w:t>
      </w:r>
      <w:r w:rsidR="0001005B" w:rsidRPr="00AE17C4">
        <w:rPr>
          <w:rFonts w:ascii="Verdana" w:hAnsi="Verdana"/>
        </w:rPr>
        <w:t>ydroxylase (AB152</w:t>
      </w:r>
      <w:r w:rsidR="0001005B">
        <w:rPr>
          <w:rFonts w:ascii="Verdana" w:hAnsi="Verdana"/>
        </w:rPr>
        <w:t>, Merck</w:t>
      </w:r>
      <w:r w:rsidR="004E1665">
        <w:rPr>
          <w:rFonts w:ascii="Verdana" w:hAnsi="Verdana"/>
        </w:rPr>
        <w:t xml:space="preserve">/Sigma-Aldrich, </w:t>
      </w:r>
      <w:r w:rsidR="0001005B" w:rsidRPr="00AE17C4">
        <w:rPr>
          <w:rFonts w:ascii="Verdana" w:hAnsi="Verdana"/>
        </w:rPr>
        <w:t>1:1000)</w:t>
      </w:r>
      <w:r w:rsidR="00116476">
        <w:rPr>
          <w:rFonts w:ascii="Verdana" w:hAnsi="Verdana"/>
        </w:rPr>
        <w:t>;</w:t>
      </w:r>
      <w:r w:rsidR="0001005B" w:rsidRPr="00AE17C4">
        <w:rPr>
          <w:rFonts w:ascii="Verdana" w:hAnsi="Verdana"/>
        </w:rPr>
        <w:t xml:space="preserve"> </w:t>
      </w:r>
      <w:r w:rsidR="002A1DB1">
        <w:rPr>
          <w:rFonts w:ascii="Verdana" w:hAnsi="Verdana"/>
          <w:color w:val="000000" w:themeColor="text1"/>
          <w:lang w:val="en-GB"/>
        </w:rPr>
        <w:t>r</w:t>
      </w:r>
      <w:r w:rsidR="00B55C4D" w:rsidRPr="00B55C4D">
        <w:rPr>
          <w:rFonts w:ascii="Verdana" w:hAnsi="Verdana"/>
          <w:color w:val="000000" w:themeColor="text1"/>
          <w:lang w:val="en-GB"/>
        </w:rPr>
        <w:t>at</w:t>
      </w:r>
      <w:r w:rsidR="00985D0A">
        <w:rPr>
          <w:rFonts w:ascii="Verdana" w:hAnsi="Verdana"/>
          <w:color w:val="000000" w:themeColor="text1"/>
          <w:lang w:val="en-GB"/>
        </w:rPr>
        <w:t xml:space="preserve"> monoclonal</w:t>
      </w:r>
      <w:r w:rsidR="00B55C4D" w:rsidRPr="00B55C4D">
        <w:rPr>
          <w:rFonts w:ascii="Verdana" w:hAnsi="Verdana"/>
          <w:color w:val="000000" w:themeColor="text1"/>
          <w:lang w:val="en-GB"/>
        </w:rPr>
        <w:t xml:space="preserve"> anti</w:t>
      </w:r>
      <w:r w:rsidR="00151648">
        <w:rPr>
          <w:rFonts w:ascii="Verdana" w:hAnsi="Verdana"/>
          <w:color w:val="000000" w:themeColor="text1"/>
          <w:lang w:val="en-GB"/>
        </w:rPr>
        <w:t>-Dopamine Transporter (</w:t>
      </w:r>
      <w:r w:rsidR="00064B25">
        <w:rPr>
          <w:rFonts w:ascii="Verdana" w:hAnsi="Verdana"/>
          <w:color w:val="000000" w:themeColor="text1"/>
          <w:lang w:val="en-GB"/>
        </w:rPr>
        <w:t>clone DAT-</w:t>
      </w:r>
      <w:proofErr w:type="spellStart"/>
      <w:r w:rsidR="00064B25">
        <w:rPr>
          <w:rFonts w:ascii="Verdana" w:hAnsi="Verdana"/>
          <w:color w:val="000000" w:themeColor="text1"/>
          <w:lang w:val="en-GB"/>
        </w:rPr>
        <w:t>Nt</w:t>
      </w:r>
      <w:proofErr w:type="spellEnd"/>
      <w:r w:rsidR="00064B25">
        <w:rPr>
          <w:rFonts w:ascii="Verdana" w:hAnsi="Verdana"/>
          <w:color w:val="000000" w:themeColor="text1"/>
          <w:lang w:val="en-GB"/>
        </w:rPr>
        <w:t xml:space="preserve">, </w:t>
      </w:r>
      <w:r w:rsidR="00151648">
        <w:rPr>
          <w:rFonts w:ascii="Verdana" w:hAnsi="Verdana"/>
          <w:color w:val="000000" w:themeColor="text1"/>
          <w:lang w:val="en-GB"/>
        </w:rPr>
        <w:t>MAB369</w:t>
      </w:r>
      <w:r w:rsidR="00B90EE6">
        <w:rPr>
          <w:rFonts w:ascii="Verdana" w:hAnsi="Verdana"/>
          <w:color w:val="000000" w:themeColor="text1"/>
          <w:lang w:val="en-GB"/>
        </w:rPr>
        <w:t>,</w:t>
      </w:r>
      <w:r w:rsidR="00D51483">
        <w:rPr>
          <w:rFonts w:ascii="Verdana" w:hAnsi="Verdana"/>
          <w:color w:val="000000" w:themeColor="text1"/>
          <w:lang w:val="en-GB"/>
        </w:rPr>
        <w:t xml:space="preserve"> Millipore, 1:1000)</w:t>
      </w:r>
      <w:r w:rsidR="00116476">
        <w:rPr>
          <w:rFonts w:ascii="Verdana" w:hAnsi="Verdana"/>
          <w:color w:val="000000" w:themeColor="text1"/>
          <w:lang w:val="en-GB"/>
        </w:rPr>
        <w:t xml:space="preserve">; </w:t>
      </w:r>
      <w:r w:rsidR="00651BA9">
        <w:rPr>
          <w:rFonts w:ascii="Verdana" w:hAnsi="Verdana"/>
          <w:lang w:val="en-GB"/>
        </w:rPr>
        <w:t>rabbit anti-Iba1 (</w:t>
      </w:r>
      <w:r w:rsidR="009A5CBD">
        <w:rPr>
          <w:rFonts w:ascii="Verdana" w:hAnsi="Verdana"/>
          <w:lang w:val="en-GB"/>
        </w:rPr>
        <w:t>0</w:t>
      </w:r>
      <w:r w:rsidR="003D5E63">
        <w:rPr>
          <w:rFonts w:ascii="Verdana" w:hAnsi="Verdana"/>
          <w:lang w:val="en-GB"/>
        </w:rPr>
        <w:t>19</w:t>
      </w:r>
      <w:r w:rsidR="009A5CBD">
        <w:rPr>
          <w:rFonts w:ascii="Verdana" w:hAnsi="Verdana"/>
          <w:lang w:val="en-GB"/>
        </w:rPr>
        <w:t>-</w:t>
      </w:r>
      <w:r w:rsidR="003D5E63">
        <w:rPr>
          <w:rFonts w:ascii="Verdana" w:hAnsi="Verdana"/>
          <w:lang w:val="en-GB"/>
        </w:rPr>
        <w:t>19741, Wako, 1:1000).</w:t>
      </w:r>
    </w:p>
    <w:p w14:paraId="6B304F3B" w14:textId="77777777" w:rsidR="00BE59D3" w:rsidRPr="00BE59D3" w:rsidRDefault="00BE59D3" w:rsidP="00BE59D3">
      <w:pPr>
        <w:spacing w:line="360" w:lineRule="auto"/>
        <w:jc w:val="both"/>
        <w:rPr>
          <w:rFonts w:ascii="Verdana" w:hAnsi="Verdana"/>
          <w:lang w:val="en-GB"/>
        </w:rPr>
      </w:pPr>
      <w:r w:rsidRPr="00BE59D3">
        <w:rPr>
          <w:rFonts w:ascii="Verdana" w:hAnsi="Verdana"/>
          <w:lang w:val="en-GB"/>
        </w:rPr>
        <w:t xml:space="preserve">The next day, sections were washed 3 x 10 minutes in PBS-T. Then, sections were incubated with the appropriate Alexa Fluor® secondary antibodies diluted in 2% BSA in PBS-T, for 2 hours at RT on shaker under a light trap. Finally, sections were washed 3 x 10 minutes in PBS-T and mounted on </w:t>
      </w:r>
      <w:proofErr w:type="spellStart"/>
      <w:r w:rsidRPr="00BE59D3">
        <w:rPr>
          <w:rFonts w:ascii="Verdana" w:hAnsi="Verdana"/>
          <w:lang w:val="en-GB"/>
        </w:rPr>
        <w:t>Superfrost</w:t>
      </w:r>
      <w:r w:rsidRPr="00BE59D3">
        <w:rPr>
          <w:rFonts w:ascii="Verdana" w:hAnsi="Verdana"/>
          <w:vertAlign w:val="superscript"/>
          <w:lang w:val="en-GB"/>
        </w:rPr>
        <w:t>TM</w:t>
      </w:r>
      <w:proofErr w:type="spellEnd"/>
      <w:r w:rsidRPr="00BE59D3">
        <w:rPr>
          <w:rFonts w:ascii="Verdana" w:hAnsi="Verdana"/>
          <w:vertAlign w:val="superscript"/>
          <w:lang w:val="en-GB"/>
        </w:rPr>
        <w:t xml:space="preserve"> </w:t>
      </w:r>
      <w:r w:rsidRPr="00BE59D3">
        <w:rPr>
          <w:rFonts w:ascii="Verdana" w:hAnsi="Verdana"/>
          <w:lang w:val="en-GB"/>
        </w:rPr>
        <w:t>slides (</w:t>
      </w:r>
      <w:proofErr w:type="spellStart"/>
      <w:r w:rsidRPr="00BE59D3">
        <w:rPr>
          <w:rFonts w:ascii="Verdana" w:hAnsi="Verdana"/>
          <w:lang w:val="en-GB"/>
        </w:rPr>
        <w:t>ThermoFisher</w:t>
      </w:r>
      <w:proofErr w:type="spellEnd"/>
      <w:r w:rsidRPr="00BE59D3">
        <w:rPr>
          <w:rFonts w:ascii="Verdana" w:hAnsi="Verdana"/>
          <w:lang w:val="en-GB"/>
        </w:rPr>
        <w:t xml:space="preserve"> Scientific). After drying for approximately 2 hours, sections were cover-slipped using the DAPI </w:t>
      </w:r>
      <w:proofErr w:type="spellStart"/>
      <w:r w:rsidRPr="00BE59D3">
        <w:rPr>
          <w:rFonts w:ascii="Verdana" w:hAnsi="Verdana"/>
          <w:lang w:val="en-GB"/>
        </w:rPr>
        <w:t>Fluoromount</w:t>
      </w:r>
      <w:proofErr w:type="spellEnd"/>
      <w:r w:rsidRPr="00BE59D3">
        <w:rPr>
          <w:rFonts w:ascii="Verdana" w:hAnsi="Verdana"/>
          <w:lang w:val="en-GB"/>
        </w:rPr>
        <w:t>-G® mounting medium (Southern Biotech). The slides were dried for at least 24 hours before imaging.</w:t>
      </w:r>
    </w:p>
    <w:p w14:paraId="4E987B25" w14:textId="7520C93A" w:rsidR="003D5E63" w:rsidRDefault="003D5E63" w:rsidP="0003379C">
      <w:pPr>
        <w:spacing w:line="360" w:lineRule="auto"/>
        <w:jc w:val="both"/>
        <w:rPr>
          <w:rFonts w:ascii="Verdana" w:hAnsi="Verdana"/>
          <w:lang w:val="en-GB"/>
        </w:rPr>
      </w:pPr>
      <w:r>
        <w:rPr>
          <w:rFonts w:ascii="Verdana" w:hAnsi="Verdana"/>
          <w:lang w:val="en-GB"/>
        </w:rPr>
        <w:t>T</w:t>
      </w:r>
      <w:r w:rsidR="00E97EFE">
        <w:rPr>
          <w:rFonts w:ascii="Verdana" w:hAnsi="Verdana"/>
          <w:lang w:val="en-GB"/>
        </w:rPr>
        <w:t>he</w:t>
      </w:r>
      <w:r w:rsidR="003E2F44">
        <w:rPr>
          <w:rFonts w:ascii="Verdana" w:hAnsi="Verdana"/>
          <w:lang w:val="en-GB"/>
        </w:rPr>
        <w:t xml:space="preserve"> s</w:t>
      </w:r>
      <w:r w:rsidR="00BE59D3" w:rsidRPr="00BE59D3">
        <w:rPr>
          <w:rFonts w:ascii="Verdana" w:hAnsi="Verdana"/>
          <w:lang w:val="en-GB"/>
        </w:rPr>
        <w:t xml:space="preserve">ections were imaged with a Zeiss </w:t>
      </w:r>
      <w:proofErr w:type="spellStart"/>
      <w:r w:rsidR="00BE59D3" w:rsidRPr="00BE59D3">
        <w:rPr>
          <w:rFonts w:ascii="Verdana" w:hAnsi="Verdana"/>
          <w:lang w:val="en-GB"/>
        </w:rPr>
        <w:t>AxioImager</w:t>
      </w:r>
      <w:proofErr w:type="spellEnd"/>
      <w:r w:rsidR="00BE59D3" w:rsidRPr="00BE59D3">
        <w:rPr>
          <w:rFonts w:ascii="Verdana" w:hAnsi="Verdana"/>
          <w:lang w:val="en-GB"/>
        </w:rPr>
        <w:t xml:space="preserve"> Z1 upright microscope equipped with an ApoTome.2 module for optical sectioning of fluorescence images, </w:t>
      </w:r>
      <w:r w:rsidR="008D6285">
        <w:rPr>
          <w:rFonts w:ascii="Verdana" w:hAnsi="Verdana"/>
          <w:lang w:val="en-GB"/>
        </w:rPr>
        <w:t xml:space="preserve">a </w:t>
      </w:r>
      <w:r w:rsidR="008D6285" w:rsidRPr="00AE17C4">
        <w:rPr>
          <w:rFonts w:ascii="Verdana" w:hAnsi="Verdana"/>
        </w:rPr>
        <w:t>PRIOR motorized slide stage</w:t>
      </w:r>
      <w:r w:rsidR="008D6285">
        <w:rPr>
          <w:rFonts w:ascii="Verdana" w:hAnsi="Verdana"/>
        </w:rPr>
        <w:t>,</w:t>
      </w:r>
      <w:r w:rsidR="008D6285" w:rsidRPr="00AE17C4">
        <w:rPr>
          <w:rFonts w:ascii="Verdana" w:hAnsi="Verdana"/>
        </w:rPr>
        <w:t xml:space="preserve"> </w:t>
      </w:r>
      <w:r w:rsidR="00BE59D3" w:rsidRPr="00BE59D3">
        <w:rPr>
          <w:rFonts w:ascii="Verdana" w:hAnsi="Verdana"/>
          <w:lang w:val="en-GB"/>
        </w:rPr>
        <w:t xml:space="preserve">a “Colibri” LED system and a Zeiss MR R3 digital camera under the control of the </w:t>
      </w:r>
      <w:bookmarkStart w:id="56" w:name="OLE_LINK1"/>
      <w:r w:rsidR="00BE59D3" w:rsidRPr="00BE59D3">
        <w:rPr>
          <w:rFonts w:ascii="Verdana" w:hAnsi="Verdana"/>
          <w:lang w:val="en-GB"/>
        </w:rPr>
        <w:t>Zeiss Blue Vision software</w:t>
      </w:r>
      <w:bookmarkEnd w:id="56"/>
      <w:r w:rsidR="00BE59D3" w:rsidRPr="00BE59D3">
        <w:rPr>
          <w:rFonts w:ascii="Verdana" w:hAnsi="Verdana"/>
          <w:lang w:val="en-GB"/>
        </w:rPr>
        <w:t xml:space="preserve">. </w:t>
      </w:r>
      <w:r w:rsidR="00E97EFE">
        <w:rPr>
          <w:rFonts w:ascii="Verdana" w:hAnsi="Verdana"/>
          <w:lang w:val="en-GB"/>
        </w:rPr>
        <w:t>For alpha-synuclein</w:t>
      </w:r>
      <w:r w:rsidR="0003379C">
        <w:rPr>
          <w:rFonts w:ascii="Verdana" w:hAnsi="Verdana"/>
          <w:lang w:val="en-GB"/>
        </w:rPr>
        <w:t xml:space="preserve"> qualitative</w:t>
      </w:r>
      <w:r w:rsidR="00E97EFE">
        <w:rPr>
          <w:rFonts w:ascii="Verdana" w:hAnsi="Verdana"/>
          <w:lang w:val="en-GB"/>
        </w:rPr>
        <w:t xml:space="preserve"> profiling in the hippocampus, </w:t>
      </w:r>
      <w:r w:rsidR="00FC59A4">
        <w:rPr>
          <w:rFonts w:ascii="Verdana" w:hAnsi="Verdana"/>
          <w:lang w:val="en-GB"/>
        </w:rPr>
        <w:t>t</w:t>
      </w:r>
      <w:r w:rsidR="00BE59D3" w:rsidRPr="00BE59D3">
        <w:rPr>
          <w:rFonts w:ascii="Verdana" w:hAnsi="Verdana"/>
          <w:lang w:val="en-GB"/>
        </w:rPr>
        <w:t xml:space="preserve">iled (3x3 or 3x4) pictures of the whole hippocampus were taken at </w:t>
      </w:r>
      <w:r w:rsidR="00BE59D3" w:rsidRPr="00236DEA">
        <w:rPr>
          <w:rFonts w:ascii="Verdana" w:hAnsi="Verdana"/>
          <w:lang w:val="en-GB"/>
        </w:rPr>
        <w:t>10X</w:t>
      </w:r>
      <w:r w:rsidR="00BE59D3" w:rsidRPr="00BE59D3">
        <w:rPr>
          <w:rFonts w:ascii="Verdana" w:hAnsi="Verdana"/>
          <w:lang w:val="en-GB"/>
        </w:rPr>
        <w:t xml:space="preserve"> magnification without ApoTome</w:t>
      </w:r>
      <w:r w:rsidR="00C453F3">
        <w:rPr>
          <w:rFonts w:ascii="Verdana" w:hAnsi="Verdana"/>
          <w:lang w:val="en-GB"/>
        </w:rPr>
        <w:t>.2</w:t>
      </w:r>
      <w:r w:rsidR="00BE59D3" w:rsidRPr="00BE59D3">
        <w:rPr>
          <w:rFonts w:ascii="Verdana" w:hAnsi="Verdana"/>
          <w:lang w:val="en-GB"/>
        </w:rPr>
        <w:t>, and then converted into single Tiff files.</w:t>
      </w:r>
      <w:r w:rsidR="00FC59A4">
        <w:rPr>
          <w:rFonts w:ascii="Verdana" w:hAnsi="Verdana"/>
          <w:lang w:val="en-GB"/>
        </w:rPr>
        <w:t xml:space="preserve"> </w:t>
      </w:r>
    </w:p>
    <w:p w14:paraId="601C1ED5" w14:textId="31D7C66B" w:rsidR="0003379C" w:rsidRDefault="0003379C" w:rsidP="003D5E63">
      <w:pPr>
        <w:spacing w:line="360" w:lineRule="auto"/>
        <w:ind w:firstLine="0"/>
        <w:jc w:val="both"/>
        <w:rPr>
          <w:rFonts w:ascii="Verdana" w:hAnsi="Verdana"/>
          <w:lang w:val="en-GB"/>
        </w:rPr>
      </w:pPr>
    </w:p>
    <w:p w14:paraId="3DE3C612" w14:textId="09F48D6C" w:rsidR="0003379C" w:rsidRPr="0003379C" w:rsidRDefault="0003379C" w:rsidP="00767F9D">
      <w:pPr>
        <w:pStyle w:val="Heading3"/>
        <w:rPr>
          <w:lang w:val="en-GB"/>
        </w:rPr>
      </w:pPr>
      <w:bookmarkStart w:id="57" w:name="_Toc130223422"/>
      <w:r w:rsidRPr="0003379C">
        <w:rPr>
          <w:lang w:val="en-GB"/>
        </w:rPr>
        <w:t xml:space="preserve">Quantification of </w:t>
      </w:r>
      <w:r>
        <w:rPr>
          <w:lang w:val="en-GB"/>
        </w:rPr>
        <w:t>neurodegeneration</w:t>
      </w:r>
      <w:bookmarkEnd w:id="57"/>
    </w:p>
    <w:p w14:paraId="6FCF8DF6" w14:textId="492D3478" w:rsidR="009B524D" w:rsidRDefault="0003379C" w:rsidP="00BE59D3">
      <w:pPr>
        <w:spacing w:line="360" w:lineRule="auto"/>
        <w:jc w:val="both"/>
        <w:rPr>
          <w:rFonts w:ascii="Verdana" w:hAnsi="Verdana"/>
          <w:color w:val="000000" w:themeColor="text1"/>
          <w:lang w:val="en-GB"/>
        </w:rPr>
      </w:pPr>
      <w:r w:rsidRPr="0003379C">
        <w:rPr>
          <w:rFonts w:ascii="Verdana" w:hAnsi="Verdana"/>
          <w:color w:val="000000" w:themeColor="text1"/>
          <w:lang w:val="en-GB"/>
        </w:rPr>
        <w:t>For the</w:t>
      </w:r>
      <w:r>
        <w:rPr>
          <w:rFonts w:ascii="Verdana" w:hAnsi="Verdana"/>
          <w:color w:val="000000" w:themeColor="text1"/>
          <w:lang w:val="en-GB"/>
        </w:rPr>
        <w:t xml:space="preserve"> quantification of</w:t>
      </w:r>
      <w:r w:rsidRPr="0003379C">
        <w:rPr>
          <w:rFonts w:ascii="Verdana" w:hAnsi="Verdana"/>
          <w:color w:val="000000" w:themeColor="text1"/>
          <w:lang w:val="en-GB"/>
        </w:rPr>
        <w:t xml:space="preserve"> striatal</w:t>
      </w:r>
      <w:r>
        <w:rPr>
          <w:rFonts w:ascii="Verdana" w:hAnsi="Verdana"/>
          <w:color w:val="000000" w:themeColor="text1"/>
          <w:lang w:val="en-GB"/>
        </w:rPr>
        <w:t xml:space="preserve"> degeneration, </w:t>
      </w:r>
      <w:r w:rsidR="00A6138E">
        <w:rPr>
          <w:rFonts w:ascii="Verdana" w:hAnsi="Verdana"/>
          <w:color w:val="000000" w:themeColor="text1"/>
          <w:lang w:val="en-GB"/>
        </w:rPr>
        <w:t xml:space="preserve">3 </w:t>
      </w:r>
      <w:r>
        <w:rPr>
          <w:rFonts w:ascii="Verdana" w:hAnsi="Verdana"/>
          <w:color w:val="000000" w:themeColor="text1"/>
          <w:lang w:val="en-GB"/>
        </w:rPr>
        <w:t>striatal pictures were acquired at 40X magnification</w:t>
      </w:r>
      <w:r w:rsidR="008D6285">
        <w:rPr>
          <w:rFonts w:ascii="Verdana" w:hAnsi="Verdana"/>
          <w:color w:val="000000" w:themeColor="text1"/>
          <w:lang w:val="en-GB"/>
        </w:rPr>
        <w:t xml:space="preserve"> </w:t>
      </w:r>
      <w:r w:rsidR="008D6285" w:rsidRPr="00AE17C4">
        <w:rPr>
          <w:rFonts w:ascii="Verdana" w:hAnsi="Verdana"/>
        </w:rPr>
        <w:t>(223.8 × 167.7 μm2)</w:t>
      </w:r>
      <w:r>
        <w:rPr>
          <w:rFonts w:ascii="Verdana" w:hAnsi="Verdana"/>
          <w:color w:val="000000" w:themeColor="text1"/>
          <w:lang w:val="en-GB"/>
        </w:rPr>
        <w:t xml:space="preserve"> using the Apotome</w:t>
      </w:r>
      <w:r w:rsidR="008D6285">
        <w:rPr>
          <w:rFonts w:ascii="Verdana" w:hAnsi="Verdana"/>
          <w:color w:val="000000" w:themeColor="text1"/>
          <w:lang w:val="en-GB"/>
        </w:rPr>
        <w:t>.2</w:t>
      </w:r>
      <w:r>
        <w:rPr>
          <w:rFonts w:ascii="Verdana" w:hAnsi="Verdana"/>
          <w:color w:val="000000" w:themeColor="text1"/>
          <w:lang w:val="en-GB"/>
        </w:rPr>
        <w:t xml:space="preserve"> module</w:t>
      </w:r>
      <w:r w:rsidR="00A6138E">
        <w:rPr>
          <w:rFonts w:ascii="Verdana" w:hAnsi="Verdana"/>
          <w:color w:val="000000" w:themeColor="text1"/>
          <w:lang w:val="en-GB"/>
        </w:rPr>
        <w:t xml:space="preserve"> for each section, and </w:t>
      </w:r>
      <w:r w:rsidR="008D6285">
        <w:rPr>
          <w:rFonts w:ascii="Verdana" w:hAnsi="Verdana"/>
          <w:color w:val="000000" w:themeColor="text1"/>
          <w:lang w:val="en-GB"/>
        </w:rPr>
        <w:t xml:space="preserve">2 or </w:t>
      </w:r>
      <w:r w:rsidR="00D45281">
        <w:rPr>
          <w:rFonts w:ascii="Verdana" w:hAnsi="Verdana"/>
          <w:color w:val="000000" w:themeColor="text1"/>
          <w:lang w:val="en-GB"/>
        </w:rPr>
        <w:t>3 striatal sections were image</w:t>
      </w:r>
      <w:r w:rsidR="00A6138E">
        <w:rPr>
          <w:rFonts w:ascii="Verdana" w:hAnsi="Verdana"/>
          <w:color w:val="000000" w:themeColor="text1"/>
          <w:lang w:val="en-GB"/>
        </w:rPr>
        <w:t xml:space="preserve">d for each animal. </w:t>
      </w:r>
      <w:r w:rsidR="005528ED">
        <w:rPr>
          <w:rFonts w:ascii="Verdana" w:hAnsi="Verdana"/>
          <w:color w:val="000000" w:themeColor="text1"/>
          <w:lang w:val="en-GB"/>
        </w:rPr>
        <w:t xml:space="preserve">TH and DAT double stained sections were used. </w:t>
      </w:r>
      <w:r w:rsidR="00A6138E">
        <w:rPr>
          <w:rFonts w:ascii="Verdana" w:hAnsi="Verdana"/>
          <w:color w:val="000000" w:themeColor="text1"/>
          <w:lang w:val="en-GB"/>
        </w:rPr>
        <w:t>The images were converted to TIFF and analysed using the ImageJ software. Briefly, after thresholding</w:t>
      </w:r>
      <w:r w:rsidR="00DA4BFE">
        <w:rPr>
          <w:rFonts w:ascii="Verdana" w:hAnsi="Verdana"/>
          <w:color w:val="000000" w:themeColor="text1"/>
          <w:lang w:val="en-GB"/>
        </w:rPr>
        <w:t xml:space="preserve">, the percent area occupied and the </w:t>
      </w:r>
      <w:r w:rsidR="00ED5767">
        <w:rPr>
          <w:rFonts w:ascii="Verdana" w:hAnsi="Verdana"/>
          <w:color w:val="000000" w:themeColor="text1"/>
          <w:lang w:val="en-GB"/>
        </w:rPr>
        <w:t>mean gr</w:t>
      </w:r>
      <w:r w:rsidR="008D6285">
        <w:rPr>
          <w:rFonts w:ascii="Verdana" w:hAnsi="Verdana"/>
          <w:color w:val="000000" w:themeColor="text1"/>
          <w:lang w:val="en-GB"/>
        </w:rPr>
        <w:t>e</w:t>
      </w:r>
      <w:r w:rsidR="00ED5767">
        <w:rPr>
          <w:rFonts w:ascii="Verdana" w:hAnsi="Verdana"/>
          <w:color w:val="000000" w:themeColor="text1"/>
          <w:lang w:val="en-GB"/>
        </w:rPr>
        <w:t>y value</w:t>
      </w:r>
      <w:r w:rsidR="00DA4BFE">
        <w:rPr>
          <w:rFonts w:ascii="Verdana" w:hAnsi="Verdana"/>
          <w:color w:val="000000" w:themeColor="text1"/>
          <w:lang w:val="en-GB"/>
        </w:rPr>
        <w:t xml:space="preserve"> for both TH and DAT </w:t>
      </w:r>
      <w:r w:rsidR="00401421">
        <w:rPr>
          <w:rFonts w:ascii="Verdana" w:hAnsi="Verdana"/>
          <w:color w:val="000000" w:themeColor="text1"/>
          <w:lang w:val="en-GB"/>
        </w:rPr>
        <w:t>positive terminals was measured.</w:t>
      </w:r>
    </w:p>
    <w:p w14:paraId="65424493" w14:textId="149F1ED0" w:rsidR="0003379C" w:rsidRDefault="00ED5767" w:rsidP="00BE59D3">
      <w:pPr>
        <w:spacing w:line="360" w:lineRule="auto"/>
        <w:jc w:val="both"/>
        <w:rPr>
          <w:rFonts w:ascii="Verdana" w:hAnsi="Verdana"/>
          <w:color w:val="000000" w:themeColor="text1"/>
          <w:lang w:val="en-GB"/>
        </w:rPr>
      </w:pPr>
      <w:r>
        <w:rPr>
          <w:rFonts w:ascii="Verdana" w:hAnsi="Verdana"/>
          <w:color w:val="000000" w:themeColor="text1"/>
          <w:lang w:val="en-GB"/>
        </w:rPr>
        <w:t xml:space="preserve">To correlate </w:t>
      </w:r>
      <w:r w:rsidR="005528ED">
        <w:rPr>
          <w:rFonts w:ascii="Verdana" w:hAnsi="Verdana"/>
          <w:color w:val="000000" w:themeColor="text1"/>
          <w:lang w:val="en-GB"/>
        </w:rPr>
        <w:t xml:space="preserve">loss of TH-positive axons loss with levels of </w:t>
      </w:r>
      <w:r w:rsidR="00DD605F">
        <w:rPr>
          <w:rFonts w:ascii="Verdana" w:hAnsi="Verdana"/>
          <w:color w:val="000000" w:themeColor="text1"/>
          <w:lang w:val="en-GB"/>
        </w:rPr>
        <w:t xml:space="preserve">α-syn expression, TH/a-syn </w:t>
      </w:r>
      <w:r w:rsidR="009B524D">
        <w:rPr>
          <w:rFonts w:ascii="Verdana" w:hAnsi="Verdana"/>
          <w:color w:val="000000" w:themeColor="text1"/>
          <w:lang w:val="en-GB"/>
        </w:rPr>
        <w:t>double stained sections</w:t>
      </w:r>
      <w:r w:rsidR="00A06C9F">
        <w:rPr>
          <w:rFonts w:ascii="Verdana" w:hAnsi="Verdana"/>
          <w:color w:val="000000" w:themeColor="text1"/>
          <w:lang w:val="en-GB"/>
        </w:rPr>
        <w:t xml:space="preserve"> were used</w:t>
      </w:r>
      <w:r w:rsidR="009B524D">
        <w:rPr>
          <w:rFonts w:ascii="Verdana" w:hAnsi="Verdana"/>
          <w:color w:val="000000" w:themeColor="text1"/>
          <w:lang w:val="en-GB"/>
        </w:rPr>
        <w:t>.</w:t>
      </w:r>
      <w:r w:rsidR="005528ED">
        <w:rPr>
          <w:rFonts w:ascii="Verdana" w:hAnsi="Verdana"/>
          <w:color w:val="000000" w:themeColor="text1"/>
          <w:lang w:val="en-GB"/>
        </w:rPr>
        <w:t xml:space="preserve"> </w:t>
      </w:r>
      <w:r w:rsidR="009B524D">
        <w:rPr>
          <w:rFonts w:ascii="Verdana" w:hAnsi="Verdana"/>
          <w:color w:val="000000" w:themeColor="text1"/>
          <w:lang w:val="en-GB"/>
        </w:rPr>
        <w:t xml:space="preserve">The quantification was performed similarly to TH/DAT </w:t>
      </w:r>
      <w:r w:rsidR="008D6285">
        <w:rPr>
          <w:rFonts w:ascii="Verdana" w:hAnsi="Verdana"/>
          <w:color w:val="000000" w:themeColor="text1"/>
          <w:lang w:val="en-GB"/>
        </w:rPr>
        <w:t>immunostaining quantification.</w:t>
      </w:r>
    </w:p>
    <w:p w14:paraId="4D35B909" w14:textId="5B795C34" w:rsidR="008D6285" w:rsidRDefault="008D6285" w:rsidP="002C1DBC">
      <w:pPr>
        <w:spacing w:line="360" w:lineRule="auto"/>
        <w:jc w:val="both"/>
        <w:rPr>
          <w:rFonts w:ascii="Verdana" w:hAnsi="Verdana"/>
          <w:lang w:val="en-GB"/>
        </w:rPr>
      </w:pPr>
      <w:r w:rsidRPr="00AE17C4">
        <w:rPr>
          <w:rFonts w:ascii="Verdana" w:hAnsi="Verdana"/>
        </w:rPr>
        <w:t xml:space="preserve">The quantification of TH-positive neurons in the </w:t>
      </w:r>
      <w:proofErr w:type="spellStart"/>
      <w:r w:rsidRPr="00AE17C4">
        <w:rPr>
          <w:rFonts w:ascii="Verdana" w:hAnsi="Verdana"/>
        </w:rPr>
        <w:t>SNpc</w:t>
      </w:r>
      <w:proofErr w:type="spellEnd"/>
      <w:r w:rsidRPr="00AE17C4">
        <w:rPr>
          <w:rFonts w:ascii="Verdana" w:hAnsi="Verdana"/>
        </w:rPr>
        <w:t xml:space="preserve"> </w:t>
      </w:r>
      <w:r>
        <w:rPr>
          <w:rFonts w:ascii="Verdana" w:hAnsi="Verdana"/>
        </w:rPr>
        <w:t xml:space="preserve">was carried on as described in </w:t>
      </w:r>
      <w:r w:rsidR="00D30E64">
        <w:rPr>
          <w:rFonts w:ascii="Verdana" w:hAnsi="Verdana"/>
        </w:rPr>
        <w:fldChar w:fldCharType="begin"/>
      </w:r>
      <w:r w:rsidR="00D30E64">
        <w:rPr>
          <w:rFonts w:ascii="Verdana" w:hAnsi="Verdana"/>
        </w:rPr>
        <w:instrText xml:space="preserve"> ADDIN ZOTERO_ITEM CSL_CITATION {"citationID":"gAFnCHV5","properties":{"formattedCitation":"(Ashrafi et al. 2017)","plainCitation":"(Ashrafi et al. 2017)","noteIndex":0},"citationItems":[{"id":2156,"uris":["http://zotero.org/users/9330673/items/6A4YYT5V"],"itemData":{"id":2156,"type":"article-journal","abstract":"Regulator of G-protein signaling 4 (RGS4), a member of the RGS family of proteins that inactivate Gproteins, has gained interest as a potential drug target for neurological disorders, such as epilepsy and Parkinson’s disease (PD). In the case of PD, the main current options for alleviating motor symptoms are dopamine replacement therapies, which have limitations because of side effects and reduced effectiveness over the long term. Research on new nondopaminergic PD drug targets has indicated that inhibition of RGS4 could be an effective adjuvant treatment option. The effectiveness of RGS4 inhibition for an array of PD-linked functional and structural neuroprotection end points has not yet been demonstrated. Here, we use the 6-hydroxydopamine (6-OHDA) lesioning model of the nigrostriatal pathway in mice to address this question. We observe, using a battery of behavioral and pathological measures, that mice deﬁcient for RGS4 are not protected from 6-OHDAeinduced injury and show enhanced susceptibility in some measures of motor function. Our results suggest that inhibition of RGS4 as a nondopaminergic target for PD should be approached with caution.","container-title":"Neurobiology of Aging","DOI":"10.1016/j.neurobiolaging.2017.06.008","ISSN":"01974580","journalAbbreviation":"Neurobiology of Aging","language":"en","page":"30-33","source":"DOI.org (Crossref)","title":"Absence of regulator of G-protein signaling 4 does not protect against dopamine neuron dysfunction and injury in the mouse 6-hydroxydopamine lesion model of Parkinson's disease","volume":"58","author":[{"family":"Ashrafi","given":"Amer"},{"family":"Garcia","given":"Pierre"},{"family":"Kollmus","given":"Heike"},{"family":"Schughart","given":"Klaus"},{"family":"Del Sol","given":"Antonio"},{"family":"Buttini","given":"Manuel"},{"family":"Glaab","given":"Enrico"}],"issued":{"date-parts":[["2017",10]]}}}],"schema":"https://github.com/citation-style-language/schema/raw/master/csl-citation.json"} </w:instrText>
      </w:r>
      <w:r w:rsidR="00D30E64">
        <w:rPr>
          <w:rFonts w:ascii="Verdana" w:hAnsi="Verdana"/>
        </w:rPr>
        <w:fldChar w:fldCharType="separate"/>
      </w:r>
      <w:r w:rsidR="00D30E64" w:rsidRPr="00D30E64">
        <w:rPr>
          <w:rFonts w:ascii="Verdana" w:hAnsi="Verdana"/>
        </w:rPr>
        <w:t>(Ashrafi et al. 2017)</w:t>
      </w:r>
      <w:r w:rsidR="00D30E64">
        <w:rPr>
          <w:rFonts w:ascii="Verdana" w:hAnsi="Verdana"/>
        </w:rPr>
        <w:fldChar w:fldCharType="end"/>
      </w:r>
      <w:r w:rsidRPr="00AE17C4">
        <w:rPr>
          <w:rFonts w:ascii="Verdana" w:hAnsi="Verdana"/>
        </w:rPr>
        <w:t xml:space="preserve">. </w:t>
      </w:r>
      <w:r w:rsidR="00A85FF5">
        <w:rPr>
          <w:rFonts w:ascii="Verdana" w:hAnsi="Verdana"/>
          <w:lang w:val="en-GB"/>
        </w:rPr>
        <w:t>Tiled p</w:t>
      </w:r>
      <w:r w:rsidRPr="000C59D9">
        <w:rPr>
          <w:rFonts w:ascii="Verdana" w:hAnsi="Verdana"/>
          <w:lang w:val="en-GB"/>
        </w:rPr>
        <w:t>ictures of the whole SN</w:t>
      </w:r>
      <w:r>
        <w:rPr>
          <w:rFonts w:ascii="Verdana" w:hAnsi="Verdana"/>
          <w:lang w:val="en-GB"/>
        </w:rPr>
        <w:t xml:space="preserve"> were</w:t>
      </w:r>
      <w:r>
        <w:rPr>
          <w:rFonts w:ascii="Verdana" w:hAnsi="Verdana"/>
          <w:color w:val="000000" w:themeColor="text1"/>
          <w:lang w:val="en-GB"/>
        </w:rPr>
        <w:t xml:space="preserve"> acquired </w:t>
      </w:r>
      <w:r>
        <w:rPr>
          <w:rFonts w:ascii="Verdana" w:hAnsi="Verdana"/>
          <w:color w:val="000000" w:themeColor="text1"/>
          <w:lang w:val="en-GB"/>
        </w:rPr>
        <w:lastRenderedPageBreak/>
        <w:t>at 10X magnification (</w:t>
      </w:r>
      <w:r w:rsidRPr="000C59D9">
        <w:rPr>
          <w:rFonts w:ascii="Verdana" w:hAnsi="Verdana"/>
          <w:lang w:val="en-GB"/>
        </w:rPr>
        <w:t>895 × 670μm</w:t>
      </w:r>
      <w:r>
        <w:rPr>
          <w:rFonts w:ascii="Verdana" w:hAnsi="Verdana"/>
          <w:lang w:val="en-GB"/>
        </w:rPr>
        <w:t>)</w:t>
      </w:r>
      <w:r w:rsidR="00A85FF5" w:rsidRPr="00A85FF5">
        <w:rPr>
          <w:rFonts w:ascii="Verdana" w:hAnsi="Verdana"/>
          <w:color w:val="000000" w:themeColor="text1"/>
          <w:lang w:val="en-GB"/>
        </w:rPr>
        <w:t xml:space="preserve"> </w:t>
      </w:r>
      <w:r w:rsidR="00A85FF5">
        <w:rPr>
          <w:rFonts w:ascii="Verdana" w:hAnsi="Verdana"/>
          <w:color w:val="000000" w:themeColor="text1"/>
          <w:lang w:val="en-GB"/>
        </w:rPr>
        <w:t xml:space="preserve">with regular epifluorescence. Pictures were taken every 200µm throughout the whole ventral </w:t>
      </w:r>
      <w:proofErr w:type="gramStart"/>
      <w:r w:rsidR="00A85FF5">
        <w:rPr>
          <w:rFonts w:ascii="Verdana" w:hAnsi="Verdana"/>
          <w:color w:val="000000" w:themeColor="text1"/>
          <w:lang w:val="en-GB"/>
        </w:rPr>
        <w:t>midbrain, and</w:t>
      </w:r>
      <w:proofErr w:type="gramEnd"/>
      <w:r w:rsidR="00A85FF5">
        <w:rPr>
          <w:rFonts w:ascii="Verdana" w:hAnsi="Verdana"/>
          <w:color w:val="000000" w:themeColor="text1"/>
          <w:lang w:val="en-GB"/>
        </w:rPr>
        <w:t xml:space="preserve"> were assigned to one of the four SN subregions.</w:t>
      </w:r>
      <w:r w:rsidR="00506490">
        <w:rPr>
          <w:rFonts w:ascii="Verdana" w:hAnsi="Verdana"/>
          <w:color w:val="000000" w:themeColor="text1"/>
          <w:lang w:val="en-GB"/>
        </w:rPr>
        <w:t xml:space="preserve"> For each subregion, </w:t>
      </w:r>
      <w:r w:rsidR="0013529B">
        <w:rPr>
          <w:rFonts w:ascii="Verdana" w:hAnsi="Verdana"/>
          <w:color w:val="000000" w:themeColor="text1"/>
          <w:lang w:val="en-GB"/>
        </w:rPr>
        <w:t xml:space="preserve">the region-of-interest occupied by TH+ neurons </w:t>
      </w:r>
      <w:proofErr w:type="gramStart"/>
      <w:r w:rsidR="004B175D">
        <w:rPr>
          <w:rFonts w:ascii="Verdana" w:hAnsi="Verdana"/>
          <w:color w:val="000000" w:themeColor="text1"/>
          <w:lang w:val="en-GB"/>
        </w:rPr>
        <w:t>was</w:t>
      </w:r>
      <w:proofErr w:type="gramEnd"/>
      <w:r w:rsidR="004B175D">
        <w:rPr>
          <w:rFonts w:ascii="Verdana" w:hAnsi="Verdana"/>
          <w:color w:val="000000" w:themeColor="text1"/>
          <w:lang w:val="en-GB"/>
        </w:rPr>
        <w:t xml:space="preserve"> quantified in </w:t>
      </w:r>
      <w:r w:rsidR="00506490">
        <w:rPr>
          <w:rFonts w:ascii="Verdana" w:hAnsi="Verdana"/>
          <w:color w:val="000000" w:themeColor="text1"/>
          <w:lang w:val="en-GB"/>
        </w:rPr>
        <w:t>up to 2 sections</w:t>
      </w:r>
      <w:r w:rsidR="0013529B">
        <w:rPr>
          <w:rFonts w:ascii="Verdana" w:hAnsi="Verdana"/>
          <w:color w:val="000000" w:themeColor="text1"/>
          <w:lang w:val="en-GB"/>
        </w:rPr>
        <w:t>/level</w:t>
      </w:r>
      <w:r w:rsidR="004B175D">
        <w:rPr>
          <w:rFonts w:ascii="Verdana" w:hAnsi="Verdana"/>
          <w:color w:val="000000" w:themeColor="text1"/>
          <w:lang w:val="en-GB"/>
        </w:rPr>
        <w:t xml:space="preserve">. </w:t>
      </w:r>
      <w:r w:rsidR="00A85FF5">
        <w:rPr>
          <w:rFonts w:ascii="Verdana" w:hAnsi="Verdana"/>
          <w:color w:val="000000" w:themeColor="text1"/>
          <w:lang w:val="en-GB"/>
        </w:rPr>
        <w:t>The “Cumulated surface” was calculated summing values from each subregion for each mouse</w:t>
      </w:r>
      <w:r w:rsidR="004B175D">
        <w:rPr>
          <w:rFonts w:ascii="Verdana" w:hAnsi="Verdana"/>
          <w:color w:val="000000" w:themeColor="text1"/>
          <w:lang w:val="en-GB"/>
        </w:rPr>
        <w:t xml:space="preserve"> and converted t</w:t>
      </w:r>
      <w:r w:rsidR="002C1DBC">
        <w:rPr>
          <w:rFonts w:ascii="Verdana" w:hAnsi="Verdana"/>
          <w:color w:val="000000" w:themeColor="text1"/>
          <w:lang w:val="en-GB"/>
        </w:rPr>
        <w:t>o mm2.</w:t>
      </w:r>
    </w:p>
    <w:p w14:paraId="506FA58D" w14:textId="5CF2BF01" w:rsidR="00A06C9F" w:rsidRDefault="004F5D22" w:rsidP="00584E87">
      <w:pPr>
        <w:spacing w:line="360" w:lineRule="auto"/>
        <w:jc w:val="both"/>
        <w:rPr>
          <w:rFonts w:ascii="Verdana" w:hAnsi="Verdana"/>
          <w:lang w:val="en-GB"/>
        </w:rPr>
      </w:pPr>
      <w:r>
        <w:rPr>
          <w:rFonts w:ascii="Verdana" w:hAnsi="Verdana"/>
          <w:lang w:val="en-GB"/>
        </w:rPr>
        <w:t>For p</w:t>
      </w:r>
      <w:r w:rsidR="00AD5A2B">
        <w:rPr>
          <w:rFonts w:ascii="Verdana" w:hAnsi="Verdana"/>
          <w:lang w:val="en-GB"/>
        </w:rPr>
        <w:t>hosphorylated alpha-synuclein</w:t>
      </w:r>
      <w:r>
        <w:rPr>
          <w:rFonts w:ascii="Verdana" w:hAnsi="Verdana"/>
        </w:rPr>
        <w:t xml:space="preserve"> quantification in the dorsal striatum, sections were double stained for TH (for </w:t>
      </w:r>
      <w:r w:rsidR="00AD5A2B">
        <w:rPr>
          <w:rFonts w:ascii="Verdana" w:hAnsi="Verdana"/>
        </w:rPr>
        <w:t>regional reference) and</w:t>
      </w:r>
      <w:r w:rsidR="00AD5A2B" w:rsidRPr="00AD5A2B">
        <w:rPr>
          <w:rFonts w:ascii="Verdana" w:hAnsi="Verdana"/>
          <w:lang w:val="en-GB"/>
        </w:rPr>
        <w:t xml:space="preserve"> </w:t>
      </w:r>
      <w:r w:rsidR="00AD5A2B">
        <w:rPr>
          <w:rFonts w:ascii="Verdana" w:hAnsi="Verdana"/>
          <w:lang w:val="en-GB"/>
        </w:rPr>
        <w:t>pS129-</w:t>
      </w:r>
      <w:r w:rsidR="00AD5A2B" w:rsidRPr="00AE17C4">
        <w:rPr>
          <w:rFonts w:ascii="Verdana" w:hAnsi="Verdana"/>
        </w:rPr>
        <w:t>αSyn</w:t>
      </w:r>
      <w:r w:rsidR="00AD5A2B">
        <w:rPr>
          <w:rFonts w:ascii="Verdana" w:hAnsi="Verdana"/>
        </w:rPr>
        <w:t xml:space="preserve">. </w:t>
      </w:r>
      <w:r w:rsidR="00CE5DA2">
        <w:rPr>
          <w:rFonts w:ascii="Verdana" w:hAnsi="Verdana"/>
        </w:rPr>
        <w:t>40X magnified pictures were converted to 8-bit and the threshold was set to “</w:t>
      </w:r>
      <w:proofErr w:type="spellStart"/>
      <w:r w:rsidR="00CE5DA2">
        <w:rPr>
          <w:rFonts w:ascii="Verdana" w:hAnsi="Verdana"/>
        </w:rPr>
        <w:t>MaxEntropy</w:t>
      </w:r>
      <w:proofErr w:type="spellEnd"/>
      <w:r w:rsidR="00CE5DA2">
        <w:rPr>
          <w:rFonts w:ascii="Verdana" w:hAnsi="Verdana"/>
        </w:rPr>
        <w:t xml:space="preserve">”. </w:t>
      </w:r>
      <w:r w:rsidR="002E1EEF">
        <w:rPr>
          <w:rFonts w:ascii="Verdana" w:hAnsi="Verdana"/>
        </w:rPr>
        <w:t>On ImageJ, t</w:t>
      </w:r>
      <w:r w:rsidR="00CE5DA2">
        <w:rPr>
          <w:rFonts w:ascii="Verdana" w:hAnsi="Verdana"/>
        </w:rPr>
        <w:t xml:space="preserve">he images were scaled from pixels </w:t>
      </w:r>
      <w:r w:rsidR="00CE5DA2" w:rsidRPr="00FE3C37">
        <w:rPr>
          <w:rFonts w:ascii="Verdana" w:hAnsi="Verdana"/>
        </w:rPr>
        <w:t xml:space="preserve">to </w:t>
      </w:r>
      <w:r w:rsidR="00FE3C37" w:rsidRPr="00FE3C37">
        <w:rPr>
          <w:rFonts w:ascii="Verdana" w:hAnsi="Verdana" w:cs="Calibri"/>
        </w:rPr>
        <w:t>µ</w:t>
      </w:r>
      <w:r w:rsidR="00CE5DA2" w:rsidRPr="00AE17C4">
        <w:rPr>
          <w:rFonts w:ascii="Verdana" w:hAnsi="Verdana"/>
        </w:rPr>
        <w:t>m</w:t>
      </w:r>
      <w:r w:rsidR="002E1EEF">
        <w:rPr>
          <w:rFonts w:ascii="Verdana" w:hAnsi="Verdana"/>
        </w:rPr>
        <w:t xml:space="preserve">, and the “Analyze Particles” tool was used to exclude larger non-synaptic particles </w:t>
      </w:r>
      <w:r w:rsidR="00CA0D13">
        <w:rPr>
          <w:rFonts w:ascii="Verdana" w:hAnsi="Verdana"/>
        </w:rPr>
        <w:t>(Size: 30.00-Infinity, Circularity: 0.25-1). The regions-of-interest (ROIs) to exclude were selected with the “XOR” tool of the ROI manager</w:t>
      </w:r>
      <w:r w:rsidR="00FA7CBD">
        <w:rPr>
          <w:rFonts w:ascii="Verdana" w:hAnsi="Verdana"/>
        </w:rPr>
        <w:t>, and the p</w:t>
      </w:r>
      <w:r w:rsidR="00D36959">
        <w:rPr>
          <w:rFonts w:ascii="Verdana" w:hAnsi="Verdana"/>
        </w:rPr>
        <w:t>hosphorylated alpha-synuclein positive</w:t>
      </w:r>
      <w:r w:rsidR="00FA7CBD">
        <w:rPr>
          <w:rFonts w:ascii="Verdana" w:hAnsi="Verdana"/>
        </w:rPr>
        <w:t xml:space="preserve"> area was quantified. </w:t>
      </w:r>
      <w:r w:rsidR="00E24AB1">
        <w:rPr>
          <w:rFonts w:ascii="Verdana" w:hAnsi="Verdana"/>
        </w:rPr>
        <w:t xml:space="preserve">For quantification in the </w:t>
      </w:r>
      <w:proofErr w:type="spellStart"/>
      <w:r w:rsidR="00E24AB1">
        <w:rPr>
          <w:rFonts w:ascii="Verdana" w:hAnsi="Verdana"/>
        </w:rPr>
        <w:t>SNpc</w:t>
      </w:r>
      <w:proofErr w:type="spellEnd"/>
      <w:r w:rsidR="00E24AB1">
        <w:rPr>
          <w:rFonts w:ascii="Verdana" w:hAnsi="Verdana"/>
        </w:rPr>
        <w:t xml:space="preserve">, bigger particles were once again excluded with the same settings used for the dorsal striatum. A virtual grid </w:t>
      </w:r>
      <w:r w:rsidR="00FE3C37">
        <w:rPr>
          <w:rFonts w:ascii="Verdana" w:hAnsi="Verdana"/>
        </w:rPr>
        <w:t>(2500</w:t>
      </w:r>
      <w:r w:rsidR="00FE3C37" w:rsidRPr="00FE3C37">
        <w:rPr>
          <w:rFonts w:ascii="Verdana" w:hAnsi="Verdana"/>
        </w:rPr>
        <w:t xml:space="preserve"> </w:t>
      </w:r>
      <w:r w:rsidR="00FE3C37" w:rsidRPr="00FE3C37">
        <w:rPr>
          <w:rFonts w:ascii="Verdana" w:hAnsi="Verdana" w:cs="Calibri"/>
        </w:rPr>
        <w:t>µ</w:t>
      </w:r>
      <w:r w:rsidR="00FE3C37" w:rsidRPr="00FE3C37">
        <w:rPr>
          <w:rFonts w:ascii="Verdana" w:hAnsi="Verdana"/>
        </w:rPr>
        <w:t>m2</w:t>
      </w:r>
      <w:r w:rsidR="00FE3C37">
        <w:rPr>
          <w:rFonts w:ascii="Verdana" w:hAnsi="Verdana"/>
        </w:rPr>
        <w:t xml:space="preserve">) </w:t>
      </w:r>
      <w:r w:rsidR="00513C86">
        <w:rPr>
          <w:rFonts w:ascii="Verdana" w:hAnsi="Verdana"/>
        </w:rPr>
        <w:t>was overlaid to each picture, and p</w:t>
      </w:r>
      <w:r w:rsidR="00D36959">
        <w:rPr>
          <w:rFonts w:ascii="Verdana" w:hAnsi="Verdana"/>
        </w:rPr>
        <w:t>hosphorylated alpha-synuclein positive</w:t>
      </w:r>
      <w:r w:rsidR="00513C86">
        <w:rPr>
          <w:rFonts w:ascii="Verdana" w:hAnsi="Verdana"/>
        </w:rPr>
        <w:t xml:space="preserve"> accumulations were manually counted</w:t>
      </w:r>
      <w:r w:rsidR="00F01272">
        <w:rPr>
          <w:rFonts w:ascii="Verdana" w:hAnsi="Verdana"/>
        </w:rPr>
        <w:t>: 1 count = 1 cell body for p</w:t>
      </w:r>
      <w:r w:rsidR="00AD56A4">
        <w:rPr>
          <w:rFonts w:ascii="Verdana" w:hAnsi="Verdana"/>
        </w:rPr>
        <w:t>hosphorylated alpha-synuclein positive</w:t>
      </w:r>
      <w:r w:rsidR="00F01272">
        <w:rPr>
          <w:rFonts w:ascii="Verdana" w:hAnsi="Verdana"/>
        </w:rPr>
        <w:t xml:space="preserve"> cell bodies, and number of particles per square for non</w:t>
      </w:r>
      <w:r w:rsidR="009E6914">
        <w:rPr>
          <w:rFonts w:ascii="Verdana" w:hAnsi="Verdana"/>
        </w:rPr>
        <w:t>-cell body (“other”) positive particles. Counts were normalized per square and summed for all 4 SN subregions.</w:t>
      </w:r>
    </w:p>
    <w:p w14:paraId="13293948" w14:textId="7DEAF322" w:rsidR="008D6285" w:rsidRPr="00AE17C4" w:rsidRDefault="009E6914" w:rsidP="009E6914">
      <w:pPr>
        <w:spacing w:line="360" w:lineRule="auto"/>
        <w:jc w:val="both"/>
        <w:rPr>
          <w:rFonts w:ascii="Verdana" w:hAnsi="Verdana" w:cs="Calibri"/>
          <w:color w:val="000000"/>
          <w:sz w:val="20"/>
          <w:szCs w:val="20"/>
          <w:lang w:val="en-GB"/>
        </w:rPr>
      </w:pPr>
      <w:r w:rsidRPr="00237BC6">
        <w:rPr>
          <w:rFonts w:ascii="Verdana" w:hAnsi="Verdana" w:cs="Calibri"/>
          <w:color w:val="000000"/>
          <w:lang w:val="en-GB"/>
        </w:rPr>
        <w:t>Statistical analyses methods used are indicate for each experiment in the picture’s caption.</w:t>
      </w:r>
    </w:p>
    <w:p w14:paraId="2F874BCF" w14:textId="77777777" w:rsidR="008D6285" w:rsidRDefault="008D6285" w:rsidP="008D6285">
      <w:pPr>
        <w:ind w:firstLine="0"/>
        <w:rPr>
          <w:rFonts w:ascii="Verdana" w:hAnsi="Verdana"/>
          <w:lang w:val="en-GB"/>
        </w:rPr>
      </w:pPr>
    </w:p>
    <w:p w14:paraId="2FD6CDE2" w14:textId="5EA5216E" w:rsidR="00B92B7E" w:rsidRDefault="00B92B7E" w:rsidP="00584E87">
      <w:pPr>
        <w:spacing w:line="360" w:lineRule="auto"/>
        <w:jc w:val="both"/>
        <w:rPr>
          <w:rFonts w:ascii="Verdana" w:hAnsi="Verdana"/>
          <w:lang w:val="en-GB"/>
        </w:rPr>
      </w:pPr>
    </w:p>
    <w:p w14:paraId="000059FF" w14:textId="7842A50D" w:rsidR="00B92B7E" w:rsidRPr="003D5E63" w:rsidRDefault="003D5E63" w:rsidP="00767F9D">
      <w:pPr>
        <w:pStyle w:val="Heading3"/>
        <w:rPr>
          <w:lang w:val="en-GB"/>
        </w:rPr>
      </w:pPr>
      <w:bookmarkStart w:id="58" w:name="_Toc130223423"/>
      <w:r w:rsidRPr="003D5E63">
        <w:rPr>
          <w:lang w:val="en-GB"/>
        </w:rPr>
        <w:t>Immunofluorescence-staining on free-floating mouse brain sections with antigen retrieval</w:t>
      </w:r>
      <w:bookmarkEnd w:id="58"/>
    </w:p>
    <w:p w14:paraId="0280C99A" w14:textId="65C6E5A7" w:rsidR="009B3752" w:rsidRPr="00BE59D3" w:rsidRDefault="003D5E63" w:rsidP="009B3752">
      <w:pPr>
        <w:spacing w:line="360" w:lineRule="auto"/>
        <w:jc w:val="both"/>
        <w:rPr>
          <w:rFonts w:ascii="Verdana" w:hAnsi="Verdana"/>
          <w:lang w:val="en-GB"/>
        </w:rPr>
      </w:pPr>
      <w:r>
        <w:rPr>
          <w:rFonts w:ascii="Verdana" w:hAnsi="Verdana"/>
          <w:color w:val="000000" w:themeColor="text1"/>
          <w:lang w:val="en-GB"/>
        </w:rPr>
        <w:t xml:space="preserve">Double staining for GFAP and Nrf2 was performed with an antigen retrieval – immunofluorescence protocol. </w:t>
      </w:r>
      <w:r w:rsidR="004D2482">
        <w:rPr>
          <w:rFonts w:ascii="Verdana" w:hAnsi="Verdana"/>
          <w:color w:val="000000" w:themeColor="text1"/>
          <w:lang w:val="en-GB"/>
        </w:rPr>
        <w:t xml:space="preserve">Prior to staining, </w:t>
      </w:r>
      <w:r w:rsidR="00921100">
        <w:rPr>
          <w:rFonts w:ascii="Verdana" w:hAnsi="Verdana"/>
          <w:color w:val="000000" w:themeColor="text1"/>
          <w:lang w:val="en-GB"/>
        </w:rPr>
        <w:t xml:space="preserve">free-floating mouse brain sections were </w:t>
      </w:r>
      <w:r w:rsidR="004D2482">
        <w:rPr>
          <w:rFonts w:ascii="Verdana" w:hAnsi="Verdana"/>
          <w:color w:val="000000" w:themeColor="text1"/>
          <w:lang w:val="en-GB"/>
        </w:rPr>
        <w:t>incubated in 30% sucrose overnight. Sections were</w:t>
      </w:r>
      <w:r w:rsidR="005B0835">
        <w:rPr>
          <w:rFonts w:ascii="Verdana" w:hAnsi="Verdana"/>
          <w:color w:val="000000" w:themeColor="text1"/>
          <w:lang w:val="en-GB"/>
        </w:rPr>
        <w:t xml:space="preserve"> </w:t>
      </w:r>
      <w:r w:rsidR="004D2482">
        <w:rPr>
          <w:rFonts w:ascii="Verdana" w:hAnsi="Verdana"/>
          <w:color w:val="000000" w:themeColor="text1"/>
          <w:lang w:val="en-GB"/>
        </w:rPr>
        <w:t>ri</w:t>
      </w:r>
      <w:r w:rsidR="005B0835">
        <w:rPr>
          <w:rFonts w:ascii="Verdana" w:hAnsi="Verdana"/>
          <w:color w:val="000000" w:themeColor="text1"/>
          <w:lang w:val="en-GB"/>
        </w:rPr>
        <w:t>n</w:t>
      </w:r>
      <w:r w:rsidR="004D2482">
        <w:rPr>
          <w:rFonts w:ascii="Verdana" w:hAnsi="Verdana"/>
          <w:color w:val="000000" w:themeColor="text1"/>
          <w:lang w:val="en-GB"/>
        </w:rPr>
        <w:t xml:space="preserve">sed </w:t>
      </w:r>
      <w:r w:rsidR="00530F42">
        <w:rPr>
          <w:rFonts w:ascii="Verdana" w:hAnsi="Verdana"/>
          <w:color w:val="000000" w:themeColor="text1"/>
          <w:lang w:val="en-GB"/>
        </w:rPr>
        <w:t>3 x 5min with PBS 1X and then incubated</w:t>
      </w:r>
      <w:r w:rsidR="000334A2">
        <w:rPr>
          <w:rFonts w:ascii="Verdana" w:hAnsi="Verdana"/>
          <w:color w:val="000000" w:themeColor="text1"/>
          <w:lang w:val="en-GB"/>
        </w:rPr>
        <w:t xml:space="preserve"> for 30min at </w:t>
      </w:r>
      <w:r w:rsidR="005B0835">
        <w:rPr>
          <w:rFonts w:ascii="Verdana" w:hAnsi="Verdana"/>
          <w:color w:val="000000" w:themeColor="text1"/>
          <w:lang w:val="en-GB"/>
        </w:rPr>
        <w:t>80°C</w:t>
      </w:r>
      <w:r w:rsidR="00530F42">
        <w:rPr>
          <w:rFonts w:ascii="Verdana" w:hAnsi="Verdana"/>
          <w:color w:val="000000" w:themeColor="text1"/>
          <w:lang w:val="en-GB"/>
        </w:rPr>
        <w:t xml:space="preserve"> in</w:t>
      </w:r>
      <w:r w:rsidR="000334A2">
        <w:rPr>
          <w:rFonts w:ascii="Verdana" w:hAnsi="Verdana"/>
          <w:color w:val="000000" w:themeColor="text1"/>
          <w:lang w:val="en-GB"/>
        </w:rPr>
        <w:t xml:space="preserve"> pre-heated</w:t>
      </w:r>
      <w:r w:rsidR="00530F42">
        <w:rPr>
          <w:rFonts w:ascii="Verdana" w:hAnsi="Verdana"/>
          <w:color w:val="000000" w:themeColor="text1"/>
          <w:lang w:val="en-GB"/>
        </w:rPr>
        <w:t xml:space="preserve"> 10mM sodium citrate </w:t>
      </w:r>
      <w:r w:rsidR="000334A2">
        <w:rPr>
          <w:rFonts w:ascii="Verdana" w:hAnsi="Verdana"/>
          <w:color w:val="000000" w:themeColor="text1"/>
          <w:lang w:val="en-GB"/>
        </w:rPr>
        <w:t xml:space="preserve">buffer (pH 8.5). </w:t>
      </w:r>
      <w:r w:rsidR="00C71EE0">
        <w:rPr>
          <w:rFonts w:ascii="Verdana" w:hAnsi="Verdana"/>
          <w:color w:val="000000" w:themeColor="text1"/>
          <w:lang w:val="en-GB"/>
        </w:rPr>
        <w:t>The solution was then allowed to cool down to RT and sections were once ag</w:t>
      </w:r>
      <w:r w:rsidR="007D51B7">
        <w:rPr>
          <w:rFonts w:ascii="Verdana" w:hAnsi="Verdana"/>
          <w:color w:val="000000" w:themeColor="text1"/>
          <w:lang w:val="en-GB"/>
        </w:rPr>
        <w:t>a</w:t>
      </w:r>
      <w:r w:rsidR="00C71EE0">
        <w:rPr>
          <w:rFonts w:ascii="Verdana" w:hAnsi="Verdana"/>
          <w:color w:val="000000" w:themeColor="text1"/>
          <w:lang w:val="en-GB"/>
        </w:rPr>
        <w:t xml:space="preserve">in washed 3 x 5min in PBS 1X. </w:t>
      </w:r>
      <w:r w:rsidR="00FF6DBE">
        <w:rPr>
          <w:rFonts w:ascii="Verdana" w:hAnsi="Verdana"/>
          <w:color w:val="000000" w:themeColor="text1"/>
          <w:lang w:val="en-GB"/>
        </w:rPr>
        <w:t xml:space="preserve">Sections were then collected in a 48 well plate with </w:t>
      </w:r>
      <w:r w:rsidR="00890F49">
        <w:rPr>
          <w:rFonts w:ascii="Verdana" w:hAnsi="Verdana"/>
          <w:color w:val="000000" w:themeColor="text1"/>
          <w:lang w:val="en-GB"/>
        </w:rPr>
        <w:t xml:space="preserve">5% </w:t>
      </w:r>
      <w:r w:rsidR="00FF6DBE">
        <w:rPr>
          <w:rFonts w:ascii="Verdana" w:hAnsi="Verdana"/>
          <w:color w:val="000000" w:themeColor="text1"/>
          <w:lang w:val="en-GB"/>
        </w:rPr>
        <w:t>normal goat serum</w:t>
      </w:r>
      <w:r w:rsidR="00890F49">
        <w:rPr>
          <w:rFonts w:ascii="Verdana" w:hAnsi="Verdana"/>
          <w:color w:val="000000" w:themeColor="text1"/>
          <w:lang w:val="en-GB"/>
        </w:rPr>
        <w:t xml:space="preserve"> in TBS </w:t>
      </w:r>
      <w:r w:rsidR="00B5122C">
        <w:rPr>
          <w:rFonts w:ascii="Verdana" w:hAnsi="Verdana"/>
          <w:color w:val="000000" w:themeColor="text1"/>
          <w:lang w:val="en-GB"/>
        </w:rPr>
        <w:t xml:space="preserve">containing </w:t>
      </w:r>
      <w:r w:rsidR="00B5122C">
        <w:rPr>
          <w:rFonts w:ascii="Verdana" w:hAnsi="Verdana"/>
          <w:color w:val="000000" w:themeColor="text1"/>
          <w:lang w:val="en-GB"/>
        </w:rPr>
        <w:lastRenderedPageBreak/>
        <w:t>0.5% Triton</w:t>
      </w:r>
      <w:r w:rsidR="00E42701">
        <w:rPr>
          <w:rFonts w:ascii="Verdana" w:hAnsi="Verdana"/>
          <w:color w:val="000000" w:themeColor="text1"/>
          <w:lang w:val="en-GB"/>
        </w:rPr>
        <w:t xml:space="preserve"> </w:t>
      </w:r>
      <w:r w:rsidR="00B5122C">
        <w:rPr>
          <w:rFonts w:ascii="Verdana" w:hAnsi="Verdana"/>
          <w:color w:val="000000" w:themeColor="text1"/>
          <w:lang w:val="en-GB"/>
        </w:rPr>
        <w:t>X</w:t>
      </w:r>
      <w:r w:rsidR="00E42701">
        <w:rPr>
          <w:rFonts w:ascii="Verdana" w:hAnsi="Verdana"/>
          <w:color w:val="000000" w:themeColor="text1"/>
          <w:lang w:val="en-GB"/>
        </w:rPr>
        <w:t>-</w:t>
      </w:r>
      <w:r w:rsidR="00B5122C">
        <w:rPr>
          <w:rFonts w:ascii="Verdana" w:hAnsi="Verdana"/>
          <w:color w:val="000000" w:themeColor="text1"/>
          <w:lang w:val="en-GB"/>
        </w:rPr>
        <w:t xml:space="preserve">100, 0.5% sodium </w:t>
      </w:r>
      <w:proofErr w:type="spellStart"/>
      <w:r w:rsidR="00B5122C">
        <w:rPr>
          <w:rFonts w:ascii="Verdana" w:hAnsi="Verdana"/>
          <w:color w:val="000000" w:themeColor="text1"/>
          <w:lang w:val="en-GB"/>
        </w:rPr>
        <w:t>azide</w:t>
      </w:r>
      <w:proofErr w:type="spellEnd"/>
      <w:r w:rsidR="00B5122C">
        <w:rPr>
          <w:rFonts w:ascii="Verdana" w:hAnsi="Verdana"/>
          <w:color w:val="000000" w:themeColor="text1"/>
          <w:lang w:val="en-GB"/>
        </w:rPr>
        <w:t xml:space="preserve"> and 0.1% sodium citrate (TBS++++</w:t>
      </w:r>
      <w:proofErr w:type="gramStart"/>
      <w:r w:rsidR="00B5122C">
        <w:rPr>
          <w:rFonts w:ascii="Verdana" w:hAnsi="Verdana"/>
          <w:color w:val="000000" w:themeColor="text1"/>
          <w:lang w:val="en-GB"/>
        </w:rPr>
        <w:t>)</w:t>
      </w:r>
      <w:r w:rsidR="00307236">
        <w:rPr>
          <w:rFonts w:ascii="Verdana" w:hAnsi="Verdana"/>
          <w:color w:val="000000" w:themeColor="text1"/>
          <w:lang w:val="en-GB"/>
        </w:rPr>
        <w:t>, and</w:t>
      </w:r>
      <w:proofErr w:type="gramEnd"/>
      <w:r w:rsidR="00307236">
        <w:rPr>
          <w:rFonts w:ascii="Verdana" w:hAnsi="Verdana"/>
          <w:color w:val="000000" w:themeColor="text1"/>
          <w:lang w:val="en-GB"/>
        </w:rPr>
        <w:t xml:space="preserve"> incubated 1h at RT on a shaker. After blocking, sections </w:t>
      </w:r>
      <w:r w:rsidR="008F1BE2">
        <w:rPr>
          <w:rFonts w:ascii="Verdana" w:hAnsi="Verdana"/>
          <w:color w:val="000000" w:themeColor="text1"/>
          <w:lang w:val="en-GB"/>
        </w:rPr>
        <w:t>were incubated</w:t>
      </w:r>
      <w:r w:rsidR="00C4319F">
        <w:rPr>
          <w:rFonts w:ascii="Verdana" w:hAnsi="Verdana"/>
          <w:color w:val="000000" w:themeColor="text1"/>
          <w:lang w:val="en-GB"/>
        </w:rPr>
        <w:t xml:space="preserve"> 48h on a sh</w:t>
      </w:r>
      <w:r w:rsidR="009A7DB0">
        <w:rPr>
          <w:rFonts w:ascii="Verdana" w:hAnsi="Verdana"/>
          <w:color w:val="000000" w:themeColor="text1"/>
          <w:lang w:val="en-GB"/>
        </w:rPr>
        <w:t>a</w:t>
      </w:r>
      <w:r w:rsidR="00C4319F">
        <w:rPr>
          <w:rFonts w:ascii="Verdana" w:hAnsi="Verdana"/>
          <w:color w:val="000000" w:themeColor="text1"/>
          <w:lang w:val="en-GB"/>
        </w:rPr>
        <w:t>ker at 4°C</w:t>
      </w:r>
      <w:r w:rsidR="008F1BE2">
        <w:rPr>
          <w:rFonts w:ascii="Verdana" w:hAnsi="Verdana"/>
          <w:color w:val="000000" w:themeColor="text1"/>
          <w:lang w:val="en-GB"/>
        </w:rPr>
        <w:t xml:space="preserve"> </w:t>
      </w:r>
      <w:r w:rsidR="002F681A">
        <w:rPr>
          <w:rFonts w:ascii="Verdana" w:hAnsi="Verdana"/>
          <w:color w:val="000000" w:themeColor="text1"/>
          <w:lang w:val="en-GB"/>
        </w:rPr>
        <w:t xml:space="preserve">in </w:t>
      </w:r>
      <w:r>
        <w:rPr>
          <w:rFonts w:ascii="Verdana" w:hAnsi="Verdana"/>
          <w:color w:val="000000" w:themeColor="text1"/>
          <w:lang w:val="en-GB"/>
        </w:rPr>
        <w:t>rabbit polyclonal anti-Nrf2 (AB_2545358, Invitrogen, 1:1500)</w:t>
      </w:r>
      <w:r w:rsidR="002F681A">
        <w:rPr>
          <w:rFonts w:ascii="Verdana" w:hAnsi="Verdana"/>
          <w:color w:val="000000" w:themeColor="text1"/>
          <w:lang w:val="en-GB"/>
        </w:rPr>
        <w:t>, and</w:t>
      </w:r>
      <w:r>
        <w:rPr>
          <w:rFonts w:ascii="Verdana" w:hAnsi="Verdana"/>
          <w:color w:val="000000" w:themeColor="text1"/>
          <w:lang w:val="en-GB"/>
        </w:rPr>
        <w:t xml:space="preserve"> guinea-pig anti-GFAP (173004, Synaptic Systems, 1:600</w:t>
      </w:r>
      <w:r w:rsidR="002F681A">
        <w:rPr>
          <w:rFonts w:ascii="Verdana" w:hAnsi="Verdana"/>
          <w:color w:val="000000" w:themeColor="text1"/>
          <w:lang w:val="en-GB"/>
        </w:rPr>
        <w:t>)</w:t>
      </w:r>
      <w:r w:rsidR="002F681A">
        <w:rPr>
          <w:rFonts w:ascii="Verdana" w:hAnsi="Verdana"/>
          <w:lang w:val="en-GB"/>
        </w:rPr>
        <w:t xml:space="preserve"> diluted in TBS++++. </w:t>
      </w:r>
      <w:r w:rsidR="00FA2DB7">
        <w:rPr>
          <w:rFonts w:ascii="Verdana" w:hAnsi="Verdana"/>
          <w:lang w:val="en-GB"/>
        </w:rPr>
        <w:t xml:space="preserve">After </w:t>
      </w:r>
      <w:r w:rsidR="009A7DB0">
        <w:rPr>
          <w:rFonts w:ascii="Verdana" w:hAnsi="Verdana"/>
          <w:lang w:val="en-GB"/>
        </w:rPr>
        <w:t>prim</w:t>
      </w:r>
      <w:r w:rsidR="00FA2DB7">
        <w:rPr>
          <w:rFonts w:ascii="Verdana" w:hAnsi="Verdana"/>
          <w:lang w:val="en-GB"/>
        </w:rPr>
        <w:t xml:space="preserve">ary antibody incubation, sections were washed 3 x </w:t>
      </w:r>
      <w:r w:rsidR="003C41F9">
        <w:rPr>
          <w:rFonts w:ascii="Verdana" w:hAnsi="Verdana"/>
          <w:lang w:val="en-GB"/>
        </w:rPr>
        <w:t>1</w:t>
      </w:r>
      <w:r w:rsidR="00FA2DB7">
        <w:rPr>
          <w:rFonts w:ascii="Verdana" w:hAnsi="Verdana"/>
          <w:lang w:val="en-GB"/>
        </w:rPr>
        <w:t>5min</w:t>
      </w:r>
      <w:r w:rsidR="003C41F9">
        <w:rPr>
          <w:rFonts w:ascii="Verdana" w:hAnsi="Verdana"/>
          <w:lang w:val="en-GB"/>
        </w:rPr>
        <w:t xml:space="preserve"> in PBS 1X and then</w:t>
      </w:r>
      <w:r w:rsidR="00523A25">
        <w:rPr>
          <w:rFonts w:ascii="Verdana" w:hAnsi="Verdana"/>
          <w:lang w:val="en-GB"/>
        </w:rPr>
        <w:t xml:space="preserve"> incubated</w:t>
      </w:r>
      <w:r w:rsidR="003C41F9">
        <w:rPr>
          <w:rFonts w:ascii="Verdana" w:hAnsi="Verdana"/>
          <w:lang w:val="en-GB"/>
        </w:rPr>
        <w:t xml:space="preserve"> for 30min in TBS++++</w:t>
      </w:r>
      <w:r w:rsidR="00523A25">
        <w:rPr>
          <w:rFonts w:ascii="Verdana" w:hAnsi="Verdana"/>
          <w:lang w:val="en-GB"/>
        </w:rPr>
        <w:t xml:space="preserve">. </w:t>
      </w:r>
      <w:r w:rsidR="009A7DB0">
        <w:rPr>
          <w:rFonts w:ascii="Verdana" w:hAnsi="Verdana"/>
          <w:lang w:val="en-GB"/>
        </w:rPr>
        <w:t>Second</w:t>
      </w:r>
      <w:r w:rsidR="00523A25">
        <w:rPr>
          <w:rFonts w:ascii="Verdana" w:hAnsi="Verdana"/>
          <w:lang w:val="en-GB"/>
        </w:rPr>
        <w:t>ary antibodies were diluted</w:t>
      </w:r>
      <w:r w:rsidR="00172930">
        <w:rPr>
          <w:rFonts w:ascii="Verdana" w:hAnsi="Verdana"/>
          <w:lang w:val="en-GB"/>
        </w:rPr>
        <w:t xml:space="preserve"> at 1:500 in TBS++++</w:t>
      </w:r>
      <w:r w:rsidR="00B81320">
        <w:rPr>
          <w:rFonts w:ascii="Verdana" w:hAnsi="Verdana"/>
          <w:lang w:val="en-GB"/>
        </w:rPr>
        <w:t xml:space="preserve"> and sections were incubated in antibody solution for 2h at RT on shaker.</w:t>
      </w:r>
      <w:r w:rsidR="007875ED">
        <w:rPr>
          <w:rFonts w:ascii="Verdana" w:hAnsi="Verdana"/>
          <w:lang w:val="en-GB"/>
        </w:rPr>
        <w:t xml:space="preserve"> Finally, sections were washed 3 x 15min in PBS 1X</w:t>
      </w:r>
      <w:r w:rsidR="009B3752">
        <w:rPr>
          <w:rFonts w:ascii="Verdana" w:hAnsi="Verdana"/>
          <w:lang w:val="en-GB"/>
        </w:rPr>
        <w:t xml:space="preserve"> and once with distilled water, and they were </w:t>
      </w:r>
      <w:r w:rsidR="009B3752" w:rsidRPr="00BE59D3">
        <w:rPr>
          <w:rFonts w:ascii="Verdana" w:hAnsi="Verdana"/>
          <w:lang w:val="en-GB"/>
        </w:rPr>
        <w:t xml:space="preserve">mounted on </w:t>
      </w:r>
      <w:proofErr w:type="spellStart"/>
      <w:r w:rsidR="009B3752" w:rsidRPr="00BE59D3">
        <w:rPr>
          <w:rFonts w:ascii="Verdana" w:hAnsi="Verdana"/>
          <w:lang w:val="en-GB"/>
        </w:rPr>
        <w:t>Superfrost</w:t>
      </w:r>
      <w:r w:rsidR="009B3752" w:rsidRPr="00BE59D3">
        <w:rPr>
          <w:rFonts w:ascii="Verdana" w:hAnsi="Verdana"/>
          <w:vertAlign w:val="superscript"/>
          <w:lang w:val="en-GB"/>
        </w:rPr>
        <w:t>TM</w:t>
      </w:r>
      <w:proofErr w:type="spellEnd"/>
      <w:r w:rsidR="009B3752" w:rsidRPr="00BE59D3">
        <w:rPr>
          <w:rFonts w:ascii="Verdana" w:hAnsi="Verdana"/>
          <w:vertAlign w:val="superscript"/>
          <w:lang w:val="en-GB"/>
        </w:rPr>
        <w:t xml:space="preserve"> </w:t>
      </w:r>
      <w:r w:rsidR="009B3752" w:rsidRPr="00BE59D3">
        <w:rPr>
          <w:rFonts w:ascii="Verdana" w:hAnsi="Verdana"/>
          <w:lang w:val="en-GB"/>
        </w:rPr>
        <w:t>slides (</w:t>
      </w:r>
      <w:proofErr w:type="spellStart"/>
      <w:r w:rsidR="009B3752" w:rsidRPr="00BE59D3">
        <w:rPr>
          <w:rFonts w:ascii="Verdana" w:hAnsi="Verdana"/>
          <w:lang w:val="en-GB"/>
        </w:rPr>
        <w:t>ThermoFisher</w:t>
      </w:r>
      <w:proofErr w:type="spellEnd"/>
      <w:r w:rsidR="009B3752" w:rsidRPr="00BE59D3">
        <w:rPr>
          <w:rFonts w:ascii="Verdana" w:hAnsi="Verdana"/>
          <w:lang w:val="en-GB"/>
        </w:rPr>
        <w:t xml:space="preserve"> Scientific</w:t>
      </w:r>
      <w:r w:rsidR="009B3752">
        <w:rPr>
          <w:rFonts w:ascii="Verdana" w:hAnsi="Verdana"/>
          <w:lang w:val="en-GB"/>
        </w:rPr>
        <w:t>) and cover-</w:t>
      </w:r>
      <w:r w:rsidR="009B3752" w:rsidRPr="00BE59D3">
        <w:rPr>
          <w:rFonts w:ascii="Verdana" w:hAnsi="Verdana"/>
          <w:lang w:val="en-GB"/>
        </w:rPr>
        <w:t xml:space="preserve">slipped using the DAPI </w:t>
      </w:r>
      <w:proofErr w:type="spellStart"/>
      <w:r w:rsidR="009B3752" w:rsidRPr="00BE59D3">
        <w:rPr>
          <w:rFonts w:ascii="Verdana" w:hAnsi="Verdana"/>
          <w:lang w:val="en-GB"/>
        </w:rPr>
        <w:t>Fluoromount</w:t>
      </w:r>
      <w:proofErr w:type="spellEnd"/>
      <w:r w:rsidR="009B3752" w:rsidRPr="00BE59D3">
        <w:rPr>
          <w:rFonts w:ascii="Verdana" w:hAnsi="Verdana"/>
          <w:lang w:val="en-GB"/>
        </w:rPr>
        <w:t>-G® mounting medium (Southern Biotech). The slides were dried for at least 24 hours before imaging.</w:t>
      </w:r>
      <w:r w:rsidR="00F834BB">
        <w:rPr>
          <w:rFonts w:ascii="Verdana" w:hAnsi="Verdana"/>
          <w:lang w:val="en-GB"/>
        </w:rPr>
        <w:t xml:space="preserve"> Sections were imaged with a</w:t>
      </w:r>
      <w:r w:rsidR="00604E26">
        <w:rPr>
          <w:rFonts w:ascii="Verdana" w:hAnsi="Verdana"/>
          <w:lang w:val="en-GB"/>
        </w:rPr>
        <w:t xml:space="preserve"> Zeiss</w:t>
      </w:r>
      <w:r w:rsidR="003F36A0">
        <w:rPr>
          <w:rFonts w:ascii="Verdana" w:hAnsi="Verdana"/>
          <w:lang w:val="en-GB"/>
        </w:rPr>
        <w:t xml:space="preserve"> </w:t>
      </w:r>
      <w:r w:rsidR="00604E26">
        <w:rPr>
          <w:rFonts w:ascii="Verdana" w:hAnsi="Verdana"/>
          <w:lang w:val="en-GB"/>
        </w:rPr>
        <w:t>LSM800 confocal microscope</w:t>
      </w:r>
      <w:r w:rsidR="00542E2B">
        <w:rPr>
          <w:rFonts w:ascii="Verdana" w:hAnsi="Verdana"/>
          <w:lang w:val="en-GB"/>
        </w:rPr>
        <w:t xml:space="preserve">, and the pictures were acquired at 20X or 40X magnification using the </w:t>
      </w:r>
      <w:r w:rsidR="00542E2B" w:rsidRPr="00BE59D3">
        <w:rPr>
          <w:rFonts w:ascii="Verdana" w:hAnsi="Verdana"/>
          <w:lang w:val="en-GB"/>
        </w:rPr>
        <w:t>Zeiss Blue Vision software</w:t>
      </w:r>
      <w:r w:rsidR="00542E2B">
        <w:rPr>
          <w:rFonts w:ascii="Verdana" w:hAnsi="Verdana"/>
          <w:lang w:val="en-GB"/>
        </w:rPr>
        <w:t>.</w:t>
      </w:r>
    </w:p>
    <w:p w14:paraId="09A30D10" w14:textId="77777777" w:rsidR="001023BA" w:rsidRDefault="001023BA" w:rsidP="001023BA">
      <w:pPr>
        <w:autoSpaceDE w:val="0"/>
        <w:autoSpaceDN w:val="0"/>
        <w:adjustRightInd w:val="0"/>
        <w:spacing w:after="0" w:line="360" w:lineRule="auto"/>
        <w:jc w:val="both"/>
        <w:rPr>
          <w:rFonts w:ascii="Verdana" w:hAnsi="Verdana"/>
          <w:b/>
          <w:bCs/>
        </w:rPr>
      </w:pPr>
    </w:p>
    <w:p w14:paraId="47765C53" w14:textId="15661E3F" w:rsidR="001023BA" w:rsidRPr="00AE17C4" w:rsidRDefault="001023BA" w:rsidP="00767F9D">
      <w:pPr>
        <w:pStyle w:val="Heading3"/>
      </w:pPr>
      <w:bookmarkStart w:id="59" w:name="_Toc130223424"/>
      <w:r w:rsidRPr="00AE17C4">
        <w:t>Immunofluorescent staining of colon sections</w:t>
      </w:r>
      <w:bookmarkEnd w:id="59"/>
    </w:p>
    <w:p w14:paraId="73B7DFF5" w14:textId="3A379EC0" w:rsidR="005F73C5" w:rsidRPr="003D09CA" w:rsidRDefault="007F1EF8" w:rsidP="00A93C7C">
      <w:pPr>
        <w:pStyle w:val="Default"/>
        <w:spacing w:line="360" w:lineRule="auto"/>
        <w:ind w:firstLine="720"/>
        <w:jc w:val="both"/>
        <w:rPr>
          <w:rFonts w:ascii="Verdana" w:hAnsi="Verdana"/>
          <w:sz w:val="23"/>
          <w:szCs w:val="23"/>
        </w:rPr>
      </w:pPr>
      <w:r w:rsidRPr="00A93C7C">
        <w:rPr>
          <w:rFonts w:ascii="Verdana" w:hAnsi="Verdana"/>
          <w:sz w:val="22"/>
          <w:szCs w:val="22"/>
        </w:rPr>
        <w:t>Colon sections were de-</w:t>
      </w:r>
      <w:proofErr w:type="spellStart"/>
      <w:r w:rsidRPr="00A93C7C">
        <w:rPr>
          <w:rFonts w:ascii="Verdana" w:hAnsi="Verdana"/>
          <w:sz w:val="22"/>
          <w:szCs w:val="22"/>
        </w:rPr>
        <w:t>paraffinised</w:t>
      </w:r>
      <w:proofErr w:type="spellEnd"/>
      <w:r w:rsidRPr="00A93C7C">
        <w:rPr>
          <w:rFonts w:ascii="Verdana" w:hAnsi="Verdana"/>
          <w:sz w:val="22"/>
          <w:szCs w:val="22"/>
        </w:rPr>
        <w:t xml:space="preserve"> by washing 3 x 5min in xylene. Sections were </w:t>
      </w:r>
      <w:r w:rsidR="00971699" w:rsidRPr="00A93C7C">
        <w:rPr>
          <w:rFonts w:ascii="Verdana" w:hAnsi="Verdana"/>
          <w:sz w:val="22"/>
          <w:szCs w:val="22"/>
        </w:rPr>
        <w:t xml:space="preserve">mounted on slides, and </w:t>
      </w:r>
      <w:r w:rsidRPr="00A93C7C">
        <w:rPr>
          <w:rFonts w:ascii="Verdana" w:hAnsi="Verdana"/>
          <w:sz w:val="22"/>
          <w:szCs w:val="22"/>
        </w:rPr>
        <w:t xml:space="preserve">re-hydrated with </w:t>
      </w:r>
      <w:r w:rsidR="00C13FC7" w:rsidRPr="00A93C7C">
        <w:rPr>
          <w:rFonts w:ascii="Verdana" w:hAnsi="Verdana"/>
          <w:sz w:val="22"/>
          <w:szCs w:val="22"/>
        </w:rPr>
        <w:t>2 x 10min incubations in 100% ethanol (EtOH), 2 x 10min in 70% EtOH and 2 x 10min in 50% EtOH.</w:t>
      </w:r>
      <w:r w:rsidR="00971699" w:rsidRPr="00A93C7C">
        <w:rPr>
          <w:rFonts w:ascii="Verdana" w:hAnsi="Verdana"/>
          <w:sz w:val="22"/>
          <w:szCs w:val="22"/>
        </w:rPr>
        <w:t xml:space="preserve"> Slides were washed once with distilled water, and then incubated with </w:t>
      </w:r>
      <w:r w:rsidR="004B3538" w:rsidRPr="00A93C7C">
        <w:rPr>
          <w:rFonts w:ascii="Verdana" w:hAnsi="Verdana"/>
          <w:sz w:val="22"/>
          <w:szCs w:val="22"/>
        </w:rPr>
        <w:t xml:space="preserve">0.1M citrate buffer pH 6.0 + 0.1% Tween20 for 30min at 80°C. Sections were let to cool down for </w:t>
      </w:r>
      <w:proofErr w:type="gramStart"/>
      <w:r w:rsidR="004B3538" w:rsidRPr="00A93C7C">
        <w:rPr>
          <w:rFonts w:ascii="Verdana" w:hAnsi="Verdana"/>
          <w:sz w:val="22"/>
          <w:szCs w:val="22"/>
        </w:rPr>
        <w:t>20min, and</w:t>
      </w:r>
      <w:proofErr w:type="gramEnd"/>
      <w:r w:rsidR="004B3538" w:rsidRPr="00A93C7C">
        <w:rPr>
          <w:rFonts w:ascii="Verdana" w:hAnsi="Verdana"/>
          <w:sz w:val="22"/>
          <w:szCs w:val="22"/>
        </w:rPr>
        <w:t xml:space="preserve"> washed </w:t>
      </w:r>
      <w:r w:rsidR="00644307" w:rsidRPr="00A93C7C">
        <w:rPr>
          <w:rFonts w:ascii="Verdana" w:hAnsi="Verdana"/>
          <w:sz w:val="22"/>
          <w:szCs w:val="22"/>
        </w:rPr>
        <w:t>2 x 5min with distilled water. To quench endogenous peroxidase activity, slides were incubated</w:t>
      </w:r>
      <w:r w:rsidR="0060145E" w:rsidRPr="00A93C7C">
        <w:rPr>
          <w:rFonts w:ascii="Verdana" w:hAnsi="Verdana"/>
          <w:sz w:val="22"/>
          <w:szCs w:val="22"/>
        </w:rPr>
        <w:t xml:space="preserve"> 15min</w:t>
      </w:r>
      <w:r w:rsidR="00644307" w:rsidRPr="00A93C7C">
        <w:rPr>
          <w:rFonts w:ascii="Verdana" w:hAnsi="Verdana"/>
          <w:sz w:val="22"/>
          <w:szCs w:val="22"/>
        </w:rPr>
        <w:t xml:space="preserve"> </w:t>
      </w:r>
      <w:r w:rsidR="0060145E" w:rsidRPr="00A93C7C">
        <w:rPr>
          <w:rFonts w:ascii="Verdana" w:hAnsi="Verdana"/>
          <w:sz w:val="22"/>
          <w:szCs w:val="22"/>
        </w:rPr>
        <w:t>in a 3% H</w:t>
      </w:r>
      <w:r w:rsidR="0060145E" w:rsidRPr="00A93C7C">
        <w:rPr>
          <w:rFonts w:ascii="Verdana" w:hAnsi="Verdana"/>
          <w:sz w:val="22"/>
          <w:szCs w:val="22"/>
          <w:vertAlign w:val="subscript"/>
        </w:rPr>
        <w:t>2</w:t>
      </w:r>
      <w:r w:rsidR="0060145E" w:rsidRPr="00A93C7C">
        <w:rPr>
          <w:rFonts w:ascii="Verdana" w:hAnsi="Verdana"/>
          <w:sz w:val="22"/>
          <w:szCs w:val="22"/>
        </w:rPr>
        <w:t>O</w:t>
      </w:r>
      <w:r w:rsidR="0060145E" w:rsidRPr="00A93C7C">
        <w:rPr>
          <w:rFonts w:ascii="Verdana" w:hAnsi="Verdana"/>
          <w:sz w:val="22"/>
          <w:szCs w:val="22"/>
          <w:vertAlign w:val="subscript"/>
        </w:rPr>
        <w:t>2</w:t>
      </w:r>
      <w:r w:rsidR="0060145E" w:rsidRPr="00A93C7C">
        <w:rPr>
          <w:rFonts w:ascii="Verdana" w:hAnsi="Verdana"/>
          <w:sz w:val="22"/>
          <w:szCs w:val="22"/>
        </w:rPr>
        <w:t xml:space="preserve"> methanol solution. Permeabilization was performed by incubating the slides 2 x 10min </w:t>
      </w:r>
      <w:r w:rsidR="005665BC" w:rsidRPr="00A93C7C">
        <w:rPr>
          <w:rFonts w:ascii="Verdana" w:hAnsi="Verdana"/>
          <w:sz w:val="22"/>
          <w:szCs w:val="22"/>
        </w:rPr>
        <w:t xml:space="preserve">in a solution of 0.4% Triton X-100 and 1% BSA in PBS. Slides were incubated with a blocking solution </w:t>
      </w:r>
      <w:r w:rsidR="00E65DE3" w:rsidRPr="00A93C7C">
        <w:rPr>
          <w:rFonts w:ascii="Verdana" w:hAnsi="Verdana"/>
          <w:sz w:val="22"/>
          <w:szCs w:val="22"/>
        </w:rPr>
        <w:t>(5% BSA in PBS- 0.4% Triton X-100 (PBST)) for 45 min, then washed once with distilled water. For primary antibody incubation,</w:t>
      </w:r>
      <w:r w:rsidR="00E64A76" w:rsidRPr="00A93C7C">
        <w:rPr>
          <w:rFonts w:ascii="Verdana" w:hAnsi="Verdana"/>
          <w:sz w:val="22"/>
          <w:szCs w:val="22"/>
        </w:rPr>
        <w:t xml:space="preserve"> antibodies were di</w:t>
      </w:r>
      <w:r w:rsidR="005D76AF" w:rsidRPr="00A93C7C">
        <w:rPr>
          <w:rFonts w:ascii="Verdana" w:hAnsi="Verdana"/>
          <w:sz w:val="22"/>
          <w:szCs w:val="22"/>
        </w:rPr>
        <w:t>l</w:t>
      </w:r>
      <w:r w:rsidR="00E64A76" w:rsidRPr="00A93C7C">
        <w:rPr>
          <w:rFonts w:ascii="Verdana" w:hAnsi="Verdana"/>
          <w:sz w:val="22"/>
          <w:szCs w:val="22"/>
        </w:rPr>
        <w:t>uted</w:t>
      </w:r>
      <w:r w:rsidR="00E65DE3" w:rsidRPr="00A93C7C">
        <w:rPr>
          <w:rFonts w:ascii="Verdana" w:hAnsi="Verdana"/>
          <w:sz w:val="22"/>
          <w:szCs w:val="22"/>
        </w:rPr>
        <w:t xml:space="preserve"> </w:t>
      </w:r>
      <w:r w:rsidR="00EB05CC" w:rsidRPr="00A93C7C">
        <w:rPr>
          <w:rFonts w:ascii="Verdana" w:hAnsi="Verdana"/>
          <w:sz w:val="22"/>
          <w:szCs w:val="22"/>
        </w:rPr>
        <w:t>in blocking solution</w:t>
      </w:r>
      <w:r w:rsidR="005F3C93" w:rsidRPr="00A93C7C">
        <w:rPr>
          <w:rFonts w:ascii="Verdana" w:hAnsi="Verdana"/>
          <w:sz w:val="22"/>
          <w:szCs w:val="22"/>
        </w:rPr>
        <w:t xml:space="preserve">. The following antibodies were used: </w:t>
      </w:r>
      <w:r w:rsidR="00C91462" w:rsidRPr="00A93C7C">
        <w:rPr>
          <w:rFonts w:ascii="Verdana" w:hAnsi="Verdana"/>
          <w:sz w:val="22"/>
          <w:szCs w:val="22"/>
        </w:rPr>
        <w:t>mouse monoclonal anti-human-αSyn (clone 211, S5566, Sigma-Aldrich, 1:1000)</w:t>
      </w:r>
      <w:r w:rsidR="00C91462">
        <w:rPr>
          <w:rFonts w:ascii="Verdana" w:hAnsi="Verdana"/>
          <w:sz w:val="22"/>
          <w:szCs w:val="22"/>
        </w:rPr>
        <w:t xml:space="preserve">; </w:t>
      </w:r>
      <w:r w:rsidR="00EB05CC" w:rsidRPr="00A93C7C">
        <w:rPr>
          <w:rFonts w:ascii="Verdana" w:hAnsi="Verdana"/>
          <w:sz w:val="22"/>
          <w:szCs w:val="22"/>
        </w:rPr>
        <w:t xml:space="preserve">rabbit </w:t>
      </w:r>
      <w:r w:rsidR="005F3C93" w:rsidRPr="00A93C7C">
        <w:rPr>
          <w:rFonts w:ascii="Verdana" w:hAnsi="Verdana"/>
          <w:sz w:val="22"/>
          <w:szCs w:val="22"/>
        </w:rPr>
        <w:t xml:space="preserve">polyclonal </w:t>
      </w:r>
      <w:r w:rsidR="00EB05CC" w:rsidRPr="00A93C7C">
        <w:rPr>
          <w:rFonts w:ascii="Verdana" w:hAnsi="Verdana"/>
          <w:sz w:val="22"/>
          <w:szCs w:val="22"/>
        </w:rPr>
        <w:t>anti-pan-</w:t>
      </w:r>
      <w:r w:rsidR="005F3C93" w:rsidRPr="00A93C7C">
        <w:rPr>
          <w:rFonts w:ascii="Verdana" w:hAnsi="Verdana"/>
          <w:sz w:val="22"/>
          <w:szCs w:val="22"/>
        </w:rPr>
        <w:t>α</w:t>
      </w:r>
      <w:r w:rsidR="00EB05CC" w:rsidRPr="00A93C7C">
        <w:rPr>
          <w:rFonts w:ascii="Verdana" w:hAnsi="Verdana"/>
          <w:sz w:val="22"/>
          <w:szCs w:val="22"/>
        </w:rPr>
        <w:t>Syn (S3062</w:t>
      </w:r>
      <w:r w:rsidR="005F3C93" w:rsidRPr="00A93C7C">
        <w:rPr>
          <w:rFonts w:ascii="Verdana" w:hAnsi="Verdana"/>
          <w:sz w:val="22"/>
          <w:szCs w:val="22"/>
        </w:rPr>
        <w:t>,</w:t>
      </w:r>
      <w:r w:rsidR="00EB05CC" w:rsidRPr="00A93C7C">
        <w:rPr>
          <w:rFonts w:ascii="Verdana" w:hAnsi="Verdana"/>
          <w:sz w:val="22"/>
          <w:szCs w:val="22"/>
        </w:rPr>
        <w:t xml:space="preserve"> Sigma-Aldrich, 1:1000)</w:t>
      </w:r>
      <w:r w:rsidR="00C91462">
        <w:rPr>
          <w:rFonts w:ascii="Verdana" w:hAnsi="Verdana"/>
          <w:sz w:val="22"/>
          <w:szCs w:val="22"/>
        </w:rPr>
        <w:t xml:space="preserve">; </w:t>
      </w:r>
      <w:r w:rsidR="00C91462" w:rsidRPr="00A93C7C">
        <w:rPr>
          <w:rFonts w:ascii="Verdana" w:hAnsi="Verdana"/>
          <w:sz w:val="22"/>
          <w:szCs w:val="22"/>
        </w:rPr>
        <w:t>chicken polyclonal anti-PGP9.5 (ab72910, Abcam; 1:1000), rabbit monoclonal anti-pS129-αSyn (ab51253, Abcam; 1:500)</w:t>
      </w:r>
      <w:r w:rsidR="00C91462">
        <w:rPr>
          <w:rFonts w:ascii="Verdana" w:hAnsi="Verdana"/>
          <w:sz w:val="22"/>
          <w:szCs w:val="22"/>
        </w:rPr>
        <w:t xml:space="preserve">. A hydrophobic pen (S2002, </w:t>
      </w:r>
      <w:proofErr w:type="spellStart"/>
      <w:r w:rsidR="00C91462">
        <w:rPr>
          <w:rFonts w:ascii="Verdana" w:hAnsi="Verdana"/>
          <w:sz w:val="22"/>
          <w:szCs w:val="22"/>
        </w:rPr>
        <w:t>Dako</w:t>
      </w:r>
      <w:proofErr w:type="spellEnd"/>
      <w:r w:rsidR="00C91462">
        <w:rPr>
          <w:rFonts w:ascii="Verdana" w:hAnsi="Verdana"/>
          <w:sz w:val="22"/>
          <w:szCs w:val="22"/>
        </w:rPr>
        <w:t>)</w:t>
      </w:r>
      <w:r w:rsidR="00D37737" w:rsidRPr="00A93C7C">
        <w:rPr>
          <w:rFonts w:ascii="Verdana" w:hAnsi="Verdana"/>
          <w:sz w:val="22"/>
          <w:szCs w:val="22"/>
        </w:rPr>
        <w:t xml:space="preserve"> was </w:t>
      </w:r>
      <w:r w:rsidR="00C91462">
        <w:rPr>
          <w:rFonts w:ascii="Verdana" w:hAnsi="Verdana"/>
          <w:sz w:val="22"/>
          <w:szCs w:val="22"/>
        </w:rPr>
        <w:t>used to delimitate the tissue,</w:t>
      </w:r>
      <w:r w:rsidR="00477002">
        <w:rPr>
          <w:rFonts w:ascii="Verdana" w:hAnsi="Verdana"/>
          <w:sz w:val="22"/>
          <w:szCs w:val="22"/>
        </w:rPr>
        <w:t xml:space="preserve"> and a drop of primary </w:t>
      </w:r>
      <w:r w:rsidR="00D37737" w:rsidRPr="00A93C7C">
        <w:rPr>
          <w:rFonts w:ascii="Verdana" w:hAnsi="Verdana"/>
          <w:sz w:val="22"/>
          <w:szCs w:val="22"/>
        </w:rPr>
        <w:t>antibod</w:t>
      </w:r>
      <w:r w:rsidR="00477002">
        <w:rPr>
          <w:rFonts w:ascii="Verdana" w:hAnsi="Verdana"/>
          <w:sz w:val="22"/>
          <w:szCs w:val="22"/>
        </w:rPr>
        <w:t xml:space="preserve">y </w:t>
      </w:r>
      <w:r w:rsidR="00D37737" w:rsidRPr="00A93C7C">
        <w:rPr>
          <w:rFonts w:ascii="Verdana" w:hAnsi="Verdana"/>
          <w:sz w:val="22"/>
          <w:szCs w:val="22"/>
        </w:rPr>
        <w:t>w</w:t>
      </w:r>
      <w:r w:rsidR="00477002">
        <w:rPr>
          <w:rFonts w:ascii="Verdana" w:hAnsi="Verdana"/>
          <w:sz w:val="22"/>
          <w:szCs w:val="22"/>
        </w:rPr>
        <w:t>as</w:t>
      </w:r>
      <w:r w:rsidR="00D37737" w:rsidRPr="00A93C7C">
        <w:rPr>
          <w:rFonts w:ascii="Verdana" w:hAnsi="Verdana"/>
          <w:sz w:val="22"/>
          <w:szCs w:val="22"/>
        </w:rPr>
        <w:t xml:space="preserve"> added</w:t>
      </w:r>
      <w:r w:rsidR="00477002">
        <w:rPr>
          <w:rFonts w:ascii="Verdana" w:hAnsi="Verdana"/>
          <w:sz w:val="22"/>
          <w:szCs w:val="22"/>
        </w:rPr>
        <w:t>.</w:t>
      </w:r>
      <w:r w:rsidR="00D37737" w:rsidRPr="00A93C7C">
        <w:rPr>
          <w:rFonts w:ascii="Verdana" w:hAnsi="Verdana"/>
          <w:sz w:val="22"/>
          <w:szCs w:val="22"/>
        </w:rPr>
        <w:t xml:space="preserve"> </w:t>
      </w:r>
      <w:r w:rsidR="00477002">
        <w:rPr>
          <w:rFonts w:ascii="Verdana" w:hAnsi="Verdana"/>
          <w:sz w:val="22"/>
          <w:szCs w:val="22"/>
        </w:rPr>
        <w:t>S</w:t>
      </w:r>
      <w:r w:rsidR="00D37737" w:rsidRPr="00A93C7C">
        <w:rPr>
          <w:rFonts w:ascii="Verdana" w:hAnsi="Verdana"/>
          <w:sz w:val="22"/>
          <w:szCs w:val="22"/>
        </w:rPr>
        <w:t>lides were</w:t>
      </w:r>
      <w:r w:rsidR="00477002">
        <w:rPr>
          <w:rFonts w:ascii="Verdana" w:hAnsi="Verdana"/>
          <w:sz w:val="22"/>
          <w:szCs w:val="22"/>
        </w:rPr>
        <w:t xml:space="preserve"> </w:t>
      </w:r>
      <w:r w:rsidR="00D37737" w:rsidRPr="00A93C7C">
        <w:rPr>
          <w:rFonts w:ascii="Verdana" w:hAnsi="Verdana"/>
          <w:sz w:val="22"/>
          <w:szCs w:val="22"/>
        </w:rPr>
        <w:t>incubated 2h at RT</w:t>
      </w:r>
      <w:r w:rsidR="00344F9A" w:rsidRPr="00A93C7C">
        <w:rPr>
          <w:rFonts w:ascii="Verdana" w:hAnsi="Verdana"/>
          <w:sz w:val="22"/>
          <w:szCs w:val="22"/>
        </w:rPr>
        <w:t xml:space="preserve"> and then</w:t>
      </w:r>
      <w:r w:rsidR="00477002">
        <w:rPr>
          <w:rFonts w:ascii="Verdana" w:hAnsi="Verdana"/>
          <w:sz w:val="22"/>
          <w:szCs w:val="22"/>
        </w:rPr>
        <w:t xml:space="preserve"> moved</w:t>
      </w:r>
      <w:r w:rsidR="00344F9A" w:rsidRPr="00A93C7C">
        <w:rPr>
          <w:rFonts w:ascii="Verdana" w:hAnsi="Verdana"/>
          <w:sz w:val="22"/>
          <w:szCs w:val="22"/>
        </w:rPr>
        <w:t xml:space="preserve"> at 4°C in a </w:t>
      </w:r>
      <w:r w:rsidR="00344F9A" w:rsidRPr="00A93C7C">
        <w:rPr>
          <w:rFonts w:ascii="Verdana" w:hAnsi="Verdana"/>
          <w:sz w:val="22"/>
          <w:szCs w:val="22"/>
        </w:rPr>
        <w:lastRenderedPageBreak/>
        <w:t>humidified chamber</w:t>
      </w:r>
      <w:r w:rsidR="00477002">
        <w:rPr>
          <w:rFonts w:ascii="Verdana" w:hAnsi="Verdana"/>
          <w:sz w:val="22"/>
          <w:szCs w:val="22"/>
        </w:rPr>
        <w:t xml:space="preserve"> for the night</w:t>
      </w:r>
      <w:r w:rsidR="00344F9A" w:rsidRPr="00A93C7C">
        <w:rPr>
          <w:rFonts w:ascii="Verdana" w:hAnsi="Verdana"/>
          <w:sz w:val="22"/>
          <w:szCs w:val="22"/>
        </w:rPr>
        <w:t>.</w:t>
      </w:r>
      <w:r w:rsidR="00231D60" w:rsidRPr="00A93C7C">
        <w:rPr>
          <w:rFonts w:ascii="Verdana" w:hAnsi="Verdana"/>
          <w:sz w:val="22"/>
          <w:szCs w:val="22"/>
        </w:rPr>
        <w:t xml:space="preserve"> The next day, slides were washed once with distilled water</w:t>
      </w:r>
      <w:r w:rsidR="00121739" w:rsidRPr="00A93C7C">
        <w:rPr>
          <w:rFonts w:ascii="Verdana" w:hAnsi="Verdana"/>
          <w:sz w:val="22"/>
          <w:szCs w:val="22"/>
        </w:rPr>
        <w:t xml:space="preserve">, then 2 x 5min in 1% BSA in PBST, and finally once again in distilled water. </w:t>
      </w:r>
      <w:r w:rsidR="00972B05" w:rsidRPr="00A93C7C">
        <w:rPr>
          <w:rFonts w:ascii="Verdana" w:hAnsi="Verdana"/>
          <w:sz w:val="22"/>
          <w:szCs w:val="22"/>
        </w:rPr>
        <w:t xml:space="preserve">For immunofluorescence </w:t>
      </w:r>
      <w:r w:rsidR="00457292" w:rsidRPr="00A93C7C">
        <w:rPr>
          <w:rFonts w:ascii="Verdana" w:hAnsi="Verdana"/>
          <w:sz w:val="22"/>
          <w:szCs w:val="22"/>
        </w:rPr>
        <w:t>staining, t</w:t>
      </w:r>
      <w:r w:rsidR="00121739" w:rsidRPr="00A93C7C">
        <w:rPr>
          <w:rFonts w:ascii="Verdana" w:hAnsi="Verdana"/>
          <w:sz w:val="22"/>
          <w:szCs w:val="22"/>
        </w:rPr>
        <w:t>issue</w:t>
      </w:r>
      <w:r w:rsidR="00457292" w:rsidRPr="00A93C7C">
        <w:rPr>
          <w:rFonts w:ascii="Verdana" w:hAnsi="Verdana"/>
          <w:sz w:val="22"/>
          <w:szCs w:val="22"/>
        </w:rPr>
        <w:t>s</w:t>
      </w:r>
      <w:r w:rsidR="00121739" w:rsidRPr="00A93C7C">
        <w:rPr>
          <w:rFonts w:ascii="Verdana" w:hAnsi="Verdana"/>
          <w:sz w:val="22"/>
          <w:szCs w:val="22"/>
        </w:rPr>
        <w:t xml:space="preserve"> were circled again for secondary antibody incubation, and slides were incubated 2h at RT in a humidified chamber. Slides were washed 3 x 5min with PBST</w:t>
      </w:r>
      <w:r w:rsidR="0009301A">
        <w:rPr>
          <w:rFonts w:ascii="Verdana" w:hAnsi="Verdana"/>
          <w:sz w:val="22"/>
          <w:szCs w:val="22"/>
        </w:rPr>
        <w:t>,</w:t>
      </w:r>
      <w:r w:rsidR="00121739" w:rsidRPr="00A93C7C">
        <w:rPr>
          <w:rFonts w:ascii="Verdana" w:hAnsi="Verdana"/>
          <w:sz w:val="22"/>
          <w:szCs w:val="22"/>
        </w:rPr>
        <w:t xml:space="preserve"> briefly rinsed with dH</w:t>
      </w:r>
      <w:r w:rsidR="00121739" w:rsidRPr="00A93C7C">
        <w:rPr>
          <w:rFonts w:ascii="Verdana" w:hAnsi="Verdana"/>
          <w:sz w:val="22"/>
          <w:szCs w:val="22"/>
          <w:vertAlign w:val="subscript"/>
        </w:rPr>
        <w:t>2</w:t>
      </w:r>
      <w:r w:rsidR="00121739" w:rsidRPr="00A93C7C">
        <w:rPr>
          <w:rFonts w:ascii="Verdana" w:hAnsi="Verdana"/>
          <w:sz w:val="22"/>
          <w:szCs w:val="22"/>
        </w:rPr>
        <w:t>O</w:t>
      </w:r>
      <w:r w:rsidR="0009301A">
        <w:rPr>
          <w:rFonts w:ascii="Verdana" w:hAnsi="Verdana"/>
          <w:sz w:val="22"/>
          <w:szCs w:val="22"/>
        </w:rPr>
        <w:t xml:space="preserve">, </w:t>
      </w:r>
      <w:r w:rsidR="004C100C" w:rsidRPr="00A93C7C">
        <w:rPr>
          <w:rFonts w:ascii="Verdana" w:hAnsi="Verdana"/>
          <w:sz w:val="22"/>
          <w:szCs w:val="22"/>
        </w:rPr>
        <w:t>an</w:t>
      </w:r>
      <w:r w:rsidR="0009301A">
        <w:rPr>
          <w:rFonts w:ascii="Verdana" w:hAnsi="Verdana"/>
          <w:sz w:val="22"/>
          <w:szCs w:val="22"/>
        </w:rPr>
        <w:t>d</w:t>
      </w:r>
      <w:r w:rsidR="004C100C" w:rsidRPr="00A93C7C">
        <w:rPr>
          <w:rFonts w:ascii="Verdana" w:hAnsi="Verdana"/>
          <w:sz w:val="22"/>
          <w:szCs w:val="22"/>
        </w:rPr>
        <w:t xml:space="preserve"> cover-slipped with DAPI </w:t>
      </w:r>
      <w:proofErr w:type="spellStart"/>
      <w:r w:rsidR="004C100C" w:rsidRPr="00A93C7C">
        <w:rPr>
          <w:rFonts w:ascii="Verdana" w:hAnsi="Verdana"/>
          <w:sz w:val="22"/>
          <w:szCs w:val="22"/>
        </w:rPr>
        <w:t>Fluoromount</w:t>
      </w:r>
      <w:proofErr w:type="spellEnd"/>
      <w:r w:rsidR="004C100C" w:rsidRPr="00A93C7C">
        <w:rPr>
          <w:rFonts w:ascii="Verdana" w:hAnsi="Verdana"/>
          <w:sz w:val="22"/>
          <w:szCs w:val="22"/>
        </w:rPr>
        <w:t xml:space="preserve">-G® (0100-20, </w:t>
      </w:r>
      <w:proofErr w:type="spellStart"/>
      <w:r w:rsidR="004C100C" w:rsidRPr="00A93C7C">
        <w:rPr>
          <w:rFonts w:ascii="Verdana" w:hAnsi="Verdana"/>
          <w:sz w:val="22"/>
          <w:szCs w:val="22"/>
        </w:rPr>
        <w:t>SouthernBiotech</w:t>
      </w:r>
      <w:proofErr w:type="spellEnd"/>
      <w:r w:rsidR="004C100C" w:rsidRPr="00A93C7C">
        <w:rPr>
          <w:rFonts w:ascii="Verdana" w:hAnsi="Verdana"/>
          <w:sz w:val="22"/>
          <w:szCs w:val="22"/>
        </w:rPr>
        <w:t>).</w:t>
      </w:r>
      <w:r w:rsidR="00A93C7C" w:rsidRPr="00A93C7C">
        <w:rPr>
          <w:rFonts w:ascii="Verdana" w:hAnsi="Verdana"/>
          <w:sz w:val="22"/>
          <w:szCs w:val="22"/>
        </w:rPr>
        <w:t xml:space="preserve"> </w:t>
      </w:r>
      <w:r w:rsidR="00A93C7C" w:rsidRPr="00A93C7C">
        <w:rPr>
          <w:rFonts w:ascii="Verdana" w:hAnsi="Verdana"/>
          <w:sz w:val="23"/>
          <w:szCs w:val="23"/>
        </w:rPr>
        <w:t xml:space="preserve">For total and human </w:t>
      </w:r>
      <w:r w:rsidR="00A93C7C">
        <w:rPr>
          <w:rFonts w:ascii="Verdana" w:hAnsi="Verdana"/>
          <w:sz w:val="23"/>
          <w:szCs w:val="23"/>
        </w:rPr>
        <w:t>α</w:t>
      </w:r>
      <w:r w:rsidR="00A93C7C" w:rsidRPr="00A93C7C">
        <w:rPr>
          <w:rFonts w:ascii="Verdana" w:hAnsi="Verdana"/>
          <w:sz w:val="23"/>
          <w:szCs w:val="23"/>
        </w:rPr>
        <w:t xml:space="preserve">Syn </w:t>
      </w:r>
      <w:r w:rsidR="00A93C7C">
        <w:rPr>
          <w:rFonts w:ascii="Verdana" w:hAnsi="Verdana"/>
          <w:sz w:val="23"/>
          <w:szCs w:val="23"/>
        </w:rPr>
        <w:t>staining</w:t>
      </w:r>
      <w:r w:rsidR="00A93C7C" w:rsidRPr="00A93C7C">
        <w:rPr>
          <w:rFonts w:ascii="Verdana" w:hAnsi="Verdana"/>
          <w:sz w:val="23"/>
          <w:szCs w:val="23"/>
        </w:rPr>
        <w:t xml:space="preserve">, slides were incubated </w:t>
      </w:r>
      <w:r w:rsidR="005F73C5">
        <w:rPr>
          <w:rFonts w:ascii="Verdana" w:hAnsi="Verdana"/>
          <w:sz w:val="23"/>
          <w:szCs w:val="23"/>
        </w:rPr>
        <w:t xml:space="preserve">with </w:t>
      </w:r>
      <w:r w:rsidR="00A93C7C">
        <w:rPr>
          <w:rFonts w:ascii="Verdana" w:hAnsi="Verdana"/>
          <w:sz w:val="23"/>
          <w:szCs w:val="23"/>
        </w:rPr>
        <w:t>bi</w:t>
      </w:r>
      <w:r w:rsidR="005F73C5">
        <w:rPr>
          <w:rFonts w:ascii="Verdana" w:hAnsi="Verdana"/>
          <w:sz w:val="23"/>
          <w:szCs w:val="23"/>
        </w:rPr>
        <w:t xml:space="preserve">otinylated </w:t>
      </w:r>
      <w:r w:rsidR="00A93C7C" w:rsidRPr="00A93C7C">
        <w:rPr>
          <w:rFonts w:ascii="Verdana" w:hAnsi="Verdana"/>
          <w:sz w:val="23"/>
          <w:szCs w:val="23"/>
        </w:rPr>
        <w:t>secondary antibod</w:t>
      </w:r>
      <w:r w:rsidR="005F73C5">
        <w:rPr>
          <w:rFonts w:ascii="Verdana" w:hAnsi="Verdana"/>
          <w:sz w:val="23"/>
          <w:szCs w:val="23"/>
        </w:rPr>
        <w:t>ies</w:t>
      </w:r>
      <w:r w:rsidR="00A93C7C" w:rsidRPr="00A93C7C">
        <w:rPr>
          <w:rFonts w:ascii="Verdana" w:hAnsi="Verdana"/>
          <w:sz w:val="23"/>
          <w:szCs w:val="23"/>
        </w:rPr>
        <w:t xml:space="preserve"> for 2 hours</w:t>
      </w:r>
      <w:r w:rsidR="005F73C5">
        <w:rPr>
          <w:rFonts w:ascii="Verdana" w:hAnsi="Verdana"/>
          <w:sz w:val="23"/>
          <w:szCs w:val="23"/>
        </w:rPr>
        <w:t xml:space="preserve">, and then with </w:t>
      </w:r>
      <w:r w:rsidR="00175603">
        <w:rPr>
          <w:rFonts w:ascii="Verdana" w:hAnsi="Verdana"/>
          <w:sz w:val="23"/>
          <w:szCs w:val="23"/>
        </w:rPr>
        <w:t xml:space="preserve">an avidin-biotin-complex for 1h. Slides were washed 2 x 10min in PBST and revealed with </w:t>
      </w:r>
      <w:r w:rsidR="004E711E">
        <w:rPr>
          <w:rFonts w:ascii="Verdana" w:hAnsi="Verdana"/>
          <w:sz w:val="23"/>
          <w:szCs w:val="23"/>
        </w:rPr>
        <w:t xml:space="preserve">a </w:t>
      </w:r>
      <w:r w:rsidR="004E711E" w:rsidRPr="00A93C7C">
        <w:rPr>
          <w:rFonts w:ascii="Verdana" w:hAnsi="Verdana"/>
          <w:sz w:val="23"/>
          <w:szCs w:val="23"/>
        </w:rPr>
        <w:t>3,3’-diaminobenzidine</w:t>
      </w:r>
      <w:r w:rsidR="004E711E">
        <w:rPr>
          <w:rFonts w:ascii="Verdana" w:hAnsi="Verdana"/>
          <w:sz w:val="23"/>
          <w:szCs w:val="23"/>
        </w:rPr>
        <w:t xml:space="preserve"> solution for 3min. Next, slides were washed </w:t>
      </w:r>
      <w:r w:rsidR="003D09CA">
        <w:rPr>
          <w:rFonts w:ascii="Verdana" w:hAnsi="Verdana"/>
          <w:sz w:val="23"/>
          <w:szCs w:val="23"/>
        </w:rPr>
        <w:t xml:space="preserve">2 x 2min in </w:t>
      </w:r>
      <w:proofErr w:type="spellStart"/>
      <w:r w:rsidR="003D09CA">
        <w:rPr>
          <w:rFonts w:ascii="Verdana" w:hAnsi="Verdana"/>
          <w:sz w:val="23"/>
          <w:szCs w:val="23"/>
        </w:rPr>
        <w:t>mQ</w:t>
      </w:r>
      <w:proofErr w:type="spellEnd"/>
      <w:r w:rsidR="003D09CA">
        <w:rPr>
          <w:rFonts w:ascii="Verdana" w:hAnsi="Verdana"/>
          <w:sz w:val="23"/>
          <w:szCs w:val="23"/>
        </w:rPr>
        <w:t xml:space="preserve"> H</w:t>
      </w:r>
      <w:r w:rsidR="003D09CA">
        <w:rPr>
          <w:rFonts w:ascii="Verdana" w:hAnsi="Verdana"/>
          <w:sz w:val="23"/>
          <w:szCs w:val="23"/>
          <w:vertAlign w:val="subscript"/>
        </w:rPr>
        <w:t>2</w:t>
      </w:r>
      <w:r w:rsidR="003D09CA">
        <w:rPr>
          <w:rFonts w:ascii="Verdana" w:hAnsi="Verdana"/>
          <w:sz w:val="23"/>
          <w:szCs w:val="23"/>
        </w:rPr>
        <w:t>O and 1 x 2min in dH</w:t>
      </w:r>
      <w:r w:rsidR="003D09CA">
        <w:rPr>
          <w:rFonts w:ascii="Verdana" w:hAnsi="Verdana"/>
          <w:sz w:val="23"/>
          <w:szCs w:val="23"/>
          <w:vertAlign w:val="subscript"/>
        </w:rPr>
        <w:t>2</w:t>
      </w:r>
      <w:r w:rsidR="003D09CA">
        <w:rPr>
          <w:rFonts w:ascii="Verdana" w:hAnsi="Verdana"/>
          <w:sz w:val="23"/>
          <w:szCs w:val="23"/>
        </w:rPr>
        <w:t>O. Slides were counterstained with haematoxylin for 20sec and then rinsed in dH</w:t>
      </w:r>
      <w:r w:rsidR="003D09CA">
        <w:rPr>
          <w:rFonts w:ascii="Verdana" w:hAnsi="Verdana"/>
          <w:sz w:val="23"/>
          <w:szCs w:val="23"/>
          <w:vertAlign w:val="subscript"/>
        </w:rPr>
        <w:t>2</w:t>
      </w:r>
      <w:r w:rsidR="003D09CA">
        <w:rPr>
          <w:rFonts w:ascii="Verdana" w:hAnsi="Verdana"/>
          <w:sz w:val="23"/>
          <w:szCs w:val="23"/>
        </w:rPr>
        <w:t xml:space="preserve">O and finally under tap water. </w:t>
      </w:r>
      <w:proofErr w:type="gramStart"/>
      <w:r w:rsidR="003D09CA">
        <w:rPr>
          <w:rFonts w:ascii="Verdana" w:hAnsi="Verdana"/>
          <w:sz w:val="23"/>
          <w:szCs w:val="23"/>
        </w:rPr>
        <w:t>F</w:t>
      </w:r>
      <w:r w:rsidR="005F4226">
        <w:rPr>
          <w:rFonts w:ascii="Verdana" w:hAnsi="Verdana"/>
          <w:sz w:val="23"/>
          <w:szCs w:val="23"/>
        </w:rPr>
        <w:t>inally</w:t>
      </w:r>
      <w:proofErr w:type="gramEnd"/>
      <w:r w:rsidR="005F4226">
        <w:rPr>
          <w:rFonts w:ascii="Verdana" w:hAnsi="Verdana"/>
          <w:sz w:val="23"/>
          <w:szCs w:val="23"/>
        </w:rPr>
        <w:t xml:space="preserve"> slides were de-hydrated by immersing them in 70% EtOH, 955 EtOH and </w:t>
      </w:r>
      <w:r w:rsidR="006459E2">
        <w:rPr>
          <w:rFonts w:ascii="Verdana" w:hAnsi="Verdana"/>
          <w:sz w:val="23"/>
          <w:szCs w:val="23"/>
        </w:rPr>
        <w:t>x</w:t>
      </w:r>
      <w:r w:rsidR="005F4226">
        <w:rPr>
          <w:rFonts w:ascii="Verdana" w:hAnsi="Verdana"/>
          <w:sz w:val="23"/>
          <w:szCs w:val="23"/>
        </w:rPr>
        <w:t>ylene</w:t>
      </w:r>
      <w:r w:rsidR="006459E2">
        <w:rPr>
          <w:rFonts w:ascii="Verdana" w:hAnsi="Verdana"/>
          <w:sz w:val="23"/>
          <w:szCs w:val="23"/>
        </w:rPr>
        <w:t>, and were mounted using Neo-Mount® (Merck).</w:t>
      </w:r>
    </w:p>
    <w:p w14:paraId="6CEBB1D8" w14:textId="21C2DA36" w:rsidR="003D5E63" w:rsidRDefault="003D5E63" w:rsidP="003D5E63">
      <w:pPr>
        <w:spacing w:line="360" w:lineRule="auto"/>
        <w:jc w:val="both"/>
        <w:rPr>
          <w:rFonts w:ascii="Verdana" w:hAnsi="Verdana"/>
          <w:lang w:val="en-GB"/>
        </w:rPr>
      </w:pPr>
    </w:p>
    <w:p w14:paraId="2912A215" w14:textId="7B25AA62" w:rsidR="003D5E63" w:rsidRPr="00133E71" w:rsidRDefault="00133E71" w:rsidP="00767F9D">
      <w:pPr>
        <w:pStyle w:val="Heading3"/>
        <w:rPr>
          <w:lang w:val="en-GB"/>
        </w:rPr>
      </w:pPr>
      <w:bookmarkStart w:id="60" w:name="_Toc130223425"/>
      <w:r w:rsidRPr="00133E71">
        <w:rPr>
          <w:lang w:val="en-GB"/>
        </w:rPr>
        <w:t>Immunohistochemistry staining on free-floating mouse brain sections</w:t>
      </w:r>
      <w:bookmarkEnd w:id="60"/>
    </w:p>
    <w:p w14:paraId="3903A3FF" w14:textId="2BC29FCB" w:rsidR="00FE3509" w:rsidRDefault="00254B54" w:rsidP="006D693C">
      <w:pPr>
        <w:spacing w:line="360" w:lineRule="auto"/>
        <w:jc w:val="both"/>
        <w:rPr>
          <w:rFonts w:ascii="Verdana" w:hAnsi="Verdana"/>
          <w:lang w:val="en-GB"/>
        </w:rPr>
      </w:pPr>
      <w:r>
        <w:rPr>
          <w:rFonts w:ascii="Verdana" w:hAnsi="Verdana"/>
          <w:lang w:val="en-GB"/>
        </w:rPr>
        <w:t xml:space="preserve">Sections were washed </w:t>
      </w:r>
      <w:r w:rsidR="00864EE4">
        <w:rPr>
          <w:rFonts w:ascii="Verdana" w:hAnsi="Verdana"/>
          <w:lang w:val="en-GB"/>
        </w:rPr>
        <w:t xml:space="preserve">2 x 5min in PBS 1X and then incubated in a permeabilization solution </w:t>
      </w:r>
      <w:r w:rsidR="00E42701">
        <w:rPr>
          <w:rFonts w:ascii="Verdana" w:hAnsi="Verdana"/>
          <w:lang w:val="en-GB"/>
        </w:rPr>
        <w:t>containing 1.5% Triton X-100</w:t>
      </w:r>
      <w:r w:rsidR="00BC3D78">
        <w:rPr>
          <w:rFonts w:ascii="Verdana" w:hAnsi="Verdana"/>
          <w:lang w:val="en-GB"/>
        </w:rPr>
        <w:t xml:space="preserve"> and 3% H</w:t>
      </w:r>
      <w:r w:rsidR="00BC3D78" w:rsidRPr="00BC3D78">
        <w:rPr>
          <w:rFonts w:ascii="Verdana" w:hAnsi="Verdana"/>
          <w:vertAlign w:val="subscript"/>
          <w:lang w:val="en-GB"/>
        </w:rPr>
        <w:t>2</w:t>
      </w:r>
      <w:r w:rsidR="00BC3D78">
        <w:rPr>
          <w:rFonts w:ascii="Verdana" w:hAnsi="Verdana"/>
          <w:lang w:val="en-GB"/>
        </w:rPr>
        <w:t>O</w:t>
      </w:r>
      <w:r w:rsidR="00BC3D78" w:rsidRPr="00BC3D78">
        <w:rPr>
          <w:rFonts w:ascii="Verdana" w:hAnsi="Verdana"/>
          <w:vertAlign w:val="subscript"/>
          <w:lang w:val="en-GB"/>
        </w:rPr>
        <w:t>2</w:t>
      </w:r>
      <w:r w:rsidR="00BC3D78">
        <w:rPr>
          <w:rFonts w:ascii="Verdana" w:hAnsi="Verdana"/>
          <w:lang w:val="en-GB"/>
        </w:rPr>
        <w:t xml:space="preserve"> in PBS for 30min at RT on a shaker. </w:t>
      </w:r>
      <w:r w:rsidR="00312FE5">
        <w:rPr>
          <w:rFonts w:ascii="Verdana" w:hAnsi="Verdana"/>
          <w:lang w:val="en-GB"/>
        </w:rPr>
        <w:t xml:space="preserve">Sections were then washed 3 x 5min with PBS-Triton X-100 0.1% (PBST) and blocked </w:t>
      </w:r>
      <w:r w:rsidR="00926651">
        <w:rPr>
          <w:rFonts w:ascii="Verdana" w:hAnsi="Verdana"/>
          <w:lang w:val="en-GB"/>
        </w:rPr>
        <w:t>in 5% BSA in PBST for 1h at RT on shaker. Primary antibodies</w:t>
      </w:r>
      <w:r w:rsidR="0007003A">
        <w:rPr>
          <w:rFonts w:ascii="Verdana" w:hAnsi="Verdana"/>
          <w:lang w:val="en-GB"/>
        </w:rPr>
        <w:t xml:space="preserve"> (</w:t>
      </w:r>
      <w:r w:rsidR="0007003A" w:rsidRPr="00BE59D3">
        <w:rPr>
          <w:rFonts w:ascii="Verdana" w:hAnsi="Verdana"/>
          <w:lang w:val="en-GB"/>
        </w:rPr>
        <w:t>mouse monoclonal anti-human-</w:t>
      </w:r>
      <w:r w:rsidR="0007003A" w:rsidRPr="00BE59D3">
        <w:rPr>
          <w:rFonts w:ascii="Verdana" w:hAnsi="Verdana" w:cstheme="minorHAnsi"/>
          <w:lang w:val="en-GB"/>
        </w:rPr>
        <w:t>α</w:t>
      </w:r>
      <w:r w:rsidR="0007003A" w:rsidRPr="00BE59D3">
        <w:rPr>
          <w:rFonts w:ascii="Verdana" w:hAnsi="Verdana"/>
          <w:lang w:val="en-GB"/>
        </w:rPr>
        <w:t>Syn (clone Syn211, S5566, Sigma-Aldrich, 1:1000)</w:t>
      </w:r>
      <w:r w:rsidR="0007003A">
        <w:rPr>
          <w:rFonts w:ascii="Verdana" w:hAnsi="Verdana"/>
          <w:lang w:val="en-GB"/>
        </w:rPr>
        <w:t xml:space="preserve">; </w:t>
      </w:r>
      <w:r w:rsidR="0007003A" w:rsidRPr="00BE59D3">
        <w:rPr>
          <w:rFonts w:ascii="Verdana" w:hAnsi="Verdana"/>
          <w:lang w:val="en-GB"/>
        </w:rPr>
        <w:t>mouse monoclonal anti-pS129-</w:t>
      </w:r>
      <w:r w:rsidR="0007003A" w:rsidRPr="00BE59D3">
        <w:rPr>
          <w:rFonts w:ascii="Verdana" w:hAnsi="Verdana" w:cstheme="minorHAnsi"/>
          <w:lang w:val="en-GB"/>
        </w:rPr>
        <w:t>α</w:t>
      </w:r>
      <w:r w:rsidR="0007003A" w:rsidRPr="00BE59D3">
        <w:rPr>
          <w:rFonts w:ascii="Verdana" w:hAnsi="Verdana"/>
          <w:lang w:val="en-GB"/>
        </w:rPr>
        <w:t xml:space="preserve">Syn (clone 11A5, #1347, </w:t>
      </w:r>
      <w:proofErr w:type="spellStart"/>
      <w:r w:rsidR="0007003A" w:rsidRPr="00BE59D3">
        <w:rPr>
          <w:rFonts w:ascii="Verdana" w:hAnsi="Verdana"/>
          <w:lang w:val="en-GB"/>
        </w:rPr>
        <w:t>Prothena</w:t>
      </w:r>
      <w:proofErr w:type="spellEnd"/>
      <w:r w:rsidR="0007003A" w:rsidRPr="00BE59D3">
        <w:rPr>
          <w:rFonts w:ascii="Verdana" w:hAnsi="Verdana"/>
          <w:lang w:val="en-GB"/>
        </w:rPr>
        <w:t xml:space="preserve"> Biosciences Inc., 1:1000)</w:t>
      </w:r>
      <w:r w:rsidR="0007003A">
        <w:rPr>
          <w:rFonts w:ascii="Verdana" w:hAnsi="Verdana"/>
          <w:lang w:val="en-GB"/>
        </w:rPr>
        <w:t>)</w:t>
      </w:r>
      <w:r w:rsidR="00926651">
        <w:rPr>
          <w:rFonts w:ascii="Verdana" w:hAnsi="Verdana"/>
          <w:lang w:val="en-GB"/>
        </w:rPr>
        <w:t xml:space="preserve"> were diluted </w:t>
      </w:r>
      <w:r w:rsidR="006E419B">
        <w:rPr>
          <w:rFonts w:ascii="Verdana" w:hAnsi="Verdana"/>
          <w:lang w:val="en-GB"/>
        </w:rPr>
        <w:t xml:space="preserve">in </w:t>
      </w:r>
      <w:r w:rsidR="004A167A">
        <w:rPr>
          <w:rFonts w:ascii="Verdana" w:hAnsi="Verdana"/>
          <w:lang w:val="en-GB"/>
        </w:rPr>
        <w:t>2% BSA</w:t>
      </w:r>
      <w:r w:rsidR="006E419B">
        <w:rPr>
          <w:rFonts w:ascii="Verdana" w:hAnsi="Verdana"/>
          <w:lang w:val="en-GB"/>
        </w:rPr>
        <w:t xml:space="preserve"> solution</w:t>
      </w:r>
      <w:r w:rsidR="004A167A">
        <w:rPr>
          <w:rFonts w:ascii="Verdana" w:hAnsi="Verdana"/>
          <w:lang w:val="en-GB"/>
        </w:rPr>
        <w:t xml:space="preserve"> in PBST</w:t>
      </w:r>
      <w:r w:rsidR="006E419B">
        <w:rPr>
          <w:rFonts w:ascii="Verdana" w:hAnsi="Verdana"/>
          <w:lang w:val="en-GB"/>
        </w:rPr>
        <w:t xml:space="preserve"> and sections were incubated O/N</w:t>
      </w:r>
      <w:r w:rsidR="004A167A">
        <w:rPr>
          <w:rFonts w:ascii="Verdana" w:hAnsi="Verdana"/>
          <w:lang w:val="en-GB"/>
        </w:rPr>
        <w:t xml:space="preserve"> at RT on shaker. The next day, sections were washed 3 x 5min in PBST</w:t>
      </w:r>
      <w:r w:rsidR="00944F5A">
        <w:rPr>
          <w:rFonts w:ascii="Verdana" w:hAnsi="Verdana"/>
          <w:lang w:val="en-GB"/>
        </w:rPr>
        <w:t xml:space="preserve"> and</w:t>
      </w:r>
      <w:r w:rsidR="00944F5A" w:rsidRPr="00944F5A">
        <w:rPr>
          <w:rFonts w:ascii="Verdana" w:hAnsi="Verdana"/>
          <w:lang w:val="en-GB"/>
        </w:rPr>
        <w:t xml:space="preserve"> </w:t>
      </w:r>
      <w:r w:rsidR="00944F5A">
        <w:rPr>
          <w:rFonts w:ascii="Verdana" w:hAnsi="Verdana"/>
          <w:lang w:val="en-GB"/>
        </w:rPr>
        <w:t xml:space="preserve">incubated </w:t>
      </w:r>
      <w:r w:rsidR="003D3B0E">
        <w:rPr>
          <w:rFonts w:ascii="Verdana" w:hAnsi="Verdana"/>
          <w:lang w:val="en-GB"/>
        </w:rPr>
        <w:t xml:space="preserve">1h at RT on shaker </w:t>
      </w:r>
      <w:r w:rsidR="00944F5A">
        <w:rPr>
          <w:rFonts w:ascii="Verdana" w:hAnsi="Verdana"/>
          <w:lang w:val="en-GB"/>
        </w:rPr>
        <w:t>in biotinylated secondary antibodies</w:t>
      </w:r>
      <w:r w:rsidR="003D3B0E">
        <w:rPr>
          <w:rFonts w:ascii="Verdana" w:hAnsi="Verdana"/>
          <w:lang w:val="en-GB"/>
        </w:rPr>
        <w:t xml:space="preserve"> diluted 1:500 in PBS</w:t>
      </w:r>
      <w:r w:rsidR="000B6FD1">
        <w:rPr>
          <w:rFonts w:ascii="Verdana" w:hAnsi="Verdana"/>
          <w:lang w:val="en-GB"/>
        </w:rPr>
        <w:t>. In the meantime, an Avidin-Biotin Complex (ABC) solution</w:t>
      </w:r>
      <w:r w:rsidR="003522C5">
        <w:rPr>
          <w:rFonts w:ascii="Verdana" w:hAnsi="Verdana"/>
          <w:lang w:val="en-GB"/>
        </w:rPr>
        <w:t>, 1:500 in PBS,</w:t>
      </w:r>
      <w:r w:rsidR="000B6FD1">
        <w:rPr>
          <w:rFonts w:ascii="Verdana" w:hAnsi="Verdana"/>
          <w:lang w:val="en-GB"/>
        </w:rPr>
        <w:t xml:space="preserve"> was prepared</w:t>
      </w:r>
      <w:r w:rsidR="00DC1360">
        <w:rPr>
          <w:rFonts w:ascii="Verdana" w:hAnsi="Verdana"/>
          <w:lang w:val="en-GB"/>
        </w:rPr>
        <w:t xml:space="preserve"> and </w:t>
      </w:r>
      <w:r w:rsidR="003522C5">
        <w:rPr>
          <w:rFonts w:ascii="Verdana" w:hAnsi="Verdana"/>
          <w:lang w:val="en-GB"/>
        </w:rPr>
        <w:t xml:space="preserve">incubated 45min at RT in the dark. Sections were washed </w:t>
      </w:r>
      <w:r w:rsidR="00AC63F9">
        <w:rPr>
          <w:rFonts w:ascii="Verdana" w:hAnsi="Verdana"/>
          <w:lang w:val="en-GB"/>
        </w:rPr>
        <w:t xml:space="preserve">3 x 5min in PBST and then incubated in ABC solution for 1h at RT on shaker </w:t>
      </w:r>
      <w:r w:rsidR="00B61D42">
        <w:rPr>
          <w:rFonts w:ascii="Verdana" w:hAnsi="Verdana"/>
          <w:lang w:val="en-GB"/>
        </w:rPr>
        <w:t>under a light trap. A 3,3’-diaminobenzidine</w:t>
      </w:r>
      <w:r w:rsidR="00705DC6">
        <w:rPr>
          <w:rFonts w:ascii="Verdana" w:hAnsi="Verdana"/>
          <w:lang w:val="en-GB"/>
        </w:rPr>
        <w:t xml:space="preserve"> (DAB) solution was prepared by diluting 1 DAB tablet in 40ml of </w:t>
      </w:r>
      <w:r w:rsidR="00B25735">
        <w:rPr>
          <w:rFonts w:ascii="Verdana" w:hAnsi="Verdana"/>
          <w:lang w:val="en-GB"/>
        </w:rPr>
        <w:t>double distilled (</w:t>
      </w:r>
      <w:proofErr w:type="spellStart"/>
      <w:r w:rsidR="00B25735">
        <w:rPr>
          <w:rFonts w:ascii="Verdana" w:hAnsi="Verdana"/>
          <w:lang w:val="en-GB"/>
        </w:rPr>
        <w:t>mQ</w:t>
      </w:r>
      <w:proofErr w:type="spellEnd"/>
      <w:r w:rsidR="00B25735">
        <w:rPr>
          <w:rFonts w:ascii="Verdana" w:hAnsi="Verdana"/>
          <w:lang w:val="en-GB"/>
        </w:rPr>
        <w:t xml:space="preserve">) water. </w:t>
      </w:r>
      <w:r w:rsidR="00A12BF2">
        <w:rPr>
          <w:rFonts w:ascii="Verdana" w:hAnsi="Verdana"/>
          <w:lang w:val="en-GB"/>
        </w:rPr>
        <w:t>Prior to use, 5</w:t>
      </w:r>
      <w:r w:rsidR="00B017E0" w:rsidRPr="00B017E0">
        <w:rPr>
          <w:rFonts w:ascii="Verdana" w:hAnsi="Verdana" w:cs="Calibri"/>
          <w:lang w:val="en-GB"/>
        </w:rPr>
        <w:t>µ</w:t>
      </w:r>
      <w:r w:rsidR="00B017E0">
        <w:rPr>
          <w:rFonts w:ascii="Verdana" w:hAnsi="Verdana" w:cs="Calibri"/>
          <w:lang w:val="en-GB"/>
        </w:rPr>
        <w:t>l of H</w:t>
      </w:r>
      <w:r w:rsidR="00B017E0" w:rsidRPr="00B017E0">
        <w:rPr>
          <w:rFonts w:ascii="Verdana" w:hAnsi="Verdana" w:cs="Calibri"/>
          <w:vertAlign w:val="subscript"/>
          <w:lang w:val="en-GB"/>
        </w:rPr>
        <w:t>2</w:t>
      </w:r>
      <w:r w:rsidR="00B017E0">
        <w:rPr>
          <w:rFonts w:ascii="Verdana" w:hAnsi="Verdana" w:cs="Calibri"/>
          <w:lang w:val="en-GB"/>
        </w:rPr>
        <w:t>O</w:t>
      </w:r>
      <w:r w:rsidR="00B017E0" w:rsidRPr="00B017E0">
        <w:rPr>
          <w:rFonts w:ascii="Verdana" w:hAnsi="Verdana" w:cs="Calibri"/>
          <w:vertAlign w:val="subscript"/>
          <w:lang w:val="en-GB"/>
        </w:rPr>
        <w:t>2</w:t>
      </w:r>
      <w:r w:rsidR="00B017E0">
        <w:rPr>
          <w:rFonts w:ascii="Verdana" w:hAnsi="Verdana" w:cs="Calibri"/>
          <w:lang w:val="en-GB"/>
        </w:rPr>
        <w:t xml:space="preserve"> per</w:t>
      </w:r>
      <w:r w:rsidR="000D793D">
        <w:rPr>
          <w:rFonts w:ascii="Verdana" w:hAnsi="Verdana" w:cs="Calibri"/>
          <w:lang w:val="en-GB"/>
        </w:rPr>
        <w:t xml:space="preserve"> 10ml DAB solution were added. Sections were washed 3 x 5min in PBST and then </w:t>
      </w:r>
      <w:r w:rsidR="00647F7A">
        <w:rPr>
          <w:rFonts w:ascii="Verdana" w:hAnsi="Verdana" w:cs="Calibri"/>
          <w:lang w:val="en-GB"/>
        </w:rPr>
        <w:t xml:space="preserve">developed </w:t>
      </w:r>
      <w:r w:rsidR="000D793D">
        <w:rPr>
          <w:rFonts w:ascii="Verdana" w:hAnsi="Verdana" w:cs="Calibri"/>
          <w:lang w:val="en-GB"/>
        </w:rPr>
        <w:t xml:space="preserve">in DAB solution </w:t>
      </w:r>
      <w:r w:rsidR="00647F7A">
        <w:rPr>
          <w:rFonts w:ascii="Verdana" w:hAnsi="Verdana" w:cs="Calibri"/>
          <w:lang w:val="en-GB"/>
        </w:rPr>
        <w:t xml:space="preserve">using regular intervals. Development was stopped </w:t>
      </w:r>
      <w:r w:rsidR="00595936">
        <w:rPr>
          <w:rFonts w:ascii="Verdana" w:hAnsi="Verdana" w:cs="Calibri"/>
          <w:lang w:val="en-GB"/>
        </w:rPr>
        <w:t xml:space="preserve">by transferring the </w:t>
      </w:r>
      <w:r w:rsidR="00595936">
        <w:rPr>
          <w:rFonts w:ascii="Verdana" w:hAnsi="Verdana" w:cs="Calibri"/>
          <w:lang w:val="en-GB"/>
        </w:rPr>
        <w:lastRenderedPageBreak/>
        <w:t>sections into Tris 0.1M at pH 8.8</w:t>
      </w:r>
      <w:r w:rsidR="001A1155">
        <w:rPr>
          <w:rFonts w:ascii="Verdana" w:hAnsi="Verdana" w:cs="Calibri"/>
          <w:lang w:val="en-GB"/>
        </w:rPr>
        <w:t xml:space="preserve"> for 5-10min and then in Tris 0.01 pH 8.8 until mounting.</w:t>
      </w:r>
      <w:r w:rsidR="00410777">
        <w:rPr>
          <w:rFonts w:ascii="Verdana" w:hAnsi="Verdana" w:cs="Calibri"/>
          <w:lang w:val="en-GB"/>
        </w:rPr>
        <w:t xml:space="preserve"> Sections were </w:t>
      </w:r>
      <w:r w:rsidR="00410777" w:rsidRPr="00BE59D3">
        <w:rPr>
          <w:rFonts w:ascii="Verdana" w:hAnsi="Verdana"/>
          <w:lang w:val="en-GB"/>
        </w:rPr>
        <w:t xml:space="preserve">mounted on </w:t>
      </w:r>
      <w:proofErr w:type="spellStart"/>
      <w:r w:rsidR="00410777" w:rsidRPr="00BE59D3">
        <w:rPr>
          <w:rFonts w:ascii="Verdana" w:hAnsi="Verdana"/>
          <w:lang w:val="en-GB"/>
        </w:rPr>
        <w:t>Superfrost</w:t>
      </w:r>
      <w:r w:rsidR="00410777" w:rsidRPr="00BE59D3">
        <w:rPr>
          <w:rFonts w:ascii="Verdana" w:hAnsi="Verdana"/>
          <w:vertAlign w:val="superscript"/>
          <w:lang w:val="en-GB"/>
        </w:rPr>
        <w:t>TM</w:t>
      </w:r>
      <w:proofErr w:type="spellEnd"/>
      <w:r w:rsidR="00410777" w:rsidRPr="00BE59D3">
        <w:rPr>
          <w:rFonts w:ascii="Verdana" w:hAnsi="Verdana"/>
          <w:vertAlign w:val="superscript"/>
          <w:lang w:val="en-GB"/>
        </w:rPr>
        <w:t xml:space="preserve"> </w:t>
      </w:r>
      <w:r w:rsidR="00410777" w:rsidRPr="00BE59D3">
        <w:rPr>
          <w:rFonts w:ascii="Verdana" w:hAnsi="Verdana"/>
          <w:lang w:val="en-GB"/>
        </w:rPr>
        <w:t>slides (</w:t>
      </w:r>
      <w:proofErr w:type="spellStart"/>
      <w:r w:rsidR="00410777" w:rsidRPr="00BE59D3">
        <w:rPr>
          <w:rFonts w:ascii="Verdana" w:hAnsi="Verdana"/>
          <w:lang w:val="en-GB"/>
        </w:rPr>
        <w:t>ThermoFisher</w:t>
      </w:r>
      <w:proofErr w:type="spellEnd"/>
      <w:r w:rsidR="00410777" w:rsidRPr="00BE59D3">
        <w:rPr>
          <w:rFonts w:ascii="Verdana" w:hAnsi="Verdana"/>
          <w:lang w:val="en-GB"/>
        </w:rPr>
        <w:t xml:space="preserve"> Scientific</w:t>
      </w:r>
      <w:r w:rsidR="00410777">
        <w:rPr>
          <w:rFonts w:ascii="Verdana" w:hAnsi="Verdana"/>
          <w:lang w:val="en-GB"/>
        </w:rPr>
        <w:t>)</w:t>
      </w:r>
      <w:r w:rsidR="00C4788B">
        <w:rPr>
          <w:rFonts w:ascii="Verdana" w:hAnsi="Verdana"/>
          <w:lang w:val="en-GB"/>
        </w:rPr>
        <w:t xml:space="preserve"> in Neo-Clear</w:t>
      </w:r>
      <w:r w:rsidR="0007003A">
        <w:rPr>
          <w:rFonts w:ascii="Verdana" w:hAnsi="Verdana"/>
          <w:lang w:val="en-GB"/>
        </w:rPr>
        <w:t xml:space="preserve">® </w:t>
      </w:r>
      <w:r w:rsidR="004B26B3">
        <w:rPr>
          <w:rFonts w:ascii="Verdana" w:hAnsi="Verdana"/>
          <w:lang w:val="en-GB"/>
        </w:rPr>
        <w:t>(Merck)</w:t>
      </w:r>
      <w:r w:rsidR="00C4788B">
        <w:rPr>
          <w:rFonts w:ascii="Verdana" w:hAnsi="Verdana"/>
          <w:lang w:val="en-GB"/>
        </w:rPr>
        <w:t>, and cover-slipped using Neo-Mount</w:t>
      </w:r>
      <w:r w:rsidR="004B26B3">
        <w:rPr>
          <w:rFonts w:ascii="Verdana" w:hAnsi="Verdana"/>
          <w:lang w:val="en-GB"/>
        </w:rPr>
        <w:t xml:space="preserve"> ® (Merck)</w:t>
      </w:r>
      <w:r w:rsidR="00C4788B">
        <w:rPr>
          <w:rFonts w:ascii="Verdana" w:hAnsi="Verdana"/>
          <w:lang w:val="en-GB"/>
        </w:rPr>
        <w:t>. Slides were dried at least 24h before imaging.</w:t>
      </w:r>
    </w:p>
    <w:p w14:paraId="6479079C" w14:textId="4C0183E5" w:rsidR="006D693C" w:rsidRDefault="006D693C" w:rsidP="006D693C">
      <w:pPr>
        <w:spacing w:line="360" w:lineRule="auto"/>
        <w:jc w:val="both"/>
        <w:rPr>
          <w:rFonts w:ascii="Verdana" w:hAnsi="Verdana"/>
          <w:lang w:val="en-GB"/>
        </w:rPr>
      </w:pPr>
    </w:p>
    <w:p w14:paraId="712DBB5C" w14:textId="77777777" w:rsidR="006D693C" w:rsidRDefault="006D693C">
      <w:pPr>
        <w:ind w:firstLine="0"/>
        <w:rPr>
          <w:rFonts w:ascii="Verdana" w:hAnsi="Verdana"/>
          <w:lang w:val="en-GB"/>
        </w:rPr>
      </w:pPr>
      <w:r>
        <w:rPr>
          <w:rFonts w:ascii="Verdana" w:hAnsi="Verdana"/>
          <w:lang w:val="en-GB"/>
        </w:rPr>
        <w:br w:type="page"/>
      </w:r>
    </w:p>
    <w:p w14:paraId="5089A811" w14:textId="72BB4395" w:rsidR="006D693C" w:rsidRDefault="006D693C" w:rsidP="006D693C">
      <w:pPr>
        <w:spacing w:line="360" w:lineRule="auto"/>
        <w:jc w:val="both"/>
        <w:rPr>
          <w:rFonts w:ascii="Verdana" w:hAnsi="Verdana"/>
          <w:lang w:val="en-GB"/>
        </w:rPr>
      </w:pPr>
    </w:p>
    <w:p w14:paraId="151C9049" w14:textId="77777777" w:rsidR="006D693C" w:rsidRDefault="006D693C">
      <w:pPr>
        <w:ind w:firstLine="0"/>
        <w:rPr>
          <w:rFonts w:ascii="Verdana" w:hAnsi="Verdana"/>
          <w:lang w:val="en-GB"/>
        </w:rPr>
      </w:pPr>
      <w:r>
        <w:rPr>
          <w:rFonts w:ascii="Verdana" w:hAnsi="Verdana"/>
          <w:lang w:val="en-GB"/>
        </w:rPr>
        <w:br w:type="page"/>
      </w:r>
    </w:p>
    <w:p w14:paraId="7694BEBF" w14:textId="1AAB330D" w:rsidR="00DF576F" w:rsidRPr="00CD099F" w:rsidRDefault="00DF576F" w:rsidP="00CD099F">
      <w:pPr>
        <w:ind w:firstLine="0"/>
        <w:rPr>
          <w:rFonts w:ascii="Verdana" w:eastAsiaTheme="majorEastAsia" w:hAnsi="Verdana" w:cstheme="majorBidi"/>
          <w:spacing w:val="-10"/>
          <w:kern w:val="28"/>
          <w:sz w:val="44"/>
          <w:szCs w:val="44"/>
          <w:lang w:val="en-GB"/>
        </w:rPr>
        <w:sectPr w:rsidR="00DF576F" w:rsidRPr="00CD099F" w:rsidSect="00E521C1">
          <w:pgSz w:w="11907" w:h="16840" w:code="9"/>
          <w:pgMar w:top="1440" w:right="1418" w:bottom="1440" w:left="1701" w:header="720" w:footer="720" w:gutter="0"/>
          <w:cols w:space="720"/>
          <w:docGrid w:linePitch="360"/>
        </w:sectPr>
      </w:pPr>
    </w:p>
    <w:p w14:paraId="44CC4FC3" w14:textId="5EDC8A46" w:rsidR="00920332" w:rsidRPr="00735402" w:rsidRDefault="00920332" w:rsidP="00920332">
      <w:pPr>
        <w:pStyle w:val="Title"/>
        <w:jc w:val="center"/>
        <w:rPr>
          <w:rFonts w:ascii="Verdana" w:hAnsi="Verdana"/>
          <w:sz w:val="44"/>
          <w:szCs w:val="44"/>
          <w:lang w:val="en-GB"/>
        </w:rPr>
      </w:pPr>
      <w:r w:rsidRPr="00735402">
        <w:rPr>
          <w:rFonts w:ascii="Verdana" w:hAnsi="Verdana"/>
          <w:sz w:val="44"/>
          <w:szCs w:val="44"/>
          <w:lang w:val="en-GB"/>
        </w:rPr>
        <w:lastRenderedPageBreak/>
        <w:t>Part I</w:t>
      </w:r>
      <w:r>
        <w:rPr>
          <w:rFonts w:ascii="Verdana" w:hAnsi="Verdana"/>
          <w:sz w:val="44"/>
          <w:szCs w:val="44"/>
          <w:lang w:val="en-GB"/>
        </w:rPr>
        <w:t>V</w:t>
      </w:r>
    </w:p>
    <w:p w14:paraId="6D1CD33D" w14:textId="77777777" w:rsidR="00920332" w:rsidRDefault="00920332" w:rsidP="00920332">
      <w:pPr>
        <w:jc w:val="center"/>
        <w:rPr>
          <w:lang w:val="en-GB"/>
        </w:rPr>
      </w:pPr>
    </w:p>
    <w:p w14:paraId="05E0BE7B" w14:textId="3B9FBC4C" w:rsidR="00920332" w:rsidRDefault="00920332" w:rsidP="00D535A2">
      <w:pPr>
        <w:pStyle w:val="Heading1"/>
        <w:jc w:val="center"/>
        <w:rPr>
          <w:lang w:val="en-GB"/>
        </w:rPr>
      </w:pPr>
      <w:bookmarkStart w:id="61" w:name="_Toc130223426"/>
      <w:r>
        <w:rPr>
          <w:lang w:val="en-GB"/>
        </w:rPr>
        <w:t>Results</w:t>
      </w:r>
      <w:bookmarkEnd w:id="61"/>
    </w:p>
    <w:p w14:paraId="667AC506" w14:textId="77777777" w:rsidR="00DF576F" w:rsidRDefault="00DF576F" w:rsidP="00920332">
      <w:pPr>
        <w:ind w:firstLine="0"/>
        <w:rPr>
          <w:lang w:val="en-GB"/>
        </w:rPr>
        <w:sectPr w:rsidR="00DF576F" w:rsidSect="00DF576F">
          <w:pgSz w:w="11907" w:h="16840" w:code="9"/>
          <w:pgMar w:top="1440" w:right="1418" w:bottom="1440" w:left="1701" w:header="720" w:footer="720" w:gutter="0"/>
          <w:cols w:space="720"/>
          <w:vAlign w:val="center"/>
          <w:docGrid w:linePitch="360"/>
        </w:sectPr>
      </w:pPr>
    </w:p>
    <w:p w14:paraId="2B6E30AB" w14:textId="7F1CD99C" w:rsidR="003F2AB4" w:rsidRDefault="00920332" w:rsidP="00993781">
      <w:pPr>
        <w:pStyle w:val="Heading1"/>
        <w:numPr>
          <w:ilvl w:val="0"/>
          <w:numId w:val="18"/>
        </w:numPr>
        <w:ind w:left="0" w:firstLine="357"/>
        <w:jc w:val="both"/>
        <w:rPr>
          <w:lang w:val="en-GB"/>
        </w:rPr>
      </w:pPr>
      <w:r>
        <w:rPr>
          <w:lang w:val="en-GB"/>
        </w:rPr>
        <w:lastRenderedPageBreak/>
        <w:br w:type="page"/>
      </w:r>
      <w:bookmarkStart w:id="62" w:name="_Toc130223427"/>
      <w:r w:rsidR="00C47E09">
        <w:rPr>
          <w:noProof/>
          <w:lang w:val="en-GB"/>
        </w:rPr>
        <w:lastRenderedPageBreak/>
        <mc:AlternateContent>
          <mc:Choice Requires="wps">
            <w:drawing>
              <wp:anchor distT="0" distB="0" distL="114300" distR="114300" simplePos="0" relativeHeight="251691008" behindDoc="0" locked="0" layoutInCell="1" allowOverlap="1" wp14:anchorId="61F8F1C8" wp14:editId="5D8E9B99">
                <wp:simplePos x="0" y="0"/>
                <wp:positionH relativeFrom="column">
                  <wp:posOffset>685214</wp:posOffset>
                </wp:positionH>
                <wp:positionV relativeFrom="paragraph">
                  <wp:posOffset>2540</wp:posOffset>
                </wp:positionV>
                <wp:extent cx="0" cy="457200"/>
                <wp:effectExtent l="19050" t="0" r="19050" b="19050"/>
                <wp:wrapNone/>
                <wp:docPr id="13" name="Straight Connector 13"/>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8401AE" id="Straight Connector 13"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53.95pt,.2pt" to="53.9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" strokecolor="black [3200]" strokeweight="2.25pt">
                <v:stroke joinstyle="miter"/>
              </v:line>
            </w:pict>
          </mc:Fallback>
        </mc:AlternateContent>
      </w:r>
      <w:r w:rsidR="00D535A2">
        <w:rPr>
          <w:lang w:val="en-GB"/>
        </w:rPr>
        <w:t xml:space="preserve">    </w:t>
      </w:r>
      <w:r w:rsidR="0061348F" w:rsidRPr="0061348F">
        <w:rPr>
          <w:lang w:val="en-GB"/>
        </w:rPr>
        <w:t>Modelling</w:t>
      </w:r>
      <w:r w:rsidR="00475906">
        <w:rPr>
          <w:lang w:val="en-GB"/>
        </w:rPr>
        <w:t xml:space="preserve"> the</w:t>
      </w:r>
      <w:r w:rsidR="0061348F" w:rsidRPr="0061348F">
        <w:rPr>
          <w:lang w:val="en-GB"/>
        </w:rPr>
        <w:t xml:space="preserve"> early</w:t>
      </w:r>
      <w:r w:rsidR="0061348F">
        <w:rPr>
          <w:lang w:val="en-GB"/>
        </w:rPr>
        <w:t xml:space="preserve"> </w:t>
      </w:r>
      <w:r w:rsidR="00932008">
        <w:rPr>
          <w:lang w:val="en-GB"/>
        </w:rPr>
        <w:t xml:space="preserve">pathogenic events of Parkinson’s Disease in </w:t>
      </w:r>
      <w:r w:rsidR="006311A8">
        <w:rPr>
          <w:lang w:val="en-GB"/>
        </w:rPr>
        <w:t>the SNCA*E46K mouse model</w:t>
      </w:r>
      <w:bookmarkEnd w:id="62"/>
    </w:p>
    <w:p w14:paraId="5E1EB949" w14:textId="77777777" w:rsidR="00CD1309" w:rsidRDefault="00CD1309" w:rsidP="003F2AB4">
      <w:pPr>
        <w:pStyle w:val="Title"/>
        <w:spacing w:line="360" w:lineRule="auto"/>
        <w:ind w:firstLine="0"/>
        <w:rPr>
          <w:rFonts w:ascii="Verdana" w:hAnsi="Verdana"/>
          <w:b/>
          <w:bCs/>
          <w:sz w:val="24"/>
          <w:szCs w:val="24"/>
          <w:lang w:val="en-GB"/>
        </w:rPr>
      </w:pPr>
    </w:p>
    <w:p w14:paraId="1874A6D1" w14:textId="77777777" w:rsidR="00CD1309" w:rsidRDefault="00CD1309" w:rsidP="003F2AB4">
      <w:pPr>
        <w:pStyle w:val="Title"/>
        <w:spacing w:line="360" w:lineRule="auto"/>
        <w:ind w:firstLine="0"/>
        <w:rPr>
          <w:rFonts w:ascii="Verdana" w:hAnsi="Verdana"/>
          <w:b/>
          <w:bCs/>
          <w:sz w:val="24"/>
          <w:szCs w:val="24"/>
          <w:lang w:val="en-GB"/>
        </w:rPr>
      </w:pPr>
    </w:p>
    <w:p w14:paraId="32BC7CE5" w14:textId="77777777" w:rsidR="00CD1309" w:rsidRDefault="00CD1309" w:rsidP="003F2AB4">
      <w:pPr>
        <w:pStyle w:val="Title"/>
        <w:spacing w:line="360" w:lineRule="auto"/>
        <w:ind w:firstLine="0"/>
        <w:rPr>
          <w:rFonts w:ascii="Verdana" w:hAnsi="Verdana"/>
          <w:b/>
          <w:bCs/>
          <w:sz w:val="24"/>
          <w:szCs w:val="24"/>
          <w:lang w:val="en-GB"/>
        </w:rPr>
      </w:pPr>
    </w:p>
    <w:p w14:paraId="7DBCF855" w14:textId="77777777" w:rsidR="00CD1309" w:rsidRDefault="00CD1309" w:rsidP="003F2AB4">
      <w:pPr>
        <w:pStyle w:val="Title"/>
        <w:spacing w:line="360" w:lineRule="auto"/>
        <w:ind w:firstLine="0"/>
        <w:rPr>
          <w:rFonts w:ascii="Verdana" w:hAnsi="Verdana"/>
          <w:b/>
          <w:bCs/>
          <w:sz w:val="24"/>
          <w:szCs w:val="24"/>
          <w:lang w:val="en-GB"/>
        </w:rPr>
      </w:pPr>
    </w:p>
    <w:p w14:paraId="09C61A31" w14:textId="77777777" w:rsidR="00CD1309" w:rsidRDefault="00CD1309" w:rsidP="003F2AB4">
      <w:pPr>
        <w:pStyle w:val="Title"/>
        <w:spacing w:line="360" w:lineRule="auto"/>
        <w:ind w:firstLine="0"/>
        <w:rPr>
          <w:rFonts w:ascii="Verdana" w:hAnsi="Verdana"/>
          <w:b/>
          <w:bCs/>
          <w:sz w:val="24"/>
          <w:szCs w:val="24"/>
          <w:lang w:val="en-GB"/>
        </w:rPr>
      </w:pPr>
    </w:p>
    <w:p w14:paraId="3CDDD410" w14:textId="77777777" w:rsidR="00CD1309" w:rsidRDefault="00CD1309" w:rsidP="003F2AB4">
      <w:pPr>
        <w:pStyle w:val="Title"/>
        <w:spacing w:line="360" w:lineRule="auto"/>
        <w:ind w:firstLine="0"/>
        <w:rPr>
          <w:rFonts w:ascii="Verdana" w:hAnsi="Verdana"/>
          <w:b/>
          <w:bCs/>
          <w:sz w:val="24"/>
          <w:szCs w:val="24"/>
          <w:lang w:val="en-GB"/>
        </w:rPr>
      </w:pPr>
    </w:p>
    <w:p w14:paraId="03CCA091" w14:textId="0FE770C4" w:rsidR="008B7415" w:rsidRPr="00F32521" w:rsidRDefault="008B7415" w:rsidP="00D535A2">
      <w:pPr>
        <w:pStyle w:val="Heading2"/>
        <w:rPr>
          <w:lang w:val="en-GB"/>
        </w:rPr>
      </w:pPr>
      <w:bookmarkStart w:id="63" w:name="_Toc130223428"/>
      <w:r w:rsidRPr="00F32521">
        <w:rPr>
          <w:lang w:val="en-GB"/>
        </w:rPr>
        <w:t>Preface</w:t>
      </w:r>
      <w:bookmarkEnd w:id="63"/>
    </w:p>
    <w:p w14:paraId="5C388469" w14:textId="77777777" w:rsidR="008B7415" w:rsidRDefault="008B7415" w:rsidP="008B7415">
      <w:pPr>
        <w:rPr>
          <w:rFonts w:ascii="Verdana" w:hAnsi="Verdana"/>
          <w:b/>
          <w:bCs/>
          <w:sz w:val="24"/>
          <w:szCs w:val="24"/>
          <w:lang w:val="en-GB"/>
        </w:rPr>
      </w:pPr>
    </w:p>
    <w:p w14:paraId="7F3C90A6" w14:textId="397330B4" w:rsidR="008B7415" w:rsidRDefault="003F7885" w:rsidP="00DC6BA9">
      <w:pPr>
        <w:spacing w:line="360" w:lineRule="auto"/>
        <w:jc w:val="both"/>
        <w:rPr>
          <w:rFonts w:ascii="Verdana" w:hAnsi="Verdana"/>
          <w:lang w:val="en-GB"/>
        </w:rPr>
      </w:pPr>
      <w:r>
        <w:rPr>
          <w:rFonts w:ascii="Verdana" w:hAnsi="Verdana"/>
          <w:lang w:val="en-GB"/>
        </w:rPr>
        <w:t>Most of the</w:t>
      </w:r>
      <w:r w:rsidR="00DF0F7D" w:rsidRPr="00DF0F7D">
        <w:rPr>
          <w:rFonts w:ascii="Verdana" w:hAnsi="Verdana"/>
          <w:lang w:val="en-GB"/>
        </w:rPr>
        <w:t xml:space="preserve"> </w:t>
      </w:r>
      <w:r w:rsidR="00DF0F7D">
        <w:rPr>
          <w:rFonts w:ascii="Verdana" w:hAnsi="Verdana"/>
          <w:lang w:val="en-GB"/>
        </w:rPr>
        <w:t>data presented in this chapter have been published</w:t>
      </w:r>
      <w:r w:rsidR="00DF0F7D" w:rsidRPr="00DF0F7D">
        <w:rPr>
          <w:rFonts w:ascii="Verdana" w:hAnsi="Verdana"/>
          <w:lang w:val="en-GB"/>
        </w:rPr>
        <w:t xml:space="preserve"> in Molecular Neurobiology</w:t>
      </w:r>
      <w:r w:rsidR="00991C82">
        <w:rPr>
          <w:rFonts w:ascii="Verdana" w:hAnsi="Verdana"/>
          <w:lang w:val="en-GB"/>
        </w:rPr>
        <w:t xml:space="preserve"> under the title “</w:t>
      </w:r>
      <w:r w:rsidR="00991C82" w:rsidRPr="00991C82">
        <w:rPr>
          <w:rFonts w:ascii="Verdana" w:hAnsi="Verdana"/>
          <w:lang w:val="en-GB"/>
        </w:rPr>
        <w:t>A new Synuclein-Transgenic Mouse Model for Early Parkinson’s Reveals Molecular Features of Preclinical Disease</w:t>
      </w:r>
      <w:r w:rsidR="00991C82">
        <w:rPr>
          <w:rFonts w:ascii="Verdana" w:hAnsi="Verdana"/>
          <w:lang w:val="en-GB"/>
        </w:rPr>
        <w:t xml:space="preserve">”. </w:t>
      </w:r>
      <w:proofErr w:type="gramStart"/>
      <w:r w:rsidR="00F30EB3">
        <w:rPr>
          <w:rFonts w:ascii="Verdana" w:hAnsi="Verdana"/>
          <w:lang w:val="en-GB"/>
        </w:rPr>
        <w:t>In regards to</w:t>
      </w:r>
      <w:proofErr w:type="gramEnd"/>
      <w:r w:rsidR="00F30EB3">
        <w:rPr>
          <w:rFonts w:ascii="Verdana" w:hAnsi="Verdana"/>
          <w:lang w:val="en-GB"/>
        </w:rPr>
        <w:t xml:space="preserve"> this publication</w:t>
      </w:r>
      <w:r w:rsidR="00991C82">
        <w:rPr>
          <w:rFonts w:ascii="Verdana" w:hAnsi="Verdana"/>
          <w:lang w:val="en-GB"/>
        </w:rPr>
        <w:t xml:space="preserve">, my contribution was limited to the characterisation of </w:t>
      </w:r>
      <w:r w:rsidR="00F30EB3">
        <w:rPr>
          <w:rFonts w:ascii="Verdana" w:hAnsi="Verdana"/>
          <w:lang w:val="en-GB"/>
        </w:rPr>
        <w:t>alpha-synuclein expression via RT-qPCR</w:t>
      </w:r>
      <w:r w:rsidR="002764DF">
        <w:rPr>
          <w:rFonts w:ascii="Verdana" w:hAnsi="Verdana"/>
          <w:lang w:val="en-GB"/>
        </w:rPr>
        <w:t xml:space="preserve"> (Figure 6a)</w:t>
      </w:r>
      <w:r w:rsidR="004F6A5D">
        <w:rPr>
          <w:rFonts w:ascii="Verdana" w:hAnsi="Verdana"/>
          <w:lang w:val="en-GB"/>
        </w:rPr>
        <w:t xml:space="preserve">. Nevertheless, being the results relative to the </w:t>
      </w:r>
      <w:r w:rsidR="00977047">
        <w:rPr>
          <w:rFonts w:ascii="Verdana" w:hAnsi="Verdana"/>
          <w:lang w:val="en-GB"/>
        </w:rPr>
        <w:t>nigrostriatal</w:t>
      </w:r>
      <w:r w:rsidR="004F6A5D">
        <w:rPr>
          <w:rFonts w:ascii="Verdana" w:hAnsi="Verdana"/>
          <w:lang w:val="en-GB"/>
        </w:rPr>
        <w:t xml:space="preserve"> degeneration and to the midbrain gene expression pivotal to the decision to employ this model </w:t>
      </w:r>
      <w:r w:rsidR="00831FDB">
        <w:rPr>
          <w:rFonts w:ascii="Verdana" w:hAnsi="Verdana"/>
          <w:lang w:val="en-GB"/>
        </w:rPr>
        <w:t xml:space="preserve">in the work presented in Chapter 4, I have decided to include </w:t>
      </w:r>
      <w:r w:rsidR="00D628EA">
        <w:rPr>
          <w:rFonts w:ascii="Verdana" w:hAnsi="Verdana"/>
          <w:lang w:val="en-GB"/>
        </w:rPr>
        <w:t>a larger part of the results.</w:t>
      </w:r>
      <w:r w:rsidR="00651D8F">
        <w:rPr>
          <w:rFonts w:ascii="Verdana" w:hAnsi="Verdana"/>
          <w:lang w:val="en-GB"/>
        </w:rPr>
        <w:t xml:space="preserve"> </w:t>
      </w:r>
      <w:r w:rsidR="00A54DC1">
        <w:rPr>
          <w:rFonts w:ascii="Verdana" w:hAnsi="Verdana"/>
          <w:lang w:val="en-GB"/>
        </w:rPr>
        <w:t>We observed that transgenic alpha-synuclein protein levels correlated with the degree of neurodegeneration in the striatum</w:t>
      </w:r>
      <w:r w:rsidR="009F2A90">
        <w:rPr>
          <w:rFonts w:ascii="Verdana" w:hAnsi="Verdana"/>
          <w:lang w:val="en-GB"/>
        </w:rPr>
        <w:t xml:space="preserve">, and </w:t>
      </w:r>
      <w:r w:rsidR="00C929EA">
        <w:rPr>
          <w:rFonts w:ascii="Verdana" w:hAnsi="Verdana"/>
          <w:lang w:val="en-GB"/>
        </w:rPr>
        <w:t xml:space="preserve">the experiments that I performed served as a validation of the </w:t>
      </w:r>
      <w:r w:rsidR="00DC6BA9">
        <w:rPr>
          <w:rFonts w:ascii="Verdana" w:hAnsi="Verdana"/>
          <w:lang w:val="en-GB"/>
        </w:rPr>
        <w:t>intra-group variability in alpha-synuclein expression also at the mRNA level.</w:t>
      </w:r>
      <w:r w:rsidR="00D628EA">
        <w:rPr>
          <w:rFonts w:ascii="Verdana" w:hAnsi="Verdana"/>
          <w:lang w:val="en-GB"/>
        </w:rPr>
        <w:t xml:space="preserve"> </w:t>
      </w:r>
      <w:r w:rsidR="00DC6BA9">
        <w:rPr>
          <w:rFonts w:ascii="Verdana" w:hAnsi="Verdana"/>
          <w:lang w:val="en-GB"/>
        </w:rPr>
        <w:t>Th</w:t>
      </w:r>
      <w:r w:rsidR="00211E54">
        <w:rPr>
          <w:rFonts w:ascii="Verdana" w:hAnsi="Verdana"/>
          <w:lang w:val="en-GB"/>
        </w:rPr>
        <w:t xml:space="preserve">e study was designed by Manuel </w:t>
      </w:r>
      <w:proofErr w:type="spellStart"/>
      <w:r w:rsidR="00211E54">
        <w:rPr>
          <w:rFonts w:ascii="Verdana" w:hAnsi="Verdana"/>
          <w:lang w:val="en-GB"/>
        </w:rPr>
        <w:t>Buttini</w:t>
      </w:r>
      <w:proofErr w:type="spellEnd"/>
      <w:r w:rsidR="00211E54">
        <w:rPr>
          <w:rFonts w:ascii="Verdana" w:hAnsi="Verdana"/>
          <w:lang w:val="en-GB"/>
        </w:rPr>
        <w:t xml:space="preserve">. The breeding of the mouse cohort was performed by Kristopher J. Schmit and </w:t>
      </w:r>
      <w:r w:rsidR="003641C9">
        <w:rPr>
          <w:rFonts w:ascii="Verdana" w:hAnsi="Verdana"/>
          <w:lang w:val="en-GB"/>
        </w:rPr>
        <w:t>H</w:t>
      </w:r>
      <w:r w:rsidR="00A1007C">
        <w:rPr>
          <w:rFonts w:ascii="Verdana" w:hAnsi="Verdana"/>
          <w:lang w:val="en-GB"/>
        </w:rPr>
        <w:t>eike</w:t>
      </w:r>
      <w:r w:rsidR="003641C9">
        <w:rPr>
          <w:rFonts w:ascii="Verdana" w:hAnsi="Verdana"/>
          <w:lang w:val="en-GB"/>
        </w:rPr>
        <w:t xml:space="preserve"> </w:t>
      </w:r>
      <w:proofErr w:type="spellStart"/>
      <w:r w:rsidR="003641C9">
        <w:rPr>
          <w:rFonts w:ascii="Verdana" w:hAnsi="Verdana"/>
          <w:lang w:val="en-GB"/>
        </w:rPr>
        <w:t>Kollmus</w:t>
      </w:r>
      <w:proofErr w:type="spellEnd"/>
      <w:r w:rsidR="00A1007C">
        <w:rPr>
          <w:rFonts w:ascii="Verdana" w:hAnsi="Verdana"/>
          <w:lang w:val="en-GB"/>
        </w:rPr>
        <w:t>. The tissue workup was performed by Kristopher Schmit, Pierre Garcia and Amer Ashrafi.</w:t>
      </w:r>
      <w:r w:rsidR="00091E03">
        <w:rPr>
          <w:rFonts w:ascii="Verdana" w:hAnsi="Verdana"/>
          <w:lang w:val="en-GB"/>
        </w:rPr>
        <w:t xml:space="preserve"> </w:t>
      </w:r>
      <w:r w:rsidR="002A6166">
        <w:rPr>
          <w:rFonts w:ascii="Verdana" w:hAnsi="Verdana"/>
          <w:lang w:val="en-GB"/>
        </w:rPr>
        <w:t>Genotyping and phenotyping were performed by Pierre Garcia and Amer Ashrafi</w:t>
      </w:r>
      <w:r w:rsidR="008251AF">
        <w:rPr>
          <w:rFonts w:ascii="Verdana" w:hAnsi="Verdana"/>
          <w:lang w:val="en-GB"/>
        </w:rPr>
        <w:t>. The microarray experiments were conducted by Nathalie Nicot, T</w:t>
      </w:r>
      <w:r w:rsidR="000B655A">
        <w:rPr>
          <w:rFonts w:ascii="Verdana" w:hAnsi="Verdana"/>
          <w:lang w:val="en-GB"/>
        </w:rPr>
        <w:t xml:space="preserve">ony Kaoma and Laurent </w:t>
      </w:r>
      <w:proofErr w:type="spellStart"/>
      <w:r w:rsidR="000B655A">
        <w:rPr>
          <w:rFonts w:ascii="Verdana" w:hAnsi="Verdana"/>
          <w:lang w:val="en-GB"/>
        </w:rPr>
        <w:t>Vallard</w:t>
      </w:r>
      <w:proofErr w:type="spellEnd"/>
      <w:r w:rsidR="000B655A">
        <w:rPr>
          <w:rFonts w:ascii="Verdana" w:hAnsi="Verdana"/>
          <w:lang w:val="en-GB"/>
        </w:rPr>
        <w:t xml:space="preserve">, while the microarray data handling was performed by Kristopher Schmit. The </w:t>
      </w:r>
      <w:r w:rsidR="000B655A">
        <w:rPr>
          <w:rFonts w:ascii="Verdana" w:hAnsi="Verdana"/>
          <w:lang w:val="en-GB"/>
        </w:rPr>
        <w:lastRenderedPageBreak/>
        <w:t xml:space="preserve">bioinformatic </w:t>
      </w:r>
      <w:r w:rsidR="00BF7996">
        <w:rPr>
          <w:rFonts w:ascii="Verdana" w:hAnsi="Verdana"/>
          <w:lang w:val="en-GB"/>
        </w:rPr>
        <w:t xml:space="preserve">pipeline was designed by Enrico </w:t>
      </w:r>
      <w:proofErr w:type="spellStart"/>
      <w:r w:rsidR="00BF7996">
        <w:rPr>
          <w:rFonts w:ascii="Verdana" w:hAnsi="Verdana"/>
          <w:lang w:val="en-GB"/>
        </w:rPr>
        <w:t>Glaab</w:t>
      </w:r>
      <w:proofErr w:type="spellEnd"/>
      <w:r w:rsidR="00BF7996">
        <w:rPr>
          <w:rFonts w:ascii="Verdana" w:hAnsi="Verdana"/>
          <w:lang w:val="en-GB"/>
        </w:rPr>
        <w:t xml:space="preserve"> and Diana M. Hendrickx, and Diana Hendrickx performed all the bioinformatical analyses.</w:t>
      </w:r>
      <w:r w:rsidR="00892959">
        <w:rPr>
          <w:rFonts w:ascii="Verdana" w:hAnsi="Verdana"/>
          <w:lang w:val="en-GB"/>
        </w:rPr>
        <w:t xml:space="preserve"> Figures 6</w:t>
      </w:r>
      <w:r w:rsidR="00EA14B2">
        <w:rPr>
          <w:rFonts w:ascii="Verdana" w:hAnsi="Verdana"/>
          <w:lang w:val="en-GB"/>
        </w:rPr>
        <w:t>, 7 and</w:t>
      </w:r>
      <w:r w:rsidR="00892959">
        <w:rPr>
          <w:rFonts w:ascii="Verdana" w:hAnsi="Verdana"/>
          <w:lang w:val="en-GB"/>
        </w:rPr>
        <w:t xml:space="preserve"> </w:t>
      </w:r>
      <w:r w:rsidR="00715DC2">
        <w:rPr>
          <w:rFonts w:ascii="Verdana" w:hAnsi="Verdana"/>
          <w:lang w:val="en-GB"/>
        </w:rPr>
        <w:t>9</w:t>
      </w:r>
      <w:r w:rsidR="00892959">
        <w:rPr>
          <w:rFonts w:ascii="Verdana" w:hAnsi="Verdana"/>
          <w:lang w:val="en-GB"/>
        </w:rPr>
        <w:t xml:space="preserve"> presented </w:t>
      </w:r>
      <w:r w:rsidR="00FF31DD">
        <w:rPr>
          <w:rFonts w:ascii="Verdana" w:hAnsi="Verdana"/>
          <w:lang w:val="en-GB"/>
        </w:rPr>
        <w:t xml:space="preserve">in this thesis are displayed as in </w:t>
      </w:r>
      <w:r w:rsidR="00FF31DD">
        <w:rPr>
          <w:rFonts w:ascii="Verdana" w:hAnsi="Verdana"/>
          <w:lang w:val="en-GB"/>
        </w:rPr>
        <w:fldChar w:fldCharType="begin"/>
      </w:r>
      <w:r w:rsidR="002433CC">
        <w:rPr>
          <w:rFonts w:ascii="Verdana" w:hAnsi="Verdana"/>
          <w:lang w:val="en-GB"/>
        </w:rPr>
        <w:instrText xml:space="preserve"> ADDIN ZOTERO_ITEM CSL_CITATION {"citationID":"QszckXjZ","properties":{"formattedCitation":"(Hendrickx et al. 2021)","plainCitation":"(Hendrickx et al. 2021)","dontUpdate":true,"noteIndex":0},"citationItems":[{"id":3,"uris":["http://zotero.org/users/9330673/items/VL2UL72K"],"itemData":{"id":3,"type":"article-journal","abstract":"Understanding Parkinson’s disease (PD), in particular in its earliest phases, is important for diagnosis and treatment. However, human brain samples are collected post-mortem, reflecting mainly end-stage disease. Because brain samples of mouse models can be collected at any stage of the disease process, they are useful in investigating PD progression. Here, we compare ventral midbrain transcriptomics profiles from α-synuclein transgenic mice with a progressive, early PD-like striatal neurodegeneration across different ages using pathway, gene set, and network analysis methods. Our study uncovers statistically significant altered genes across ages and between genotypes with known, suspected, or unknown function in PD pathogenesis and key pathways associated with disease progression. Among those are genotype-dependent alterations associated with synaptic plasticity and neurotransmission, as well as mitochondria-related genes and dysregulation of lipid metabolism. Age-dependent changes were among others observed in neuronal and synaptic activity, calcium homeostasis, and membrane receptor signaling pathways, many of which linked to G-protein coupled receptors. Most importantly, most changes occurred before neurodegeneration was detected in this model, which points to a sequence of gene expression events that may be relevant for disease initiation and progression. It is tempting to speculate that molecular changes similar to those changes observed in our model happen in midbrain dopaminergic neurons before they start to degenerate. In other words, we believe we have uncovered molecular changes that accompany the progression from preclinical to early PD.","container-title":"Molecular Neurobiology","DOI":"10.1007/s12035-020-02085-z","ISSN":"0893-7648, 1559-1182","issue":"2","journalAbbreviation":"Mol Neurobiol","language":"en","license":"All rights reserved","page":"576-602","source":"DOI.org (Crossref)","title":"A New Synuclein-Transgenic Mouse Model for Early Parkinson’s Reveals Molecular Features of Preclinical Disease","volume":"58","author":[{"family":"Hendrickx","given":"Diana M."},{"family":"Garcia","given":"Pierre"},{"family":"Ashrafi","given":"Amer"},{"family":"Sciortino","given":"Alessia"},{"family":"Schmit","given":"Kristopher J."},{"family":"Kollmus","given":"Heike"},{"family":"Nicot","given":"Nathalie"},{"family":"Kaoma","given":"Tony"},{"family":"Vallar","given":"Laurent"},{"family":"Buttini","given":"Manuel"},{"family":"Glaab","given":"Enrico"}],"issued":{"date-parts":[["2021",2]]}}}],"schema":"https://github.com/citation-style-language/schema/raw/master/csl-citation.json"} </w:instrText>
      </w:r>
      <w:r w:rsidR="00FF31DD">
        <w:rPr>
          <w:rFonts w:ascii="Verdana" w:hAnsi="Verdana"/>
          <w:lang w:val="en-GB"/>
        </w:rPr>
        <w:fldChar w:fldCharType="separate"/>
      </w:r>
      <w:r w:rsidR="00FF31DD" w:rsidRPr="00FF31DD">
        <w:rPr>
          <w:rFonts w:ascii="Verdana" w:hAnsi="Verdana"/>
        </w:rPr>
        <w:t>Hendrickx et al. 2021</w:t>
      </w:r>
      <w:r w:rsidR="00FF31DD">
        <w:rPr>
          <w:rFonts w:ascii="Verdana" w:hAnsi="Verdana"/>
          <w:lang w:val="en-GB"/>
        </w:rPr>
        <w:fldChar w:fldCharType="end"/>
      </w:r>
      <w:r w:rsidR="00FF31DD">
        <w:rPr>
          <w:rFonts w:ascii="Verdana" w:hAnsi="Verdana"/>
          <w:lang w:val="en-GB"/>
        </w:rPr>
        <w:t>.</w:t>
      </w:r>
      <w:r w:rsidR="00EA14B2">
        <w:rPr>
          <w:rFonts w:ascii="Verdana" w:hAnsi="Verdana"/>
          <w:lang w:val="en-GB"/>
        </w:rPr>
        <w:t xml:space="preserve"> Figure 8</w:t>
      </w:r>
      <w:r w:rsidR="00187EF4">
        <w:rPr>
          <w:rFonts w:ascii="Verdana" w:hAnsi="Verdana"/>
          <w:lang w:val="en-GB"/>
        </w:rPr>
        <w:t>A</w:t>
      </w:r>
      <w:r w:rsidR="00EA14B2">
        <w:rPr>
          <w:rFonts w:ascii="Verdana" w:hAnsi="Verdana"/>
          <w:lang w:val="en-GB"/>
        </w:rPr>
        <w:t xml:space="preserve"> was generated by</w:t>
      </w:r>
      <w:r w:rsidR="00187EF4">
        <w:rPr>
          <w:rFonts w:ascii="Verdana" w:hAnsi="Verdana"/>
          <w:lang w:val="en-GB"/>
        </w:rPr>
        <w:t xml:space="preserve"> Amer Ashrafi, Figure 8B by</w:t>
      </w:r>
      <w:r w:rsidR="00EA14B2">
        <w:rPr>
          <w:rFonts w:ascii="Verdana" w:hAnsi="Verdana"/>
          <w:lang w:val="en-GB"/>
        </w:rPr>
        <w:t xml:space="preserve"> Pierre Garcia.</w:t>
      </w:r>
    </w:p>
    <w:p w14:paraId="5F6240CA" w14:textId="3614A55B" w:rsidR="003F7885" w:rsidRDefault="003F7885" w:rsidP="002764DF">
      <w:pPr>
        <w:spacing w:line="360" w:lineRule="auto"/>
        <w:jc w:val="both"/>
        <w:rPr>
          <w:rFonts w:ascii="Verdana" w:hAnsi="Verdana"/>
          <w:lang w:val="en-GB"/>
        </w:rPr>
      </w:pPr>
      <w:proofErr w:type="gramStart"/>
      <w:r>
        <w:rPr>
          <w:rFonts w:ascii="Verdana" w:hAnsi="Verdana"/>
          <w:lang w:val="en-GB"/>
        </w:rPr>
        <w:t>Additionally</w:t>
      </w:r>
      <w:proofErr w:type="gramEnd"/>
      <w:r>
        <w:rPr>
          <w:rFonts w:ascii="Verdana" w:hAnsi="Verdana"/>
          <w:lang w:val="en-GB"/>
        </w:rPr>
        <w:t xml:space="preserve"> to the </w:t>
      </w:r>
      <w:r w:rsidR="00883DA7">
        <w:rPr>
          <w:rFonts w:ascii="Verdana" w:hAnsi="Verdana"/>
          <w:lang w:val="en-GB"/>
        </w:rPr>
        <w:t xml:space="preserve">experiments </w:t>
      </w:r>
      <w:r w:rsidR="00333ADA">
        <w:rPr>
          <w:rFonts w:ascii="Verdana" w:hAnsi="Verdana"/>
          <w:lang w:val="en-GB"/>
        </w:rPr>
        <w:t xml:space="preserve">of </w:t>
      </w:r>
      <w:r w:rsidR="00883DA7">
        <w:rPr>
          <w:rFonts w:ascii="Verdana" w:hAnsi="Verdana"/>
          <w:lang w:val="en-GB"/>
        </w:rPr>
        <w:t>this publication, I have characterised</w:t>
      </w:r>
      <w:r w:rsidR="00125A38">
        <w:rPr>
          <w:rFonts w:ascii="Verdana" w:hAnsi="Verdana"/>
          <w:lang w:val="en-GB"/>
        </w:rPr>
        <w:t xml:space="preserve"> the presence of sensory-motor deficits in</w:t>
      </w:r>
      <w:r w:rsidR="00883DA7">
        <w:rPr>
          <w:rFonts w:ascii="Verdana" w:hAnsi="Verdana"/>
          <w:lang w:val="en-GB"/>
        </w:rPr>
        <w:t xml:space="preserve"> </w:t>
      </w:r>
      <w:r w:rsidR="00333ADA">
        <w:rPr>
          <w:rFonts w:ascii="Verdana" w:hAnsi="Verdana"/>
          <w:lang w:val="en-GB"/>
        </w:rPr>
        <w:t xml:space="preserve">four </w:t>
      </w:r>
      <w:r w:rsidR="00883DA7">
        <w:rPr>
          <w:rFonts w:ascii="Verdana" w:hAnsi="Verdana"/>
          <w:lang w:val="en-GB"/>
        </w:rPr>
        <w:t>further cohorts of the same line</w:t>
      </w:r>
      <w:r w:rsidR="00125A38">
        <w:rPr>
          <w:rFonts w:ascii="Verdana" w:hAnsi="Verdana"/>
          <w:lang w:val="en-GB"/>
        </w:rPr>
        <w:t xml:space="preserve">, </w:t>
      </w:r>
      <w:r w:rsidR="00333ADA">
        <w:rPr>
          <w:rFonts w:ascii="Verdana" w:hAnsi="Verdana"/>
          <w:lang w:val="en-GB"/>
        </w:rPr>
        <w:t>using the adhesive removal test</w:t>
      </w:r>
      <w:r w:rsidR="00125A38">
        <w:rPr>
          <w:rFonts w:ascii="Verdana" w:hAnsi="Verdana"/>
          <w:lang w:val="en-GB"/>
        </w:rPr>
        <w:t xml:space="preserve">. </w:t>
      </w:r>
      <w:r w:rsidR="00D83B3C">
        <w:rPr>
          <w:rFonts w:ascii="Verdana" w:hAnsi="Verdana"/>
          <w:lang w:val="en-GB"/>
        </w:rPr>
        <w:t>For th</w:t>
      </w:r>
      <w:r w:rsidR="00125A38">
        <w:rPr>
          <w:rFonts w:ascii="Verdana" w:hAnsi="Verdana"/>
          <w:lang w:val="en-GB"/>
        </w:rPr>
        <w:t>e practical testing of the mice</w:t>
      </w:r>
      <w:r w:rsidR="00D83B3C">
        <w:rPr>
          <w:rFonts w:ascii="Verdana" w:hAnsi="Verdana"/>
          <w:lang w:val="en-GB"/>
        </w:rPr>
        <w:t>,</w:t>
      </w:r>
      <w:r w:rsidR="00125A38">
        <w:rPr>
          <w:rFonts w:ascii="Verdana" w:hAnsi="Verdana"/>
          <w:lang w:val="en-GB"/>
        </w:rPr>
        <w:t xml:space="preserve"> </w:t>
      </w:r>
      <w:r w:rsidR="00240E8D">
        <w:rPr>
          <w:rFonts w:ascii="Verdana" w:hAnsi="Verdana"/>
          <w:lang w:val="en-GB"/>
        </w:rPr>
        <w:t xml:space="preserve">I was assisted by Pierre Garcia or Mélanie Thomas. I </w:t>
      </w:r>
      <w:r w:rsidR="002764DF">
        <w:rPr>
          <w:rFonts w:ascii="Verdana" w:hAnsi="Verdana"/>
          <w:lang w:val="en-GB"/>
        </w:rPr>
        <w:t>then analysed and plotted the data, and the</w:t>
      </w:r>
      <w:r w:rsidR="00516972">
        <w:rPr>
          <w:rFonts w:ascii="Verdana" w:hAnsi="Verdana"/>
          <w:lang w:val="en-GB"/>
        </w:rPr>
        <w:t xml:space="preserve"> relative</w:t>
      </w:r>
      <w:r w:rsidR="002764DF">
        <w:rPr>
          <w:rFonts w:ascii="Verdana" w:hAnsi="Verdana"/>
          <w:lang w:val="en-GB"/>
        </w:rPr>
        <w:t xml:space="preserve"> results are shown in Figure</w:t>
      </w:r>
      <w:r w:rsidR="00DB085F">
        <w:rPr>
          <w:rFonts w:ascii="Verdana" w:hAnsi="Verdana"/>
          <w:lang w:val="en-GB"/>
        </w:rPr>
        <w:t xml:space="preserve"> </w:t>
      </w:r>
      <w:r w:rsidR="00715DC2">
        <w:rPr>
          <w:rFonts w:ascii="Verdana" w:hAnsi="Verdana"/>
          <w:lang w:val="en-GB"/>
        </w:rPr>
        <w:t>10</w:t>
      </w:r>
      <w:r w:rsidR="002764DF">
        <w:rPr>
          <w:rFonts w:ascii="Verdana" w:hAnsi="Verdana"/>
          <w:lang w:val="en-GB"/>
        </w:rPr>
        <w:t>.</w:t>
      </w:r>
    </w:p>
    <w:p w14:paraId="7AE75E17" w14:textId="19118D06" w:rsidR="00490841" w:rsidRDefault="00490841" w:rsidP="00DF0F7D">
      <w:pPr>
        <w:spacing w:line="360" w:lineRule="auto"/>
        <w:rPr>
          <w:rFonts w:ascii="Verdana" w:hAnsi="Verdana"/>
          <w:lang w:val="en-GB"/>
        </w:rPr>
      </w:pPr>
    </w:p>
    <w:p w14:paraId="515BE28A" w14:textId="4D0EAD49" w:rsidR="00490841" w:rsidRDefault="00490841" w:rsidP="00DF0F7D">
      <w:pPr>
        <w:spacing w:line="360" w:lineRule="auto"/>
        <w:rPr>
          <w:rFonts w:ascii="Verdana" w:hAnsi="Verdana"/>
          <w:lang w:val="en-GB"/>
        </w:rPr>
      </w:pPr>
    </w:p>
    <w:p w14:paraId="471AAB9A" w14:textId="653603DE" w:rsidR="00490841" w:rsidRDefault="00490841" w:rsidP="00DF0F7D">
      <w:pPr>
        <w:spacing w:line="360" w:lineRule="auto"/>
        <w:rPr>
          <w:rFonts w:ascii="Verdana" w:hAnsi="Verdana"/>
          <w:lang w:val="en-GB"/>
        </w:rPr>
      </w:pPr>
    </w:p>
    <w:p w14:paraId="75726DED" w14:textId="41F0150F" w:rsidR="00D048BF" w:rsidRDefault="00D048BF">
      <w:pPr>
        <w:ind w:firstLine="0"/>
        <w:rPr>
          <w:rFonts w:ascii="Verdana" w:hAnsi="Verdana"/>
          <w:lang w:val="en-GB"/>
        </w:rPr>
      </w:pPr>
      <w:r>
        <w:rPr>
          <w:rFonts w:ascii="Verdana" w:hAnsi="Verdana"/>
          <w:lang w:val="en-GB"/>
        </w:rPr>
        <w:br w:type="page"/>
      </w:r>
    </w:p>
    <w:p w14:paraId="0FFE1384" w14:textId="0E71DB41" w:rsidR="00D048BF" w:rsidRPr="00CE5D38" w:rsidRDefault="009E5729" w:rsidP="00767F9D">
      <w:pPr>
        <w:pStyle w:val="Heading3"/>
        <w:rPr>
          <w:lang w:val="en-GB"/>
        </w:rPr>
      </w:pPr>
      <w:bookmarkStart w:id="64" w:name="_Toc130223429"/>
      <w:r>
        <w:rPr>
          <w:lang w:val="en-GB"/>
        </w:rPr>
        <w:lastRenderedPageBreak/>
        <w:t>3.1</w:t>
      </w:r>
      <w:r>
        <w:rPr>
          <w:lang w:val="en-GB"/>
        </w:rPr>
        <w:tab/>
      </w:r>
      <w:r w:rsidR="0013137A" w:rsidRPr="00F30601">
        <w:rPr>
          <w:lang w:val="en-GB"/>
        </w:rPr>
        <w:t xml:space="preserve">Transgenic animals overexpress alpha-synuclein </w:t>
      </w:r>
      <w:r w:rsidR="00623EEC" w:rsidRPr="00F30601">
        <w:rPr>
          <w:lang w:val="en-GB"/>
        </w:rPr>
        <w:t>by 1.8</w:t>
      </w:r>
      <w:r w:rsidR="00702CE7">
        <w:rPr>
          <w:lang w:val="en-GB"/>
        </w:rPr>
        <w:t>-</w:t>
      </w:r>
      <w:r w:rsidR="00623EEC" w:rsidRPr="00F30601">
        <w:rPr>
          <w:lang w:val="en-GB"/>
        </w:rPr>
        <w:t>fold in the ventral midbrain</w:t>
      </w:r>
      <w:bookmarkEnd w:id="64"/>
    </w:p>
    <w:p w14:paraId="4375FB2D" w14:textId="1446BDE6" w:rsidR="00D048BF" w:rsidRDefault="001B3178" w:rsidP="006500DA">
      <w:pPr>
        <w:spacing w:line="360" w:lineRule="auto"/>
        <w:jc w:val="both"/>
        <w:rPr>
          <w:rFonts w:ascii="Verdana" w:hAnsi="Verdana"/>
          <w:lang w:val="en-GB"/>
        </w:rPr>
      </w:pPr>
      <w:r w:rsidRPr="0047046D">
        <w:rPr>
          <w:rFonts w:ascii="Verdana" w:hAnsi="Verdana"/>
          <w:lang w:val="en-GB"/>
        </w:rPr>
        <w:t>The mouse model used in this study was first described in Gardai et al., 2013. Transgenic animals were created using a bacterial artificial chromosome (BAC) construct, and they overexpress the human E46K mutated alpha-synuclein (SNCA</w:t>
      </w:r>
      <w:r w:rsidR="008B579B">
        <w:rPr>
          <w:rFonts w:ascii="Verdana" w:hAnsi="Verdana"/>
          <w:lang w:val="en-GB"/>
        </w:rPr>
        <w:t>*E46K</w:t>
      </w:r>
      <w:r w:rsidRPr="0047046D">
        <w:rPr>
          <w:rFonts w:ascii="Verdana" w:hAnsi="Verdana"/>
          <w:lang w:val="en-GB"/>
        </w:rPr>
        <w:t xml:space="preserve">) under the regulation of endogenous regulatory sequences. Transgenic mice express the human transgene in heterozygosis and will therefore be referred to as “HETs” from now on. </w:t>
      </w:r>
      <w:r w:rsidR="002426B0">
        <w:rPr>
          <w:noProof/>
        </w:rPr>
        <mc:AlternateContent>
          <mc:Choice Requires="wps">
            <w:drawing>
              <wp:anchor distT="0" distB="0" distL="114300" distR="114300" simplePos="0" relativeHeight="251869184" behindDoc="0" locked="0" layoutInCell="1" allowOverlap="1" wp14:anchorId="1C85E90F" wp14:editId="64CF9064">
                <wp:simplePos x="0" y="0"/>
                <wp:positionH relativeFrom="page">
                  <wp:align>center</wp:align>
                </wp:positionH>
                <wp:positionV relativeFrom="paragraph">
                  <wp:posOffset>7163125</wp:posOffset>
                </wp:positionV>
                <wp:extent cx="5580380" cy="635"/>
                <wp:effectExtent l="0" t="0" r="1270" b="0"/>
                <wp:wrapTopAndBottom/>
                <wp:docPr id="20" name="Text Box 20"/>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4A515FE6" w14:textId="686347B4" w:rsidR="007C3529" w:rsidRPr="00702FC6" w:rsidRDefault="007C3529" w:rsidP="009261E8">
                            <w:pPr>
                              <w:spacing w:after="0" w:line="240" w:lineRule="auto"/>
                              <w:ind w:firstLine="0"/>
                              <w:jc w:val="both"/>
                              <w:rPr>
                                <w:rFonts w:ascii="Verdana" w:hAnsi="Verdana"/>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85E90F" id="Text Box 20" o:spid="_x0000_s1032" type="#_x0000_t202" style="position:absolute;left:0;text-align:left;margin-left:0;margin-top:564.05pt;width:439.4pt;height:.05pt;z-index:25186918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" stroked="f">
                <v:textbox style="mso-fit-shape-to-text:t" inset="0,0,0,0">
                  <w:txbxContent>
                    <w:p w14:paraId="4A515FE6" w14:textId="686347B4" w:rsidR="007C3529" w:rsidRPr="00702FC6" w:rsidRDefault="007C3529" w:rsidP="009261E8">
                      <w:pPr>
                        <w:spacing w:after="0" w:line="240" w:lineRule="auto"/>
                        <w:ind w:firstLine="0"/>
                        <w:jc w:val="both"/>
                        <w:rPr>
                          <w:rFonts w:ascii="Verdana" w:hAnsi="Verdana"/>
                          <w:sz w:val="18"/>
                          <w:szCs w:val="18"/>
                        </w:rPr>
                      </w:pPr>
                    </w:p>
                  </w:txbxContent>
                </v:textbox>
                <w10:wrap type="topAndBottom" anchorx="page"/>
              </v:shape>
            </w:pict>
          </mc:Fallback>
        </mc:AlternateContent>
      </w:r>
      <w:r w:rsidR="0013319A">
        <w:rPr>
          <w:rFonts w:ascii="Verdana" w:hAnsi="Verdana"/>
          <w:lang w:val="en-GB"/>
        </w:rPr>
        <w:t>Female mice only were used, at three different timepoints (3-, 9- and 13-months). For each timepoint, 8 wild-type littermates</w:t>
      </w:r>
      <w:r w:rsidR="006500DA">
        <w:rPr>
          <w:rFonts w:ascii="Verdana" w:hAnsi="Verdana"/>
          <w:lang w:val="en-GB"/>
        </w:rPr>
        <w:t xml:space="preserve"> (WT)</w:t>
      </w:r>
      <w:r w:rsidR="0013319A">
        <w:rPr>
          <w:rFonts w:ascii="Verdana" w:hAnsi="Verdana"/>
          <w:lang w:val="en-GB"/>
        </w:rPr>
        <w:t xml:space="preserve"> and 8 transgenic mice carrying the </w:t>
      </w:r>
      <w:r w:rsidR="006500DA">
        <w:rPr>
          <w:rFonts w:ascii="Verdana" w:hAnsi="Verdana"/>
          <w:lang w:val="en-GB"/>
        </w:rPr>
        <w:t>transgene in heterozygosity (HET) were used</w:t>
      </w:r>
      <w:r w:rsidR="00611F14">
        <w:rPr>
          <w:rFonts w:ascii="Verdana" w:hAnsi="Verdana"/>
          <w:lang w:val="en-GB"/>
        </w:rPr>
        <w:t xml:space="preserve">. </w:t>
      </w:r>
      <w:r w:rsidR="000940ED" w:rsidRPr="000940ED">
        <w:rPr>
          <w:rFonts w:ascii="Verdana" w:hAnsi="Verdana"/>
          <w:lang w:val="en-GB"/>
        </w:rPr>
        <w:t>The</w:t>
      </w:r>
      <w:r w:rsidR="000940ED">
        <w:rPr>
          <w:rFonts w:ascii="Verdana" w:hAnsi="Verdana"/>
          <w:lang w:val="en-GB"/>
        </w:rPr>
        <w:t xml:space="preserve"> expression levels of transgenic </w:t>
      </w:r>
      <w:r w:rsidR="000940ED" w:rsidRPr="000466A6">
        <w:rPr>
          <w:rFonts w:ascii="Verdana" w:hAnsi="Verdana"/>
          <w:i/>
          <w:iCs/>
          <w:lang w:val="en-GB"/>
        </w:rPr>
        <w:t>SNCA</w:t>
      </w:r>
      <w:r w:rsidR="000940ED">
        <w:rPr>
          <w:rFonts w:ascii="Verdana" w:hAnsi="Verdana"/>
          <w:lang w:val="en-GB"/>
        </w:rPr>
        <w:t xml:space="preserve">, murine </w:t>
      </w:r>
      <w:proofErr w:type="spellStart"/>
      <w:r w:rsidR="000940ED" w:rsidRPr="000466A6">
        <w:rPr>
          <w:rFonts w:ascii="Verdana" w:hAnsi="Verdana"/>
          <w:i/>
          <w:iCs/>
          <w:lang w:val="en-GB"/>
        </w:rPr>
        <w:t>Snca</w:t>
      </w:r>
      <w:proofErr w:type="spellEnd"/>
      <w:r w:rsidR="000940ED">
        <w:rPr>
          <w:rFonts w:ascii="Verdana" w:hAnsi="Verdana"/>
          <w:lang w:val="en-GB"/>
        </w:rPr>
        <w:t xml:space="preserve"> and total</w:t>
      </w:r>
      <w:r w:rsidR="000466A6">
        <w:rPr>
          <w:rFonts w:ascii="Verdana" w:hAnsi="Verdana"/>
          <w:lang w:val="en-GB"/>
        </w:rPr>
        <w:t xml:space="preserve"> alpha-synuclein</w:t>
      </w:r>
      <w:r w:rsidR="000940ED">
        <w:rPr>
          <w:rFonts w:ascii="Verdana" w:hAnsi="Verdana"/>
          <w:lang w:val="en-GB"/>
        </w:rPr>
        <w:t xml:space="preserve"> were quantified using </w:t>
      </w:r>
      <w:r w:rsidR="00DF5D8D">
        <w:rPr>
          <w:rFonts w:ascii="Verdana" w:hAnsi="Verdana"/>
          <w:lang w:val="en-GB"/>
        </w:rPr>
        <w:t>RT-qPCR. As expected, the human transgene was detected in all HET mice, but not in wild-type (WT) littermates (Figure</w:t>
      </w:r>
      <w:r w:rsidR="00961983">
        <w:rPr>
          <w:rFonts w:ascii="Verdana" w:hAnsi="Verdana"/>
          <w:lang w:val="en-GB"/>
        </w:rPr>
        <w:t xml:space="preserve"> 6a).</w:t>
      </w:r>
      <w:r w:rsidR="00B701A1">
        <w:rPr>
          <w:rFonts w:ascii="Verdana" w:hAnsi="Verdana"/>
          <w:lang w:val="en-GB"/>
        </w:rPr>
        <w:t xml:space="preserve"> Interestingly, alpha-synuclein expression levels were variable across </w:t>
      </w:r>
      <w:r w:rsidR="001A6A04">
        <w:rPr>
          <w:rFonts w:ascii="Verdana" w:hAnsi="Verdana"/>
          <w:lang w:val="en-GB"/>
        </w:rPr>
        <w:t>littermates.</w:t>
      </w:r>
      <w:r w:rsidR="00961983">
        <w:rPr>
          <w:rFonts w:ascii="Verdana" w:hAnsi="Verdana"/>
          <w:lang w:val="en-GB"/>
        </w:rPr>
        <w:t xml:space="preserve"> Murine </w:t>
      </w:r>
      <w:proofErr w:type="spellStart"/>
      <w:r w:rsidR="00961983" w:rsidRPr="000466A6">
        <w:rPr>
          <w:rFonts w:ascii="Verdana" w:hAnsi="Verdana"/>
          <w:i/>
          <w:iCs/>
          <w:lang w:val="en-GB"/>
        </w:rPr>
        <w:t>Snca</w:t>
      </w:r>
      <w:proofErr w:type="spellEnd"/>
      <w:r w:rsidR="00961983" w:rsidRPr="000466A6">
        <w:rPr>
          <w:rFonts w:ascii="Verdana" w:hAnsi="Verdana"/>
          <w:i/>
          <w:iCs/>
          <w:lang w:val="en-GB"/>
        </w:rPr>
        <w:t xml:space="preserve"> </w:t>
      </w:r>
      <w:r w:rsidR="00961983">
        <w:rPr>
          <w:rFonts w:ascii="Verdana" w:hAnsi="Verdana"/>
          <w:lang w:val="en-GB"/>
        </w:rPr>
        <w:t xml:space="preserve">was expressed at similar levels </w:t>
      </w:r>
      <w:r w:rsidR="001116B6">
        <w:rPr>
          <w:rFonts w:ascii="Verdana" w:hAnsi="Verdana"/>
          <w:lang w:val="en-GB"/>
        </w:rPr>
        <w:t>between HET and WT mice. Levels of total alpha-synuclein where higher in HET mice compared to their WT littermate</w:t>
      </w:r>
      <w:r w:rsidR="001A6A04">
        <w:rPr>
          <w:rFonts w:ascii="Verdana" w:hAnsi="Verdana"/>
          <w:lang w:val="en-GB"/>
        </w:rPr>
        <w:t>s</w:t>
      </w:r>
      <w:r w:rsidR="00B51AC9">
        <w:rPr>
          <w:rFonts w:ascii="Verdana" w:hAnsi="Verdana"/>
          <w:lang w:val="en-GB"/>
        </w:rPr>
        <w:t xml:space="preserve"> by approximately a 1.8</w:t>
      </w:r>
      <w:r w:rsidR="00702CE7">
        <w:rPr>
          <w:rFonts w:ascii="Verdana" w:hAnsi="Verdana"/>
          <w:lang w:val="en-GB"/>
        </w:rPr>
        <w:t>-</w:t>
      </w:r>
      <w:r w:rsidR="00B51AC9">
        <w:rPr>
          <w:rFonts w:ascii="Verdana" w:hAnsi="Verdana"/>
          <w:lang w:val="en-GB"/>
        </w:rPr>
        <w:t>fold increase</w:t>
      </w:r>
      <w:r w:rsidR="001116B6">
        <w:rPr>
          <w:rFonts w:ascii="Verdana" w:hAnsi="Verdana"/>
          <w:lang w:val="en-GB"/>
        </w:rPr>
        <w:t xml:space="preserve">, reflecting </w:t>
      </w:r>
      <w:r w:rsidR="00F37FF6">
        <w:rPr>
          <w:rFonts w:ascii="Verdana" w:hAnsi="Verdana"/>
          <w:lang w:val="en-GB"/>
        </w:rPr>
        <w:t xml:space="preserve">the overexpression of the human </w:t>
      </w:r>
      <w:r w:rsidR="00B51AC9">
        <w:rPr>
          <w:rFonts w:ascii="Verdana" w:hAnsi="Verdana"/>
          <w:lang w:val="en-GB"/>
        </w:rPr>
        <w:t>transgene</w:t>
      </w:r>
      <w:r w:rsidR="00F37FF6">
        <w:rPr>
          <w:rFonts w:ascii="Verdana" w:hAnsi="Verdana"/>
          <w:lang w:val="en-GB"/>
        </w:rPr>
        <w:t xml:space="preserve"> (Figure 6a).</w:t>
      </w:r>
      <w:r w:rsidR="005A5019">
        <w:rPr>
          <w:rFonts w:ascii="Verdana" w:hAnsi="Verdana"/>
          <w:lang w:val="en-GB"/>
        </w:rPr>
        <w:t xml:space="preserve"> Human and total alpha-synuclein were </w:t>
      </w:r>
      <w:r w:rsidR="00440616">
        <w:rPr>
          <w:rFonts w:ascii="Verdana" w:hAnsi="Verdana"/>
          <w:lang w:val="en-GB"/>
        </w:rPr>
        <w:t>qualitatively analysed</w:t>
      </w:r>
      <w:r w:rsidR="005A5019">
        <w:rPr>
          <w:rFonts w:ascii="Verdana" w:hAnsi="Verdana"/>
          <w:lang w:val="en-GB"/>
        </w:rPr>
        <w:t xml:space="preserve"> in the whole brain</w:t>
      </w:r>
      <w:r w:rsidR="00440616">
        <w:rPr>
          <w:rFonts w:ascii="Verdana" w:hAnsi="Verdana"/>
          <w:lang w:val="en-GB"/>
        </w:rPr>
        <w:t xml:space="preserve"> by immunofluorescence staining. Transgenic </w:t>
      </w:r>
      <w:r w:rsidR="00440616" w:rsidRPr="000466A6">
        <w:rPr>
          <w:rFonts w:ascii="Verdana" w:hAnsi="Verdana"/>
          <w:i/>
          <w:iCs/>
          <w:lang w:val="en-GB"/>
        </w:rPr>
        <w:t>SNCA</w:t>
      </w:r>
      <w:r w:rsidR="00440616">
        <w:rPr>
          <w:rFonts w:ascii="Verdana" w:hAnsi="Verdana"/>
          <w:lang w:val="en-GB"/>
        </w:rPr>
        <w:t xml:space="preserve"> appears to be expressed </w:t>
      </w:r>
      <w:r w:rsidR="00F961D0">
        <w:rPr>
          <w:rFonts w:ascii="Verdana" w:hAnsi="Verdana"/>
          <w:lang w:val="en-GB"/>
        </w:rPr>
        <w:t xml:space="preserve">widely in the brain, neocortex, striatum, </w:t>
      </w:r>
      <w:proofErr w:type="gramStart"/>
      <w:r w:rsidR="00F961D0">
        <w:rPr>
          <w:rFonts w:ascii="Verdana" w:hAnsi="Verdana"/>
          <w:lang w:val="en-GB"/>
        </w:rPr>
        <w:t>midbrain</w:t>
      </w:r>
      <w:proofErr w:type="gramEnd"/>
      <w:r w:rsidR="00F961D0">
        <w:rPr>
          <w:rFonts w:ascii="Verdana" w:hAnsi="Verdana"/>
          <w:lang w:val="en-GB"/>
        </w:rPr>
        <w:t xml:space="preserve"> and hippocampus</w:t>
      </w:r>
      <w:r w:rsidR="008561A8">
        <w:rPr>
          <w:rFonts w:ascii="Verdana" w:hAnsi="Verdana"/>
          <w:lang w:val="en-GB"/>
        </w:rPr>
        <w:t xml:space="preserve">, with a distribution pattern comparable to that of endogenous </w:t>
      </w:r>
      <w:proofErr w:type="spellStart"/>
      <w:r w:rsidR="008561A8" w:rsidRPr="000466A6">
        <w:rPr>
          <w:rFonts w:ascii="Verdana" w:hAnsi="Verdana"/>
          <w:i/>
          <w:iCs/>
          <w:lang w:val="en-GB"/>
        </w:rPr>
        <w:t>Snca</w:t>
      </w:r>
      <w:proofErr w:type="spellEnd"/>
      <w:r w:rsidR="00375FEB">
        <w:rPr>
          <w:rFonts w:ascii="Verdana" w:hAnsi="Verdana"/>
          <w:lang w:val="en-GB"/>
        </w:rPr>
        <w:t xml:space="preserve"> (Figure 6b)</w:t>
      </w:r>
      <w:r w:rsidR="008561A8">
        <w:rPr>
          <w:rFonts w:ascii="Verdana" w:hAnsi="Verdana"/>
          <w:lang w:val="en-GB"/>
        </w:rPr>
        <w:t>.</w:t>
      </w:r>
    </w:p>
    <w:p w14:paraId="6D87C855" w14:textId="305DCFF8" w:rsidR="001B3178" w:rsidRDefault="001B3178" w:rsidP="001B3178">
      <w:pPr>
        <w:ind w:firstLine="0"/>
        <w:rPr>
          <w:rFonts w:ascii="Verdana" w:hAnsi="Verdana"/>
          <w:lang w:val="en-GB"/>
        </w:rPr>
      </w:pPr>
      <w:r>
        <w:rPr>
          <w:noProof/>
        </w:rPr>
        <w:lastRenderedPageBreak/>
        <w:drawing>
          <wp:anchor distT="0" distB="0" distL="114300" distR="114300" simplePos="0" relativeHeight="251868160" behindDoc="0" locked="0" layoutInCell="1" allowOverlap="1" wp14:anchorId="537AA79F" wp14:editId="09E34198">
            <wp:simplePos x="0" y="0"/>
            <wp:positionH relativeFrom="margin">
              <wp:align>right</wp:align>
            </wp:positionH>
            <wp:positionV relativeFrom="paragraph">
              <wp:posOffset>607</wp:posOffset>
            </wp:positionV>
            <wp:extent cx="5580380" cy="3676650"/>
            <wp:effectExtent l="0" t="0" r="1270" b="0"/>
            <wp:wrapTopAndBottom/>
            <wp:docPr id="19" name="Picture 1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applicatio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80380" cy="3676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77376" behindDoc="0" locked="0" layoutInCell="1" allowOverlap="1" wp14:anchorId="67B439B7" wp14:editId="6E5821F5">
                <wp:simplePos x="0" y="0"/>
                <wp:positionH relativeFrom="margin">
                  <wp:align>right</wp:align>
                </wp:positionH>
                <wp:positionV relativeFrom="paragraph">
                  <wp:posOffset>4023360</wp:posOffset>
                </wp:positionV>
                <wp:extent cx="5580380" cy="635"/>
                <wp:effectExtent l="0" t="0" r="1270" b="0"/>
                <wp:wrapTopAndBottom/>
                <wp:docPr id="126" name="Text Box 126"/>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1DF1FB73" w14:textId="6D16376D" w:rsidR="00DB085F" w:rsidRPr="00DB085F" w:rsidRDefault="00DB085F" w:rsidP="00DB085F">
                            <w:pPr>
                              <w:pStyle w:val="Caption"/>
                              <w:ind w:firstLine="0"/>
                              <w:jc w:val="both"/>
                              <w:rPr>
                                <w:rFonts w:ascii="Verdana" w:hAnsi="Verdana"/>
                                <w:i w:val="0"/>
                                <w:iCs w:val="0"/>
                                <w:color w:val="auto"/>
                              </w:rPr>
                            </w:pPr>
                            <w:bookmarkStart w:id="65" w:name="_Toc131412748"/>
                            <w:r w:rsidRPr="00DB085F">
                              <w:rPr>
                                <w:rFonts w:ascii="Verdana" w:hAnsi="Verdana"/>
                                <w:b/>
                                <w:bCs/>
                                <w:i w:val="0"/>
                                <w:iCs w:val="0"/>
                                <w:color w:val="auto"/>
                              </w:rPr>
                              <w:t xml:space="preserve">Figure </w:t>
                            </w:r>
                            <w:r w:rsidRPr="00DB085F">
                              <w:rPr>
                                <w:rFonts w:ascii="Verdana" w:hAnsi="Verdana"/>
                                <w:b/>
                                <w:bCs/>
                                <w:i w:val="0"/>
                                <w:iCs w:val="0"/>
                                <w:color w:val="auto"/>
                              </w:rPr>
                              <w:fldChar w:fldCharType="begin"/>
                            </w:r>
                            <w:r w:rsidRPr="00DB085F">
                              <w:rPr>
                                <w:rFonts w:ascii="Verdana" w:hAnsi="Verdana"/>
                                <w:b/>
                                <w:bCs/>
                                <w:i w:val="0"/>
                                <w:iCs w:val="0"/>
                                <w:color w:val="auto"/>
                              </w:rPr>
                              <w:instrText xml:space="preserve"> SEQ Figure \* ARABIC </w:instrText>
                            </w:r>
                            <w:r w:rsidRPr="00DB085F">
                              <w:rPr>
                                <w:rFonts w:ascii="Verdana" w:hAnsi="Verdana"/>
                                <w:b/>
                                <w:bCs/>
                                <w:i w:val="0"/>
                                <w:iCs w:val="0"/>
                                <w:color w:val="auto"/>
                              </w:rPr>
                              <w:fldChar w:fldCharType="separate"/>
                            </w:r>
                            <w:r w:rsidR="001D505F">
                              <w:rPr>
                                <w:rFonts w:ascii="Verdana" w:hAnsi="Verdana"/>
                                <w:b/>
                                <w:bCs/>
                                <w:i w:val="0"/>
                                <w:iCs w:val="0"/>
                                <w:noProof/>
                                <w:color w:val="auto"/>
                              </w:rPr>
                              <w:t>6</w:t>
                            </w:r>
                            <w:r w:rsidRPr="00DB085F">
                              <w:rPr>
                                <w:rFonts w:ascii="Verdana" w:hAnsi="Verdana"/>
                                <w:b/>
                                <w:bCs/>
                                <w:i w:val="0"/>
                                <w:iCs w:val="0"/>
                                <w:color w:val="auto"/>
                              </w:rPr>
                              <w:fldChar w:fldCharType="end"/>
                            </w:r>
                            <w:r w:rsidRPr="00DB085F">
                              <w:rPr>
                                <w:rFonts w:ascii="Verdana" w:hAnsi="Verdana"/>
                                <w:b/>
                                <w:bCs/>
                                <w:i w:val="0"/>
                                <w:iCs w:val="0"/>
                                <w:color w:val="auto"/>
                              </w:rPr>
                              <w:t xml:space="preserve"> </w:t>
                            </w:r>
                            <w:r w:rsidRPr="00DB085F">
                              <w:rPr>
                                <w:rFonts w:ascii="Verdana" w:hAnsi="Verdana"/>
                                <w:i w:val="0"/>
                                <w:iCs w:val="0"/>
                                <w:color w:val="auto"/>
                              </w:rPr>
                              <w:t>Alpha-synuclein expression in SNCA*E46K mice.</w:t>
                            </w:r>
                            <w:bookmarkEnd w:id="65"/>
                          </w:p>
                          <w:p w14:paraId="67483794" w14:textId="77777777" w:rsidR="00DB085F" w:rsidRPr="00DB085F" w:rsidRDefault="00DB085F" w:rsidP="00DB085F">
                            <w:pPr>
                              <w:pStyle w:val="Caption"/>
                              <w:ind w:firstLine="0"/>
                              <w:jc w:val="both"/>
                              <w:rPr>
                                <w:rFonts w:ascii="Verdana" w:hAnsi="Verdana"/>
                                <w:i w:val="0"/>
                                <w:iCs w:val="0"/>
                                <w:color w:val="auto"/>
                              </w:rPr>
                            </w:pPr>
                            <w:r w:rsidRPr="00DB085F">
                              <w:rPr>
                                <w:rFonts w:ascii="Verdana" w:hAnsi="Verdana"/>
                                <w:b/>
                                <w:bCs/>
                                <w:i w:val="0"/>
                                <w:iCs w:val="0"/>
                                <w:color w:val="auto"/>
                              </w:rPr>
                              <w:t>a)</w:t>
                            </w:r>
                            <w:r w:rsidRPr="00DB085F">
                              <w:rPr>
                                <w:rFonts w:ascii="Verdana" w:hAnsi="Verdana"/>
                                <w:i w:val="0"/>
                                <w:iCs w:val="0"/>
                                <w:color w:val="auto"/>
                              </w:rPr>
                              <w:t xml:space="preserve"> RT-qPCR measurements of human alpha-synuclein transgene, murine endogenous </w:t>
                            </w:r>
                            <w:proofErr w:type="spellStart"/>
                            <w:r w:rsidRPr="00DB085F">
                              <w:rPr>
                                <w:rFonts w:ascii="Verdana" w:hAnsi="Verdana"/>
                                <w:i w:val="0"/>
                                <w:iCs w:val="0"/>
                                <w:color w:val="auto"/>
                              </w:rPr>
                              <w:t>Snca</w:t>
                            </w:r>
                            <w:proofErr w:type="spellEnd"/>
                            <w:r w:rsidRPr="00DB085F">
                              <w:rPr>
                                <w:rFonts w:ascii="Verdana" w:hAnsi="Verdana"/>
                                <w:i w:val="0"/>
                                <w:iCs w:val="0"/>
                                <w:color w:val="auto"/>
                              </w:rPr>
                              <w:t xml:space="preserve"> gene and total synuclein. </w:t>
                            </w:r>
                            <w:r w:rsidRPr="00DB085F">
                              <w:rPr>
                                <w:rFonts w:ascii="Verdana" w:hAnsi="Verdana"/>
                                <w:b/>
                                <w:bCs/>
                                <w:i w:val="0"/>
                                <w:iCs w:val="0"/>
                                <w:color w:val="auto"/>
                              </w:rPr>
                              <w:t xml:space="preserve">b) </w:t>
                            </w:r>
                            <w:r w:rsidRPr="00DB085F">
                              <w:rPr>
                                <w:rFonts w:ascii="Verdana" w:hAnsi="Verdana"/>
                                <w:i w:val="0"/>
                                <w:iCs w:val="0"/>
                                <w:color w:val="auto"/>
                              </w:rPr>
                              <w:t>Fluorescence immunostaining for human and pan-alpha-synuclein.</w:t>
                            </w:r>
                          </w:p>
                          <w:p w14:paraId="58890992" w14:textId="77777777"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Stats: unpaired Student’s T test, * = p&lt;0.05, *** = p&lt;0.001</w:t>
                            </w:r>
                          </w:p>
                          <w:p w14:paraId="1C4119F5" w14:textId="77777777"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WT = wild-type littermates, HET = transgenic SNCA*E46K animals.</w:t>
                            </w:r>
                          </w:p>
                          <w:p w14:paraId="784E2A4A" w14:textId="29384341"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Scale bar (b) = 1.4mm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B439B7" id="Text Box 126" o:spid="_x0000_s1033" type="#_x0000_t202" style="position:absolute;margin-left:388.2pt;margin-top:316.8pt;width:439.4pt;height:.05pt;z-index:2518773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" stroked="f">
                <v:textbox style="mso-fit-shape-to-text:t" inset="0,0,0,0">
                  <w:txbxContent>
                    <w:p w14:paraId="1DF1FB73" w14:textId="6D16376D" w:rsidR="00DB085F" w:rsidRPr="00DB085F" w:rsidRDefault="00DB085F" w:rsidP="00DB085F">
                      <w:pPr>
                        <w:pStyle w:val="Caption"/>
                        <w:ind w:firstLine="0"/>
                        <w:jc w:val="both"/>
                        <w:rPr>
                          <w:rFonts w:ascii="Verdana" w:hAnsi="Verdana"/>
                          <w:i w:val="0"/>
                          <w:iCs w:val="0"/>
                          <w:color w:val="auto"/>
                        </w:rPr>
                      </w:pPr>
                      <w:bookmarkStart w:id="66" w:name="_Toc131412748"/>
                      <w:r w:rsidRPr="00DB085F">
                        <w:rPr>
                          <w:rFonts w:ascii="Verdana" w:hAnsi="Verdana"/>
                          <w:b/>
                          <w:bCs/>
                          <w:i w:val="0"/>
                          <w:iCs w:val="0"/>
                          <w:color w:val="auto"/>
                        </w:rPr>
                        <w:t xml:space="preserve">Figure </w:t>
                      </w:r>
                      <w:r w:rsidRPr="00DB085F">
                        <w:rPr>
                          <w:rFonts w:ascii="Verdana" w:hAnsi="Verdana"/>
                          <w:b/>
                          <w:bCs/>
                          <w:i w:val="0"/>
                          <w:iCs w:val="0"/>
                          <w:color w:val="auto"/>
                        </w:rPr>
                        <w:fldChar w:fldCharType="begin"/>
                      </w:r>
                      <w:r w:rsidRPr="00DB085F">
                        <w:rPr>
                          <w:rFonts w:ascii="Verdana" w:hAnsi="Verdana"/>
                          <w:b/>
                          <w:bCs/>
                          <w:i w:val="0"/>
                          <w:iCs w:val="0"/>
                          <w:color w:val="auto"/>
                        </w:rPr>
                        <w:instrText xml:space="preserve"> SEQ Figure \* ARABIC </w:instrText>
                      </w:r>
                      <w:r w:rsidRPr="00DB085F">
                        <w:rPr>
                          <w:rFonts w:ascii="Verdana" w:hAnsi="Verdana"/>
                          <w:b/>
                          <w:bCs/>
                          <w:i w:val="0"/>
                          <w:iCs w:val="0"/>
                          <w:color w:val="auto"/>
                        </w:rPr>
                        <w:fldChar w:fldCharType="separate"/>
                      </w:r>
                      <w:r w:rsidR="001D505F">
                        <w:rPr>
                          <w:rFonts w:ascii="Verdana" w:hAnsi="Verdana"/>
                          <w:b/>
                          <w:bCs/>
                          <w:i w:val="0"/>
                          <w:iCs w:val="0"/>
                          <w:noProof/>
                          <w:color w:val="auto"/>
                        </w:rPr>
                        <w:t>6</w:t>
                      </w:r>
                      <w:r w:rsidRPr="00DB085F">
                        <w:rPr>
                          <w:rFonts w:ascii="Verdana" w:hAnsi="Verdana"/>
                          <w:b/>
                          <w:bCs/>
                          <w:i w:val="0"/>
                          <w:iCs w:val="0"/>
                          <w:color w:val="auto"/>
                        </w:rPr>
                        <w:fldChar w:fldCharType="end"/>
                      </w:r>
                      <w:r w:rsidRPr="00DB085F">
                        <w:rPr>
                          <w:rFonts w:ascii="Verdana" w:hAnsi="Verdana"/>
                          <w:b/>
                          <w:bCs/>
                          <w:i w:val="0"/>
                          <w:iCs w:val="0"/>
                          <w:color w:val="auto"/>
                        </w:rPr>
                        <w:t xml:space="preserve"> </w:t>
                      </w:r>
                      <w:r w:rsidRPr="00DB085F">
                        <w:rPr>
                          <w:rFonts w:ascii="Verdana" w:hAnsi="Verdana"/>
                          <w:i w:val="0"/>
                          <w:iCs w:val="0"/>
                          <w:color w:val="auto"/>
                        </w:rPr>
                        <w:t>Alpha-synuclein expression in SNCA*E46K mice.</w:t>
                      </w:r>
                      <w:bookmarkEnd w:id="66"/>
                    </w:p>
                    <w:p w14:paraId="67483794" w14:textId="77777777" w:rsidR="00DB085F" w:rsidRPr="00DB085F" w:rsidRDefault="00DB085F" w:rsidP="00DB085F">
                      <w:pPr>
                        <w:pStyle w:val="Caption"/>
                        <w:ind w:firstLine="0"/>
                        <w:jc w:val="both"/>
                        <w:rPr>
                          <w:rFonts w:ascii="Verdana" w:hAnsi="Verdana"/>
                          <w:i w:val="0"/>
                          <w:iCs w:val="0"/>
                          <w:color w:val="auto"/>
                        </w:rPr>
                      </w:pPr>
                      <w:r w:rsidRPr="00DB085F">
                        <w:rPr>
                          <w:rFonts w:ascii="Verdana" w:hAnsi="Verdana"/>
                          <w:b/>
                          <w:bCs/>
                          <w:i w:val="0"/>
                          <w:iCs w:val="0"/>
                          <w:color w:val="auto"/>
                        </w:rPr>
                        <w:t>a)</w:t>
                      </w:r>
                      <w:r w:rsidRPr="00DB085F">
                        <w:rPr>
                          <w:rFonts w:ascii="Verdana" w:hAnsi="Verdana"/>
                          <w:i w:val="0"/>
                          <w:iCs w:val="0"/>
                          <w:color w:val="auto"/>
                        </w:rPr>
                        <w:t xml:space="preserve"> RT-qPCR measurements of human alpha-synuclein transgene, murine endogenous </w:t>
                      </w:r>
                      <w:proofErr w:type="spellStart"/>
                      <w:r w:rsidRPr="00DB085F">
                        <w:rPr>
                          <w:rFonts w:ascii="Verdana" w:hAnsi="Verdana"/>
                          <w:i w:val="0"/>
                          <w:iCs w:val="0"/>
                          <w:color w:val="auto"/>
                        </w:rPr>
                        <w:t>Snca</w:t>
                      </w:r>
                      <w:proofErr w:type="spellEnd"/>
                      <w:r w:rsidRPr="00DB085F">
                        <w:rPr>
                          <w:rFonts w:ascii="Verdana" w:hAnsi="Verdana"/>
                          <w:i w:val="0"/>
                          <w:iCs w:val="0"/>
                          <w:color w:val="auto"/>
                        </w:rPr>
                        <w:t xml:space="preserve"> gene and total synuclein. </w:t>
                      </w:r>
                      <w:r w:rsidRPr="00DB085F">
                        <w:rPr>
                          <w:rFonts w:ascii="Verdana" w:hAnsi="Verdana"/>
                          <w:b/>
                          <w:bCs/>
                          <w:i w:val="0"/>
                          <w:iCs w:val="0"/>
                          <w:color w:val="auto"/>
                        </w:rPr>
                        <w:t xml:space="preserve">b) </w:t>
                      </w:r>
                      <w:r w:rsidRPr="00DB085F">
                        <w:rPr>
                          <w:rFonts w:ascii="Verdana" w:hAnsi="Verdana"/>
                          <w:i w:val="0"/>
                          <w:iCs w:val="0"/>
                          <w:color w:val="auto"/>
                        </w:rPr>
                        <w:t>Fluorescence immunostaining for human and pan-alpha-synuclein.</w:t>
                      </w:r>
                    </w:p>
                    <w:p w14:paraId="58890992" w14:textId="77777777"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Stats: unpaired Student’s T test, * = p&lt;0.05, *** = p&lt;0.001</w:t>
                      </w:r>
                    </w:p>
                    <w:p w14:paraId="1C4119F5" w14:textId="77777777"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WT = wild-type littermates, HET = transgenic SNCA*E46K animals.</w:t>
                      </w:r>
                    </w:p>
                    <w:p w14:paraId="784E2A4A" w14:textId="29384341" w:rsidR="00DB085F" w:rsidRPr="00DB085F" w:rsidRDefault="00DB085F" w:rsidP="00DB085F">
                      <w:pPr>
                        <w:spacing w:after="0" w:line="240" w:lineRule="auto"/>
                        <w:ind w:firstLine="0"/>
                        <w:jc w:val="both"/>
                        <w:rPr>
                          <w:rFonts w:ascii="Verdana" w:hAnsi="Verdana"/>
                          <w:sz w:val="18"/>
                          <w:szCs w:val="18"/>
                        </w:rPr>
                      </w:pPr>
                      <w:r w:rsidRPr="00DB085F">
                        <w:rPr>
                          <w:rFonts w:ascii="Verdana" w:hAnsi="Verdana"/>
                          <w:sz w:val="18"/>
                          <w:szCs w:val="18"/>
                        </w:rPr>
                        <w:t>Scale bar (b) = 1.4mm</w:t>
                      </w:r>
                    </w:p>
                  </w:txbxContent>
                </v:textbox>
                <w10:wrap type="topAndBottom" anchorx="margin"/>
              </v:shape>
            </w:pict>
          </mc:Fallback>
        </mc:AlternateContent>
      </w:r>
      <w:r>
        <w:rPr>
          <w:rFonts w:ascii="Verdana" w:hAnsi="Verdana"/>
          <w:lang w:val="en-GB"/>
        </w:rPr>
        <w:br w:type="page"/>
      </w:r>
    </w:p>
    <w:p w14:paraId="361DBE76" w14:textId="14C6D57A" w:rsidR="00FF2891" w:rsidRDefault="00CE5D38" w:rsidP="00767F9D">
      <w:pPr>
        <w:pStyle w:val="Heading3"/>
        <w:rPr>
          <w:lang w:val="en-GB"/>
        </w:rPr>
      </w:pPr>
      <w:r>
        <w:rPr>
          <w:lang w:val="en-GB"/>
        </w:rPr>
        <w:lastRenderedPageBreak/>
        <w:t xml:space="preserve">  </w:t>
      </w:r>
      <w:bookmarkStart w:id="67" w:name="_Toc130223430"/>
      <w:r w:rsidR="009E5729">
        <w:rPr>
          <w:lang w:val="en-GB"/>
        </w:rPr>
        <w:t xml:space="preserve">3.2 </w:t>
      </w:r>
      <w:r w:rsidR="009E5729">
        <w:rPr>
          <w:lang w:val="en-GB"/>
        </w:rPr>
        <w:tab/>
      </w:r>
      <w:r w:rsidR="009261E8" w:rsidRPr="00F30601">
        <w:rPr>
          <w:lang w:val="en-GB"/>
        </w:rPr>
        <w:t>HET mice show striatal age-dependent neurodegeneration in absence of dopaminergic cell loss in the Substantia Nigr</w:t>
      </w:r>
      <w:r w:rsidR="00D048BF" w:rsidRPr="00F30601">
        <w:rPr>
          <w:lang w:val="en-GB"/>
        </w:rPr>
        <w:t>a</w:t>
      </w:r>
      <w:bookmarkEnd w:id="67"/>
    </w:p>
    <w:p w14:paraId="7F746A12" w14:textId="59B95E5C" w:rsidR="00F4650B" w:rsidRDefault="00B128B9" w:rsidP="00B128B9">
      <w:pPr>
        <w:tabs>
          <w:tab w:val="left" w:pos="1880"/>
        </w:tabs>
        <w:spacing w:line="360" w:lineRule="auto"/>
        <w:jc w:val="both"/>
        <w:rPr>
          <w:rFonts w:ascii="Verdana" w:hAnsi="Verdana"/>
          <w:lang w:val="en-GB"/>
        </w:rPr>
      </w:pPr>
      <w:r>
        <w:rPr>
          <w:rFonts w:ascii="Verdana" w:hAnsi="Verdana"/>
          <w:lang w:val="en-GB"/>
        </w:rPr>
        <w:t>TH-</w:t>
      </w:r>
      <w:r w:rsidR="00D81ED9">
        <w:rPr>
          <w:rFonts w:ascii="Verdana" w:hAnsi="Verdana"/>
          <w:lang w:val="en-GB"/>
        </w:rPr>
        <w:t>positive axons</w:t>
      </w:r>
      <w:r>
        <w:rPr>
          <w:rFonts w:ascii="Verdana" w:hAnsi="Verdana"/>
          <w:lang w:val="en-GB"/>
        </w:rPr>
        <w:t xml:space="preserve"> and DAT-positive </w:t>
      </w:r>
      <w:r w:rsidR="00D81ED9">
        <w:rPr>
          <w:rFonts w:ascii="Verdana" w:hAnsi="Verdana"/>
          <w:lang w:val="en-GB"/>
        </w:rPr>
        <w:t xml:space="preserve">synapses were quantified in the striatum of HET and WT mice at 3, 9 and 13 months of age. </w:t>
      </w:r>
      <w:r w:rsidR="00E74389">
        <w:rPr>
          <w:rFonts w:ascii="Verdana" w:hAnsi="Verdana"/>
          <w:lang w:val="en-GB"/>
        </w:rPr>
        <w:t>Both measurements showed an age-dependent decline</w:t>
      </w:r>
      <w:r w:rsidR="00174F0F">
        <w:rPr>
          <w:rFonts w:ascii="Verdana" w:hAnsi="Verdana"/>
          <w:lang w:val="en-GB"/>
        </w:rPr>
        <w:t xml:space="preserve"> in HET mice, with neurodegeneration starting to appear at 9 months of age (Figure 7a and 7b). </w:t>
      </w:r>
      <w:r w:rsidR="00912D21">
        <w:rPr>
          <w:rFonts w:ascii="Verdana" w:hAnsi="Verdana"/>
          <w:lang w:val="en-GB"/>
        </w:rPr>
        <w:t xml:space="preserve">At the same time points, no loss of </w:t>
      </w:r>
      <w:r w:rsidR="008224E1">
        <w:rPr>
          <w:rFonts w:ascii="Verdana" w:hAnsi="Verdana"/>
          <w:lang w:val="en-GB"/>
        </w:rPr>
        <w:t>TH-positive neurons was observed in the SN</w:t>
      </w:r>
      <w:r w:rsidR="007771F5">
        <w:rPr>
          <w:rFonts w:ascii="Verdana" w:hAnsi="Verdana"/>
          <w:lang w:val="en-GB"/>
        </w:rPr>
        <w:t xml:space="preserve"> (Figure 7c)</w:t>
      </w:r>
      <w:r w:rsidR="00DC0499">
        <w:rPr>
          <w:rFonts w:ascii="Verdana" w:hAnsi="Verdana"/>
          <w:lang w:val="en-GB"/>
        </w:rPr>
        <w:t>. Since striatal degeneration in absence of nigral neuronal loss is a feature of early PD</w:t>
      </w:r>
      <w:r w:rsidR="007771F5">
        <w:rPr>
          <w:rFonts w:ascii="Verdana" w:hAnsi="Verdana"/>
          <w:lang w:val="en-GB"/>
        </w:rPr>
        <w:t>, this model appears to be suitable for the studying of the early stages of PD pathology, and of the molecular events that lead to striatal degeneration.</w:t>
      </w:r>
    </w:p>
    <w:p w14:paraId="3765C930" w14:textId="418EE4BC" w:rsidR="007771F5" w:rsidRPr="00FD4309" w:rsidRDefault="007771F5" w:rsidP="00B128B9">
      <w:pPr>
        <w:tabs>
          <w:tab w:val="left" w:pos="1880"/>
        </w:tabs>
        <w:spacing w:line="360" w:lineRule="auto"/>
        <w:jc w:val="both"/>
        <w:rPr>
          <w:rFonts w:ascii="Verdana" w:hAnsi="Verdana"/>
          <w:b/>
          <w:bCs/>
          <w:lang w:val="en-GB"/>
        </w:rPr>
      </w:pPr>
      <w:r>
        <w:rPr>
          <w:rFonts w:ascii="Verdana" w:hAnsi="Verdana"/>
          <w:lang w:val="en-GB"/>
        </w:rPr>
        <w:t xml:space="preserve">To exclude that the striatal degeneration was the consequence of a </w:t>
      </w:r>
      <w:r w:rsidR="00E85299">
        <w:rPr>
          <w:rFonts w:ascii="Verdana" w:hAnsi="Verdana"/>
          <w:lang w:val="en-GB"/>
        </w:rPr>
        <w:t>transgenic insertion artefact, we correlated the levels of TH</w:t>
      </w:r>
      <w:r w:rsidR="00C464D9">
        <w:rPr>
          <w:rFonts w:ascii="Verdana" w:hAnsi="Verdana"/>
          <w:lang w:val="en-GB"/>
        </w:rPr>
        <w:t>-</w:t>
      </w:r>
      <w:r w:rsidR="00E85299">
        <w:rPr>
          <w:rFonts w:ascii="Verdana" w:hAnsi="Verdana"/>
          <w:lang w:val="en-GB"/>
        </w:rPr>
        <w:t>positive axons with the relative levels of transgenic alpha-synuclein in the striatum of 13-months old mice</w:t>
      </w:r>
      <w:r w:rsidR="00834B47">
        <w:rPr>
          <w:rFonts w:ascii="Verdana" w:hAnsi="Verdana"/>
          <w:lang w:val="en-GB"/>
        </w:rPr>
        <w:t xml:space="preserve"> (</w:t>
      </w:r>
      <w:r w:rsidR="00DA5690">
        <w:rPr>
          <w:rFonts w:ascii="Verdana" w:hAnsi="Verdana"/>
          <w:lang w:val="en-GB"/>
        </w:rPr>
        <w:t>Figure 8</w:t>
      </w:r>
      <w:r w:rsidR="00834B47">
        <w:rPr>
          <w:rFonts w:ascii="Verdana" w:hAnsi="Verdana"/>
          <w:lang w:val="en-GB"/>
        </w:rPr>
        <w:t>)</w:t>
      </w:r>
      <w:r w:rsidR="00E85299">
        <w:rPr>
          <w:rFonts w:ascii="Verdana" w:hAnsi="Verdana"/>
          <w:lang w:val="en-GB"/>
        </w:rPr>
        <w:t>.</w:t>
      </w:r>
      <w:r w:rsidR="00E22B22">
        <w:rPr>
          <w:rFonts w:ascii="Verdana" w:hAnsi="Verdana"/>
          <w:lang w:val="en-GB"/>
        </w:rPr>
        <w:t xml:space="preserve"> The TH-positive signal showed a significant inverse correlation with</w:t>
      </w:r>
      <w:r w:rsidR="00637F32">
        <w:rPr>
          <w:rFonts w:ascii="Verdana" w:hAnsi="Verdana"/>
          <w:lang w:val="en-GB"/>
        </w:rPr>
        <w:t xml:space="preserve"> alpha-synuclein</w:t>
      </w:r>
      <w:r w:rsidR="00FD4309">
        <w:rPr>
          <w:rFonts w:ascii="Verdana" w:hAnsi="Verdana"/>
          <w:lang w:val="en-GB"/>
        </w:rPr>
        <w:t xml:space="preserve"> levels</w:t>
      </w:r>
      <w:r w:rsidR="00F63E14">
        <w:rPr>
          <w:rFonts w:ascii="Verdana" w:hAnsi="Verdana"/>
          <w:lang w:val="en-GB"/>
        </w:rPr>
        <w:t xml:space="preserve"> </w:t>
      </w:r>
      <w:r w:rsidR="00F63E14" w:rsidRPr="00510127">
        <w:rPr>
          <w:rFonts w:ascii="Verdana" w:hAnsi="Verdana"/>
          <w:lang w:val="en-GB"/>
        </w:rPr>
        <w:t>(</w:t>
      </w:r>
      <w:r w:rsidR="00F63E14" w:rsidRPr="00F05353">
        <w:rPr>
          <w:rFonts w:ascii="Verdana" w:hAnsi="Verdana"/>
          <w:i/>
          <w:iCs/>
          <w:lang w:val="en-GB"/>
        </w:rPr>
        <w:t xml:space="preserve">r </w:t>
      </w:r>
      <w:r w:rsidR="00F63E14" w:rsidRPr="00510127">
        <w:rPr>
          <w:rFonts w:ascii="Verdana" w:hAnsi="Verdana"/>
          <w:lang w:val="en-GB"/>
        </w:rPr>
        <w:t>=</w:t>
      </w:r>
      <w:r w:rsidR="00C67F37">
        <w:rPr>
          <w:rFonts w:ascii="Verdana" w:hAnsi="Verdana"/>
          <w:lang w:val="en-GB"/>
        </w:rPr>
        <w:t xml:space="preserve"> </w:t>
      </w:r>
      <w:r w:rsidR="00F63E14" w:rsidRPr="00510127">
        <w:rPr>
          <w:rFonts w:ascii="Verdana" w:hAnsi="Verdana"/>
          <w:lang w:val="en-GB"/>
        </w:rPr>
        <w:t>−0.94,</w:t>
      </w:r>
      <w:r w:rsidR="00F63E14">
        <w:rPr>
          <w:rFonts w:ascii="Verdana" w:hAnsi="Verdana"/>
          <w:lang w:val="en-GB"/>
        </w:rPr>
        <w:t xml:space="preserve"> </w:t>
      </w:r>
      <w:r w:rsidR="00F63E14" w:rsidRPr="00F05353">
        <w:rPr>
          <w:rFonts w:ascii="Verdana" w:hAnsi="Verdana"/>
          <w:i/>
          <w:iCs/>
          <w:lang w:val="en-GB"/>
        </w:rPr>
        <w:t>p</w:t>
      </w:r>
      <w:r w:rsidR="00F63E14" w:rsidRPr="00510127">
        <w:rPr>
          <w:rFonts w:ascii="Verdana" w:hAnsi="Verdana"/>
          <w:lang w:val="en-GB"/>
        </w:rPr>
        <w:t xml:space="preserve"> = 0.017, by </w:t>
      </w:r>
      <w:r w:rsidR="00DA5690">
        <w:rPr>
          <w:rFonts w:ascii="Verdana" w:hAnsi="Verdana"/>
          <w:lang w:val="en-GB"/>
        </w:rPr>
        <w:t>Spearman</w:t>
      </w:r>
      <w:r w:rsidR="00F63E14">
        <w:rPr>
          <w:rFonts w:ascii="Verdana" w:hAnsi="Verdana"/>
          <w:lang w:val="en-GB"/>
        </w:rPr>
        <w:t>)</w:t>
      </w:r>
      <w:r w:rsidR="00637F32">
        <w:rPr>
          <w:rFonts w:ascii="Verdana" w:hAnsi="Verdana"/>
          <w:lang w:val="en-GB"/>
        </w:rPr>
        <w:t xml:space="preserve">. Similar results were obtained in another cohort of mice by correlating transgenic alpha-synuclein protein levels </w:t>
      </w:r>
      <w:r w:rsidR="00D068E7">
        <w:rPr>
          <w:rFonts w:ascii="Verdana" w:hAnsi="Verdana"/>
          <w:lang w:val="en-GB"/>
        </w:rPr>
        <w:t>with DAT-positive signal</w:t>
      </w:r>
      <w:r w:rsidR="000B35A9">
        <w:rPr>
          <w:rFonts w:ascii="Verdana" w:hAnsi="Verdana"/>
          <w:lang w:val="en-GB"/>
        </w:rPr>
        <w:t xml:space="preserve"> (</w:t>
      </w:r>
      <w:r w:rsidR="00C464D9">
        <w:rPr>
          <w:rFonts w:ascii="Verdana" w:hAnsi="Verdana"/>
          <w:lang w:val="en-GB"/>
        </w:rPr>
        <w:t xml:space="preserve">Figure 8B, </w:t>
      </w:r>
      <w:r w:rsidR="00C67F37" w:rsidRPr="00C53C5B">
        <w:rPr>
          <w:rFonts w:ascii="Verdana" w:hAnsi="Verdana"/>
          <w:i/>
          <w:iCs/>
          <w:lang w:val="en-GB"/>
        </w:rPr>
        <w:t>r</w:t>
      </w:r>
      <w:r w:rsidR="00C67F37">
        <w:rPr>
          <w:rFonts w:ascii="Verdana" w:hAnsi="Verdana"/>
          <w:lang w:val="en-GB"/>
        </w:rPr>
        <w:t xml:space="preserve"> = -0.71, </w:t>
      </w:r>
      <w:r w:rsidR="00C67F37" w:rsidRPr="00C53C5B">
        <w:rPr>
          <w:rFonts w:ascii="Verdana" w:hAnsi="Verdana"/>
          <w:i/>
          <w:iCs/>
          <w:lang w:val="en-GB"/>
        </w:rPr>
        <w:t>p</w:t>
      </w:r>
      <w:r w:rsidR="00C67F37">
        <w:rPr>
          <w:rFonts w:ascii="Verdana" w:hAnsi="Verdana"/>
          <w:lang w:val="en-GB"/>
        </w:rPr>
        <w:t xml:space="preserve"> = 0.038</w:t>
      </w:r>
      <w:r w:rsidR="001D1D9C">
        <w:rPr>
          <w:rFonts w:ascii="Verdana" w:hAnsi="Verdana"/>
          <w:lang w:val="en-GB"/>
        </w:rPr>
        <w:t>, by Pearson</w:t>
      </w:r>
      <w:r w:rsidR="00C67F37">
        <w:rPr>
          <w:rFonts w:ascii="Verdana" w:hAnsi="Verdana"/>
          <w:lang w:val="en-GB"/>
        </w:rPr>
        <w:t>)</w:t>
      </w:r>
      <w:r w:rsidR="00D068E7">
        <w:rPr>
          <w:rFonts w:ascii="Verdana" w:hAnsi="Verdana"/>
          <w:lang w:val="en-GB"/>
        </w:rPr>
        <w:t>. Taken together, these results</w:t>
      </w:r>
      <w:r w:rsidR="00FD4309">
        <w:rPr>
          <w:rFonts w:ascii="Verdana" w:hAnsi="Verdana"/>
          <w:lang w:val="en-GB"/>
        </w:rPr>
        <w:t xml:space="preserve"> indicat</w:t>
      </w:r>
      <w:r w:rsidR="00D068E7">
        <w:rPr>
          <w:rFonts w:ascii="Verdana" w:hAnsi="Verdana"/>
          <w:lang w:val="en-GB"/>
        </w:rPr>
        <w:t>e</w:t>
      </w:r>
      <w:r w:rsidR="00FD4309">
        <w:rPr>
          <w:rFonts w:ascii="Verdana" w:hAnsi="Verdana"/>
          <w:lang w:val="en-GB"/>
        </w:rPr>
        <w:t xml:space="preserve"> that the observed degeneration </w:t>
      </w:r>
      <w:r w:rsidR="00F63E14">
        <w:rPr>
          <w:rFonts w:ascii="Verdana" w:hAnsi="Verdana"/>
          <w:lang w:val="en-GB"/>
        </w:rPr>
        <w:t xml:space="preserve">is a real consequence of </w:t>
      </w:r>
      <w:r w:rsidR="00F63E14" w:rsidRPr="007519B1">
        <w:rPr>
          <w:rFonts w:ascii="Verdana" w:hAnsi="Verdana"/>
          <w:i/>
          <w:iCs/>
          <w:lang w:val="en-GB"/>
        </w:rPr>
        <w:t>SNCA</w:t>
      </w:r>
      <w:r w:rsidR="00F63E14">
        <w:rPr>
          <w:rFonts w:ascii="Verdana" w:hAnsi="Verdana"/>
          <w:lang w:val="en-GB"/>
        </w:rPr>
        <w:t xml:space="preserve"> overexpression.</w:t>
      </w:r>
      <w:r w:rsidR="00637F32">
        <w:rPr>
          <w:rFonts w:ascii="Verdana" w:hAnsi="Verdana"/>
          <w:lang w:val="en-GB"/>
        </w:rPr>
        <w:t xml:space="preserve"> </w:t>
      </w:r>
    </w:p>
    <w:p w14:paraId="3264B2F2" w14:textId="77777777" w:rsidR="00D048BF" w:rsidRPr="00DF0F7D" w:rsidRDefault="00D048BF" w:rsidP="00CF5B4E">
      <w:pPr>
        <w:spacing w:line="360" w:lineRule="auto"/>
        <w:rPr>
          <w:rFonts w:ascii="Verdana" w:hAnsi="Verdana"/>
          <w:lang w:val="en-GB"/>
        </w:rPr>
      </w:pPr>
    </w:p>
    <w:p w14:paraId="6B95B5C5" w14:textId="77777777" w:rsidR="00C85E75" w:rsidRDefault="00490841" w:rsidP="004F0024">
      <w:pPr>
        <w:pStyle w:val="ListParagraph"/>
        <w:numPr>
          <w:ilvl w:val="0"/>
          <w:numId w:val="3"/>
        </w:numPr>
        <w:rPr>
          <w:rFonts w:ascii="Verdana" w:hAnsi="Verdana"/>
          <w:b/>
          <w:bCs/>
          <w:sz w:val="24"/>
          <w:szCs w:val="24"/>
          <w:lang w:val="en-GB"/>
        </w:rPr>
      </w:pPr>
      <w:r w:rsidRPr="00C85E75">
        <w:rPr>
          <w:rFonts w:ascii="Verdana" w:hAnsi="Verdana"/>
          <w:b/>
          <w:bCs/>
          <w:sz w:val="24"/>
          <w:szCs w:val="24"/>
          <w:lang w:val="en-GB"/>
        </w:rPr>
        <w:br w:type="page"/>
      </w:r>
    </w:p>
    <w:p w14:paraId="7B12B9F8" w14:textId="68334F59" w:rsidR="00107BB2" w:rsidRDefault="007554EF" w:rsidP="00107BB2">
      <w:pPr>
        <w:pStyle w:val="ListParagraph"/>
        <w:spacing w:line="360" w:lineRule="auto"/>
        <w:ind w:left="360" w:firstLine="0"/>
        <w:jc w:val="both"/>
        <w:rPr>
          <w:rFonts w:ascii="Verdana" w:hAnsi="Verdana"/>
          <w:b/>
          <w:bCs/>
          <w:sz w:val="24"/>
          <w:szCs w:val="24"/>
          <w:lang w:val="en-GB"/>
        </w:rPr>
      </w:pPr>
      <w:r>
        <w:rPr>
          <w:noProof/>
        </w:rPr>
        <w:lastRenderedPageBreak/>
        <mc:AlternateContent>
          <mc:Choice Requires="wps">
            <w:drawing>
              <wp:anchor distT="0" distB="0" distL="114300" distR="114300" simplePos="0" relativeHeight="251872256" behindDoc="0" locked="0" layoutInCell="1" allowOverlap="1" wp14:anchorId="5146EA23" wp14:editId="461BA79E">
                <wp:simplePos x="0" y="0"/>
                <wp:positionH relativeFrom="margin">
                  <wp:posOffset>-1270</wp:posOffset>
                </wp:positionH>
                <wp:positionV relativeFrom="paragraph">
                  <wp:posOffset>6258915</wp:posOffset>
                </wp:positionV>
                <wp:extent cx="5580380" cy="635"/>
                <wp:effectExtent l="0" t="0" r="1270" b="6350"/>
                <wp:wrapTopAndBottom/>
                <wp:docPr id="22" name="Text Box 22"/>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720F162C" w14:textId="20616F97" w:rsidR="007554EF" w:rsidRPr="00752070" w:rsidRDefault="007554EF" w:rsidP="007554EF">
                            <w:pPr>
                              <w:pStyle w:val="Caption"/>
                              <w:ind w:firstLine="0"/>
                              <w:jc w:val="both"/>
                              <w:rPr>
                                <w:rFonts w:ascii="Verdana" w:hAnsi="Verdana"/>
                                <w:i w:val="0"/>
                                <w:iCs w:val="0"/>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46EA23" id="Text Box 22" o:spid="_x0000_s1034" type="#_x0000_t202" style="position:absolute;left:0;text-align:left;margin-left:-.1pt;margin-top:492.85pt;width:439.4pt;height:.05pt;z-index:251872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" stroked="f">
                <v:textbox style="mso-fit-shape-to-text:t" inset="0,0,0,0">
                  <w:txbxContent>
                    <w:p w14:paraId="720F162C" w14:textId="20616F97" w:rsidR="007554EF" w:rsidRPr="00752070" w:rsidRDefault="007554EF" w:rsidP="007554EF">
                      <w:pPr>
                        <w:pStyle w:val="Caption"/>
                        <w:ind w:firstLine="0"/>
                        <w:jc w:val="both"/>
                        <w:rPr>
                          <w:rFonts w:ascii="Verdana" w:hAnsi="Verdana"/>
                          <w:i w:val="0"/>
                          <w:iCs w:val="0"/>
                          <w:color w:val="auto"/>
                        </w:rPr>
                      </w:pPr>
                    </w:p>
                  </w:txbxContent>
                </v:textbox>
                <w10:wrap type="topAndBottom" anchorx="margin"/>
              </v:shape>
            </w:pict>
          </mc:Fallback>
        </mc:AlternateContent>
      </w:r>
      <w:r w:rsidR="00DB085F">
        <w:rPr>
          <w:noProof/>
        </w:rPr>
        <mc:AlternateContent>
          <mc:Choice Requires="wps">
            <w:drawing>
              <wp:anchor distT="0" distB="0" distL="114300" distR="114300" simplePos="0" relativeHeight="251879424" behindDoc="0" locked="0" layoutInCell="1" allowOverlap="1" wp14:anchorId="1377FE4C" wp14:editId="2DFA3CBB">
                <wp:simplePos x="0" y="0"/>
                <wp:positionH relativeFrom="column">
                  <wp:posOffset>-1270</wp:posOffset>
                </wp:positionH>
                <wp:positionV relativeFrom="paragraph">
                  <wp:posOffset>6269990</wp:posOffset>
                </wp:positionV>
                <wp:extent cx="5580380" cy="635"/>
                <wp:effectExtent l="0" t="0" r="0" b="0"/>
                <wp:wrapTopAndBottom/>
                <wp:docPr id="127" name="Text Box 127"/>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66D68021" w14:textId="067267A6" w:rsidR="00DB085F" w:rsidRDefault="00DB085F" w:rsidP="00DB085F">
                            <w:pPr>
                              <w:pStyle w:val="Caption"/>
                              <w:ind w:firstLine="0"/>
                              <w:jc w:val="both"/>
                              <w:rPr>
                                <w:rFonts w:ascii="Verdana" w:hAnsi="Verdana"/>
                                <w:i w:val="0"/>
                                <w:iCs w:val="0"/>
                                <w:color w:val="auto"/>
                              </w:rPr>
                            </w:pPr>
                            <w:bookmarkStart w:id="68" w:name="_Toc131412749"/>
                            <w:r w:rsidRPr="00DB085F">
                              <w:rPr>
                                <w:rFonts w:ascii="Verdana" w:hAnsi="Verdana"/>
                                <w:b/>
                                <w:bCs/>
                                <w:i w:val="0"/>
                                <w:iCs w:val="0"/>
                                <w:color w:val="auto"/>
                              </w:rPr>
                              <w:t xml:space="preserve">Figure </w:t>
                            </w:r>
                            <w:r w:rsidRPr="00DB085F">
                              <w:rPr>
                                <w:rFonts w:ascii="Verdana" w:hAnsi="Verdana"/>
                                <w:b/>
                                <w:bCs/>
                                <w:i w:val="0"/>
                                <w:iCs w:val="0"/>
                                <w:color w:val="auto"/>
                              </w:rPr>
                              <w:fldChar w:fldCharType="begin"/>
                            </w:r>
                            <w:r w:rsidRPr="00DB085F">
                              <w:rPr>
                                <w:rFonts w:ascii="Verdana" w:hAnsi="Verdana"/>
                                <w:b/>
                                <w:bCs/>
                                <w:i w:val="0"/>
                                <w:iCs w:val="0"/>
                                <w:color w:val="auto"/>
                              </w:rPr>
                              <w:instrText xml:space="preserve"> SEQ Figure \* ARABIC </w:instrText>
                            </w:r>
                            <w:r w:rsidRPr="00DB085F">
                              <w:rPr>
                                <w:rFonts w:ascii="Verdana" w:hAnsi="Verdana"/>
                                <w:b/>
                                <w:bCs/>
                                <w:i w:val="0"/>
                                <w:iCs w:val="0"/>
                                <w:color w:val="auto"/>
                              </w:rPr>
                              <w:fldChar w:fldCharType="separate"/>
                            </w:r>
                            <w:r w:rsidR="001D505F">
                              <w:rPr>
                                <w:rFonts w:ascii="Verdana" w:hAnsi="Verdana"/>
                                <w:b/>
                                <w:bCs/>
                                <w:i w:val="0"/>
                                <w:iCs w:val="0"/>
                                <w:noProof/>
                                <w:color w:val="auto"/>
                              </w:rPr>
                              <w:t>7</w:t>
                            </w:r>
                            <w:r w:rsidRPr="00DB085F">
                              <w:rPr>
                                <w:rFonts w:ascii="Verdana" w:hAnsi="Verdana"/>
                                <w:b/>
                                <w:bCs/>
                                <w:i w:val="0"/>
                                <w:iCs w:val="0"/>
                                <w:color w:val="auto"/>
                              </w:rPr>
                              <w:fldChar w:fldCharType="end"/>
                            </w:r>
                            <w:r>
                              <w:rPr>
                                <w:rFonts w:ascii="Verdana" w:hAnsi="Verdana"/>
                                <w:b/>
                                <w:bCs/>
                                <w:i w:val="0"/>
                                <w:iCs w:val="0"/>
                                <w:color w:val="auto"/>
                              </w:rPr>
                              <w:t xml:space="preserve"> </w:t>
                            </w:r>
                            <w:r w:rsidRPr="001A0870">
                              <w:rPr>
                                <w:rFonts w:ascii="Verdana" w:hAnsi="Verdana"/>
                                <w:i w:val="0"/>
                                <w:iCs w:val="0"/>
                                <w:color w:val="auto"/>
                              </w:rPr>
                              <w:t xml:space="preserve">Age-dependent degeneration in the dorsal striatum </w:t>
                            </w:r>
                            <w:r>
                              <w:rPr>
                                <w:rFonts w:ascii="Verdana" w:hAnsi="Verdana"/>
                                <w:i w:val="0"/>
                                <w:iCs w:val="0"/>
                                <w:color w:val="auto"/>
                              </w:rPr>
                              <w:t xml:space="preserve">of HET SNCA*E46K mice </w:t>
                            </w:r>
                            <w:r w:rsidRPr="001A0870">
                              <w:rPr>
                                <w:rFonts w:ascii="Verdana" w:hAnsi="Verdana"/>
                                <w:i w:val="0"/>
                                <w:iCs w:val="0"/>
                                <w:color w:val="auto"/>
                              </w:rPr>
                              <w:t xml:space="preserve">but not the </w:t>
                            </w:r>
                            <w:r>
                              <w:rPr>
                                <w:rFonts w:ascii="Verdana" w:hAnsi="Verdana"/>
                                <w:i w:val="0"/>
                                <w:iCs w:val="0"/>
                                <w:color w:val="auto"/>
                              </w:rPr>
                              <w:t>S</w:t>
                            </w:r>
                            <w:r w:rsidRPr="001A0870">
                              <w:rPr>
                                <w:rFonts w:ascii="Verdana" w:hAnsi="Verdana"/>
                                <w:i w:val="0"/>
                                <w:iCs w:val="0"/>
                                <w:color w:val="auto"/>
                              </w:rPr>
                              <w:t xml:space="preserve">ubstantia </w:t>
                            </w:r>
                            <w:r>
                              <w:rPr>
                                <w:rFonts w:ascii="Verdana" w:hAnsi="Verdana"/>
                                <w:i w:val="0"/>
                                <w:iCs w:val="0"/>
                                <w:color w:val="auto"/>
                              </w:rPr>
                              <w:t>N</w:t>
                            </w:r>
                            <w:r w:rsidRPr="001A0870">
                              <w:rPr>
                                <w:rFonts w:ascii="Verdana" w:hAnsi="Verdana"/>
                                <w:i w:val="0"/>
                                <w:iCs w:val="0"/>
                                <w:color w:val="auto"/>
                              </w:rPr>
                              <w:t>igra</w:t>
                            </w:r>
                            <w:r>
                              <w:rPr>
                                <w:rFonts w:ascii="Verdana" w:hAnsi="Verdana"/>
                                <w:i w:val="0"/>
                                <w:iCs w:val="0"/>
                                <w:color w:val="auto"/>
                              </w:rPr>
                              <w:t>.</w:t>
                            </w:r>
                            <w:bookmarkEnd w:id="68"/>
                          </w:p>
                          <w:p w14:paraId="4DFE5711" w14:textId="77777777" w:rsidR="00DB085F" w:rsidRDefault="00DB085F" w:rsidP="00DB085F">
                            <w:pPr>
                              <w:pStyle w:val="Caption"/>
                              <w:ind w:firstLine="0"/>
                              <w:jc w:val="both"/>
                              <w:rPr>
                                <w:rFonts w:ascii="Verdana" w:hAnsi="Verdana"/>
                                <w:i w:val="0"/>
                                <w:iCs w:val="0"/>
                                <w:color w:val="auto"/>
                              </w:rPr>
                            </w:pPr>
                            <w:r w:rsidRPr="00801E30">
                              <w:rPr>
                                <w:rFonts w:ascii="Verdana" w:hAnsi="Verdana"/>
                                <w:b/>
                                <w:bCs/>
                                <w:i w:val="0"/>
                                <w:iCs w:val="0"/>
                                <w:color w:val="auto"/>
                              </w:rPr>
                              <w:t>a)</w:t>
                            </w:r>
                            <w:r>
                              <w:rPr>
                                <w:rFonts w:ascii="Verdana" w:hAnsi="Verdana"/>
                                <w:i w:val="0"/>
                                <w:iCs w:val="0"/>
                                <w:color w:val="auto"/>
                              </w:rPr>
                              <w:t xml:space="preserve"> Quantification (top) and representative immunofluorescent images (bottom, green channel) for Tyrosine Hydroxylase. </w:t>
                            </w:r>
                            <w:r>
                              <w:rPr>
                                <w:rFonts w:ascii="Verdana" w:hAnsi="Verdana"/>
                                <w:b/>
                                <w:bCs/>
                                <w:i w:val="0"/>
                                <w:iCs w:val="0"/>
                                <w:color w:val="auto"/>
                              </w:rPr>
                              <w:t>b</w:t>
                            </w:r>
                            <w:r w:rsidRPr="00801E30">
                              <w:rPr>
                                <w:rFonts w:ascii="Verdana" w:hAnsi="Verdana"/>
                                <w:b/>
                                <w:bCs/>
                                <w:i w:val="0"/>
                                <w:iCs w:val="0"/>
                                <w:color w:val="auto"/>
                              </w:rPr>
                              <w:t>)</w:t>
                            </w:r>
                            <w:r>
                              <w:rPr>
                                <w:rFonts w:ascii="Verdana" w:hAnsi="Verdana"/>
                                <w:i w:val="0"/>
                                <w:iCs w:val="0"/>
                                <w:color w:val="auto"/>
                              </w:rPr>
                              <w:t xml:space="preserve"> Quantification (top) and representative immunofluorescent images (bottom, red channel) for Dopamine Transporter. </w:t>
                            </w:r>
                            <w:r w:rsidRPr="001C7621">
                              <w:rPr>
                                <w:rFonts w:ascii="Verdana" w:hAnsi="Verdana"/>
                                <w:b/>
                                <w:bCs/>
                                <w:i w:val="0"/>
                                <w:iCs w:val="0"/>
                                <w:color w:val="auto"/>
                              </w:rPr>
                              <w:t>c)</w:t>
                            </w:r>
                            <w:r>
                              <w:rPr>
                                <w:rFonts w:ascii="Verdana" w:hAnsi="Verdana"/>
                                <w:i w:val="0"/>
                                <w:iCs w:val="0"/>
                                <w:color w:val="auto"/>
                              </w:rPr>
                              <w:t xml:space="preserve"> Quantification of TH-positive neurons (top) and representative immunofluorescent images of the different levels of the Substantia Nigra (bottom).</w:t>
                            </w:r>
                          </w:p>
                          <w:p w14:paraId="1A6826FA" w14:textId="60660B44" w:rsidR="00DB085F" w:rsidRPr="00DB085F" w:rsidRDefault="00DB085F" w:rsidP="00DB085F">
                            <w:pPr>
                              <w:pStyle w:val="Caption"/>
                              <w:ind w:firstLine="0"/>
                              <w:jc w:val="both"/>
                              <w:rPr>
                                <w:rFonts w:ascii="Verdana" w:hAnsi="Verdana"/>
                                <w:i w:val="0"/>
                                <w:iCs w:val="0"/>
                                <w:color w:val="auto"/>
                              </w:rPr>
                            </w:pPr>
                            <w:r>
                              <w:rPr>
                                <w:rFonts w:ascii="Verdana" w:hAnsi="Verdana"/>
                                <w:i w:val="0"/>
                                <w:iCs w:val="0"/>
                                <w:color w:val="auto"/>
                              </w:rPr>
                              <w:t>N = 6 mice per group, all females. Stats: two-way ANOVA. * = p&lt; 0.05, ## = p&lt; 0.01, ### = p&lt;0.001. Scale bar = 30µm in a) and b), 100µm in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7FE4C" id="Text Box 127" o:spid="_x0000_s1035" type="#_x0000_t202" style="position:absolute;left:0;text-align:left;margin-left:-.1pt;margin-top:493.7pt;width:439.4pt;height:.0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" stroked="f">
                <v:textbox style="mso-fit-shape-to-text:t" inset="0,0,0,0">
                  <w:txbxContent>
                    <w:p w14:paraId="66D68021" w14:textId="067267A6" w:rsidR="00DB085F" w:rsidRDefault="00DB085F" w:rsidP="00DB085F">
                      <w:pPr>
                        <w:pStyle w:val="Caption"/>
                        <w:ind w:firstLine="0"/>
                        <w:jc w:val="both"/>
                        <w:rPr>
                          <w:rFonts w:ascii="Verdana" w:hAnsi="Verdana"/>
                          <w:i w:val="0"/>
                          <w:iCs w:val="0"/>
                          <w:color w:val="auto"/>
                        </w:rPr>
                      </w:pPr>
                      <w:bookmarkStart w:id="69" w:name="_Toc131412749"/>
                      <w:r w:rsidRPr="00DB085F">
                        <w:rPr>
                          <w:rFonts w:ascii="Verdana" w:hAnsi="Verdana"/>
                          <w:b/>
                          <w:bCs/>
                          <w:i w:val="0"/>
                          <w:iCs w:val="0"/>
                          <w:color w:val="auto"/>
                        </w:rPr>
                        <w:t xml:space="preserve">Figure </w:t>
                      </w:r>
                      <w:r w:rsidRPr="00DB085F">
                        <w:rPr>
                          <w:rFonts w:ascii="Verdana" w:hAnsi="Verdana"/>
                          <w:b/>
                          <w:bCs/>
                          <w:i w:val="0"/>
                          <w:iCs w:val="0"/>
                          <w:color w:val="auto"/>
                        </w:rPr>
                        <w:fldChar w:fldCharType="begin"/>
                      </w:r>
                      <w:r w:rsidRPr="00DB085F">
                        <w:rPr>
                          <w:rFonts w:ascii="Verdana" w:hAnsi="Verdana"/>
                          <w:b/>
                          <w:bCs/>
                          <w:i w:val="0"/>
                          <w:iCs w:val="0"/>
                          <w:color w:val="auto"/>
                        </w:rPr>
                        <w:instrText xml:space="preserve"> SEQ Figure \* ARABIC </w:instrText>
                      </w:r>
                      <w:r w:rsidRPr="00DB085F">
                        <w:rPr>
                          <w:rFonts w:ascii="Verdana" w:hAnsi="Verdana"/>
                          <w:b/>
                          <w:bCs/>
                          <w:i w:val="0"/>
                          <w:iCs w:val="0"/>
                          <w:color w:val="auto"/>
                        </w:rPr>
                        <w:fldChar w:fldCharType="separate"/>
                      </w:r>
                      <w:r w:rsidR="001D505F">
                        <w:rPr>
                          <w:rFonts w:ascii="Verdana" w:hAnsi="Verdana"/>
                          <w:b/>
                          <w:bCs/>
                          <w:i w:val="0"/>
                          <w:iCs w:val="0"/>
                          <w:noProof/>
                          <w:color w:val="auto"/>
                        </w:rPr>
                        <w:t>7</w:t>
                      </w:r>
                      <w:r w:rsidRPr="00DB085F">
                        <w:rPr>
                          <w:rFonts w:ascii="Verdana" w:hAnsi="Verdana"/>
                          <w:b/>
                          <w:bCs/>
                          <w:i w:val="0"/>
                          <w:iCs w:val="0"/>
                          <w:color w:val="auto"/>
                        </w:rPr>
                        <w:fldChar w:fldCharType="end"/>
                      </w:r>
                      <w:r>
                        <w:rPr>
                          <w:rFonts w:ascii="Verdana" w:hAnsi="Verdana"/>
                          <w:b/>
                          <w:bCs/>
                          <w:i w:val="0"/>
                          <w:iCs w:val="0"/>
                          <w:color w:val="auto"/>
                        </w:rPr>
                        <w:t xml:space="preserve"> </w:t>
                      </w:r>
                      <w:r w:rsidRPr="001A0870">
                        <w:rPr>
                          <w:rFonts w:ascii="Verdana" w:hAnsi="Verdana"/>
                          <w:i w:val="0"/>
                          <w:iCs w:val="0"/>
                          <w:color w:val="auto"/>
                        </w:rPr>
                        <w:t xml:space="preserve">Age-dependent degeneration in the dorsal striatum </w:t>
                      </w:r>
                      <w:r>
                        <w:rPr>
                          <w:rFonts w:ascii="Verdana" w:hAnsi="Verdana"/>
                          <w:i w:val="0"/>
                          <w:iCs w:val="0"/>
                          <w:color w:val="auto"/>
                        </w:rPr>
                        <w:t xml:space="preserve">of HET SNCA*E46K mice </w:t>
                      </w:r>
                      <w:r w:rsidRPr="001A0870">
                        <w:rPr>
                          <w:rFonts w:ascii="Verdana" w:hAnsi="Verdana"/>
                          <w:i w:val="0"/>
                          <w:iCs w:val="0"/>
                          <w:color w:val="auto"/>
                        </w:rPr>
                        <w:t xml:space="preserve">but not the </w:t>
                      </w:r>
                      <w:r>
                        <w:rPr>
                          <w:rFonts w:ascii="Verdana" w:hAnsi="Verdana"/>
                          <w:i w:val="0"/>
                          <w:iCs w:val="0"/>
                          <w:color w:val="auto"/>
                        </w:rPr>
                        <w:t>S</w:t>
                      </w:r>
                      <w:r w:rsidRPr="001A0870">
                        <w:rPr>
                          <w:rFonts w:ascii="Verdana" w:hAnsi="Verdana"/>
                          <w:i w:val="0"/>
                          <w:iCs w:val="0"/>
                          <w:color w:val="auto"/>
                        </w:rPr>
                        <w:t xml:space="preserve">ubstantia </w:t>
                      </w:r>
                      <w:r>
                        <w:rPr>
                          <w:rFonts w:ascii="Verdana" w:hAnsi="Verdana"/>
                          <w:i w:val="0"/>
                          <w:iCs w:val="0"/>
                          <w:color w:val="auto"/>
                        </w:rPr>
                        <w:t>N</w:t>
                      </w:r>
                      <w:r w:rsidRPr="001A0870">
                        <w:rPr>
                          <w:rFonts w:ascii="Verdana" w:hAnsi="Verdana"/>
                          <w:i w:val="0"/>
                          <w:iCs w:val="0"/>
                          <w:color w:val="auto"/>
                        </w:rPr>
                        <w:t>igra</w:t>
                      </w:r>
                      <w:r>
                        <w:rPr>
                          <w:rFonts w:ascii="Verdana" w:hAnsi="Verdana"/>
                          <w:i w:val="0"/>
                          <w:iCs w:val="0"/>
                          <w:color w:val="auto"/>
                        </w:rPr>
                        <w:t>.</w:t>
                      </w:r>
                      <w:bookmarkEnd w:id="69"/>
                    </w:p>
                    <w:p w14:paraId="4DFE5711" w14:textId="77777777" w:rsidR="00DB085F" w:rsidRDefault="00DB085F" w:rsidP="00DB085F">
                      <w:pPr>
                        <w:pStyle w:val="Caption"/>
                        <w:ind w:firstLine="0"/>
                        <w:jc w:val="both"/>
                        <w:rPr>
                          <w:rFonts w:ascii="Verdana" w:hAnsi="Verdana"/>
                          <w:i w:val="0"/>
                          <w:iCs w:val="0"/>
                          <w:color w:val="auto"/>
                        </w:rPr>
                      </w:pPr>
                      <w:r w:rsidRPr="00801E30">
                        <w:rPr>
                          <w:rFonts w:ascii="Verdana" w:hAnsi="Verdana"/>
                          <w:b/>
                          <w:bCs/>
                          <w:i w:val="0"/>
                          <w:iCs w:val="0"/>
                          <w:color w:val="auto"/>
                        </w:rPr>
                        <w:t>a)</w:t>
                      </w:r>
                      <w:r>
                        <w:rPr>
                          <w:rFonts w:ascii="Verdana" w:hAnsi="Verdana"/>
                          <w:i w:val="0"/>
                          <w:iCs w:val="0"/>
                          <w:color w:val="auto"/>
                        </w:rPr>
                        <w:t xml:space="preserve"> Quantification (top) and representative immunofluorescent images (bottom, green channel) for Tyrosine Hydroxylase. </w:t>
                      </w:r>
                      <w:r>
                        <w:rPr>
                          <w:rFonts w:ascii="Verdana" w:hAnsi="Verdana"/>
                          <w:b/>
                          <w:bCs/>
                          <w:i w:val="0"/>
                          <w:iCs w:val="0"/>
                          <w:color w:val="auto"/>
                        </w:rPr>
                        <w:t>b</w:t>
                      </w:r>
                      <w:r w:rsidRPr="00801E30">
                        <w:rPr>
                          <w:rFonts w:ascii="Verdana" w:hAnsi="Verdana"/>
                          <w:b/>
                          <w:bCs/>
                          <w:i w:val="0"/>
                          <w:iCs w:val="0"/>
                          <w:color w:val="auto"/>
                        </w:rPr>
                        <w:t>)</w:t>
                      </w:r>
                      <w:r>
                        <w:rPr>
                          <w:rFonts w:ascii="Verdana" w:hAnsi="Verdana"/>
                          <w:i w:val="0"/>
                          <w:iCs w:val="0"/>
                          <w:color w:val="auto"/>
                        </w:rPr>
                        <w:t xml:space="preserve"> Quantification (top) and representative immunofluorescent images (bottom, red channel) for Dopamine Transporter. </w:t>
                      </w:r>
                      <w:r w:rsidRPr="001C7621">
                        <w:rPr>
                          <w:rFonts w:ascii="Verdana" w:hAnsi="Verdana"/>
                          <w:b/>
                          <w:bCs/>
                          <w:i w:val="0"/>
                          <w:iCs w:val="0"/>
                          <w:color w:val="auto"/>
                        </w:rPr>
                        <w:t>c)</w:t>
                      </w:r>
                      <w:r>
                        <w:rPr>
                          <w:rFonts w:ascii="Verdana" w:hAnsi="Verdana"/>
                          <w:i w:val="0"/>
                          <w:iCs w:val="0"/>
                          <w:color w:val="auto"/>
                        </w:rPr>
                        <w:t xml:space="preserve"> Quantification of TH-positive neurons (top) and representative immunofluorescent images of the different levels of the Substantia Nigra (bottom).</w:t>
                      </w:r>
                    </w:p>
                    <w:p w14:paraId="1A6826FA" w14:textId="60660B44" w:rsidR="00DB085F" w:rsidRPr="00DB085F" w:rsidRDefault="00DB085F" w:rsidP="00DB085F">
                      <w:pPr>
                        <w:pStyle w:val="Caption"/>
                        <w:ind w:firstLine="0"/>
                        <w:jc w:val="both"/>
                        <w:rPr>
                          <w:rFonts w:ascii="Verdana" w:hAnsi="Verdana"/>
                          <w:i w:val="0"/>
                          <w:iCs w:val="0"/>
                          <w:color w:val="auto"/>
                        </w:rPr>
                      </w:pPr>
                      <w:r>
                        <w:rPr>
                          <w:rFonts w:ascii="Verdana" w:hAnsi="Verdana"/>
                          <w:i w:val="0"/>
                          <w:iCs w:val="0"/>
                          <w:color w:val="auto"/>
                        </w:rPr>
                        <w:t>N = 6 mice per group, all females. Stats: two-way ANOVA. * = p&lt; 0.05, ## = p&lt; 0.01, ### = p&lt;0.001. Scale bar = 30µm in a) and b), 100µm in c).</w:t>
                      </w:r>
                    </w:p>
                  </w:txbxContent>
                </v:textbox>
                <w10:wrap type="topAndBottom"/>
              </v:shape>
            </w:pict>
          </mc:Fallback>
        </mc:AlternateContent>
      </w:r>
      <w:r>
        <w:rPr>
          <w:noProof/>
          <w:lang w:val="en-GB"/>
        </w:rPr>
        <w:drawing>
          <wp:anchor distT="0" distB="0" distL="114300" distR="114300" simplePos="0" relativeHeight="251871232" behindDoc="0" locked="0" layoutInCell="1" allowOverlap="1" wp14:anchorId="710FCCD7" wp14:editId="73F88DB9">
            <wp:simplePos x="0" y="0"/>
            <wp:positionH relativeFrom="margin">
              <wp:align>right</wp:align>
            </wp:positionH>
            <wp:positionV relativeFrom="paragraph">
              <wp:posOffset>0</wp:posOffset>
            </wp:positionV>
            <wp:extent cx="5580380" cy="6212840"/>
            <wp:effectExtent l="0" t="0" r="1270" b="0"/>
            <wp:wrapTopAndBottom/>
            <wp:docPr id="21" name="Picture 2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iagra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580380" cy="6212840"/>
                    </a:xfrm>
                    <a:prstGeom prst="rect">
                      <a:avLst/>
                    </a:prstGeom>
                  </pic:spPr>
                </pic:pic>
              </a:graphicData>
            </a:graphic>
          </wp:anchor>
        </w:drawing>
      </w:r>
    </w:p>
    <w:p w14:paraId="0523DDA8" w14:textId="180B7B51" w:rsidR="00107BB2" w:rsidRPr="005747FC" w:rsidRDefault="005747FC" w:rsidP="005747FC">
      <w:pPr>
        <w:ind w:firstLine="0"/>
        <w:rPr>
          <w:rFonts w:ascii="Verdana" w:hAnsi="Verdana"/>
          <w:b/>
          <w:bCs/>
          <w:sz w:val="24"/>
          <w:szCs w:val="24"/>
          <w:lang w:val="en-GB"/>
        </w:rPr>
      </w:pPr>
      <w:r>
        <w:rPr>
          <w:rFonts w:ascii="Verdana" w:hAnsi="Verdana"/>
          <w:b/>
          <w:bCs/>
          <w:sz w:val="24"/>
          <w:szCs w:val="24"/>
          <w:lang w:val="en-GB"/>
        </w:rPr>
        <w:br w:type="page"/>
      </w:r>
    </w:p>
    <w:p w14:paraId="4B05A19A" w14:textId="32577967" w:rsidR="00CF4AA4" w:rsidRDefault="00A91A4B">
      <w:pPr>
        <w:ind w:firstLine="0"/>
        <w:rPr>
          <w:rFonts w:ascii="Verdana" w:eastAsiaTheme="majorEastAsia" w:hAnsi="Verdana" w:cstheme="majorBidi"/>
          <w:b/>
          <w:szCs w:val="24"/>
          <w:lang w:val="en-GB"/>
        </w:rPr>
      </w:pPr>
      <w:r>
        <w:rPr>
          <w:noProof/>
          <w:lang w:val="en-GB"/>
        </w:rPr>
        <w:lastRenderedPageBreak/>
        <w:drawing>
          <wp:anchor distT="0" distB="0" distL="114300" distR="114300" simplePos="0" relativeHeight="252017664" behindDoc="0" locked="0" layoutInCell="1" allowOverlap="1" wp14:anchorId="573009C0" wp14:editId="667ED733">
            <wp:simplePos x="0" y="0"/>
            <wp:positionH relativeFrom="margin">
              <wp:align>center</wp:align>
            </wp:positionH>
            <wp:positionV relativeFrom="paragraph">
              <wp:posOffset>0</wp:posOffset>
            </wp:positionV>
            <wp:extent cx="5380355" cy="2167255"/>
            <wp:effectExtent l="0" t="0" r="0" b="4445"/>
            <wp:wrapTopAndBottom/>
            <wp:docPr id="62" name="Picture 6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scatter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80355" cy="2167255"/>
                    </a:xfrm>
                    <a:prstGeom prst="rect">
                      <a:avLst/>
                    </a:prstGeom>
                  </pic:spPr>
                </pic:pic>
              </a:graphicData>
            </a:graphic>
            <wp14:sizeRelH relativeFrom="margin">
              <wp14:pctWidth>0</wp14:pctWidth>
            </wp14:sizeRelH>
            <wp14:sizeRelV relativeFrom="margin">
              <wp14:pctHeight>0</wp14:pctHeight>
            </wp14:sizeRelV>
          </wp:anchor>
        </w:drawing>
      </w:r>
      <w:r w:rsidR="00393061">
        <w:rPr>
          <w:noProof/>
        </w:rPr>
        <mc:AlternateContent>
          <mc:Choice Requires="wps">
            <w:drawing>
              <wp:anchor distT="0" distB="0" distL="114300" distR="114300" simplePos="0" relativeHeight="252016640" behindDoc="0" locked="0" layoutInCell="1" allowOverlap="1" wp14:anchorId="2360B815" wp14:editId="60767484">
                <wp:simplePos x="0" y="0"/>
                <wp:positionH relativeFrom="margin">
                  <wp:align>right</wp:align>
                </wp:positionH>
                <wp:positionV relativeFrom="paragraph">
                  <wp:posOffset>2334895</wp:posOffset>
                </wp:positionV>
                <wp:extent cx="5577840" cy="635"/>
                <wp:effectExtent l="0" t="0" r="3810" b="7620"/>
                <wp:wrapTopAndBottom/>
                <wp:docPr id="60" name="Text Box 60"/>
                <wp:cNvGraphicFramePr/>
                <a:graphic xmlns:a="http://schemas.openxmlformats.org/drawingml/2006/main">
                  <a:graphicData uri="http://schemas.microsoft.com/office/word/2010/wordprocessingShape">
                    <wps:wsp>
                      <wps:cNvSpPr txBox="1"/>
                      <wps:spPr>
                        <a:xfrm>
                          <a:off x="0" y="0"/>
                          <a:ext cx="5577840" cy="635"/>
                        </a:xfrm>
                        <a:prstGeom prst="rect">
                          <a:avLst/>
                        </a:prstGeom>
                        <a:solidFill>
                          <a:prstClr val="white"/>
                        </a:solidFill>
                        <a:ln>
                          <a:noFill/>
                        </a:ln>
                      </wps:spPr>
                      <wps:txbx>
                        <w:txbxContent>
                          <w:p w14:paraId="3E031400" w14:textId="32957829" w:rsidR="00393061" w:rsidRPr="00622B26" w:rsidRDefault="00393061" w:rsidP="00622B26">
                            <w:pPr>
                              <w:pStyle w:val="Caption"/>
                              <w:ind w:firstLine="0"/>
                              <w:jc w:val="both"/>
                              <w:rPr>
                                <w:rFonts w:ascii="Verdana" w:hAnsi="Verdana"/>
                                <w:i w:val="0"/>
                                <w:iCs w:val="0"/>
                                <w:color w:val="000000" w:themeColor="text1"/>
                              </w:rPr>
                            </w:pPr>
                            <w:bookmarkStart w:id="70" w:name="_Toc131412750"/>
                            <w:r w:rsidRPr="00622B26">
                              <w:rPr>
                                <w:rFonts w:ascii="Verdana" w:hAnsi="Verdana"/>
                                <w:b/>
                                <w:bCs/>
                                <w:i w:val="0"/>
                                <w:iCs w:val="0"/>
                                <w:color w:val="000000" w:themeColor="text1"/>
                              </w:rPr>
                              <w:t xml:space="preserve">Figure </w:t>
                            </w:r>
                            <w:r w:rsidRPr="00622B26">
                              <w:rPr>
                                <w:rFonts w:ascii="Verdana" w:hAnsi="Verdana"/>
                                <w:b/>
                                <w:bCs/>
                                <w:i w:val="0"/>
                                <w:iCs w:val="0"/>
                                <w:color w:val="000000" w:themeColor="text1"/>
                              </w:rPr>
                              <w:fldChar w:fldCharType="begin"/>
                            </w:r>
                            <w:r w:rsidRPr="00622B26">
                              <w:rPr>
                                <w:rFonts w:ascii="Verdana" w:hAnsi="Verdana"/>
                                <w:b/>
                                <w:bCs/>
                                <w:i w:val="0"/>
                                <w:iCs w:val="0"/>
                                <w:color w:val="000000" w:themeColor="text1"/>
                              </w:rPr>
                              <w:instrText xml:space="preserve"> SEQ Figure \* ARABIC </w:instrText>
                            </w:r>
                            <w:r w:rsidRPr="00622B26">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8</w:t>
                            </w:r>
                            <w:r w:rsidRPr="00622B26">
                              <w:rPr>
                                <w:rFonts w:ascii="Verdana" w:hAnsi="Verdana"/>
                                <w:b/>
                                <w:bCs/>
                                <w:i w:val="0"/>
                                <w:iCs w:val="0"/>
                                <w:color w:val="000000" w:themeColor="text1"/>
                              </w:rPr>
                              <w:fldChar w:fldCharType="end"/>
                            </w:r>
                            <w:r w:rsidR="00622B26" w:rsidRPr="00622B26">
                              <w:rPr>
                                <w:rFonts w:ascii="Verdana" w:hAnsi="Verdana"/>
                                <w:b/>
                                <w:bCs/>
                                <w:i w:val="0"/>
                                <w:iCs w:val="0"/>
                                <w:color w:val="000000" w:themeColor="text1"/>
                              </w:rPr>
                              <w:t xml:space="preserve"> </w:t>
                            </w:r>
                            <w:r w:rsidRPr="00622B26">
                              <w:rPr>
                                <w:rFonts w:ascii="Verdana" w:hAnsi="Verdana"/>
                                <w:color w:val="000000" w:themeColor="text1"/>
                              </w:rPr>
                              <w:t xml:space="preserve"> </w:t>
                            </w:r>
                            <w:r w:rsidR="00A91A4B">
                              <w:rPr>
                                <w:rFonts w:ascii="Verdana" w:hAnsi="Verdana"/>
                                <w:i w:val="0"/>
                                <w:iCs w:val="0"/>
                                <w:color w:val="000000" w:themeColor="text1"/>
                              </w:rPr>
                              <w:t>T</w:t>
                            </w:r>
                            <w:r w:rsidR="00892AFA" w:rsidRPr="00622B26">
                              <w:rPr>
                                <w:rFonts w:ascii="Verdana" w:hAnsi="Verdana"/>
                                <w:i w:val="0"/>
                                <w:iCs w:val="0"/>
                                <w:color w:val="000000" w:themeColor="text1"/>
                              </w:rPr>
                              <w:t>ransgenic alpha-synuclein</w:t>
                            </w:r>
                            <w:r w:rsidR="00A91A4B">
                              <w:rPr>
                                <w:rFonts w:ascii="Verdana" w:hAnsi="Verdana"/>
                                <w:i w:val="0"/>
                                <w:iCs w:val="0"/>
                                <w:color w:val="000000" w:themeColor="text1"/>
                              </w:rPr>
                              <w:t xml:space="preserve"> levels directly correlate with striatal neurodegeneration.</w:t>
                            </w:r>
                            <w:bookmarkEnd w:id="70"/>
                          </w:p>
                          <w:p w14:paraId="3DAEB73F" w14:textId="605D61AD" w:rsidR="00892AFA" w:rsidRPr="00A91A4B" w:rsidRDefault="00A91A4B" w:rsidP="00A91A4B">
                            <w:pPr>
                              <w:ind w:firstLine="0"/>
                              <w:jc w:val="both"/>
                              <w:rPr>
                                <w:rFonts w:ascii="Verdana" w:hAnsi="Verdana"/>
                                <w:color w:val="000000" w:themeColor="text1"/>
                                <w:sz w:val="18"/>
                                <w:szCs w:val="18"/>
                              </w:rPr>
                            </w:pPr>
                            <w:r w:rsidRPr="00A91A4B">
                              <w:rPr>
                                <w:rFonts w:ascii="Verdana" w:hAnsi="Verdana"/>
                                <w:b/>
                                <w:bCs/>
                                <w:color w:val="000000" w:themeColor="text1"/>
                                <w:sz w:val="18"/>
                                <w:szCs w:val="18"/>
                              </w:rPr>
                              <w:t>(A</w:t>
                            </w:r>
                            <w:r w:rsidRPr="00487BD9">
                              <w:rPr>
                                <w:rFonts w:ascii="Verdana" w:hAnsi="Verdana"/>
                                <w:b/>
                                <w:bCs/>
                                <w:color w:val="000000" w:themeColor="text1"/>
                                <w:sz w:val="18"/>
                                <w:szCs w:val="18"/>
                              </w:rPr>
                              <w:t xml:space="preserve">) </w:t>
                            </w:r>
                            <w:r w:rsidR="00487BD9" w:rsidRPr="00487BD9">
                              <w:rPr>
                                <w:rFonts w:ascii="Verdana" w:hAnsi="Verdana"/>
                                <w:color w:val="000000" w:themeColor="text1"/>
                                <w:sz w:val="18"/>
                                <w:szCs w:val="18"/>
                              </w:rPr>
                              <w:t>N = 6</w:t>
                            </w:r>
                            <w:r w:rsidR="00487BD9">
                              <w:rPr>
                                <w:rFonts w:ascii="Verdana" w:hAnsi="Verdana"/>
                                <w:color w:val="000000" w:themeColor="text1"/>
                                <w:sz w:val="18"/>
                                <w:szCs w:val="18"/>
                              </w:rPr>
                              <w:t>. Mice were 13</w:t>
                            </w:r>
                            <w:r w:rsidR="009C4E8F">
                              <w:rPr>
                                <w:rFonts w:ascii="Verdana" w:hAnsi="Verdana"/>
                                <w:color w:val="000000" w:themeColor="text1"/>
                                <w:sz w:val="18"/>
                                <w:szCs w:val="18"/>
                              </w:rPr>
                              <w:t xml:space="preserve"> </w:t>
                            </w:r>
                            <w:r w:rsidR="00487BD9">
                              <w:rPr>
                                <w:rFonts w:ascii="Verdana" w:hAnsi="Verdana"/>
                                <w:color w:val="000000" w:themeColor="text1"/>
                                <w:sz w:val="18"/>
                                <w:szCs w:val="18"/>
                              </w:rPr>
                              <w:t>months</w:t>
                            </w:r>
                            <w:r w:rsidR="009C4E8F">
                              <w:rPr>
                                <w:rFonts w:ascii="Verdana" w:hAnsi="Verdana"/>
                                <w:color w:val="000000" w:themeColor="text1"/>
                                <w:sz w:val="18"/>
                                <w:szCs w:val="18"/>
                              </w:rPr>
                              <w:t xml:space="preserve"> </w:t>
                            </w:r>
                            <w:r w:rsidR="00487BD9">
                              <w:rPr>
                                <w:rFonts w:ascii="Verdana" w:hAnsi="Verdana"/>
                                <w:color w:val="000000" w:themeColor="text1"/>
                                <w:sz w:val="18"/>
                                <w:szCs w:val="18"/>
                              </w:rPr>
                              <w:t>old</w:t>
                            </w:r>
                            <w:r w:rsidR="009C4E8F">
                              <w:rPr>
                                <w:rFonts w:ascii="Verdana" w:hAnsi="Verdana"/>
                                <w:color w:val="000000" w:themeColor="text1"/>
                                <w:sz w:val="18"/>
                                <w:szCs w:val="18"/>
                              </w:rPr>
                              <w:t xml:space="preserve">. Stats: Spearman, two-tailed. </w:t>
                            </w:r>
                            <w:r w:rsidR="00487BD9" w:rsidRPr="00487BD9">
                              <w:rPr>
                                <w:rFonts w:ascii="Verdana" w:hAnsi="Verdana"/>
                                <w:b/>
                                <w:bCs/>
                                <w:color w:val="000000" w:themeColor="text1"/>
                                <w:sz w:val="18"/>
                                <w:szCs w:val="18"/>
                              </w:rPr>
                              <w:t>(B)</w:t>
                            </w:r>
                            <w:r w:rsidRPr="00A91A4B">
                              <w:rPr>
                                <w:rFonts w:ascii="Verdana" w:hAnsi="Verdana"/>
                                <w:color w:val="000000" w:themeColor="text1"/>
                                <w:sz w:val="18"/>
                                <w:szCs w:val="18"/>
                              </w:rPr>
                              <w:t xml:space="preserve"> </w:t>
                            </w:r>
                            <w:r w:rsidR="00EA14B2" w:rsidRPr="00A91A4B">
                              <w:rPr>
                                <w:rFonts w:ascii="Verdana" w:hAnsi="Verdana"/>
                                <w:color w:val="000000" w:themeColor="text1"/>
                                <w:sz w:val="18"/>
                                <w:szCs w:val="18"/>
                              </w:rPr>
                              <w:t xml:space="preserve">N = 7. </w:t>
                            </w:r>
                            <w:r w:rsidR="00892AFA" w:rsidRPr="00A91A4B">
                              <w:rPr>
                                <w:rFonts w:ascii="Verdana" w:hAnsi="Verdana"/>
                                <w:color w:val="000000" w:themeColor="text1"/>
                                <w:sz w:val="18"/>
                                <w:szCs w:val="18"/>
                              </w:rPr>
                              <w:t>Mice were 13 months old. Stats: Pearso</w:t>
                            </w:r>
                            <w:r w:rsidR="009C4E8F">
                              <w:rPr>
                                <w:rFonts w:ascii="Verdana" w:hAnsi="Verdana"/>
                                <w:color w:val="000000" w:themeColor="text1"/>
                                <w:sz w:val="18"/>
                                <w:szCs w:val="18"/>
                              </w:rPr>
                              <w:t>n</w:t>
                            </w:r>
                            <w:r w:rsidR="00622B26" w:rsidRPr="00A91A4B">
                              <w:rPr>
                                <w:rFonts w:ascii="Verdana" w:hAnsi="Verdana"/>
                                <w:color w:val="000000" w:themeColor="text1"/>
                                <w:sz w:val="18"/>
                                <w:szCs w:val="18"/>
                              </w:rPr>
                              <w:t>,</w:t>
                            </w:r>
                            <w:r w:rsidR="00892AFA" w:rsidRPr="00A91A4B">
                              <w:rPr>
                                <w:rFonts w:ascii="Verdana" w:hAnsi="Verdana"/>
                                <w:color w:val="000000" w:themeColor="text1"/>
                                <w:sz w:val="18"/>
                                <w:szCs w:val="18"/>
                              </w:rPr>
                              <w:t xml:space="preserve"> </w:t>
                            </w:r>
                            <w:r w:rsidR="00622B26" w:rsidRPr="00A91A4B">
                              <w:rPr>
                                <w:rFonts w:ascii="Verdana" w:hAnsi="Verdana"/>
                                <w:color w:val="000000" w:themeColor="text1"/>
                                <w:sz w:val="18"/>
                                <w:szCs w:val="18"/>
                              </w:rPr>
                              <w:t>one-tailed.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60B815" id="Text Box 60" o:spid="_x0000_s1036" type="#_x0000_t202" style="position:absolute;margin-left:388pt;margin-top:183.85pt;width:439.2pt;height:.05pt;z-index:252016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" stroked="f">
                <v:textbox style="mso-fit-shape-to-text:t" inset="0,0,0,0">
                  <w:txbxContent>
                    <w:p w14:paraId="3E031400" w14:textId="32957829" w:rsidR="00393061" w:rsidRPr="00622B26" w:rsidRDefault="00393061" w:rsidP="00622B26">
                      <w:pPr>
                        <w:pStyle w:val="Caption"/>
                        <w:ind w:firstLine="0"/>
                        <w:jc w:val="both"/>
                        <w:rPr>
                          <w:rFonts w:ascii="Verdana" w:hAnsi="Verdana"/>
                          <w:i w:val="0"/>
                          <w:iCs w:val="0"/>
                          <w:color w:val="000000" w:themeColor="text1"/>
                        </w:rPr>
                      </w:pPr>
                      <w:bookmarkStart w:id="71" w:name="_Toc131412750"/>
                      <w:r w:rsidRPr="00622B26">
                        <w:rPr>
                          <w:rFonts w:ascii="Verdana" w:hAnsi="Verdana"/>
                          <w:b/>
                          <w:bCs/>
                          <w:i w:val="0"/>
                          <w:iCs w:val="0"/>
                          <w:color w:val="000000" w:themeColor="text1"/>
                        </w:rPr>
                        <w:t xml:space="preserve">Figure </w:t>
                      </w:r>
                      <w:r w:rsidRPr="00622B26">
                        <w:rPr>
                          <w:rFonts w:ascii="Verdana" w:hAnsi="Verdana"/>
                          <w:b/>
                          <w:bCs/>
                          <w:i w:val="0"/>
                          <w:iCs w:val="0"/>
                          <w:color w:val="000000" w:themeColor="text1"/>
                        </w:rPr>
                        <w:fldChar w:fldCharType="begin"/>
                      </w:r>
                      <w:r w:rsidRPr="00622B26">
                        <w:rPr>
                          <w:rFonts w:ascii="Verdana" w:hAnsi="Verdana"/>
                          <w:b/>
                          <w:bCs/>
                          <w:i w:val="0"/>
                          <w:iCs w:val="0"/>
                          <w:color w:val="000000" w:themeColor="text1"/>
                        </w:rPr>
                        <w:instrText xml:space="preserve"> SEQ Figure \* ARABIC </w:instrText>
                      </w:r>
                      <w:r w:rsidRPr="00622B26">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8</w:t>
                      </w:r>
                      <w:r w:rsidRPr="00622B26">
                        <w:rPr>
                          <w:rFonts w:ascii="Verdana" w:hAnsi="Verdana"/>
                          <w:b/>
                          <w:bCs/>
                          <w:i w:val="0"/>
                          <w:iCs w:val="0"/>
                          <w:color w:val="000000" w:themeColor="text1"/>
                        </w:rPr>
                        <w:fldChar w:fldCharType="end"/>
                      </w:r>
                      <w:r w:rsidR="00622B26" w:rsidRPr="00622B26">
                        <w:rPr>
                          <w:rFonts w:ascii="Verdana" w:hAnsi="Verdana"/>
                          <w:b/>
                          <w:bCs/>
                          <w:i w:val="0"/>
                          <w:iCs w:val="0"/>
                          <w:color w:val="000000" w:themeColor="text1"/>
                        </w:rPr>
                        <w:t xml:space="preserve"> </w:t>
                      </w:r>
                      <w:r w:rsidRPr="00622B26">
                        <w:rPr>
                          <w:rFonts w:ascii="Verdana" w:hAnsi="Verdana"/>
                          <w:color w:val="000000" w:themeColor="text1"/>
                        </w:rPr>
                        <w:t xml:space="preserve"> </w:t>
                      </w:r>
                      <w:r w:rsidR="00A91A4B">
                        <w:rPr>
                          <w:rFonts w:ascii="Verdana" w:hAnsi="Verdana"/>
                          <w:i w:val="0"/>
                          <w:iCs w:val="0"/>
                          <w:color w:val="000000" w:themeColor="text1"/>
                        </w:rPr>
                        <w:t>T</w:t>
                      </w:r>
                      <w:r w:rsidR="00892AFA" w:rsidRPr="00622B26">
                        <w:rPr>
                          <w:rFonts w:ascii="Verdana" w:hAnsi="Verdana"/>
                          <w:i w:val="0"/>
                          <w:iCs w:val="0"/>
                          <w:color w:val="000000" w:themeColor="text1"/>
                        </w:rPr>
                        <w:t>ransgenic alpha-synuclein</w:t>
                      </w:r>
                      <w:r w:rsidR="00A91A4B">
                        <w:rPr>
                          <w:rFonts w:ascii="Verdana" w:hAnsi="Verdana"/>
                          <w:i w:val="0"/>
                          <w:iCs w:val="0"/>
                          <w:color w:val="000000" w:themeColor="text1"/>
                        </w:rPr>
                        <w:t xml:space="preserve"> levels directly correlate with striatal neurodegeneration.</w:t>
                      </w:r>
                      <w:bookmarkEnd w:id="71"/>
                    </w:p>
                    <w:p w14:paraId="3DAEB73F" w14:textId="605D61AD" w:rsidR="00892AFA" w:rsidRPr="00A91A4B" w:rsidRDefault="00A91A4B" w:rsidP="00A91A4B">
                      <w:pPr>
                        <w:ind w:firstLine="0"/>
                        <w:jc w:val="both"/>
                        <w:rPr>
                          <w:rFonts w:ascii="Verdana" w:hAnsi="Verdana"/>
                          <w:color w:val="000000" w:themeColor="text1"/>
                          <w:sz w:val="18"/>
                          <w:szCs w:val="18"/>
                        </w:rPr>
                      </w:pPr>
                      <w:r w:rsidRPr="00A91A4B">
                        <w:rPr>
                          <w:rFonts w:ascii="Verdana" w:hAnsi="Verdana"/>
                          <w:b/>
                          <w:bCs/>
                          <w:color w:val="000000" w:themeColor="text1"/>
                          <w:sz w:val="18"/>
                          <w:szCs w:val="18"/>
                        </w:rPr>
                        <w:t>(A</w:t>
                      </w:r>
                      <w:r w:rsidRPr="00487BD9">
                        <w:rPr>
                          <w:rFonts w:ascii="Verdana" w:hAnsi="Verdana"/>
                          <w:b/>
                          <w:bCs/>
                          <w:color w:val="000000" w:themeColor="text1"/>
                          <w:sz w:val="18"/>
                          <w:szCs w:val="18"/>
                        </w:rPr>
                        <w:t xml:space="preserve">) </w:t>
                      </w:r>
                      <w:r w:rsidR="00487BD9" w:rsidRPr="00487BD9">
                        <w:rPr>
                          <w:rFonts w:ascii="Verdana" w:hAnsi="Verdana"/>
                          <w:color w:val="000000" w:themeColor="text1"/>
                          <w:sz w:val="18"/>
                          <w:szCs w:val="18"/>
                        </w:rPr>
                        <w:t>N = 6</w:t>
                      </w:r>
                      <w:r w:rsidR="00487BD9">
                        <w:rPr>
                          <w:rFonts w:ascii="Verdana" w:hAnsi="Verdana"/>
                          <w:color w:val="000000" w:themeColor="text1"/>
                          <w:sz w:val="18"/>
                          <w:szCs w:val="18"/>
                        </w:rPr>
                        <w:t>. Mice were 13</w:t>
                      </w:r>
                      <w:r w:rsidR="009C4E8F">
                        <w:rPr>
                          <w:rFonts w:ascii="Verdana" w:hAnsi="Verdana"/>
                          <w:color w:val="000000" w:themeColor="text1"/>
                          <w:sz w:val="18"/>
                          <w:szCs w:val="18"/>
                        </w:rPr>
                        <w:t xml:space="preserve"> </w:t>
                      </w:r>
                      <w:r w:rsidR="00487BD9">
                        <w:rPr>
                          <w:rFonts w:ascii="Verdana" w:hAnsi="Verdana"/>
                          <w:color w:val="000000" w:themeColor="text1"/>
                          <w:sz w:val="18"/>
                          <w:szCs w:val="18"/>
                        </w:rPr>
                        <w:t>months</w:t>
                      </w:r>
                      <w:r w:rsidR="009C4E8F">
                        <w:rPr>
                          <w:rFonts w:ascii="Verdana" w:hAnsi="Verdana"/>
                          <w:color w:val="000000" w:themeColor="text1"/>
                          <w:sz w:val="18"/>
                          <w:szCs w:val="18"/>
                        </w:rPr>
                        <w:t xml:space="preserve"> </w:t>
                      </w:r>
                      <w:r w:rsidR="00487BD9">
                        <w:rPr>
                          <w:rFonts w:ascii="Verdana" w:hAnsi="Verdana"/>
                          <w:color w:val="000000" w:themeColor="text1"/>
                          <w:sz w:val="18"/>
                          <w:szCs w:val="18"/>
                        </w:rPr>
                        <w:t>old</w:t>
                      </w:r>
                      <w:r w:rsidR="009C4E8F">
                        <w:rPr>
                          <w:rFonts w:ascii="Verdana" w:hAnsi="Verdana"/>
                          <w:color w:val="000000" w:themeColor="text1"/>
                          <w:sz w:val="18"/>
                          <w:szCs w:val="18"/>
                        </w:rPr>
                        <w:t xml:space="preserve">. Stats: Spearman, two-tailed. </w:t>
                      </w:r>
                      <w:r w:rsidR="00487BD9" w:rsidRPr="00487BD9">
                        <w:rPr>
                          <w:rFonts w:ascii="Verdana" w:hAnsi="Verdana"/>
                          <w:b/>
                          <w:bCs/>
                          <w:color w:val="000000" w:themeColor="text1"/>
                          <w:sz w:val="18"/>
                          <w:szCs w:val="18"/>
                        </w:rPr>
                        <w:t>(B)</w:t>
                      </w:r>
                      <w:r w:rsidRPr="00A91A4B">
                        <w:rPr>
                          <w:rFonts w:ascii="Verdana" w:hAnsi="Verdana"/>
                          <w:color w:val="000000" w:themeColor="text1"/>
                          <w:sz w:val="18"/>
                          <w:szCs w:val="18"/>
                        </w:rPr>
                        <w:t xml:space="preserve"> </w:t>
                      </w:r>
                      <w:r w:rsidR="00EA14B2" w:rsidRPr="00A91A4B">
                        <w:rPr>
                          <w:rFonts w:ascii="Verdana" w:hAnsi="Verdana"/>
                          <w:color w:val="000000" w:themeColor="text1"/>
                          <w:sz w:val="18"/>
                          <w:szCs w:val="18"/>
                        </w:rPr>
                        <w:t xml:space="preserve">N = 7. </w:t>
                      </w:r>
                      <w:r w:rsidR="00892AFA" w:rsidRPr="00A91A4B">
                        <w:rPr>
                          <w:rFonts w:ascii="Verdana" w:hAnsi="Verdana"/>
                          <w:color w:val="000000" w:themeColor="text1"/>
                          <w:sz w:val="18"/>
                          <w:szCs w:val="18"/>
                        </w:rPr>
                        <w:t>Mice were 13 months old. Stats: Pearso</w:t>
                      </w:r>
                      <w:r w:rsidR="009C4E8F">
                        <w:rPr>
                          <w:rFonts w:ascii="Verdana" w:hAnsi="Verdana"/>
                          <w:color w:val="000000" w:themeColor="text1"/>
                          <w:sz w:val="18"/>
                          <w:szCs w:val="18"/>
                        </w:rPr>
                        <w:t>n</w:t>
                      </w:r>
                      <w:r w:rsidR="00622B26" w:rsidRPr="00A91A4B">
                        <w:rPr>
                          <w:rFonts w:ascii="Verdana" w:hAnsi="Verdana"/>
                          <w:color w:val="000000" w:themeColor="text1"/>
                          <w:sz w:val="18"/>
                          <w:szCs w:val="18"/>
                        </w:rPr>
                        <w:t>,</w:t>
                      </w:r>
                      <w:r w:rsidR="00892AFA" w:rsidRPr="00A91A4B">
                        <w:rPr>
                          <w:rFonts w:ascii="Verdana" w:hAnsi="Verdana"/>
                          <w:color w:val="000000" w:themeColor="text1"/>
                          <w:sz w:val="18"/>
                          <w:szCs w:val="18"/>
                        </w:rPr>
                        <w:t xml:space="preserve"> </w:t>
                      </w:r>
                      <w:r w:rsidR="00622B26" w:rsidRPr="00A91A4B">
                        <w:rPr>
                          <w:rFonts w:ascii="Verdana" w:hAnsi="Verdana"/>
                          <w:color w:val="000000" w:themeColor="text1"/>
                          <w:sz w:val="18"/>
                          <w:szCs w:val="18"/>
                        </w:rPr>
                        <w:t>one-tailed.</w:t>
                      </w:r>
                    </w:p>
                  </w:txbxContent>
                </v:textbox>
                <w10:wrap type="topAndBottom" anchorx="margin"/>
              </v:shape>
            </w:pict>
          </mc:Fallback>
        </mc:AlternateContent>
      </w:r>
      <w:r w:rsidR="00CF4AA4">
        <w:rPr>
          <w:lang w:val="en-GB"/>
        </w:rPr>
        <w:br w:type="page"/>
      </w:r>
    </w:p>
    <w:p w14:paraId="0CE5D30C" w14:textId="75929D60" w:rsidR="005747FC" w:rsidRPr="00F30601" w:rsidRDefault="00107BB2" w:rsidP="00767F9D">
      <w:pPr>
        <w:pStyle w:val="Heading3"/>
        <w:rPr>
          <w:lang w:val="en-GB"/>
        </w:rPr>
      </w:pPr>
      <w:r w:rsidRPr="00F30601">
        <w:rPr>
          <w:lang w:val="en-GB"/>
        </w:rPr>
        <w:lastRenderedPageBreak/>
        <w:t xml:space="preserve"> </w:t>
      </w:r>
      <w:bookmarkStart w:id="72" w:name="_Toc130223431"/>
      <w:r w:rsidR="009E5729">
        <w:rPr>
          <w:lang w:val="en-GB"/>
        </w:rPr>
        <w:t>3.3</w:t>
      </w:r>
      <w:r w:rsidR="009E5729">
        <w:rPr>
          <w:lang w:val="en-GB"/>
        </w:rPr>
        <w:tab/>
      </w:r>
      <w:r w:rsidR="00241CF7" w:rsidRPr="00F30601">
        <w:rPr>
          <w:lang w:val="en-GB"/>
        </w:rPr>
        <w:t>Gene expression deregulation</w:t>
      </w:r>
      <w:r w:rsidR="00CB0DB5" w:rsidRPr="00F30601">
        <w:rPr>
          <w:lang w:val="en-GB"/>
        </w:rPr>
        <w:t xml:space="preserve"> in the midbrain</w:t>
      </w:r>
      <w:r w:rsidR="00241CF7" w:rsidRPr="00F30601">
        <w:rPr>
          <w:lang w:val="en-GB"/>
        </w:rPr>
        <w:t xml:space="preserve"> la</w:t>
      </w:r>
      <w:r w:rsidR="00CB0DB5" w:rsidRPr="00F30601">
        <w:rPr>
          <w:lang w:val="en-GB"/>
        </w:rPr>
        <w:t>rgely precedes striatal neurodegeneration in SNCA*E46K heterozygous mice</w:t>
      </w:r>
      <w:bookmarkEnd w:id="72"/>
    </w:p>
    <w:p w14:paraId="51B524BC" w14:textId="77777777" w:rsidR="00FE01D7" w:rsidRDefault="00BD12A8" w:rsidP="00073BBB">
      <w:pPr>
        <w:spacing w:line="360" w:lineRule="auto"/>
        <w:jc w:val="both"/>
        <w:rPr>
          <w:rFonts w:ascii="Verdana" w:hAnsi="Verdana"/>
          <w:lang w:val="en-GB"/>
        </w:rPr>
      </w:pPr>
      <w:r>
        <w:rPr>
          <w:rFonts w:ascii="Verdana" w:hAnsi="Verdana"/>
          <w:lang w:val="en-GB"/>
        </w:rPr>
        <w:t xml:space="preserve">Differential gene expression analysis was performed </w:t>
      </w:r>
      <w:r w:rsidR="00497CCC">
        <w:rPr>
          <w:rFonts w:ascii="Verdana" w:hAnsi="Verdana"/>
          <w:lang w:val="en-GB"/>
        </w:rPr>
        <w:t xml:space="preserve">comparing HET and WT mice at each time point. The highest number of differentially expressed genes (DEGs) was detected at 3 months of age (584 DEGs), while only 5 genes were differentially expressed at 9-months and none at 13-months old mice. The DEGs </w:t>
      </w:r>
      <w:r w:rsidR="000B5234">
        <w:rPr>
          <w:rFonts w:ascii="Verdana" w:hAnsi="Verdana"/>
          <w:lang w:val="en-GB"/>
        </w:rPr>
        <w:t xml:space="preserve">at 9-months did not show any overlap with those at 3-months of age (Figure </w:t>
      </w:r>
      <w:r w:rsidR="00123E83">
        <w:rPr>
          <w:rFonts w:ascii="Verdana" w:hAnsi="Verdana"/>
          <w:lang w:val="en-GB"/>
        </w:rPr>
        <w:t>8</w:t>
      </w:r>
      <w:r w:rsidR="000B5234">
        <w:rPr>
          <w:rFonts w:ascii="Verdana" w:hAnsi="Verdana"/>
          <w:lang w:val="en-GB"/>
        </w:rPr>
        <w:t>a).</w:t>
      </w:r>
    </w:p>
    <w:p w14:paraId="36BF2FB2" w14:textId="3AF60C02" w:rsidR="00A75E69" w:rsidRDefault="00A75E69" w:rsidP="00073BBB">
      <w:pPr>
        <w:spacing w:line="360" w:lineRule="auto"/>
        <w:jc w:val="both"/>
        <w:rPr>
          <w:rFonts w:ascii="Verdana" w:hAnsi="Verdana"/>
          <w:lang w:val="en-GB"/>
        </w:rPr>
      </w:pPr>
      <w:r>
        <w:rPr>
          <w:rFonts w:ascii="Verdana" w:hAnsi="Verdana"/>
          <w:lang w:val="en-GB"/>
        </w:rPr>
        <w:t>Pathway</w:t>
      </w:r>
      <w:r w:rsidR="00585E3F">
        <w:rPr>
          <w:rFonts w:ascii="Verdana" w:hAnsi="Verdana"/>
          <w:lang w:val="en-GB"/>
        </w:rPr>
        <w:t xml:space="preserve"> </w:t>
      </w:r>
      <w:r>
        <w:rPr>
          <w:rFonts w:ascii="Verdana" w:hAnsi="Verdana"/>
          <w:lang w:val="en-GB"/>
        </w:rPr>
        <w:t xml:space="preserve">analyses of the 584 DEGs identified at 3 months showed an </w:t>
      </w:r>
      <w:r w:rsidR="00585E3F">
        <w:rPr>
          <w:rFonts w:ascii="Verdana" w:hAnsi="Verdana"/>
          <w:lang w:val="en-GB"/>
        </w:rPr>
        <w:t xml:space="preserve">alteration of serotonin and glutamate neurotransmission, </w:t>
      </w:r>
      <w:r w:rsidR="00856633">
        <w:rPr>
          <w:rFonts w:ascii="Verdana" w:hAnsi="Verdana"/>
          <w:lang w:val="en-GB"/>
        </w:rPr>
        <w:t>which have been shown to</w:t>
      </w:r>
      <w:r w:rsidR="00585E3F">
        <w:rPr>
          <w:rFonts w:ascii="Verdana" w:hAnsi="Verdana"/>
          <w:lang w:val="en-GB"/>
        </w:rPr>
        <w:t xml:space="preserve"> regulate</w:t>
      </w:r>
      <w:r w:rsidR="00856633">
        <w:rPr>
          <w:rFonts w:ascii="Verdana" w:hAnsi="Verdana"/>
          <w:lang w:val="en-GB"/>
        </w:rPr>
        <w:t xml:space="preserve"> </w:t>
      </w:r>
      <w:r w:rsidR="0080570F">
        <w:rPr>
          <w:rFonts w:ascii="Verdana" w:hAnsi="Verdana"/>
          <w:lang w:val="en-GB"/>
        </w:rPr>
        <w:t>dopaminergic neurons</w:t>
      </w:r>
      <w:r w:rsidR="00856633">
        <w:rPr>
          <w:rFonts w:ascii="Verdana" w:hAnsi="Verdana"/>
          <w:lang w:val="en-GB"/>
        </w:rPr>
        <w:t>’ firing</w:t>
      </w:r>
      <w:r w:rsidR="0080570F">
        <w:rPr>
          <w:rFonts w:ascii="Verdana" w:hAnsi="Verdana"/>
          <w:lang w:val="en-GB"/>
        </w:rPr>
        <w:t xml:space="preserve">. </w:t>
      </w:r>
      <w:r w:rsidR="00856633">
        <w:rPr>
          <w:rFonts w:ascii="Verdana" w:hAnsi="Verdana"/>
          <w:lang w:val="en-GB"/>
        </w:rPr>
        <w:t>We also identified the</w:t>
      </w:r>
      <w:r w:rsidR="0080570F">
        <w:rPr>
          <w:rFonts w:ascii="Verdana" w:hAnsi="Verdana"/>
          <w:lang w:val="en-GB"/>
        </w:rPr>
        <w:t xml:space="preserve"> G-protein-coupled receptor (GPCR) signalling </w:t>
      </w:r>
      <w:r w:rsidR="00856633">
        <w:rPr>
          <w:rFonts w:ascii="Verdana" w:hAnsi="Verdana"/>
          <w:lang w:val="en-GB"/>
        </w:rPr>
        <w:t>pathway as predominantly deregulated</w:t>
      </w:r>
      <w:r w:rsidR="0080570F">
        <w:rPr>
          <w:rFonts w:ascii="Verdana" w:hAnsi="Verdana"/>
          <w:lang w:val="en-GB"/>
        </w:rPr>
        <w:t xml:space="preserve">; </w:t>
      </w:r>
      <w:r w:rsidR="00000EAE">
        <w:rPr>
          <w:rFonts w:ascii="Verdana" w:hAnsi="Verdana"/>
          <w:lang w:val="en-GB"/>
        </w:rPr>
        <w:t xml:space="preserve">interestingly, </w:t>
      </w:r>
      <w:r w:rsidR="009B6E70">
        <w:rPr>
          <w:rFonts w:ascii="Verdana" w:hAnsi="Verdana"/>
          <w:lang w:val="en-GB"/>
        </w:rPr>
        <w:t>some GPCRs are known to be involved in modulating the activity of nigral neurons,</w:t>
      </w:r>
      <w:r w:rsidR="00000EAE">
        <w:rPr>
          <w:rFonts w:ascii="Verdana" w:hAnsi="Verdana"/>
          <w:lang w:val="en-GB"/>
        </w:rPr>
        <w:t xml:space="preserve"> dopamine D2 receptors </w:t>
      </w:r>
      <w:r w:rsidR="003E2C6E">
        <w:rPr>
          <w:rFonts w:ascii="Verdana" w:hAnsi="Verdana"/>
          <w:lang w:val="en-GB"/>
        </w:rPr>
        <w:t>can act as</w:t>
      </w:r>
      <w:r w:rsidR="00000EAE">
        <w:rPr>
          <w:rFonts w:ascii="Verdana" w:hAnsi="Verdana"/>
          <w:lang w:val="en-GB"/>
        </w:rPr>
        <w:t xml:space="preserve"> GPCRs</w:t>
      </w:r>
      <w:r w:rsidR="003E2C6E">
        <w:rPr>
          <w:rFonts w:ascii="Verdana" w:hAnsi="Verdana"/>
          <w:lang w:val="en-GB"/>
        </w:rPr>
        <w:t>,</w:t>
      </w:r>
      <w:r w:rsidR="00000EAE">
        <w:rPr>
          <w:rFonts w:ascii="Verdana" w:hAnsi="Verdana"/>
          <w:lang w:val="en-GB"/>
        </w:rPr>
        <w:t xml:space="preserve"> and</w:t>
      </w:r>
      <w:r w:rsidR="009B6E70">
        <w:rPr>
          <w:rFonts w:ascii="Verdana" w:hAnsi="Verdana"/>
          <w:lang w:val="en-GB"/>
        </w:rPr>
        <w:t xml:space="preserve"> </w:t>
      </w:r>
      <w:r w:rsidR="005A30D4">
        <w:rPr>
          <w:rFonts w:ascii="Verdana" w:hAnsi="Verdana"/>
          <w:lang w:val="en-GB"/>
        </w:rPr>
        <w:t>synucleins</w:t>
      </w:r>
      <w:r w:rsidR="003E2C6E">
        <w:rPr>
          <w:rFonts w:ascii="Verdana" w:hAnsi="Verdana"/>
          <w:lang w:val="en-GB"/>
        </w:rPr>
        <w:t xml:space="preserve"> (</w:t>
      </w:r>
      <w:r w:rsidR="005A30D4">
        <w:rPr>
          <w:rFonts w:ascii="Verdana" w:hAnsi="Verdana"/>
          <w:lang w:val="en-GB"/>
        </w:rPr>
        <w:t>including alpha-synuclein</w:t>
      </w:r>
      <w:r w:rsidR="003E2C6E">
        <w:rPr>
          <w:rFonts w:ascii="Verdana" w:hAnsi="Verdana"/>
          <w:lang w:val="en-GB"/>
        </w:rPr>
        <w:t>)</w:t>
      </w:r>
      <w:r w:rsidR="005A30D4">
        <w:rPr>
          <w:rFonts w:ascii="Verdana" w:hAnsi="Verdana"/>
          <w:lang w:val="en-GB"/>
        </w:rPr>
        <w:t xml:space="preserve"> are substrates for GPCR kinases</w:t>
      </w:r>
      <w:r w:rsidR="00000EAE">
        <w:rPr>
          <w:rFonts w:ascii="Verdana" w:hAnsi="Verdana"/>
          <w:lang w:val="en-GB"/>
        </w:rPr>
        <w:t>.</w:t>
      </w:r>
      <w:r w:rsidR="00EA0FE9">
        <w:rPr>
          <w:rFonts w:ascii="Verdana" w:hAnsi="Verdana"/>
          <w:lang w:val="en-GB"/>
        </w:rPr>
        <w:t xml:space="preserve"> The top 10 deregulated pathways </w:t>
      </w:r>
      <w:r w:rsidR="003E2C6E">
        <w:rPr>
          <w:rFonts w:ascii="Verdana" w:hAnsi="Verdana"/>
          <w:lang w:val="en-GB"/>
        </w:rPr>
        <w:t xml:space="preserve">also </w:t>
      </w:r>
      <w:r w:rsidR="00EA0FE9">
        <w:rPr>
          <w:rFonts w:ascii="Verdana" w:hAnsi="Verdana"/>
          <w:lang w:val="en-GB"/>
        </w:rPr>
        <w:t>included the prostaglandin pathway</w:t>
      </w:r>
      <w:r w:rsidR="0002220B">
        <w:rPr>
          <w:rFonts w:ascii="Verdana" w:hAnsi="Verdana"/>
          <w:lang w:val="en-GB"/>
        </w:rPr>
        <w:t xml:space="preserve">, and the </w:t>
      </w:r>
      <w:proofErr w:type="spellStart"/>
      <w:r w:rsidR="0002220B">
        <w:rPr>
          <w:rFonts w:ascii="Verdana" w:hAnsi="Verdana"/>
          <w:lang w:val="en-GB"/>
        </w:rPr>
        <w:t>Wnt</w:t>
      </w:r>
      <w:proofErr w:type="spellEnd"/>
      <w:r w:rsidR="0002220B">
        <w:rPr>
          <w:rFonts w:ascii="Verdana" w:hAnsi="Verdana"/>
          <w:lang w:val="en-GB"/>
        </w:rPr>
        <w:t xml:space="preserve">/beta-catenin and NF-kB pathways, known to modulate </w:t>
      </w:r>
      <w:r w:rsidR="003D292D">
        <w:rPr>
          <w:rFonts w:ascii="Verdana" w:hAnsi="Verdana"/>
          <w:lang w:val="en-GB"/>
        </w:rPr>
        <w:t xml:space="preserve">dopaminergic neurons differentiation and maintenance. Significantly altered GO terms included </w:t>
      </w:r>
      <w:r w:rsidR="003E2C6E">
        <w:rPr>
          <w:rFonts w:ascii="Verdana" w:hAnsi="Verdana"/>
          <w:lang w:val="en-GB"/>
        </w:rPr>
        <w:t>synaptic signalling, inorganic cation homeostasis and memory.</w:t>
      </w:r>
      <w:r w:rsidR="006439C9">
        <w:rPr>
          <w:rFonts w:ascii="Verdana" w:hAnsi="Verdana"/>
          <w:lang w:val="en-GB"/>
        </w:rPr>
        <w:t xml:space="preserve"> </w:t>
      </w:r>
      <w:r w:rsidR="004D243D">
        <w:rPr>
          <w:rFonts w:ascii="Verdana" w:hAnsi="Verdana"/>
          <w:lang w:val="en-GB"/>
        </w:rPr>
        <w:t>Despite no</w:t>
      </w:r>
      <w:r w:rsidR="006439C9">
        <w:rPr>
          <w:rFonts w:ascii="Verdana" w:hAnsi="Verdana"/>
          <w:lang w:val="en-GB"/>
        </w:rPr>
        <w:t xml:space="preserve"> altered pathways were identified at 9 months</w:t>
      </w:r>
      <w:r w:rsidR="004D243D">
        <w:rPr>
          <w:rFonts w:ascii="Verdana" w:hAnsi="Verdana"/>
          <w:lang w:val="en-GB"/>
        </w:rPr>
        <w:t>, over 60 GO biological processes differed between WT and HET mi</w:t>
      </w:r>
      <w:r w:rsidR="002C488D">
        <w:rPr>
          <w:rFonts w:ascii="Verdana" w:hAnsi="Verdana"/>
          <w:lang w:val="en-GB"/>
        </w:rPr>
        <w:t>ce. The top GO terms included developmental processes, actin filament</w:t>
      </w:r>
      <w:r w:rsidR="0036111B">
        <w:rPr>
          <w:rFonts w:ascii="Verdana" w:hAnsi="Verdana"/>
          <w:lang w:val="en-GB"/>
        </w:rPr>
        <w:t>-</w:t>
      </w:r>
      <w:r w:rsidR="002C488D">
        <w:rPr>
          <w:rFonts w:ascii="Verdana" w:hAnsi="Verdana"/>
          <w:lang w:val="en-GB"/>
        </w:rPr>
        <w:t>based movement</w:t>
      </w:r>
      <w:r w:rsidR="00073BBB">
        <w:rPr>
          <w:rFonts w:ascii="Verdana" w:hAnsi="Verdana"/>
          <w:lang w:val="en-GB"/>
        </w:rPr>
        <w:t>,</w:t>
      </w:r>
      <w:r w:rsidR="002C488D">
        <w:rPr>
          <w:rFonts w:ascii="Verdana" w:hAnsi="Verdana"/>
          <w:lang w:val="en-GB"/>
        </w:rPr>
        <w:t xml:space="preserve"> and </w:t>
      </w:r>
      <w:r w:rsidR="00D240A3">
        <w:rPr>
          <w:rFonts w:ascii="Verdana" w:hAnsi="Verdana"/>
          <w:lang w:val="en-GB"/>
        </w:rPr>
        <w:t>ERK1/2 pathway.</w:t>
      </w:r>
    </w:p>
    <w:p w14:paraId="50DDE90A" w14:textId="643E325D" w:rsidR="00FE01D7" w:rsidRDefault="00FE01D7" w:rsidP="00FE01D7">
      <w:pPr>
        <w:spacing w:line="360" w:lineRule="auto"/>
        <w:jc w:val="both"/>
        <w:rPr>
          <w:rFonts w:ascii="Verdana" w:hAnsi="Verdana"/>
          <w:lang w:val="en-GB"/>
        </w:rPr>
      </w:pPr>
      <w:r>
        <w:rPr>
          <w:rFonts w:ascii="Verdana" w:hAnsi="Verdana"/>
          <w:lang w:val="en-GB"/>
        </w:rPr>
        <w:t>Network analysis of DEGs identified mitochondrial translation</w:t>
      </w:r>
      <w:r w:rsidR="007213A2">
        <w:rPr>
          <w:rFonts w:ascii="Verdana" w:hAnsi="Verdana"/>
          <w:lang w:val="en-GB"/>
        </w:rPr>
        <w:t xml:space="preserve"> as the major deregulated sub-network</w:t>
      </w:r>
      <w:r>
        <w:rPr>
          <w:rFonts w:ascii="Verdana" w:hAnsi="Verdana"/>
          <w:lang w:val="en-GB"/>
        </w:rPr>
        <w:t xml:space="preserve"> at 3 months of age, suggesting that mitochondrial dysfunction </w:t>
      </w:r>
      <w:r w:rsidR="007213A2">
        <w:rPr>
          <w:rFonts w:ascii="Verdana" w:hAnsi="Verdana"/>
          <w:lang w:val="en-GB"/>
        </w:rPr>
        <w:t xml:space="preserve">largely precedes striatal neurodegeneration. At 9 months of age, the main altered subnetwork </w:t>
      </w:r>
      <w:r w:rsidR="00CC1D29">
        <w:rPr>
          <w:rFonts w:ascii="Verdana" w:hAnsi="Verdana"/>
          <w:lang w:val="en-GB"/>
        </w:rPr>
        <w:t>was calcium homeostasis, suggesting calcium dysregulation plays an important role in the ongoing striatal degeneration.</w:t>
      </w:r>
    </w:p>
    <w:p w14:paraId="5FAE28D6" w14:textId="77777777" w:rsidR="00FE01D7" w:rsidRPr="00FE01D7" w:rsidRDefault="00FE01D7" w:rsidP="00073BBB">
      <w:pPr>
        <w:spacing w:line="360" w:lineRule="auto"/>
        <w:jc w:val="both"/>
        <w:rPr>
          <w:rFonts w:ascii="Verdana" w:hAnsi="Verdana"/>
          <w:b/>
          <w:bCs/>
          <w:lang w:val="en-GB"/>
        </w:rPr>
      </w:pPr>
    </w:p>
    <w:p w14:paraId="0688335B" w14:textId="77777777" w:rsidR="00123E83" w:rsidRDefault="00123E83" w:rsidP="00073BBB">
      <w:pPr>
        <w:spacing w:line="360" w:lineRule="auto"/>
        <w:jc w:val="both"/>
        <w:rPr>
          <w:rFonts w:ascii="Verdana" w:hAnsi="Verdana"/>
          <w:lang w:val="en-GB"/>
        </w:rPr>
      </w:pPr>
    </w:p>
    <w:p w14:paraId="4FA68F9D" w14:textId="259935E1" w:rsidR="00A9725B" w:rsidRPr="00F30601" w:rsidRDefault="00123E83" w:rsidP="00767F9D">
      <w:pPr>
        <w:pStyle w:val="Heading3"/>
        <w:rPr>
          <w:lang w:val="en-GB"/>
        </w:rPr>
      </w:pPr>
      <w:r w:rsidRPr="00F30601">
        <w:rPr>
          <w:lang w:val="en-GB"/>
        </w:rPr>
        <w:lastRenderedPageBreak/>
        <w:t xml:space="preserve"> </w:t>
      </w:r>
      <w:bookmarkStart w:id="73" w:name="_Toc130223432"/>
      <w:r w:rsidR="009E5729">
        <w:rPr>
          <w:lang w:val="en-GB"/>
        </w:rPr>
        <w:t>3.4</w:t>
      </w:r>
      <w:r w:rsidR="009E5729">
        <w:rPr>
          <w:lang w:val="en-GB"/>
        </w:rPr>
        <w:tab/>
      </w:r>
      <w:r w:rsidRPr="00F30601">
        <w:rPr>
          <w:lang w:val="en-GB"/>
        </w:rPr>
        <w:t>Age-dependent gene expression deregulation in SNCA*E46K heterozygous mice</w:t>
      </w:r>
      <w:bookmarkEnd w:id="73"/>
    </w:p>
    <w:p w14:paraId="3E1EA22B" w14:textId="24C55148" w:rsidR="00AD4268" w:rsidRDefault="00735352" w:rsidP="00AD4268">
      <w:pPr>
        <w:spacing w:line="360" w:lineRule="auto"/>
        <w:jc w:val="both"/>
        <w:rPr>
          <w:rFonts w:ascii="Verdana" w:hAnsi="Verdana"/>
          <w:lang w:val="en-GB"/>
        </w:rPr>
      </w:pPr>
      <w:r>
        <w:rPr>
          <w:rFonts w:ascii="Verdana" w:hAnsi="Verdana"/>
          <w:lang w:val="en-GB"/>
        </w:rPr>
        <w:t>Age</w:t>
      </w:r>
      <w:r w:rsidR="00D42D68">
        <w:rPr>
          <w:rFonts w:ascii="Verdana" w:hAnsi="Verdana"/>
          <w:lang w:val="en-GB"/>
        </w:rPr>
        <w:t>-</w:t>
      </w:r>
      <w:r>
        <w:rPr>
          <w:rFonts w:ascii="Verdana" w:hAnsi="Verdana"/>
          <w:lang w:val="en-GB"/>
        </w:rPr>
        <w:t xml:space="preserve">associated </w:t>
      </w:r>
      <w:r w:rsidR="00211671">
        <w:rPr>
          <w:rFonts w:ascii="Verdana" w:hAnsi="Verdana"/>
          <w:lang w:val="en-GB"/>
        </w:rPr>
        <w:t>DEGs</w:t>
      </w:r>
      <w:r>
        <w:rPr>
          <w:rFonts w:ascii="Verdana" w:hAnsi="Verdana"/>
          <w:lang w:val="en-GB"/>
        </w:rPr>
        <w:t xml:space="preserve"> driven by the </w:t>
      </w:r>
      <w:r w:rsidR="00211671">
        <w:rPr>
          <w:rFonts w:ascii="Verdana" w:hAnsi="Verdana"/>
          <w:lang w:val="en-GB"/>
        </w:rPr>
        <w:t>alpha-synuclein challenge</w:t>
      </w:r>
      <w:r>
        <w:rPr>
          <w:rFonts w:ascii="Verdana" w:hAnsi="Verdana"/>
          <w:lang w:val="en-GB"/>
        </w:rPr>
        <w:t xml:space="preserve"> were investigated </w:t>
      </w:r>
      <w:r w:rsidR="00D42D68">
        <w:rPr>
          <w:rFonts w:ascii="Verdana" w:hAnsi="Verdana"/>
          <w:lang w:val="en-GB"/>
        </w:rPr>
        <w:t xml:space="preserve">by extracting those genes whose expression changed continuously over ageing in HET mice only. The process of DEGs selection is illustrated in Figure 8b, and lead to the identification of 161 DEGs for further analysis. </w:t>
      </w:r>
      <w:r w:rsidR="0078621B">
        <w:rPr>
          <w:rFonts w:ascii="Verdana" w:hAnsi="Verdana"/>
          <w:lang w:val="en-GB"/>
        </w:rPr>
        <w:t>Age-dependent d</w:t>
      </w:r>
      <w:r w:rsidR="004C3FD4">
        <w:rPr>
          <w:rFonts w:ascii="Verdana" w:hAnsi="Verdana"/>
          <w:lang w:val="en-GB"/>
        </w:rPr>
        <w:t>eregulated pathways</w:t>
      </w:r>
      <w:r w:rsidR="0078621B">
        <w:rPr>
          <w:rFonts w:ascii="Verdana" w:hAnsi="Verdana"/>
          <w:lang w:val="en-GB"/>
        </w:rPr>
        <w:t xml:space="preserve"> showed a switch between up and down regulation. </w:t>
      </w:r>
      <w:r w:rsidR="00F60A13">
        <w:rPr>
          <w:rFonts w:ascii="Verdana" w:hAnsi="Verdana"/>
          <w:lang w:val="en-GB"/>
        </w:rPr>
        <w:t xml:space="preserve">Top pathways that were first upregulated and then downregulated </w:t>
      </w:r>
      <w:r w:rsidR="00107432">
        <w:rPr>
          <w:rFonts w:ascii="Verdana" w:hAnsi="Verdana"/>
          <w:lang w:val="en-GB"/>
        </w:rPr>
        <w:t>included cell differentiation, cell migration and GPCR signal</w:t>
      </w:r>
      <w:r w:rsidR="00787047">
        <w:rPr>
          <w:rFonts w:ascii="Verdana" w:hAnsi="Verdana"/>
          <w:lang w:val="en-GB"/>
        </w:rPr>
        <w:t>l</w:t>
      </w:r>
      <w:r w:rsidR="00107432">
        <w:rPr>
          <w:rFonts w:ascii="Verdana" w:hAnsi="Verdana"/>
          <w:lang w:val="en-GB"/>
        </w:rPr>
        <w:t>ing. The top GO terms detected referred to GPCR signalling, purinergic signalling and development.</w:t>
      </w:r>
      <w:r w:rsidR="00A9725B">
        <w:rPr>
          <w:rFonts w:ascii="Verdana" w:hAnsi="Verdana"/>
          <w:lang w:val="en-GB"/>
        </w:rPr>
        <w:t xml:space="preserve"> No pathways that were first downregulated and then upregulated were identified</w:t>
      </w:r>
      <w:r w:rsidR="00123E83">
        <w:rPr>
          <w:rFonts w:ascii="Verdana" w:hAnsi="Verdana"/>
          <w:lang w:val="en-GB"/>
        </w:rPr>
        <w:t>, but over 100 GO terms showed this</w:t>
      </w:r>
      <w:r w:rsidR="00F75A34">
        <w:rPr>
          <w:rFonts w:ascii="Verdana" w:hAnsi="Verdana"/>
          <w:lang w:val="en-GB"/>
        </w:rPr>
        <w:t xml:space="preserve"> pattern. Top GO terms included GPCR signalling, calcium homeostasis and sensory perception.</w:t>
      </w:r>
    </w:p>
    <w:p w14:paraId="19E824A2" w14:textId="0A47CF78" w:rsidR="00AD4268" w:rsidRDefault="00AD4268" w:rsidP="00AD4268">
      <w:pPr>
        <w:spacing w:line="360" w:lineRule="auto"/>
        <w:jc w:val="both"/>
        <w:rPr>
          <w:rFonts w:ascii="Verdana" w:hAnsi="Verdana"/>
          <w:lang w:val="en-GB"/>
        </w:rPr>
      </w:pPr>
      <w:r>
        <w:rPr>
          <w:rFonts w:ascii="Verdana" w:hAnsi="Verdana"/>
          <w:lang w:val="en-GB"/>
        </w:rPr>
        <w:t xml:space="preserve">In agreement with the pathway and GO term analyses, </w:t>
      </w:r>
      <w:r w:rsidR="00A9681F">
        <w:rPr>
          <w:rFonts w:ascii="Verdana" w:hAnsi="Verdana"/>
          <w:lang w:val="en-GB"/>
        </w:rPr>
        <w:t xml:space="preserve">dysregulated networks switching between up and down regulation were associated with cell morphogenesis and differentiation, while networks switching between down and upregulation </w:t>
      </w:r>
      <w:r w:rsidR="00CA614B">
        <w:rPr>
          <w:rFonts w:ascii="Verdana" w:hAnsi="Verdana"/>
          <w:lang w:val="en-GB"/>
        </w:rPr>
        <w:t>were associated with synaptic and GPCR signalling.</w:t>
      </w:r>
    </w:p>
    <w:p w14:paraId="78C72F44" w14:textId="77777777" w:rsidR="00152F6E" w:rsidRDefault="00152F6E" w:rsidP="00CA614B">
      <w:pPr>
        <w:spacing w:line="360" w:lineRule="auto"/>
        <w:ind w:firstLine="0"/>
        <w:jc w:val="both"/>
        <w:rPr>
          <w:rFonts w:ascii="Verdana" w:hAnsi="Verdana"/>
          <w:b/>
          <w:bCs/>
          <w:lang w:val="en-GB"/>
        </w:rPr>
      </w:pPr>
    </w:p>
    <w:p w14:paraId="5856FBA5" w14:textId="77777777" w:rsidR="00152F6E" w:rsidRDefault="00152F6E" w:rsidP="00CA614B">
      <w:pPr>
        <w:spacing w:line="360" w:lineRule="auto"/>
        <w:ind w:firstLine="0"/>
        <w:jc w:val="both"/>
        <w:rPr>
          <w:rFonts w:ascii="Verdana" w:hAnsi="Verdana"/>
          <w:b/>
          <w:bCs/>
          <w:lang w:val="en-GB"/>
        </w:rPr>
      </w:pPr>
    </w:p>
    <w:p w14:paraId="635FEE49" w14:textId="77777777" w:rsidR="00152F6E" w:rsidRDefault="00152F6E" w:rsidP="00CA614B">
      <w:pPr>
        <w:spacing w:line="360" w:lineRule="auto"/>
        <w:ind w:firstLine="0"/>
        <w:jc w:val="both"/>
        <w:rPr>
          <w:rFonts w:ascii="Verdana" w:hAnsi="Verdana"/>
          <w:b/>
          <w:bCs/>
          <w:lang w:val="en-GB"/>
        </w:rPr>
      </w:pPr>
    </w:p>
    <w:p w14:paraId="674129E4" w14:textId="77777777" w:rsidR="00152F6E" w:rsidRDefault="00152F6E" w:rsidP="00CA614B">
      <w:pPr>
        <w:spacing w:line="360" w:lineRule="auto"/>
        <w:ind w:firstLine="0"/>
        <w:jc w:val="both"/>
        <w:rPr>
          <w:rFonts w:ascii="Verdana" w:hAnsi="Verdana"/>
          <w:b/>
          <w:bCs/>
          <w:lang w:val="en-GB"/>
        </w:rPr>
      </w:pPr>
    </w:p>
    <w:p w14:paraId="3E4BE83C" w14:textId="77777777" w:rsidR="00152F6E" w:rsidRDefault="00152F6E" w:rsidP="00CA614B">
      <w:pPr>
        <w:spacing w:line="360" w:lineRule="auto"/>
        <w:ind w:firstLine="0"/>
        <w:jc w:val="both"/>
        <w:rPr>
          <w:rFonts w:ascii="Verdana" w:hAnsi="Verdana"/>
          <w:b/>
          <w:bCs/>
          <w:lang w:val="en-GB"/>
        </w:rPr>
      </w:pPr>
    </w:p>
    <w:p w14:paraId="3DB12CF0" w14:textId="77777777" w:rsidR="00152F6E" w:rsidRDefault="00152F6E" w:rsidP="00CA614B">
      <w:pPr>
        <w:spacing w:line="360" w:lineRule="auto"/>
        <w:ind w:firstLine="0"/>
        <w:jc w:val="both"/>
        <w:rPr>
          <w:rFonts w:ascii="Verdana" w:hAnsi="Verdana"/>
          <w:b/>
          <w:bCs/>
          <w:lang w:val="en-GB"/>
        </w:rPr>
      </w:pPr>
    </w:p>
    <w:p w14:paraId="4A05FE18" w14:textId="77777777" w:rsidR="00152F6E" w:rsidRDefault="00152F6E" w:rsidP="00CA614B">
      <w:pPr>
        <w:spacing w:line="360" w:lineRule="auto"/>
        <w:ind w:firstLine="0"/>
        <w:jc w:val="both"/>
        <w:rPr>
          <w:rFonts w:ascii="Verdana" w:hAnsi="Verdana"/>
          <w:b/>
          <w:bCs/>
          <w:lang w:val="en-GB"/>
        </w:rPr>
      </w:pPr>
    </w:p>
    <w:p w14:paraId="716F9305" w14:textId="77777777" w:rsidR="00152F6E" w:rsidRDefault="00152F6E" w:rsidP="00CA614B">
      <w:pPr>
        <w:spacing w:line="360" w:lineRule="auto"/>
        <w:ind w:firstLine="0"/>
        <w:jc w:val="both"/>
        <w:rPr>
          <w:rFonts w:ascii="Verdana" w:hAnsi="Verdana"/>
          <w:b/>
          <w:bCs/>
          <w:lang w:val="en-GB"/>
        </w:rPr>
      </w:pPr>
    </w:p>
    <w:p w14:paraId="144F37C7" w14:textId="77777777" w:rsidR="00152F6E" w:rsidRDefault="00152F6E" w:rsidP="00CA614B">
      <w:pPr>
        <w:spacing w:line="360" w:lineRule="auto"/>
        <w:ind w:firstLine="0"/>
        <w:jc w:val="both"/>
        <w:rPr>
          <w:rFonts w:ascii="Verdana" w:hAnsi="Verdana"/>
          <w:b/>
          <w:bCs/>
          <w:lang w:val="en-GB"/>
        </w:rPr>
      </w:pPr>
    </w:p>
    <w:p w14:paraId="43EACBEA" w14:textId="77777777" w:rsidR="00152F6E" w:rsidRDefault="00152F6E" w:rsidP="00CA614B">
      <w:pPr>
        <w:spacing w:line="360" w:lineRule="auto"/>
        <w:ind w:firstLine="0"/>
        <w:jc w:val="both"/>
        <w:rPr>
          <w:rFonts w:ascii="Verdana" w:hAnsi="Verdana"/>
          <w:b/>
          <w:bCs/>
          <w:lang w:val="en-GB"/>
        </w:rPr>
      </w:pPr>
    </w:p>
    <w:p w14:paraId="388C9B60" w14:textId="77777777" w:rsidR="00152F6E" w:rsidRDefault="00152F6E" w:rsidP="00CA614B">
      <w:pPr>
        <w:spacing w:line="360" w:lineRule="auto"/>
        <w:ind w:firstLine="0"/>
        <w:jc w:val="both"/>
        <w:rPr>
          <w:rFonts w:ascii="Verdana" w:hAnsi="Verdana"/>
          <w:b/>
          <w:bCs/>
          <w:lang w:val="en-GB"/>
        </w:rPr>
      </w:pPr>
    </w:p>
    <w:p w14:paraId="581A650A" w14:textId="374FEAF9" w:rsidR="00152F6E" w:rsidRDefault="00152F6E" w:rsidP="00CA614B">
      <w:pPr>
        <w:spacing w:line="360" w:lineRule="auto"/>
        <w:ind w:firstLine="0"/>
        <w:jc w:val="both"/>
        <w:rPr>
          <w:rFonts w:ascii="Verdana" w:hAnsi="Verdana"/>
          <w:b/>
          <w:bCs/>
          <w:lang w:val="en-GB"/>
        </w:rPr>
      </w:pPr>
      <w:r>
        <w:rPr>
          <w:noProof/>
        </w:rPr>
        <w:lastRenderedPageBreak/>
        <mc:AlternateContent>
          <mc:Choice Requires="wps">
            <w:drawing>
              <wp:anchor distT="0" distB="0" distL="114300" distR="114300" simplePos="0" relativeHeight="251884544" behindDoc="0" locked="0" layoutInCell="1" allowOverlap="1" wp14:anchorId="0FF627CE" wp14:editId="2161F077">
                <wp:simplePos x="0" y="0"/>
                <wp:positionH relativeFrom="margin">
                  <wp:posOffset>-1270</wp:posOffset>
                </wp:positionH>
                <wp:positionV relativeFrom="paragraph">
                  <wp:posOffset>3873031</wp:posOffset>
                </wp:positionV>
                <wp:extent cx="5579110" cy="266065"/>
                <wp:effectExtent l="0" t="0" r="2540" b="635"/>
                <wp:wrapTopAndBottom/>
                <wp:docPr id="128" name="Text Box 128"/>
                <wp:cNvGraphicFramePr/>
                <a:graphic xmlns:a="http://schemas.openxmlformats.org/drawingml/2006/main">
                  <a:graphicData uri="http://schemas.microsoft.com/office/word/2010/wordprocessingShape">
                    <wps:wsp>
                      <wps:cNvSpPr txBox="1"/>
                      <wps:spPr>
                        <a:xfrm>
                          <a:off x="0" y="0"/>
                          <a:ext cx="5579110" cy="266065"/>
                        </a:xfrm>
                        <a:prstGeom prst="rect">
                          <a:avLst/>
                        </a:prstGeom>
                        <a:solidFill>
                          <a:prstClr val="white"/>
                        </a:solidFill>
                        <a:ln>
                          <a:noFill/>
                        </a:ln>
                      </wps:spPr>
                      <wps:txbx>
                        <w:txbxContent>
                          <w:p w14:paraId="27C2E9C5" w14:textId="62396CDD" w:rsidR="00152F6E" w:rsidRDefault="00152F6E" w:rsidP="00152F6E">
                            <w:pPr>
                              <w:pStyle w:val="Caption"/>
                              <w:ind w:firstLine="0"/>
                              <w:rPr>
                                <w:rFonts w:ascii="Verdana" w:hAnsi="Verdana"/>
                                <w:i w:val="0"/>
                                <w:iCs w:val="0"/>
                                <w:color w:val="auto"/>
                              </w:rPr>
                            </w:pPr>
                            <w:bookmarkStart w:id="74" w:name="_Toc131412751"/>
                            <w:r w:rsidRPr="00152F6E">
                              <w:rPr>
                                <w:rFonts w:ascii="Verdana" w:hAnsi="Verdana"/>
                                <w:b/>
                                <w:bCs/>
                                <w:i w:val="0"/>
                                <w:iCs w:val="0"/>
                                <w:color w:val="auto"/>
                              </w:rPr>
                              <w:t xml:space="preserve">Figure </w:t>
                            </w:r>
                            <w:r w:rsidRPr="00152F6E">
                              <w:rPr>
                                <w:rFonts w:ascii="Verdana" w:hAnsi="Verdana"/>
                                <w:b/>
                                <w:bCs/>
                                <w:i w:val="0"/>
                                <w:iCs w:val="0"/>
                                <w:color w:val="auto"/>
                              </w:rPr>
                              <w:fldChar w:fldCharType="begin"/>
                            </w:r>
                            <w:r w:rsidRPr="00152F6E">
                              <w:rPr>
                                <w:rFonts w:ascii="Verdana" w:hAnsi="Verdana"/>
                                <w:b/>
                                <w:bCs/>
                                <w:i w:val="0"/>
                                <w:iCs w:val="0"/>
                                <w:color w:val="auto"/>
                              </w:rPr>
                              <w:instrText xml:space="preserve"> SEQ Figure \* ARABIC </w:instrText>
                            </w:r>
                            <w:r w:rsidRPr="00152F6E">
                              <w:rPr>
                                <w:rFonts w:ascii="Verdana" w:hAnsi="Verdana"/>
                                <w:b/>
                                <w:bCs/>
                                <w:i w:val="0"/>
                                <w:iCs w:val="0"/>
                                <w:color w:val="auto"/>
                              </w:rPr>
                              <w:fldChar w:fldCharType="separate"/>
                            </w:r>
                            <w:r w:rsidR="001D505F">
                              <w:rPr>
                                <w:rFonts w:ascii="Verdana" w:hAnsi="Verdana"/>
                                <w:b/>
                                <w:bCs/>
                                <w:i w:val="0"/>
                                <w:iCs w:val="0"/>
                                <w:noProof/>
                                <w:color w:val="auto"/>
                              </w:rPr>
                              <w:t>9</w:t>
                            </w:r>
                            <w:r w:rsidRPr="00152F6E">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Genotype-dependent and age-dependent differentially expressed genes in SNCA*E46K mice</w:t>
                            </w:r>
                            <w:bookmarkEnd w:id="74"/>
                          </w:p>
                          <w:p w14:paraId="025C991C" w14:textId="7DF581B4" w:rsidR="00152F6E" w:rsidRDefault="002972E8" w:rsidP="002972E8">
                            <w:pPr>
                              <w:ind w:firstLine="0"/>
                            </w:pPr>
                            <w:r w:rsidRPr="002972E8">
                              <w:rPr>
                                <w:b/>
                                <w:bCs/>
                              </w:rPr>
                              <w:t>a)</w:t>
                            </w:r>
                            <w:r>
                              <w:t xml:space="preserve"> </w:t>
                            </w:r>
                            <w:r w:rsidR="00152F6E">
                              <w:t>Venn diagram showing the overlap between</w:t>
                            </w:r>
                            <w:r w:rsidR="00E7277B">
                              <w:t xml:space="preserve"> the genotype-dependent</w:t>
                            </w:r>
                            <w:r w:rsidR="00152F6E">
                              <w:t xml:space="preserve"> DEGs identified at 3- and 9-months of age</w:t>
                            </w:r>
                            <w:r w:rsidR="00624261">
                              <w:t xml:space="preserve">. </w:t>
                            </w:r>
                            <w:r w:rsidR="00624261" w:rsidRPr="002972E8">
                              <w:rPr>
                                <w:b/>
                                <w:bCs/>
                              </w:rPr>
                              <w:t>b)</w:t>
                            </w:r>
                            <w:r w:rsidR="00E7277B" w:rsidRPr="002972E8">
                              <w:rPr>
                                <w:b/>
                                <w:bCs/>
                              </w:rPr>
                              <w:t xml:space="preserve"> </w:t>
                            </w:r>
                            <w:r w:rsidR="00E7277B" w:rsidRPr="00E7277B">
                              <w:t>Venn</w:t>
                            </w:r>
                            <w:r w:rsidR="00E7277B">
                              <w:t xml:space="preserve"> diagrams showing the </w:t>
                            </w:r>
                            <w:proofErr w:type="gramStart"/>
                            <w:r w:rsidR="00E7277B">
                              <w:t>age-dependent</w:t>
                            </w:r>
                            <w:proofErr w:type="gramEnd"/>
                            <w:r w:rsidR="00624261">
                              <w:t xml:space="preserve"> DEGs for HET (left) and WT (right) mice</w:t>
                            </w:r>
                            <w:r w:rsidR="00E7277B">
                              <w:t>,</w:t>
                            </w:r>
                            <w:r w:rsidR="00624261">
                              <w:t xml:space="preserve"> </w:t>
                            </w:r>
                            <w:r w:rsidR="00E7277B">
                              <w:t xml:space="preserve">and </w:t>
                            </w:r>
                            <w:r>
                              <w:t>their relative intersections.</w:t>
                            </w:r>
                          </w:p>
                          <w:p w14:paraId="2015FA12" w14:textId="051A1CF3" w:rsidR="002972E8" w:rsidRPr="00152F6E" w:rsidRDefault="00C35EB8" w:rsidP="002972E8">
                            <w:pPr>
                              <w:ind w:firstLine="0"/>
                            </w:pPr>
                            <w:r>
                              <w:t xml:space="preserve">DEGs = differentially expressed genes, WT = wild-type littermates, HET = transgenic SNCA*E46K animals, </w:t>
                            </w:r>
                            <w:r w:rsidR="00013454">
                              <w:t>3M = 3-months old</w:t>
                            </w:r>
                            <w:r w:rsidR="004823E5">
                              <w:t xml:space="preserve">, </w:t>
                            </w:r>
                            <w:r w:rsidR="00955DD3">
                              <w:t>9M = 9-months old, 13M = 13-months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627CE" id="Text Box 128" o:spid="_x0000_s1037" type="#_x0000_t202" style="position:absolute;left:0;text-align:left;margin-left:-.1pt;margin-top:304.95pt;width:439.3pt;height:20.95pt;z-index:251884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" stroked="f">
                <v:textbox style="mso-fit-shape-to-text:t" inset="0,0,0,0">
                  <w:txbxContent>
                    <w:p w14:paraId="27C2E9C5" w14:textId="62396CDD" w:rsidR="00152F6E" w:rsidRDefault="00152F6E" w:rsidP="00152F6E">
                      <w:pPr>
                        <w:pStyle w:val="Caption"/>
                        <w:ind w:firstLine="0"/>
                        <w:rPr>
                          <w:rFonts w:ascii="Verdana" w:hAnsi="Verdana"/>
                          <w:i w:val="0"/>
                          <w:iCs w:val="0"/>
                          <w:color w:val="auto"/>
                        </w:rPr>
                      </w:pPr>
                      <w:bookmarkStart w:id="75" w:name="_Toc131412751"/>
                      <w:r w:rsidRPr="00152F6E">
                        <w:rPr>
                          <w:rFonts w:ascii="Verdana" w:hAnsi="Verdana"/>
                          <w:b/>
                          <w:bCs/>
                          <w:i w:val="0"/>
                          <w:iCs w:val="0"/>
                          <w:color w:val="auto"/>
                        </w:rPr>
                        <w:t xml:space="preserve">Figure </w:t>
                      </w:r>
                      <w:r w:rsidRPr="00152F6E">
                        <w:rPr>
                          <w:rFonts w:ascii="Verdana" w:hAnsi="Verdana"/>
                          <w:b/>
                          <w:bCs/>
                          <w:i w:val="0"/>
                          <w:iCs w:val="0"/>
                          <w:color w:val="auto"/>
                        </w:rPr>
                        <w:fldChar w:fldCharType="begin"/>
                      </w:r>
                      <w:r w:rsidRPr="00152F6E">
                        <w:rPr>
                          <w:rFonts w:ascii="Verdana" w:hAnsi="Verdana"/>
                          <w:b/>
                          <w:bCs/>
                          <w:i w:val="0"/>
                          <w:iCs w:val="0"/>
                          <w:color w:val="auto"/>
                        </w:rPr>
                        <w:instrText xml:space="preserve"> SEQ Figure \* ARABIC </w:instrText>
                      </w:r>
                      <w:r w:rsidRPr="00152F6E">
                        <w:rPr>
                          <w:rFonts w:ascii="Verdana" w:hAnsi="Verdana"/>
                          <w:b/>
                          <w:bCs/>
                          <w:i w:val="0"/>
                          <w:iCs w:val="0"/>
                          <w:color w:val="auto"/>
                        </w:rPr>
                        <w:fldChar w:fldCharType="separate"/>
                      </w:r>
                      <w:r w:rsidR="001D505F">
                        <w:rPr>
                          <w:rFonts w:ascii="Verdana" w:hAnsi="Verdana"/>
                          <w:b/>
                          <w:bCs/>
                          <w:i w:val="0"/>
                          <w:iCs w:val="0"/>
                          <w:noProof/>
                          <w:color w:val="auto"/>
                        </w:rPr>
                        <w:t>9</w:t>
                      </w:r>
                      <w:r w:rsidRPr="00152F6E">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Genotype-dependent and age-dependent differentially expressed genes in SNCA*E46K mice</w:t>
                      </w:r>
                      <w:bookmarkEnd w:id="75"/>
                    </w:p>
                    <w:p w14:paraId="025C991C" w14:textId="7DF581B4" w:rsidR="00152F6E" w:rsidRDefault="002972E8" w:rsidP="002972E8">
                      <w:pPr>
                        <w:ind w:firstLine="0"/>
                      </w:pPr>
                      <w:r w:rsidRPr="002972E8">
                        <w:rPr>
                          <w:b/>
                          <w:bCs/>
                        </w:rPr>
                        <w:t>a)</w:t>
                      </w:r>
                      <w:r>
                        <w:t xml:space="preserve"> </w:t>
                      </w:r>
                      <w:r w:rsidR="00152F6E">
                        <w:t>Venn diagram showing the overlap between</w:t>
                      </w:r>
                      <w:r w:rsidR="00E7277B">
                        <w:t xml:space="preserve"> the genotype-dependent</w:t>
                      </w:r>
                      <w:r w:rsidR="00152F6E">
                        <w:t xml:space="preserve"> DEGs identified at 3- and 9-months of age</w:t>
                      </w:r>
                      <w:r w:rsidR="00624261">
                        <w:t xml:space="preserve">. </w:t>
                      </w:r>
                      <w:r w:rsidR="00624261" w:rsidRPr="002972E8">
                        <w:rPr>
                          <w:b/>
                          <w:bCs/>
                        </w:rPr>
                        <w:t>b)</w:t>
                      </w:r>
                      <w:r w:rsidR="00E7277B" w:rsidRPr="002972E8">
                        <w:rPr>
                          <w:b/>
                          <w:bCs/>
                        </w:rPr>
                        <w:t xml:space="preserve"> </w:t>
                      </w:r>
                      <w:r w:rsidR="00E7277B" w:rsidRPr="00E7277B">
                        <w:t>Venn</w:t>
                      </w:r>
                      <w:r w:rsidR="00E7277B">
                        <w:t xml:space="preserve"> diagrams showing the </w:t>
                      </w:r>
                      <w:proofErr w:type="gramStart"/>
                      <w:r w:rsidR="00E7277B">
                        <w:t>age-dependent</w:t>
                      </w:r>
                      <w:proofErr w:type="gramEnd"/>
                      <w:r w:rsidR="00624261">
                        <w:t xml:space="preserve"> DEGs for HET (left) and WT (right) mice</w:t>
                      </w:r>
                      <w:r w:rsidR="00E7277B">
                        <w:t>,</w:t>
                      </w:r>
                      <w:r w:rsidR="00624261">
                        <w:t xml:space="preserve"> </w:t>
                      </w:r>
                      <w:r w:rsidR="00E7277B">
                        <w:t xml:space="preserve">and </w:t>
                      </w:r>
                      <w:r>
                        <w:t>their relative intersections.</w:t>
                      </w:r>
                    </w:p>
                    <w:p w14:paraId="2015FA12" w14:textId="051A1CF3" w:rsidR="002972E8" w:rsidRPr="00152F6E" w:rsidRDefault="00C35EB8" w:rsidP="002972E8">
                      <w:pPr>
                        <w:ind w:firstLine="0"/>
                      </w:pPr>
                      <w:r>
                        <w:t xml:space="preserve">DEGs = differentially expressed genes, WT = wild-type littermates, HET = transgenic SNCA*E46K animals, </w:t>
                      </w:r>
                      <w:r w:rsidR="00013454">
                        <w:t>3M = 3-months old</w:t>
                      </w:r>
                      <w:r w:rsidR="004823E5">
                        <w:t xml:space="preserve">, </w:t>
                      </w:r>
                      <w:r w:rsidR="00955DD3">
                        <w:t>9M = 9-months old, 13M = 13-months old</w:t>
                      </w:r>
                    </w:p>
                  </w:txbxContent>
                </v:textbox>
                <w10:wrap type="topAndBottom" anchorx="margin"/>
              </v:shape>
            </w:pict>
          </mc:Fallback>
        </mc:AlternateContent>
      </w:r>
      <w:r>
        <w:rPr>
          <w:rFonts w:ascii="Verdana" w:hAnsi="Verdana"/>
          <w:noProof/>
          <w:lang w:val="en-GB"/>
        </w:rPr>
        <w:drawing>
          <wp:anchor distT="0" distB="0" distL="114300" distR="114300" simplePos="0" relativeHeight="251881472" behindDoc="0" locked="0" layoutInCell="1" allowOverlap="1" wp14:anchorId="12630231" wp14:editId="4552BB41">
            <wp:simplePos x="0" y="0"/>
            <wp:positionH relativeFrom="margin">
              <wp:align>right</wp:align>
            </wp:positionH>
            <wp:positionV relativeFrom="paragraph">
              <wp:posOffset>0</wp:posOffset>
            </wp:positionV>
            <wp:extent cx="5579110" cy="3545840"/>
            <wp:effectExtent l="0" t="0" r="2540" b="0"/>
            <wp:wrapTopAndBottom/>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79110" cy="3545840"/>
                    </a:xfrm>
                    <a:prstGeom prst="rect">
                      <a:avLst/>
                    </a:prstGeom>
                  </pic:spPr>
                </pic:pic>
              </a:graphicData>
            </a:graphic>
            <wp14:sizeRelH relativeFrom="margin">
              <wp14:pctWidth>0</wp14:pctWidth>
            </wp14:sizeRelH>
            <wp14:sizeRelV relativeFrom="margin">
              <wp14:pctHeight>0</wp14:pctHeight>
            </wp14:sizeRelV>
          </wp:anchor>
        </w:drawing>
      </w:r>
    </w:p>
    <w:p w14:paraId="414D7737" w14:textId="15AE6363" w:rsidR="005747FC" w:rsidRPr="00D42D68" w:rsidRDefault="005747FC" w:rsidP="00CA614B">
      <w:pPr>
        <w:spacing w:line="360" w:lineRule="auto"/>
        <w:ind w:firstLine="0"/>
        <w:jc w:val="both"/>
        <w:rPr>
          <w:rFonts w:ascii="Verdana" w:hAnsi="Verdana"/>
          <w:lang w:val="en-GB"/>
        </w:rPr>
      </w:pPr>
      <w:r>
        <w:rPr>
          <w:rFonts w:ascii="Verdana" w:hAnsi="Verdana"/>
          <w:b/>
          <w:bCs/>
          <w:lang w:val="en-GB"/>
        </w:rPr>
        <w:br w:type="page"/>
      </w:r>
    </w:p>
    <w:p w14:paraId="6FBA75FD" w14:textId="5965BB37" w:rsidR="00107BB2" w:rsidRPr="00107BB2" w:rsidRDefault="005747FC" w:rsidP="00767F9D">
      <w:pPr>
        <w:pStyle w:val="Heading3"/>
        <w:rPr>
          <w:sz w:val="20"/>
          <w:szCs w:val="20"/>
          <w:lang w:val="en-GB"/>
        </w:rPr>
      </w:pPr>
      <w:r>
        <w:rPr>
          <w:lang w:val="en-GB"/>
        </w:rPr>
        <w:lastRenderedPageBreak/>
        <w:t xml:space="preserve">  </w:t>
      </w:r>
      <w:bookmarkStart w:id="76" w:name="_Toc130223433"/>
      <w:r w:rsidR="009E5729">
        <w:rPr>
          <w:lang w:val="en-GB"/>
        </w:rPr>
        <w:t>3.5</w:t>
      </w:r>
      <w:r w:rsidR="009E5729">
        <w:rPr>
          <w:lang w:val="en-GB"/>
        </w:rPr>
        <w:tab/>
      </w:r>
      <w:r w:rsidR="00107BB2" w:rsidRPr="00F30601">
        <w:rPr>
          <w:lang w:val="en-GB"/>
        </w:rPr>
        <w:t>Males but not female SNCA*E46K heterozygous mice show sensory-motor impairments in the Adhesive Removal test</w:t>
      </w:r>
      <w:bookmarkEnd w:id="76"/>
    </w:p>
    <w:p w14:paraId="62072CC3" w14:textId="695CDEFD" w:rsidR="00D70E74" w:rsidRDefault="00977047" w:rsidP="00824AA2">
      <w:pPr>
        <w:spacing w:line="360" w:lineRule="auto"/>
        <w:jc w:val="both"/>
        <w:rPr>
          <w:rFonts w:ascii="Verdana" w:hAnsi="Verdana"/>
          <w:lang w:val="en-GB"/>
        </w:rPr>
      </w:pPr>
      <w:r>
        <w:rPr>
          <w:rFonts w:ascii="Verdana" w:hAnsi="Verdana"/>
          <w:lang w:val="en-GB"/>
        </w:rPr>
        <w:t>Nigrostriatal</w:t>
      </w:r>
      <w:r w:rsidR="002C6F3B">
        <w:rPr>
          <w:rFonts w:ascii="Verdana" w:hAnsi="Verdana"/>
          <w:lang w:val="en-GB"/>
        </w:rPr>
        <w:t xml:space="preserve"> degeneration is known to be responsible for the motor impairments observed in PD. </w:t>
      </w:r>
      <w:r w:rsidR="00107BB2" w:rsidRPr="00107BB2">
        <w:rPr>
          <w:rFonts w:ascii="Verdana" w:hAnsi="Verdana"/>
          <w:lang w:val="en-GB"/>
        </w:rPr>
        <w:t>The motor performance of the SNCA*E46K mice was evaluated at 4, 8, 14 and 17 month</w:t>
      </w:r>
      <w:r w:rsidR="00A17CFB">
        <w:rPr>
          <w:rFonts w:ascii="Verdana" w:hAnsi="Verdana"/>
          <w:lang w:val="en-GB"/>
        </w:rPr>
        <w:t xml:space="preserve">s, using the adhesive removal test. The test was performed as described in Materials and Methods. </w:t>
      </w:r>
      <w:r w:rsidR="001710DE">
        <w:rPr>
          <w:rFonts w:ascii="Verdana" w:hAnsi="Verdana"/>
          <w:lang w:val="en-GB"/>
        </w:rPr>
        <w:t xml:space="preserve">8 months male </w:t>
      </w:r>
      <w:r w:rsidR="007D1A82">
        <w:rPr>
          <w:rFonts w:ascii="Verdana" w:hAnsi="Verdana"/>
          <w:lang w:val="en-GB"/>
        </w:rPr>
        <w:t xml:space="preserve">HET </w:t>
      </w:r>
      <w:r w:rsidR="001710DE">
        <w:rPr>
          <w:rFonts w:ascii="Verdana" w:hAnsi="Verdana"/>
          <w:lang w:val="en-GB"/>
        </w:rPr>
        <w:t>mice showed a significant impairment in the detection of the adhesive tape</w:t>
      </w:r>
      <w:r w:rsidR="007D1A82">
        <w:rPr>
          <w:rFonts w:ascii="Verdana" w:hAnsi="Verdana"/>
          <w:lang w:val="en-GB"/>
        </w:rPr>
        <w:t>, as demonstrated by the delay in the “First Touch” measurements</w:t>
      </w:r>
      <w:r w:rsidR="00442E12">
        <w:rPr>
          <w:rFonts w:ascii="Verdana" w:hAnsi="Verdana"/>
          <w:lang w:val="en-GB"/>
        </w:rPr>
        <w:t xml:space="preserve"> when</w:t>
      </w:r>
      <w:r w:rsidR="007D1A82">
        <w:rPr>
          <w:rFonts w:ascii="Verdana" w:hAnsi="Verdana"/>
          <w:lang w:val="en-GB"/>
        </w:rPr>
        <w:t xml:space="preserve"> compared to their WT counterpart</w:t>
      </w:r>
      <w:r w:rsidR="00442E12">
        <w:rPr>
          <w:rFonts w:ascii="Verdana" w:hAnsi="Verdana"/>
          <w:lang w:val="en-GB"/>
        </w:rPr>
        <w:t xml:space="preserve"> (Figure </w:t>
      </w:r>
      <w:r w:rsidR="0071204F">
        <w:rPr>
          <w:rFonts w:ascii="Verdana" w:hAnsi="Verdana"/>
          <w:lang w:val="en-GB"/>
        </w:rPr>
        <w:t>9</w:t>
      </w:r>
      <w:r w:rsidR="00F0178D">
        <w:rPr>
          <w:rFonts w:ascii="Verdana" w:hAnsi="Verdana"/>
          <w:lang w:val="en-GB"/>
        </w:rPr>
        <w:t>A</w:t>
      </w:r>
      <w:r w:rsidR="00D70E74">
        <w:rPr>
          <w:rFonts w:ascii="Verdana" w:hAnsi="Verdana"/>
          <w:lang w:val="en-GB"/>
        </w:rPr>
        <w:t>, left panel</w:t>
      </w:r>
      <w:r w:rsidR="00442E12">
        <w:rPr>
          <w:rFonts w:ascii="Verdana" w:hAnsi="Verdana"/>
          <w:lang w:val="en-GB"/>
        </w:rPr>
        <w:t>).</w:t>
      </w:r>
      <w:r w:rsidR="00F0178D">
        <w:rPr>
          <w:rFonts w:ascii="Verdana" w:hAnsi="Verdana"/>
          <w:lang w:val="en-GB"/>
        </w:rPr>
        <w:t xml:space="preserve"> </w:t>
      </w:r>
      <w:r w:rsidR="007C534C">
        <w:rPr>
          <w:rFonts w:ascii="Verdana" w:hAnsi="Verdana"/>
          <w:lang w:val="en-GB"/>
        </w:rPr>
        <w:t>Interestingly, this impairment was not detected at the earlier timepoint of 4 months of age, nor seems to be present at later timepoints.</w:t>
      </w:r>
      <w:r w:rsidR="00D70E74">
        <w:rPr>
          <w:rFonts w:ascii="Verdana" w:hAnsi="Verdana"/>
          <w:lang w:val="en-GB"/>
        </w:rPr>
        <w:t xml:space="preserve"> A similar profile is observed when looking at the time of removal of the adhesive tape (Figure </w:t>
      </w:r>
      <w:r w:rsidR="0071204F">
        <w:rPr>
          <w:rFonts w:ascii="Verdana" w:hAnsi="Verdana"/>
          <w:lang w:val="en-GB"/>
        </w:rPr>
        <w:t>9</w:t>
      </w:r>
      <w:r w:rsidR="00D70E74">
        <w:rPr>
          <w:rFonts w:ascii="Verdana" w:hAnsi="Verdana"/>
          <w:lang w:val="en-GB"/>
        </w:rPr>
        <w:t xml:space="preserve">B, left panel). </w:t>
      </w:r>
      <w:r w:rsidR="00567A4B">
        <w:rPr>
          <w:rFonts w:ascii="Verdana" w:hAnsi="Verdana"/>
          <w:lang w:val="en-GB"/>
        </w:rPr>
        <w:t xml:space="preserve">Since no significant differences are </w:t>
      </w:r>
      <w:r w:rsidR="00B7568F">
        <w:rPr>
          <w:rFonts w:ascii="Verdana" w:hAnsi="Verdana"/>
          <w:lang w:val="en-GB"/>
        </w:rPr>
        <w:t>present</w:t>
      </w:r>
      <w:r w:rsidR="00567A4B">
        <w:rPr>
          <w:rFonts w:ascii="Verdana" w:hAnsi="Verdana"/>
          <w:lang w:val="en-GB"/>
        </w:rPr>
        <w:t xml:space="preserve"> between gen</w:t>
      </w:r>
      <w:r w:rsidR="00CC25F0">
        <w:rPr>
          <w:rFonts w:ascii="Verdana" w:hAnsi="Verdana"/>
          <w:lang w:val="en-GB"/>
        </w:rPr>
        <w:t>otypes</w:t>
      </w:r>
      <w:r w:rsidR="00567A4B">
        <w:rPr>
          <w:rFonts w:ascii="Verdana" w:hAnsi="Verdana"/>
          <w:lang w:val="en-GB"/>
        </w:rPr>
        <w:t xml:space="preserve"> </w:t>
      </w:r>
      <w:r w:rsidR="00CC25F0">
        <w:rPr>
          <w:rFonts w:ascii="Verdana" w:hAnsi="Verdana"/>
          <w:lang w:val="en-GB"/>
        </w:rPr>
        <w:t xml:space="preserve">regarding the time interval necessary to remove the adhesive tape (Figure </w:t>
      </w:r>
      <w:r w:rsidR="0071204F">
        <w:rPr>
          <w:rFonts w:ascii="Verdana" w:hAnsi="Verdana"/>
          <w:lang w:val="en-GB"/>
        </w:rPr>
        <w:t>9</w:t>
      </w:r>
      <w:r w:rsidR="00CC25F0">
        <w:rPr>
          <w:rFonts w:ascii="Verdana" w:hAnsi="Verdana"/>
          <w:lang w:val="en-GB"/>
        </w:rPr>
        <w:t xml:space="preserve">C, left panel), we can conclude that the observed </w:t>
      </w:r>
      <w:r w:rsidR="00B7568F">
        <w:rPr>
          <w:rFonts w:ascii="Verdana" w:hAnsi="Verdana"/>
          <w:lang w:val="en-GB"/>
        </w:rPr>
        <w:t>phenotype is primarily linked to a sensory deficit</w:t>
      </w:r>
      <w:r w:rsidR="00C57779">
        <w:rPr>
          <w:rFonts w:ascii="Verdana" w:hAnsi="Verdana"/>
          <w:lang w:val="en-GB"/>
        </w:rPr>
        <w:t xml:space="preserve"> in detecting the presence of the tape rather than to a motor deficit </w:t>
      </w:r>
      <w:r w:rsidR="004E2308">
        <w:rPr>
          <w:rFonts w:ascii="Verdana" w:hAnsi="Verdana"/>
          <w:lang w:val="en-GB"/>
        </w:rPr>
        <w:t>in</w:t>
      </w:r>
      <w:r w:rsidR="00E1082A">
        <w:rPr>
          <w:rFonts w:ascii="Verdana" w:hAnsi="Verdana"/>
          <w:lang w:val="en-GB"/>
        </w:rPr>
        <w:t xml:space="preserve"> performing</w:t>
      </w:r>
      <w:r w:rsidR="004E2308">
        <w:rPr>
          <w:rFonts w:ascii="Verdana" w:hAnsi="Verdana"/>
          <w:lang w:val="en-GB"/>
        </w:rPr>
        <w:t xml:space="preserve"> its removal from the paw.</w:t>
      </w:r>
    </w:p>
    <w:p w14:paraId="1F5D03FF" w14:textId="1DE148D9" w:rsidR="00107BB2" w:rsidRDefault="007C534C" w:rsidP="00824AA2">
      <w:pPr>
        <w:spacing w:line="360" w:lineRule="auto"/>
        <w:jc w:val="both"/>
        <w:rPr>
          <w:rFonts w:ascii="Verdana" w:hAnsi="Verdana"/>
          <w:lang w:val="en-GB"/>
        </w:rPr>
      </w:pPr>
      <w:r>
        <w:rPr>
          <w:rFonts w:ascii="Verdana" w:hAnsi="Verdana"/>
          <w:lang w:val="en-GB"/>
        </w:rPr>
        <w:t xml:space="preserve">Opposite to what observed in males, female SNCA*E46K HET mice </w:t>
      </w:r>
      <w:r w:rsidR="00AB446F">
        <w:rPr>
          <w:rFonts w:ascii="Verdana" w:hAnsi="Verdana"/>
          <w:lang w:val="en-GB"/>
        </w:rPr>
        <w:t>appear to perform</w:t>
      </w:r>
      <w:r w:rsidR="009D2F82">
        <w:rPr>
          <w:rFonts w:ascii="Verdana" w:hAnsi="Verdana"/>
          <w:lang w:val="en-GB"/>
        </w:rPr>
        <w:t xml:space="preserve"> significantly</w:t>
      </w:r>
      <w:r w:rsidR="00AB446F">
        <w:rPr>
          <w:rFonts w:ascii="Verdana" w:hAnsi="Verdana"/>
          <w:lang w:val="en-GB"/>
        </w:rPr>
        <w:t xml:space="preserve"> better than their WT littermates </w:t>
      </w:r>
      <w:r w:rsidR="009D2F82">
        <w:rPr>
          <w:rFonts w:ascii="Verdana" w:hAnsi="Verdana"/>
          <w:lang w:val="en-GB"/>
        </w:rPr>
        <w:t>already at 4 months o</w:t>
      </w:r>
      <w:r w:rsidR="00E1082A">
        <w:rPr>
          <w:rFonts w:ascii="Verdana" w:hAnsi="Verdana"/>
          <w:lang w:val="en-GB"/>
        </w:rPr>
        <w:t>f age</w:t>
      </w:r>
      <w:r w:rsidR="009D2F82">
        <w:rPr>
          <w:rFonts w:ascii="Verdana" w:hAnsi="Verdana"/>
          <w:lang w:val="en-GB"/>
        </w:rPr>
        <w:t>, and this trend is maintained up to 14 months of age</w:t>
      </w:r>
      <w:r w:rsidR="009A0971">
        <w:rPr>
          <w:rFonts w:ascii="Verdana" w:hAnsi="Verdana"/>
          <w:lang w:val="en-GB"/>
        </w:rPr>
        <w:t xml:space="preserve">, even if a rather big intra-group variability needs to be </w:t>
      </w:r>
      <w:proofErr w:type="gramStart"/>
      <w:r w:rsidR="009A0971">
        <w:rPr>
          <w:rFonts w:ascii="Verdana" w:hAnsi="Verdana"/>
          <w:lang w:val="en-GB"/>
        </w:rPr>
        <w:t>taken into account</w:t>
      </w:r>
      <w:proofErr w:type="gramEnd"/>
      <w:r w:rsidR="009A0971">
        <w:rPr>
          <w:rFonts w:ascii="Verdana" w:hAnsi="Verdana"/>
          <w:lang w:val="en-GB"/>
        </w:rPr>
        <w:t xml:space="preserve"> at this </w:t>
      </w:r>
      <w:r w:rsidR="00D96C43">
        <w:rPr>
          <w:rFonts w:ascii="Verdana" w:hAnsi="Verdana"/>
          <w:lang w:val="en-GB"/>
        </w:rPr>
        <w:t xml:space="preserve">specific </w:t>
      </w:r>
      <w:r w:rsidR="009A0971">
        <w:rPr>
          <w:rFonts w:ascii="Verdana" w:hAnsi="Verdana"/>
          <w:lang w:val="en-GB"/>
        </w:rPr>
        <w:t>timepoint</w:t>
      </w:r>
      <w:r w:rsidR="00D96C43">
        <w:rPr>
          <w:rFonts w:ascii="Verdana" w:hAnsi="Verdana"/>
          <w:lang w:val="en-GB"/>
        </w:rPr>
        <w:t xml:space="preserve"> (Figure </w:t>
      </w:r>
      <w:r w:rsidR="0071204F">
        <w:rPr>
          <w:rFonts w:ascii="Verdana" w:hAnsi="Verdana"/>
          <w:lang w:val="en-GB"/>
        </w:rPr>
        <w:t>9</w:t>
      </w:r>
      <w:r w:rsidR="00D96C43">
        <w:rPr>
          <w:rFonts w:ascii="Verdana" w:hAnsi="Verdana"/>
          <w:lang w:val="en-GB"/>
        </w:rPr>
        <w:t>A</w:t>
      </w:r>
      <w:r w:rsidR="00E1082A">
        <w:rPr>
          <w:rFonts w:ascii="Verdana" w:hAnsi="Verdana"/>
          <w:lang w:val="en-GB"/>
        </w:rPr>
        <w:t xml:space="preserve"> and </w:t>
      </w:r>
      <w:r w:rsidR="0071204F">
        <w:rPr>
          <w:rFonts w:ascii="Verdana" w:hAnsi="Verdana"/>
          <w:lang w:val="en-GB"/>
        </w:rPr>
        <w:t>9</w:t>
      </w:r>
      <w:r w:rsidR="00E1082A">
        <w:rPr>
          <w:rFonts w:ascii="Verdana" w:hAnsi="Verdana"/>
          <w:lang w:val="en-GB"/>
        </w:rPr>
        <w:t>B, right panels</w:t>
      </w:r>
      <w:r w:rsidR="00D96C43">
        <w:rPr>
          <w:rFonts w:ascii="Verdana" w:hAnsi="Verdana"/>
          <w:lang w:val="en-GB"/>
        </w:rPr>
        <w:t>)</w:t>
      </w:r>
      <w:r w:rsidR="009A0971">
        <w:rPr>
          <w:rFonts w:ascii="Verdana" w:hAnsi="Verdana"/>
          <w:lang w:val="en-GB"/>
        </w:rPr>
        <w:t>.</w:t>
      </w:r>
      <w:r w:rsidR="0071204F">
        <w:rPr>
          <w:rFonts w:ascii="Verdana" w:hAnsi="Verdana"/>
          <w:lang w:val="en-GB"/>
        </w:rPr>
        <w:t xml:space="preserve"> Once again, no significant differences are detected in the interval of time necessary for adhesive tape removal (Figure 9C)</w:t>
      </w:r>
      <w:r w:rsidR="007D3CEE">
        <w:rPr>
          <w:rFonts w:ascii="Verdana" w:hAnsi="Verdana"/>
          <w:lang w:val="en-GB"/>
        </w:rPr>
        <w:t>, suggesting that the increased performance</w:t>
      </w:r>
      <w:r w:rsidR="009959E0">
        <w:rPr>
          <w:rFonts w:ascii="Verdana" w:hAnsi="Verdana"/>
          <w:lang w:val="en-GB"/>
        </w:rPr>
        <w:t xml:space="preserve"> versus WT littermates</w:t>
      </w:r>
      <w:r w:rsidR="007D3CEE">
        <w:rPr>
          <w:rFonts w:ascii="Verdana" w:hAnsi="Verdana"/>
          <w:lang w:val="en-GB"/>
        </w:rPr>
        <w:t xml:space="preserve"> is linked to the sensory </w:t>
      </w:r>
      <w:r w:rsidR="00B27017">
        <w:rPr>
          <w:rFonts w:ascii="Verdana" w:hAnsi="Verdana"/>
          <w:lang w:val="en-GB"/>
        </w:rPr>
        <w:t>function</w:t>
      </w:r>
      <w:r w:rsidR="007D3CEE">
        <w:rPr>
          <w:rFonts w:ascii="Verdana" w:hAnsi="Verdana"/>
          <w:lang w:val="en-GB"/>
        </w:rPr>
        <w:t>.</w:t>
      </w:r>
      <w:r w:rsidR="0071204F">
        <w:rPr>
          <w:rFonts w:ascii="Verdana" w:hAnsi="Verdana"/>
          <w:lang w:val="en-GB"/>
        </w:rPr>
        <w:t xml:space="preserve"> </w:t>
      </w:r>
    </w:p>
    <w:p w14:paraId="6A5F11D9" w14:textId="06BE8D86" w:rsidR="00F610F5" w:rsidRDefault="00B27017" w:rsidP="001B47FB">
      <w:pPr>
        <w:spacing w:line="360" w:lineRule="auto"/>
        <w:ind w:firstLine="0"/>
        <w:jc w:val="both"/>
        <w:rPr>
          <w:rFonts w:ascii="Verdana" w:hAnsi="Verdana"/>
          <w:lang w:val="en-GB"/>
        </w:rPr>
      </w:pPr>
      <w:r>
        <w:rPr>
          <w:noProof/>
        </w:rPr>
        <w:lastRenderedPageBreak/>
        <mc:AlternateContent>
          <mc:Choice Requires="wps">
            <w:drawing>
              <wp:anchor distT="0" distB="0" distL="114300" distR="114300" simplePos="0" relativeHeight="251875328" behindDoc="0" locked="0" layoutInCell="1" allowOverlap="1" wp14:anchorId="67E6C32C" wp14:editId="11E68508">
                <wp:simplePos x="0" y="0"/>
                <wp:positionH relativeFrom="margin">
                  <wp:align>right</wp:align>
                </wp:positionH>
                <wp:positionV relativeFrom="paragraph">
                  <wp:posOffset>3747525</wp:posOffset>
                </wp:positionV>
                <wp:extent cx="5580380" cy="635"/>
                <wp:effectExtent l="0" t="0" r="1270" b="0"/>
                <wp:wrapTopAndBottom/>
                <wp:docPr id="124" name="Text Box 124"/>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19958CBA" w14:textId="783C34FA" w:rsidR="00B27017" w:rsidRPr="001B47FB" w:rsidRDefault="00B27017" w:rsidP="0016548F">
                            <w:pPr>
                              <w:pStyle w:val="Caption"/>
                              <w:ind w:firstLine="0"/>
                              <w:jc w:val="both"/>
                              <w:rPr>
                                <w:rFonts w:ascii="Verdana" w:hAnsi="Verdana"/>
                                <w:i w:val="0"/>
                                <w:iCs w:val="0"/>
                                <w:color w:val="auto"/>
                              </w:rPr>
                            </w:pPr>
                            <w:bookmarkStart w:id="77" w:name="_Toc131412752"/>
                            <w:r w:rsidRPr="001B47FB">
                              <w:rPr>
                                <w:rFonts w:ascii="Verdana" w:hAnsi="Verdana"/>
                                <w:b/>
                                <w:bCs/>
                                <w:i w:val="0"/>
                                <w:iCs w:val="0"/>
                                <w:color w:val="auto"/>
                              </w:rPr>
                              <w:t xml:space="preserve">Figure </w:t>
                            </w:r>
                            <w:r w:rsidRPr="001B47FB">
                              <w:rPr>
                                <w:rFonts w:ascii="Verdana" w:hAnsi="Verdana"/>
                                <w:b/>
                                <w:bCs/>
                                <w:i w:val="0"/>
                                <w:iCs w:val="0"/>
                                <w:color w:val="auto"/>
                              </w:rPr>
                              <w:fldChar w:fldCharType="begin"/>
                            </w:r>
                            <w:r w:rsidRPr="001B47FB">
                              <w:rPr>
                                <w:rFonts w:ascii="Verdana" w:hAnsi="Verdana"/>
                                <w:b/>
                                <w:bCs/>
                                <w:i w:val="0"/>
                                <w:iCs w:val="0"/>
                                <w:color w:val="auto"/>
                              </w:rPr>
                              <w:instrText xml:space="preserve"> SEQ Figure \* ARABIC </w:instrText>
                            </w:r>
                            <w:r w:rsidRPr="001B47FB">
                              <w:rPr>
                                <w:rFonts w:ascii="Verdana" w:hAnsi="Verdana"/>
                                <w:b/>
                                <w:bCs/>
                                <w:i w:val="0"/>
                                <w:iCs w:val="0"/>
                                <w:color w:val="auto"/>
                              </w:rPr>
                              <w:fldChar w:fldCharType="separate"/>
                            </w:r>
                            <w:r w:rsidR="001D505F">
                              <w:rPr>
                                <w:rFonts w:ascii="Verdana" w:hAnsi="Verdana"/>
                                <w:b/>
                                <w:bCs/>
                                <w:i w:val="0"/>
                                <w:iCs w:val="0"/>
                                <w:noProof/>
                                <w:color w:val="auto"/>
                              </w:rPr>
                              <w:t>10</w:t>
                            </w:r>
                            <w:r w:rsidRPr="001B47FB">
                              <w:rPr>
                                <w:rFonts w:ascii="Verdana" w:hAnsi="Verdana"/>
                                <w:b/>
                                <w:bCs/>
                                <w:i w:val="0"/>
                                <w:iCs w:val="0"/>
                                <w:color w:val="auto"/>
                              </w:rPr>
                              <w:fldChar w:fldCharType="end"/>
                            </w:r>
                            <w:r w:rsidR="00DB085F" w:rsidRPr="001B47FB">
                              <w:rPr>
                                <w:rFonts w:ascii="Verdana" w:hAnsi="Verdana"/>
                                <w:b/>
                                <w:bCs/>
                                <w:i w:val="0"/>
                                <w:iCs w:val="0"/>
                                <w:color w:val="auto"/>
                              </w:rPr>
                              <w:t xml:space="preserve"> </w:t>
                            </w:r>
                            <w:r w:rsidR="007852F0" w:rsidRPr="001B47FB">
                              <w:rPr>
                                <w:rFonts w:ascii="Verdana" w:hAnsi="Verdana"/>
                                <w:i w:val="0"/>
                                <w:iCs w:val="0"/>
                                <w:color w:val="auto"/>
                              </w:rPr>
                              <w:t>Male</w:t>
                            </w:r>
                            <w:r w:rsidR="00D15D8A" w:rsidRPr="001B47FB">
                              <w:rPr>
                                <w:rFonts w:ascii="Verdana" w:hAnsi="Verdana"/>
                                <w:i w:val="0"/>
                                <w:iCs w:val="0"/>
                                <w:color w:val="auto"/>
                              </w:rPr>
                              <w:t xml:space="preserve"> but not female</w:t>
                            </w:r>
                            <w:r w:rsidR="007852F0" w:rsidRPr="001B47FB">
                              <w:rPr>
                                <w:rFonts w:ascii="Verdana" w:hAnsi="Verdana"/>
                                <w:i w:val="0"/>
                                <w:iCs w:val="0"/>
                                <w:color w:val="auto"/>
                              </w:rPr>
                              <w:t xml:space="preserve"> SNCA*E46K heterozygous mice present sensory impairments </w:t>
                            </w:r>
                            <w:r w:rsidR="00D15D8A" w:rsidRPr="001B47FB">
                              <w:rPr>
                                <w:rFonts w:ascii="Verdana" w:hAnsi="Verdana"/>
                                <w:i w:val="0"/>
                                <w:iCs w:val="0"/>
                                <w:color w:val="auto"/>
                              </w:rPr>
                              <w:t>at early age.</w:t>
                            </w:r>
                            <w:bookmarkEnd w:id="77"/>
                          </w:p>
                          <w:p w14:paraId="5BC6292E" w14:textId="01B0B6D2" w:rsidR="002B2EC1" w:rsidRPr="001B47FB" w:rsidRDefault="006C07A7" w:rsidP="0016548F">
                            <w:pPr>
                              <w:ind w:firstLine="0"/>
                              <w:jc w:val="both"/>
                              <w:rPr>
                                <w:rFonts w:ascii="Verdana" w:hAnsi="Verdana"/>
                                <w:sz w:val="18"/>
                                <w:szCs w:val="18"/>
                              </w:rPr>
                            </w:pPr>
                            <w:r w:rsidRPr="001B47FB">
                              <w:rPr>
                                <w:rFonts w:ascii="Verdana" w:hAnsi="Verdana"/>
                                <w:b/>
                                <w:bCs/>
                                <w:sz w:val="18"/>
                                <w:szCs w:val="18"/>
                              </w:rPr>
                              <w:t>A)</w:t>
                            </w:r>
                            <w:r w:rsidRPr="001B47FB">
                              <w:rPr>
                                <w:rFonts w:ascii="Verdana" w:hAnsi="Verdana"/>
                                <w:sz w:val="18"/>
                                <w:szCs w:val="18"/>
                              </w:rPr>
                              <w:t xml:space="preserve"> Time measurements</w:t>
                            </w:r>
                            <w:r w:rsidR="00BF4F1B" w:rsidRPr="001B47FB">
                              <w:rPr>
                                <w:rFonts w:ascii="Verdana" w:hAnsi="Verdana"/>
                                <w:sz w:val="18"/>
                                <w:szCs w:val="18"/>
                              </w:rPr>
                              <w:t xml:space="preserve"> in seconds</w:t>
                            </w:r>
                            <w:r w:rsidRPr="001B47FB">
                              <w:rPr>
                                <w:rFonts w:ascii="Verdana" w:hAnsi="Verdana"/>
                                <w:sz w:val="18"/>
                                <w:szCs w:val="18"/>
                              </w:rPr>
                              <w:t xml:space="preserve"> for first touch of the adhesive tape for male (left) and female (right) mice. </w:t>
                            </w:r>
                            <w:r w:rsidR="00CB5F62" w:rsidRPr="001B47FB">
                              <w:rPr>
                                <w:rFonts w:ascii="Verdana" w:hAnsi="Verdana"/>
                                <w:b/>
                                <w:bCs/>
                                <w:sz w:val="18"/>
                                <w:szCs w:val="18"/>
                              </w:rPr>
                              <w:t>B)</w:t>
                            </w:r>
                            <w:r w:rsidR="00CB5F62" w:rsidRPr="001B47FB">
                              <w:rPr>
                                <w:rFonts w:ascii="Verdana" w:hAnsi="Verdana"/>
                                <w:sz w:val="18"/>
                                <w:szCs w:val="18"/>
                              </w:rPr>
                              <w:t xml:space="preserve"> </w:t>
                            </w:r>
                            <w:r w:rsidR="00BF4F1B" w:rsidRPr="001B47FB">
                              <w:rPr>
                                <w:rFonts w:ascii="Verdana" w:hAnsi="Verdana"/>
                                <w:sz w:val="18"/>
                                <w:szCs w:val="18"/>
                              </w:rPr>
                              <w:t xml:space="preserve">Time in seconds for the removal of the adhesive tape for male (left) and female (right) mice. </w:t>
                            </w:r>
                            <w:r w:rsidR="00BF4F1B" w:rsidRPr="001B47FB">
                              <w:rPr>
                                <w:rFonts w:ascii="Verdana" w:hAnsi="Verdana"/>
                                <w:b/>
                                <w:bCs/>
                                <w:sz w:val="18"/>
                                <w:szCs w:val="18"/>
                              </w:rPr>
                              <w:t>C)</w:t>
                            </w:r>
                            <w:r w:rsidR="00BF4F1B" w:rsidRPr="001B47FB">
                              <w:rPr>
                                <w:rFonts w:ascii="Verdana" w:hAnsi="Verdana"/>
                                <w:sz w:val="18"/>
                                <w:szCs w:val="18"/>
                              </w:rPr>
                              <w:t xml:space="preserve"> Time in seconds of the interval necessary for the removal of the adhesive tape, measured as Removal time – First Touch time, for male (left) and female (right) mice.</w:t>
                            </w:r>
                          </w:p>
                          <w:p w14:paraId="73625227" w14:textId="02FC6E3A" w:rsidR="00BF4F1B" w:rsidRPr="001B47FB" w:rsidRDefault="00BF4F1B" w:rsidP="0016548F">
                            <w:pPr>
                              <w:ind w:firstLine="0"/>
                              <w:jc w:val="both"/>
                              <w:rPr>
                                <w:rFonts w:ascii="Verdana" w:hAnsi="Verdana"/>
                                <w:sz w:val="18"/>
                                <w:szCs w:val="18"/>
                              </w:rPr>
                            </w:pPr>
                            <w:r w:rsidRPr="001B47FB">
                              <w:rPr>
                                <w:rFonts w:ascii="Verdana" w:hAnsi="Verdana"/>
                                <w:sz w:val="18"/>
                                <w:szCs w:val="18"/>
                              </w:rPr>
                              <w:t xml:space="preserve">N = 8-10 mice per group. Stats: </w:t>
                            </w:r>
                            <w:r w:rsidR="00613E88" w:rsidRPr="001B47FB">
                              <w:rPr>
                                <w:rFonts w:ascii="Verdana" w:hAnsi="Verdana"/>
                                <w:sz w:val="18"/>
                                <w:szCs w:val="18"/>
                              </w:rPr>
                              <w:t>Kruskal</w:t>
                            </w:r>
                            <w:r w:rsidR="001B47FB" w:rsidRPr="001B47FB">
                              <w:rPr>
                                <w:rFonts w:ascii="Verdana" w:hAnsi="Verdana"/>
                                <w:sz w:val="18"/>
                                <w:szCs w:val="18"/>
                              </w:rPr>
                              <w:t>-</w:t>
                            </w:r>
                            <w:proofErr w:type="gramStart"/>
                            <w:r w:rsidR="001B47FB" w:rsidRPr="001B47FB">
                              <w:rPr>
                                <w:rFonts w:ascii="Verdana" w:hAnsi="Verdana"/>
                                <w:sz w:val="18"/>
                                <w:szCs w:val="18"/>
                              </w:rPr>
                              <w:t>Wallis</w:t>
                            </w:r>
                            <w:proofErr w:type="gramEnd"/>
                            <w:r w:rsidR="001B47FB">
                              <w:rPr>
                                <w:rFonts w:ascii="Verdana" w:hAnsi="Verdana"/>
                                <w:sz w:val="18"/>
                                <w:szCs w:val="18"/>
                              </w:rPr>
                              <w:t xml:space="preserve"> test</w:t>
                            </w:r>
                            <w:r w:rsidR="001B47FB" w:rsidRPr="001B47FB">
                              <w:rPr>
                                <w:rFonts w:ascii="Verdana" w:hAnsi="Verdana"/>
                                <w:sz w:val="18"/>
                                <w:szCs w:val="18"/>
                              </w:rPr>
                              <w:t xml:space="preserve">. </w:t>
                            </w:r>
                            <w:r w:rsidR="001B47FB">
                              <w:rPr>
                                <w:rFonts w:ascii="Verdana" w:hAnsi="Verdana"/>
                                <w:sz w:val="18"/>
                                <w:szCs w:val="18"/>
                              </w:rPr>
                              <w:t>n</w:t>
                            </w:r>
                            <w:r w:rsidR="001B47FB" w:rsidRPr="001B47FB">
                              <w:rPr>
                                <w:rFonts w:ascii="Verdana" w:hAnsi="Verdana"/>
                                <w:sz w:val="18"/>
                                <w:szCs w:val="18"/>
                              </w:rPr>
                              <w:t>s = non</w:t>
                            </w:r>
                            <w:r w:rsidR="001B47FB">
                              <w:rPr>
                                <w:rFonts w:ascii="Verdana" w:hAnsi="Verdana"/>
                                <w:sz w:val="18"/>
                                <w:szCs w:val="18"/>
                              </w:rPr>
                              <w:t>-</w:t>
                            </w:r>
                            <w:r w:rsidR="001B47FB" w:rsidRPr="001B47FB">
                              <w:rPr>
                                <w:rFonts w:ascii="Verdana" w:hAnsi="Verdana"/>
                                <w:sz w:val="18"/>
                                <w:szCs w:val="18"/>
                              </w:rPr>
                              <w:t>significant, * = p&lt; 0.05.</w:t>
                            </w:r>
                          </w:p>
                          <w:p w14:paraId="641A28FB" w14:textId="76DBC395" w:rsidR="009D151A" w:rsidRPr="001B47FB" w:rsidRDefault="001B47FB" w:rsidP="0016548F">
                            <w:pPr>
                              <w:spacing w:line="240" w:lineRule="auto"/>
                              <w:ind w:firstLine="0"/>
                              <w:jc w:val="both"/>
                              <w:rPr>
                                <w:rFonts w:ascii="Verdana" w:hAnsi="Verdana"/>
                                <w:sz w:val="18"/>
                                <w:szCs w:val="18"/>
                              </w:rPr>
                            </w:pPr>
                            <w:r w:rsidRPr="001B47FB">
                              <w:rPr>
                                <w:rFonts w:ascii="Verdana" w:hAnsi="Verdana"/>
                                <w:sz w:val="18"/>
                                <w:szCs w:val="18"/>
                              </w:rPr>
                              <w:t>WT = wild-type littermates, HET = transgenic SNCA</w:t>
                            </w:r>
                            <w:r>
                              <w:rPr>
                                <w:rFonts w:ascii="Verdana" w:hAnsi="Verdana"/>
                                <w:sz w:val="18"/>
                                <w:szCs w:val="18"/>
                              </w:rPr>
                              <w:t>*E46K</w:t>
                            </w:r>
                            <w:r w:rsidRPr="001B47FB">
                              <w:rPr>
                                <w:rFonts w:ascii="Verdana" w:hAnsi="Verdana"/>
                                <w:sz w:val="18"/>
                                <w:szCs w:val="18"/>
                              </w:rPr>
                              <w:t xml:space="preserve"> animals, </w:t>
                            </w:r>
                            <w:r>
                              <w:rPr>
                                <w:rFonts w:ascii="Verdana" w:hAnsi="Verdana"/>
                                <w:sz w:val="18"/>
                                <w:szCs w:val="18"/>
                              </w:rPr>
                              <w:t>4</w:t>
                            </w:r>
                            <w:r w:rsidRPr="001B47FB">
                              <w:rPr>
                                <w:rFonts w:ascii="Verdana" w:hAnsi="Verdana"/>
                                <w:sz w:val="18"/>
                                <w:szCs w:val="18"/>
                              </w:rPr>
                              <w:t xml:space="preserve">M = </w:t>
                            </w:r>
                            <w:r>
                              <w:rPr>
                                <w:rFonts w:ascii="Verdana" w:hAnsi="Verdana"/>
                                <w:sz w:val="18"/>
                                <w:szCs w:val="18"/>
                              </w:rPr>
                              <w:t>4</w:t>
                            </w:r>
                            <w:r w:rsidRPr="001B47FB">
                              <w:rPr>
                                <w:rFonts w:ascii="Verdana" w:hAnsi="Verdana"/>
                                <w:sz w:val="18"/>
                                <w:szCs w:val="18"/>
                              </w:rPr>
                              <w:t xml:space="preserve">-months old, </w:t>
                            </w:r>
                            <w:r>
                              <w:rPr>
                                <w:rFonts w:ascii="Verdana" w:hAnsi="Verdana"/>
                                <w:sz w:val="18"/>
                                <w:szCs w:val="18"/>
                              </w:rPr>
                              <w:t>8</w:t>
                            </w:r>
                            <w:r w:rsidRPr="001B47FB">
                              <w:rPr>
                                <w:rFonts w:ascii="Verdana" w:hAnsi="Verdana"/>
                                <w:sz w:val="18"/>
                                <w:szCs w:val="18"/>
                              </w:rPr>
                              <w:t xml:space="preserve">M = </w:t>
                            </w:r>
                            <w:r>
                              <w:rPr>
                                <w:rFonts w:ascii="Verdana" w:hAnsi="Verdana"/>
                                <w:sz w:val="18"/>
                                <w:szCs w:val="18"/>
                              </w:rPr>
                              <w:t>8</w:t>
                            </w:r>
                            <w:r w:rsidRPr="001B47FB">
                              <w:rPr>
                                <w:rFonts w:ascii="Verdana" w:hAnsi="Verdana"/>
                                <w:sz w:val="18"/>
                                <w:szCs w:val="18"/>
                              </w:rPr>
                              <w:t xml:space="preserve">-months old, </w:t>
                            </w:r>
                            <w:r>
                              <w:rPr>
                                <w:rFonts w:ascii="Verdana" w:hAnsi="Verdana"/>
                                <w:sz w:val="18"/>
                                <w:szCs w:val="18"/>
                              </w:rPr>
                              <w:t>14</w:t>
                            </w:r>
                            <w:r w:rsidRPr="001B47FB">
                              <w:rPr>
                                <w:rFonts w:ascii="Verdana" w:hAnsi="Verdana"/>
                                <w:sz w:val="18"/>
                                <w:szCs w:val="18"/>
                              </w:rPr>
                              <w:t xml:space="preserve">M = </w:t>
                            </w:r>
                            <w:r>
                              <w:rPr>
                                <w:rFonts w:ascii="Verdana" w:hAnsi="Verdana"/>
                                <w:sz w:val="18"/>
                                <w:szCs w:val="18"/>
                              </w:rPr>
                              <w:t>14</w:t>
                            </w:r>
                            <w:r w:rsidRPr="001B47FB">
                              <w:rPr>
                                <w:rFonts w:ascii="Verdana" w:hAnsi="Verdana"/>
                                <w:sz w:val="18"/>
                                <w:szCs w:val="18"/>
                              </w:rPr>
                              <w:t>-months old, 1</w:t>
                            </w:r>
                            <w:r>
                              <w:rPr>
                                <w:rFonts w:ascii="Verdana" w:hAnsi="Verdana"/>
                                <w:sz w:val="18"/>
                                <w:szCs w:val="18"/>
                              </w:rPr>
                              <w:t>7</w:t>
                            </w:r>
                            <w:r w:rsidRPr="001B47FB">
                              <w:rPr>
                                <w:rFonts w:ascii="Verdana" w:hAnsi="Verdana"/>
                                <w:sz w:val="18"/>
                                <w:szCs w:val="18"/>
                              </w:rPr>
                              <w:t>M = 1</w:t>
                            </w:r>
                            <w:r>
                              <w:rPr>
                                <w:rFonts w:ascii="Verdana" w:hAnsi="Verdana"/>
                                <w:sz w:val="18"/>
                                <w:szCs w:val="18"/>
                              </w:rPr>
                              <w:t>7</w:t>
                            </w:r>
                            <w:r w:rsidRPr="001B47FB">
                              <w:rPr>
                                <w:rFonts w:ascii="Verdana" w:hAnsi="Verdana"/>
                                <w:sz w:val="18"/>
                                <w:szCs w:val="18"/>
                              </w:rPr>
                              <w:t xml:space="preserve">-months old, </w:t>
                            </w:r>
                            <w:r>
                              <w:rPr>
                                <w:rFonts w:ascii="Verdana" w:hAnsi="Verdana"/>
                                <w:sz w:val="18"/>
                                <w:szCs w:val="18"/>
                              </w:rPr>
                              <w:t>M = male mice, F = female mice.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6C32C" id="Text Box 124" o:spid="_x0000_s1038" type="#_x0000_t202" style="position:absolute;left:0;text-align:left;margin-left:388.2pt;margin-top:295.1pt;width:439.4pt;height:.05pt;z-index:2518753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" stroked="f">
                <v:textbox style="mso-fit-shape-to-text:t" inset="0,0,0,0">
                  <w:txbxContent>
                    <w:p w14:paraId="19958CBA" w14:textId="783C34FA" w:rsidR="00B27017" w:rsidRPr="001B47FB" w:rsidRDefault="00B27017" w:rsidP="0016548F">
                      <w:pPr>
                        <w:pStyle w:val="Caption"/>
                        <w:ind w:firstLine="0"/>
                        <w:jc w:val="both"/>
                        <w:rPr>
                          <w:rFonts w:ascii="Verdana" w:hAnsi="Verdana"/>
                          <w:i w:val="0"/>
                          <w:iCs w:val="0"/>
                          <w:color w:val="auto"/>
                        </w:rPr>
                      </w:pPr>
                      <w:bookmarkStart w:id="78" w:name="_Toc131412752"/>
                      <w:r w:rsidRPr="001B47FB">
                        <w:rPr>
                          <w:rFonts w:ascii="Verdana" w:hAnsi="Verdana"/>
                          <w:b/>
                          <w:bCs/>
                          <w:i w:val="0"/>
                          <w:iCs w:val="0"/>
                          <w:color w:val="auto"/>
                        </w:rPr>
                        <w:t xml:space="preserve">Figure </w:t>
                      </w:r>
                      <w:r w:rsidRPr="001B47FB">
                        <w:rPr>
                          <w:rFonts w:ascii="Verdana" w:hAnsi="Verdana"/>
                          <w:b/>
                          <w:bCs/>
                          <w:i w:val="0"/>
                          <w:iCs w:val="0"/>
                          <w:color w:val="auto"/>
                        </w:rPr>
                        <w:fldChar w:fldCharType="begin"/>
                      </w:r>
                      <w:r w:rsidRPr="001B47FB">
                        <w:rPr>
                          <w:rFonts w:ascii="Verdana" w:hAnsi="Verdana"/>
                          <w:b/>
                          <w:bCs/>
                          <w:i w:val="0"/>
                          <w:iCs w:val="0"/>
                          <w:color w:val="auto"/>
                        </w:rPr>
                        <w:instrText xml:space="preserve"> SEQ Figure \* ARABIC </w:instrText>
                      </w:r>
                      <w:r w:rsidRPr="001B47FB">
                        <w:rPr>
                          <w:rFonts w:ascii="Verdana" w:hAnsi="Verdana"/>
                          <w:b/>
                          <w:bCs/>
                          <w:i w:val="0"/>
                          <w:iCs w:val="0"/>
                          <w:color w:val="auto"/>
                        </w:rPr>
                        <w:fldChar w:fldCharType="separate"/>
                      </w:r>
                      <w:r w:rsidR="001D505F">
                        <w:rPr>
                          <w:rFonts w:ascii="Verdana" w:hAnsi="Verdana"/>
                          <w:b/>
                          <w:bCs/>
                          <w:i w:val="0"/>
                          <w:iCs w:val="0"/>
                          <w:noProof/>
                          <w:color w:val="auto"/>
                        </w:rPr>
                        <w:t>10</w:t>
                      </w:r>
                      <w:r w:rsidRPr="001B47FB">
                        <w:rPr>
                          <w:rFonts w:ascii="Verdana" w:hAnsi="Verdana"/>
                          <w:b/>
                          <w:bCs/>
                          <w:i w:val="0"/>
                          <w:iCs w:val="0"/>
                          <w:color w:val="auto"/>
                        </w:rPr>
                        <w:fldChar w:fldCharType="end"/>
                      </w:r>
                      <w:r w:rsidR="00DB085F" w:rsidRPr="001B47FB">
                        <w:rPr>
                          <w:rFonts w:ascii="Verdana" w:hAnsi="Verdana"/>
                          <w:b/>
                          <w:bCs/>
                          <w:i w:val="0"/>
                          <w:iCs w:val="0"/>
                          <w:color w:val="auto"/>
                        </w:rPr>
                        <w:t xml:space="preserve"> </w:t>
                      </w:r>
                      <w:r w:rsidR="007852F0" w:rsidRPr="001B47FB">
                        <w:rPr>
                          <w:rFonts w:ascii="Verdana" w:hAnsi="Verdana"/>
                          <w:i w:val="0"/>
                          <w:iCs w:val="0"/>
                          <w:color w:val="auto"/>
                        </w:rPr>
                        <w:t>Male</w:t>
                      </w:r>
                      <w:r w:rsidR="00D15D8A" w:rsidRPr="001B47FB">
                        <w:rPr>
                          <w:rFonts w:ascii="Verdana" w:hAnsi="Verdana"/>
                          <w:i w:val="0"/>
                          <w:iCs w:val="0"/>
                          <w:color w:val="auto"/>
                        </w:rPr>
                        <w:t xml:space="preserve"> but not female</w:t>
                      </w:r>
                      <w:r w:rsidR="007852F0" w:rsidRPr="001B47FB">
                        <w:rPr>
                          <w:rFonts w:ascii="Verdana" w:hAnsi="Verdana"/>
                          <w:i w:val="0"/>
                          <w:iCs w:val="0"/>
                          <w:color w:val="auto"/>
                        </w:rPr>
                        <w:t xml:space="preserve"> SNCA*E46K heterozygous mice present sensory impairments </w:t>
                      </w:r>
                      <w:r w:rsidR="00D15D8A" w:rsidRPr="001B47FB">
                        <w:rPr>
                          <w:rFonts w:ascii="Verdana" w:hAnsi="Verdana"/>
                          <w:i w:val="0"/>
                          <w:iCs w:val="0"/>
                          <w:color w:val="auto"/>
                        </w:rPr>
                        <w:t>at early age.</w:t>
                      </w:r>
                      <w:bookmarkEnd w:id="78"/>
                    </w:p>
                    <w:p w14:paraId="5BC6292E" w14:textId="01B0B6D2" w:rsidR="002B2EC1" w:rsidRPr="001B47FB" w:rsidRDefault="006C07A7" w:rsidP="0016548F">
                      <w:pPr>
                        <w:ind w:firstLine="0"/>
                        <w:jc w:val="both"/>
                        <w:rPr>
                          <w:rFonts w:ascii="Verdana" w:hAnsi="Verdana"/>
                          <w:sz w:val="18"/>
                          <w:szCs w:val="18"/>
                        </w:rPr>
                      </w:pPr>
                      <w:r w:rsidRPr="001B47FB">
                        <w:rPr>
                          <w:rFonts w:ascii="Verdana" w:hAnsi="Verdana"/>
                          <w:b/>
                          <w:bCs/>
                          <w:sz w:val="18"/>
                          <w:szCs w:val="18"/>
                        </w:rPr>
                        <w:t>A)</w:t>
                      </w:r>
                      <w:r w:rsidRPr="001B47FB">
                        <w:rPr>
                          <w:rFonts w:ascii="Verdana" w:hAnsi="Verdana"/>
                          <w:sz w:val="18"/>
                          <w:szCs w:val="18"/>
                        </w:rPr>
                        <w:t xml:space="preserve"> Time measurements</w:t>
                      </w:r>
                      <w:r w:rsidR="00BF4F1B" w:rsidRPr="001B47FB">
                        <w:rPr>
                          <w:rFonts w:ascii="Verdana" w:hAnsi="Verdana"/>
                          <w:sz w:val="18"/>
                          <w:szCs w:val="18"/>
                        </w:rPr>
                        <w:t xml:space="preserve"> in seconds</w:t>
                      </w:r>
                      <w:r w:rsidRPr="001B47FB">
                        <w:rPr>
                          <w:rFonts w:ascii="Verdana" w:hAnsi="Verdana"/>
                          <w:sz w:val="18"/>
                          <w:szCs w:val="18"/>
                        </w:rPr>
                        <w:t xml:space="preserve"> for first touch of the adhesive tape for male (left) and female (right) mice. </w:t>
                      </w:r>
                      <w:r w:rsidR="00CB5F62" w:rsidRPr="001B47FB">
                        <w:rPr>
                          <w:rFonts w:ascii="Verdana" w:hAnsi="Verdana"/>
                          <w:b/>
                          <w:bCs/>
                          <w:sz w:val="18"/>
                          <w:szCs w:val="18"/>
                        </w:rPr>
                        <w:t>B)</w:t>
                      </w:r>
                      <w:r w:rsidR="00CB5F62" w:rsidRPr="001B47FB">
                        <w:rPr>
                          <w:rFonts w:ascii="Verdana" w:hAnsi="Verdana"/>
                          <w:sz w:val="18"/>
                          <w:szCs w:val="18"/>
                        </w:rPr>
                        <w:t xml:space="preserve"> </w:t>
                      </w:r>
                      <w:r w:rsidR="00BF4F1B" w:rsidRPr="001B47FB">
                        <w:rPr>
                          <w:rFonts w:ascii="Verdana" w:hAnsi="Verdana"/>
                          <w:sz w:val="18"/>
                          <w:szCs w:val="18"/>
                        </w:rPr>
                        <w:t xml:space="preserve">Time in seconds for the removal of the adhesive tape for male (left) and female (right) mice. </w:t>
                      </w:r>
                      <w:r w:rsidR="00BF4F1B" w:rsidRPr="001B47FB">
                        <w:rPr>
                          <w:rFonts w:ascii="Verdana" w:hAnsi="Verdana"/>
                          <w:b/>
                          <w:bCs/>
                          <w:sz w:val="18"/>
                          <w:szCs w:val="18"/>
                        </w:rPr>
                        <w:t>C)</w:t>
                      </w:r>
                      <w:r w:rsidR="00BF4F1B" w:rsidRPr="001B47FB">
                        <w:rPr>
                          <w:rFonts w:ascii="Verdana" w:hAnsi="Verdana"/>
                          <w:sz w:val="18"/>
                          <w:szCs w:val="18"/>
                        </w:rPr>
                        <w:t xml:space="preserve"> Time in seconds of the interval necessary for the removal of the adhesive tape, measured as Removal time – First Touch time, for male (left) and female (right) mice.</w:t>
                      </w:r>
                    </w:p>
                    <w:p w14:paraId="73625227" w14:textId="02FC6E3A" w:rsidR="00BF4F1B" w:rsidRPr="001B47FB" w:rsidRDefault="00BF4F1B" w:rsidP="0016548F">
                      <w:pPr>
                        <w:ind w:firstLine="0"/>
                        <w:jc w:val="both"/>
                        <w:rPr>
                          <w:rFonts w:ascii="Verdana" w:hAnsi="Verdana"/>
                          <w:sz w:val="18"/>
                          <w:szCs w:val="18"/>
                        </w:rPr>
                      </w:pPr>
                      <w:r w:rsidRPr="001B47FB">
                        <w:rPr>
                          <w:rFonts w:ascii="Verdana" w:hAnsi="Verdana"/>
                          <w:sz w:val="18"/>
                          <w:szCs w:val="18"/>
                        </w:rPr>
                        <w:t xml:space="preserve">N = 8-10 mice per group. Stats: </w:t>
                      </w:r>
                      <w:r w:rsidR="00613E88" w:rsidRPr="001B47FB">
                        <w:rPr>
                          <w:rFonts w:ascii="Verdana" w:hAnsi="Verdana"/>
                          <w:sz w:val="18"/>
                          <w:szCs w:val="18"/>
                        </w:rPr>
                        <w:t>Kruskal</w:t>
                      </w:r>
                      <w:r w:rsidR="001B47FB" w:rsidRPr="001B47FB">
                        <w:rPr>
                          <w:rFonts w:ascii="Verdana" w:hAnsi="Verdana"/>
                          <w:sz w:val="18"/>
                          <w:szCs w:val="18"/>
                        </w:rPr>
                        <w:t>-</w:t>
                      </w:r>
                      <w:proofErr w:type="gramStart"/>
                      <w:r w:rsidR="001B47FB" w:rsidRPr="001B47FB">
                        <w:rPr>
                          <w:rFonts w:ascii="Verdana" w:hAnsi="Verdana"/>
                          <w:sz w:val="18"/>
                          <w:szCs w:val="18"/>
                        </w:rPr>
                        <w:t>Wallis</w:t>
                      </w:r>
                      <w:proofErr w:type="gramEnd"/>
                      <w:r w:rsidR="001B47FB">
                        <w:rPr>
                          <w:rFonts w:ascii="Verdana" w:hAnsi="Verdana"/>
                          <w:sz w:val="18"/>
                          <w:szCs w:val="18"/>
                        </w:rPr>
                        <w:t xml:space="preserve"> test</w:t>
                      </w:r>
                      <w:r w:rsidR="001B47FB" w:rsidRPr="001B47FB">
                        <w:rPr>
                          <w:rFonts w:ascii="Verdana" w:hAnsi="Verdana"/>
                          <w:sz w:val="18"/>
                          <w:szCs w:val="18"/>
                        </w:rPr>
                        <w:t xml:space="preserve">. </w:t>
                      </w:r>
                      <w:r w:rsidR="001B47FB">
                        <w:rPr>
                          <w:rFonts w:ascii="Verdana" w:hAnsi="Verdana"/>
                          <w:sz w:val="18"/>
                          <w:szCs w:val="18"/>
                        </w:rPr>
                        <w:t>n</w:t>
                      </w:r>
                      <w:r w:rsidR="001B47FB" w:rsidRPr="001B47FB">
                        <w:rPr>
                          <w:rFonts w:ascii="Verdana" w:hAnsi="Verdana"/>
                          <w:sz w:val="18"/>
                          <w:szCs w:val="18"/>
                        </w:rPr>
                        <w:t>s = non</w:t>
                      </w:r>
                      <w:r w:rsidR="001B47FB">
                        <w:rPr>
                          <w:rFonts w:ascii="Verdana" w:hAnsi="Verdana"/>
                          <w:sz w:val="18"/>
                          <w:szCs w:val="18"/>
                        </w:rPr>
                        <w:t>-</w:t>
                      </w:r>
                      <w:r w:rsidR="001B47FB" w:rsidRPr="001B47FB">
                        <w:rPr>
                          <w:rFonts w:ascii="Verdana" w:hAnsi="Verdana"/>
                          <w:sz w:val="18"/>
                          <w:szCs w:val="18"/>
                        </w:rPr>
                        <w:t>significant, * = p&lt; 0.05.</w:t>
                      </w:r>
                    </w:p>
                    <w:p w14:paraId="641A28FB" w14:textId="76DBC395" w:rsidR="009D151A" w:rsidRPr="001B47FB" w:rsidRDefault="001B47FB" w:rsidP="0016548F">
                      <w:pPr>
                        <w:spacing w:line="240" w:lineRule="auto"/>
                        <w:ind w:firstLine="0"/>
                        <w:jc w:val="both"/>
                        <w:rPr>
                          <w:rFonts w:ascii="Verdana" w:hAnsi="Verdana"/>
                          <w:sz w:val="18"/>
                          <w:szCs w:val="18"/>
                        </w:rPr>
                      </w:pPr>
                      <w:r w:rsidRPr="001B47FB">
                        <w:rPr>
                          <w:rFonts w:ascii="Verdana" w:hAnsi="Verdana"/>
                          <w:sz w:val="18"/>
                          <w:szCs w:val="18"/>
                        </w:rPr>
                        <w:t>WT = wild-type littermates, HET = transgenic SNCA</w:t>
                      </w:r>
                      <w:r>
                        <w:rPr>
                          <w:rFonts w:ascii="Verdana" w:hAnsi="Verdana"/>
                          <w:sz w:val="18"/>
                          <w:szCs w:val="18"/>
                        </w:rPr>
                        <w:t>*E46K</w:t>
                      </w:r>
                      <w:r w:rsidRPr="001B47FB">
                        <w:rPr>
                          <w:rFonts w:ascii="Verdana" w:hAnsi="Verdana"/>
                          <w:sz w:val="18"/>
                          <w:szCs w:val="18"/>
                        </w:rPr>
                        <w:t xml:space="preserve"> animals, </w:t>
                      </w:r>
                      <w:r>
                        <w:rPr>
                          <w:rFonts w:ascii="Verdana" w:hAnsi="Verdana"/>
                          <w:sz w:val="18"/>
                          <w:szCs w:val="18"/>
                        </w:rPr>
                        <w:t>4</w:t>
                      </w:r>
                      <w:r w:rsidRPr="001B47FB">
                        <w:rPr>
                          <w:rFonts w:ascii="Verdana" w:hAnsi="Verdana"/>
                          <w:sz w:val="18"/>
                          <w:szCs w:val="18"/>
                        </w:rPr>
                        <w:t xml:space="preserve">M = </w:t>
                      </w:r>
                      <w:r>
                        <w:rPr>
                          <w:rFonts w:ascii="Verdana" w:hAnsi="Verdana"/>
                          <w:sz w:val="18"/>
                          <w:szCs w:val="18"/>
                        </w:rPr>
                        <w:t>4</w:t>
                      </w:r>
                      <w:r w:rsidRPr="001B47FB">
                        <w:rPr>
                          <w:rFonts w:ascii="Verdana" w:hAnsi="Verdana"/>
                          <w:sz w:val="18"/>
                          <w:szCs w:val="18"/>
                        </w:rPr>
                        <w:t xml:space="preserve">-months old, </w:t>
                      </w:r>
                      <w:r>
                        <w:rPr>
                          <w:rFonts w:ascii="Verdana" w:hAnsi="Verdana"/>
                          <w:sz w:val="18"/>
                          <w:szCs w:val="18"/>
                        </w:rPr>
                        <w:t>8</w:t>
                      </w:r>
                      <w:r w:rsidRPr="001B47FB">
                        <w:rPr>
                          <w:rFonts w:ascii="Verdana" w:hAnsi="Verdana"/>
                          <w:sz w:val="18"/>
                          <w:szCs w:val="18"/>
                        </w:rPr>
                        <w:t xml:space="preserve">M = </w:t>
                      </w:r>
                      <w:r>
                        <w:rPr>
                          <w:rFonts w:ascii="Verdana" w:hAnsi="Verdana"/>
                          <w:sz w:val="18"/>
                          <w:szCs w:val="18"/>
                        </w:rPr>
                        <w:t>8</w:t>
                      </w:r>
                      <w:r w:rsidRPr="001B47FB">
                        <w:rPr>
                          <w:rFonts w:ascii="Verdana" w:hAnsi="Verdana"/>
                          <w:sz w:val="18"/>
                          <w:szCs w:val="18"/>
                        </w:rPr>
                        <w:t xml:space="preserve">-months old, </w:t>
                      </w:r>
                      <w:r>
                        <w:rPr>
                          <w:rFonts w:ascii="Verdana" w:hAnsi="Verdana"/>
                          <w:sz w:val="18"/>
                          <w:szCs w:val="18"/>
                        </w:rPr>
                        <w:t>14</w:t>
                      </w:r>
                      <w:r w:rsidRPr="001B47FB">
                        <w:rPr>
                          <w:rFonts w:ascii="Verdana" w:hAnsi="Verdana"/>
                          <w:sz w:val="18"/>
                          <w:szCs w:val="18"/>
                        </w:rPr>
                        <w:t xml:space="preserve">M = </w:t>
                      </w:r>
                      <w:r>
                        <w:rPr>
                          <w:rFonts w:ascii="Verdana" w:hAnsi="Verdana"/>
                          <w:sz w:val="18"/>
                          <w:szCs w:val="18"/>
                        </w:rPr>
                        <w:t>14</w:t>
                      </w:r>
                      <w:r w:rsidRPr="001B47FB">
                        <w:rPr>
                          <w:rFonts w:ascii="Verdana" w:hAnsi="Verdana"/>
                          <w:sz w:val="18"/>
                          <w:szCs w:val="18"/>
                        </w:rPr>
                        <w:t>-months old, 1</w:t>
                      </w:r>
                      <w:r>
                        <w:rPr>
                          <w:rFonts w:ascii="Verdana" w:hAnsi="Verdana"/>
                          <w:sz w:val="18"/>
                          <w:szCs w:val="18"/>
                        </w:rPr>
                        <w:t>7</w:t>
                      </w:r>
                      <w:r w:rsidRPr="001B47FB">
                        <w:rPr>
                          <w:rFonts w:ascii="Verdana" w:hAnsi="Verdana"/>
                          <w:sz w:val="18"/>
                          <w:szCs w:val="18"/>
                        </w:rPr>
                        <w:t>M = 1</w:t>
                      </w:r>
                      <w:r>
                        <w:rPr>
                          <w:rFonts w:ascii="Verdana" w:hAnsi="Verdana"/>
                          <w:sz w:val="18"/>
                          <w:szCs w:val="18"/>
                        </w:rPr>
                        <w:t>7</w:t>
                      </w:r>
                      <w:r w:rsidRPr="001B47FB">
                        <w:rPr>
                          <w:rFonts w:ascii="Verdana" w:hAnsi="Verdana"/>
                          <w:sz w:val="18"/>
                          <w:szCs w:val="18"/>
                        </w:rPr>
                        <w:t xml:space="preserve">-months old, </w:t>
                      </w:r>
                      <w:r>
                        <w:rPr>
                          <w:rFonts w:ascii="Verdana" w:hAnsi="Verdana"/>
                          <w:sz w:val="18"/>
                          <w:szCs w:val="18"/>
                        </w:rPr>
                        <w:t>M = male mice, F = female mice.</w:t>
                      </w:r>
                    </w:p>
                  </w:txbxContent>
                </v:textbox>
                <w10:wrap type="topAndBottom" anchorx="margin"/>
              </v:shape>
            </w:pict>
          </mc:Fallback>
        </mc:AlternateContent>
      </w:r>
      <w:r w:rsidR="00F0178D">
        <w:rPr>
          <w:rFonts w:ascii="Verdana" w:hAnsi="Verdana"/>
          <w:noProof/>
          <w:lang w:val="en-GB"/>
        </w:rPr>
        <w:drawing>
          <wp:anchor distT="0" distB="0" distL="114300" distR="114300" simplePos="0" relativeHeight="251873280" behindDoc="0" locked="0" layoutInCell="1" allowOverlap="1" wp14:anchorId="360C6038" wp14:editId="538A4445">
            <wp:simplePos x="0" y="0"/>
            <wp:positionH relativeFrom="margin">
              <wp:align>right</wp:align>
            </wp:positionH>
            <wp:positionV relativeFrom="paragraph">
              <wp:posOffset>0</wp:posOffset>
            </wp:positionV>
            <wp:extent cx="5580380" cy="3542665"/>
            <wp:effectExtent l="0" t="0" r="1270" b="635"/>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80380" cy="3542665"/>
                    </a:xfrm>
                    <a:prstGeom prst="rect">
                      <a:avLst/>
                    </a:prstGeom>
                  </pic:spPr>
                </pic:pic>
              </a:graphicData>
            </a:graphic>
          </wp:anchor>
        </w:drawing>
      </w:r>
    </w:p>
    <w:p w14:paraId="2D328478" w14:textId="5DE31374" w:rsidR="00FA2AFE" w:rsidRPr="00107BB2" w:rsidRDefault="00FA2AFE" w:rsidP="00824AA2">
      <w:pPr>
        <w:spacing w:line="360" w:lineRule="auto"/>
        <w:jc w:val="both"/>
        <w:rPr>
          <w:rFonts w:ascii="Verdana" w:hAnsi="Verdana"/>
          <w:sz w:val="24"/>
          <w:szCs w:val="24"/>
          <w:lang w:val="en-GB"/>
        </w:rPr>
      </w:pPr>
    </w:p>
    <w:p w14:paraId="417580E3" w14:textId="312F5B94" w:rsidR="008B7415" w:rsidRPr="00881BF7" w:rsidRDefault="00C22707" w:rsidP="00881BF7">
      <w:pPr>
        <w:pStyle w:val="ListParagraph"/>
        <w:numPr>
          <w:ilvl w:val="0"/>
          <w:numId w:val="4"/>
        </w:numPr>
        <w:spacing w:line="360" w:lineRule="auto"/>
        <w:jc w:val="both"/>
        <w:rPr>
          <w:rFonts w:ascii="Verdana" w:hAnsi="Verdana"/>
          <w:sz w:val="24"/>
          <w:szCs w:val="24"/>
          <w:lang w:val="en-GB"/>
        </w:rPr>
      </w:pPr>
      <w:r w:rsidRPr="00FF2891">
        <w:rPr>
          <w:rFonts w:ascii="Verdana" w:hAnsi="Verdana"/>
          <w:sz w:val="24"/>
          <w:szCs w:val="24"/>
          <w:lang w:val="en-GB"/>
        </w:rPr>
        <w:br w:type="page"/>
      </w:r>
    </w:p>
    <w:p w14:paraId="34ED243A" w14:textId="5C7C330C" w:rsidR="00571A1A" w:rsidRDefault="00571A1A" w:rsidP="00C15909">
      <w:pPr>
        <w:pStyle w:val="Heading1"/>
        <w:rPr>
          <w:lang w:val="en-GB"/>
        </w:rPr>
      </w:pPr>
      <w:bookmarkStart w:id="79" w:name="_Toc130223434"/>
      <w:r>
        <w:rPr>
          <w:noProof/>
          <w:lang w:val="en-GB"/>
        </w:rPr>
        <w:lastRenderedPageBreak/>
        <mc:AlternateContent>
          <mc:Choice Requires="wps">
            <w:drawing>
              <wp:anchor distT="0" distB="0" distL="114300" distR="114300" simplePos="0" relativeHeight="251693056" behindDoc="0" locked="0" layoutInCell="1" allowOverlap="1" wp14:anchorId="1030A40C" wp14:editId="15D984AB">
                <wp:simplePos x="0" y="0"/>
                <wp:positionH relativeFrom="column">
                  <wp:posOffset>871855</wp:posOffset>
                </wp:positionH>
                <wp:positionV relativeFrom="paragraph">
                  <wp:posOffset>13970</wp:posOffset>
                </wp:positionV>
                <wp:extent cx="0" cy="457200"/>
                <wp:effectExtent l="19050" t="0" r="19050" b="19050"/>
                <wp:wrapNone/>
                <wp:docPr id="16" name="Straight Connector 16"/>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F1C838" id="Straight Connector 1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68.65pt,1.1pt" to="68.6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" strokecolor="black [3200]" strokeweight="2.25pt">
                <v:stroke joinstyle="miter"/>
              </v:line>
            </w:pict>
          </mc:Fallback>
        </mc:AlternateContent>
      </w:r>
      <w:r>
        <w:rPr>
          <w:lang w:val="en-GB"/>
        </w:rPr>
        <w:t xml:space="preserve">4  </w:t>
      </w:r>
      <w:r w:rsidR="00F30601">
        <w:rPr>
          <w:lang w:val="en-GB"/>
        </w:rPr>
        <w:t xml:space="preserve"> </w:t>
      </w:r>
      <w:r w:rsidR="004F6221">
        <w:rPr>
          <w:lang w:val="en-GB"/>
        </w:rPr>
        <w:t>Characterisation of t</w:t>
      </w:r>
      <w:r w:rsidR="004F6221" w:rsidRPr="0029019A">
        <w:rPr>
          <w:lang w:val="en-GB"/>
        </w:rPr>
        <w:t>he</w:t>
      </w:r>
      <w:r w:rsidR="004F6221">
        <w:rPr>
          <w:lang w:val="en-GB"/>
        </w:rPr>
        <w:t xml:space="preserve"> </w:t>
      </w:r>
      <w:r w:rsidR="004F6221" w:rsidRPr="0029019A">
        <w:rPr>
          <w:lang w:val="en-GB"/>
        </w:rPr>
        <w:t>SNCA</w:t>
      </w:r>
      <w:r w:rsidR="004F6221">
        <w:rPr>
          <w:lang w:val="en-GB"/>
        </w:rPr>
        <w:t>*E46K</w:t>
      </w:r>
      <w:r w:rsidR="004F6221" w:rsidRPr="0029019A">
        <w:rPr>
          <w:lang w:val="en-GB"/>
        </w:rPr>
        <w:t xml:space="preserve"> transgenic mouse as a model for</w:t>
      </w:r>
      <w:r w:rsidR="004F6221">
        <w:rPr>
          <w:lang w:val="en-GB"/>
        </w:rPr>
        <w:t xml:space="preserve"> cognitive impairment in PD</w:t>
      </w:r>
      <w:bookmarkEnd w:id="79"/>
    </w:p>
    <w:p w14:paraId="48B7952B" w14:textId="77777777" w:rsidR="00871F25" w:rsidRDefault="00871F25" w:rsidP="00F16765">
      <w:pPr>
        <w:ind w:firstLine="0"/>
        <w:jc w:val="both"/>
        <w:rPr>
          <w:rFonts w:ascii="Verdana" w:hAnsi="Verdana"/>
          <w:lang w:val="en-GB"/>
        </w:rPr>
      </w:pPr>
    </w:p>
    <w:p w14:paraId="21C3CE9E" w14:textId="77777777" w:rsidR="00F30601" w:rsidRDefault="00F30601" w:rsidP="004F6221">
      <w:pPr>
        <w:tabs>
          <w:tab w:val="left" w:pos="952"/>
        </w:tabs>
        <w:spacing w:line="360" w:lineRule="auto"/>
        <w:ind w:firstLine="0"/>
        <w:rPr>
          <w:rFonts w:ascii="Verdana" w:hAnsi="Verdana"/>
          <w:b/>
          <w:bCs/>
          <w:sz w:val="24"/>
          <w:szCs w:val="24"/>
          <w:lang w:val="en-GB"/>
        </w:rPr>
      </w:pPr>
    </w:p>
    <w:p w14:paraId="23DF2560" w14:textId="77777777" w:rsidR="00F30601" w:rsidRDefault="00F30601" w:rsidP="004F6221">
      <w:pPr>
        <w:tabs>
          <w:tab w:val="left" w:pos="952"/>
        </w:tabs>
        <w:spacing w:line="360" w:lineRule="auto"/>
        <w:ind w:firstLine="0"/>
        <w:rPr>
          <w:rFonts w:ascii="Verdana" w:hAnsi="Verdana"/>
          <w:b/>
          <w:bCs/>
          <w:sz w:val="24"/>
          <w:szCs w:val="24"/>
          <w:lang w:val="en-GB"/>
        </w:rPr>
      </w:pPr>
    </w:p>
    <w:p w14:paraId="7CBA595D" w14:textId="77777777" w:rsidR="00F30601" w:rsidRDefault="00F30601" w:rsidP="004F6221">
      <w:pPr>
        <w:tabs>
          <w:tab w:val="left" w:pos="952"/>
        </w:tabs>
        <w:spacing w:line="360" w:lineRule="auto"/>
        <w:ind w:firstLine="0"/>
        <w:rPr>
          <w:rFonts w:ascii="Verdana" w:hAnsi="Verdana"/>
          <w:b/>
          <w:bCs/>
          <w:sz w:val="24"/>
          <w:szCs w:val="24"/>
          <w:lang w:val="en-GB"/>
        </w:rPr>
      </w:pPr>
    </w:p>
    <w:p w14:paraId="5C69306E" w14:textId="77777777" w:rsidR="00F30601" w:rsidRDefault="00F30601" w:rsidP="004F6221">
      <w:pPr>
        <w:tabs>
          <w:tab w:val="left" w:pos="952"/>
        </w:tabs>
        <w:spacing w:line="360" w:lineRule="auto"/>
        <w:ind w:firstLine="0"/>
        <w:rPr>
          <w:rFonts w:ascii="Verdana" w:hAnsi="Verdana"/>
          <w:b/>
          <w:bCs/>
          <w:sz w:val="24"/>
          <w:szCs w:val="24"/>
          <w:lang w:val="en-GB"/>
        </w:rPr>
      </w:pPr>
    </w:p>
    <w:p w14:paraId="5B26C537" w14:textId="77777777" w:rsidR="00F30601" w:rsidRDefault="00F30601" w:rsidP="004F6221">
      <w:pPr>
        <w:tabs>
          <w:tab w:val="left" w:pos="952"/>
        </w:tabs>
        <w:spacing w:line="360" w:lineRule="auto"/>
        <w:ind w:firstLine="0"/>
        <w:rPr>
          <w:rFonts w:ascii="Verdana" w:hAnsi="Verdana"/>
          <w:b/>
          <w:bCs/>
          <w:sz w:val="24"/>
          <w:szCs w:val="24"/>
          <w:lang w:val="en-GB"/>
        </w:rPr>
      </w:pPr>
    </w:p>
    <w:p w14:paraId="114E7B10" w14:textId="4A73E50B" w:rsidR="004F6221" w:rsidRPr="004F6221" w:rsidRDefault="004F6221" w:rsidP="001D7788">
      <w:pPr>
        <w:pStyle w:val="Heading2"/>
        <w:rPr>
          <w:lang w:val="en-GB"/>
        </w:rPr>
      </w:pPr>
      <w:bookmarkStart w:id="80" w:name="_Toc130223435"/>
      <w:r w:rsidRPr="004F6221">
        <w:rPr>
          <w:lang w:val="en-GB"/>
        </w:rPr>
        <w:t>Preface</w:t>
      </w:r>
      <w:bookmarkEnd w:id="80"/>
    </w:p>
    <w:p w14:paraId="36C72CCE" w14:textId="76928069" w:rsidR="004F6221" w:rsidRDefault="004F6221" w:rsidP="004F6221">
      <w:pPr>
        <w:spacing w:line="360" w:lineRule="auto"/>
        <w:jc w:val="both"/>
        <w:rPr>
          <w:rFonts w:ascii="Verdana" w:hAnsi="Verdana"/>
          <w:lang w:val="en-GB"/>
        </w:rPr>
      </w:pPr>
      <w:r>
        <w:rPr>
          <w:rFonts w:ascii="Verdana" w:hAnsi="Verdana"/>
          <w:lang w:val="en-GB"/>
        </w:rPr>
        <w:t>The familial E46K mutation in the</w:t>
      </w:r>
      <w:r w:rsidRPr="000466A6">
        <w:rPr>
          <w:rFonts w:ascii="Verdana" w:hAnsi="Verdana"/>
          <w:i/>
          <w:iCs/>
          <w:lang w:val="en-GB"/>
        </w:rPr>
        <w:t xml:space="preserve"> SNCA</w:t>
      </w:r>
      <w:r>
        <w:rPr>
          <w:rFonts w:ascii="Verdana" w:hAnsi="Verdana"/>
          <w:lang w:val="en-GB"/>
        </w:rPr>
        <w:t xml:space="preserve"> gene is associated with autosomal dominant PD with hallucinations and dementia (</w:t>
      </w:r>
      <w:proofErr w:type="spellStart"/>
      <w:r>
        <w:rPr>
          <w:rFonts w:ascii="Verdana" w:hAnsi="Verdana"/>
          <w:lang w:val="en-GB"/>
        </w:rPr>
        <w:t>Zarranz</w:t>
      </w:r>
      <w:proofErr w:type="spellEnd"/>
      <w:r>
        <w:rPr>
          <w:rFonts w:ascii="Verdana" w:hAnsi="Verdana"/>
          <w:lang w:val="en-GB"/>
        </w:rPr>
        <w:t xml:space="preserve"> et al. 200</w:t>
      </w:r>
      <w:r w:rsidR="00091E03">
        <w:rPr>
          <w:rFonts w:ascii="Verdana" w:hAnsi="Verdana"/>
          <w:lang w:val="en-GB"/>
        </w:rPr>
        <w:t>4</w:t>
      </w:r>
      <w:r>
        <w:rPr>
          <w:rFonts w:ascii="Verdana" w:hAnsi="Verdana"/>
          <w:lang w:val="en-GB"/>
        </w:rPr>
        <w:t xml:space="preserve">). In demented patients, the degeneration of the dopaminergic neurons in the </w:t>
      </w:r>
      <w:r w:rsidR="00977047">
        <w:rPr>
          <w:rFonts w:ascii="Verdana" w:hAnsi="Verdana"/>
          <w:lang w:val="en-GB"/>
        </w:rPr>
        <w:t>nigrostriatal</w:t>
      </w:r>
      <w:r>
        <w:rPr>
          <w:rFonts w:ascii="Verdana" w:hAnsi="Verdana"/>
          <w:lang w:val="en-GB"/>
        </w:rPr>
        <w:t xml:space="preserve"> pathway is accompanied by additional neuronal degeneration in the pre-frontal cortex and in the medial temporal lobe. A major contributor to the memory impairments characteristics of dementia is hippocampal atrophy. Indeed, hippocampal atrophy not only significantly discriminates demented from non-demented patients, but its extent can be used to effectively predicted conversion to dementia in pre-demented patients.</w:t>
      </w:r>
    </w:p>
    <w:p w14:paraId="565EE33D" w14:textId="4D55BEB2" w:rsidR="004F6221" w:rsidRDefault="004F6221" w:rsidP="00BE6B44">
      <w:pPr>
        <w:spacing w:line="360" w:lineRule="auto"/>
        <w:jc w:val="both"/>
        <w:rPr>
          <w:rFonts w:ascii="Verdana" w:hAnsi="Verdana"/>
          <w:lang w:val="en-GB"/>
        </w:rPr>
      </w:pPr>
      <w:r>
        <w:rPr>
          <w:rFonts w:ascii="Verdana" w:hAnsi="Verdana"/>
          <w:lang w:val="en-GB"/>
        </w:rPr>
        <w:t xml:space="preserve">In the previous chapter, I have demonstrated that the overexpression of the E46K mutated </w:t>
      </w:r>
      <w:r w:rsidRPr="000466A6">
        <w:rPr>
          <w:rFonts w:ascii="Verdana" w:hAnsi="Verdana"/>
          <w:i/>
          <w:iCs/>
          <w:lang w:val="en-GB"/>
        </w:rPr>
        <w:t>SNCA</w:t>
      </w:r>
      <w:r>
        <w:rPr>
          <w:rFonts w:ascii="Verdana" w:hAnsi="Verdana"/>
          <w:lang w:val="en-GB"/>
        </w:rPr>
        <w:t xml:space="preserve"> in a transgenic mouse is sufficient to reproduce a striatal degeneration in the dopaminergic neurons which is resemblant of that of the early stages of PD. Furthermore, we have shown that gene expression changes in the midbrain occur early in time and largely precede neurodegeneration. To investigate whether the overexpression of the E46K mutated </w:t>
      </w:r>
      <w:r w:rsidRPr="000466A6">
        <w:rPr>
          <w:rFonts w:ascii="Verdana" w:hAnsi="Verdana"/>
          <w:i/>
          <w:iCs/>
          <w:lang w:val="en-GB"/>
        </w:rPr>
        <w:t>SNCA</w:t>
      </w:r>
      <w:r>
        <w:rPr>
          <w:rFonts w:ascii="Verdana" w:hAnsi="Verdana"/>
          <w:lang w:val="en-GB"/>
        </w:rPr>
        <w:t xml:space="preserve"> can also reproduce early stages of cognitive impairment, in the present chapter we will focus our attention on the hippocampus</w:t>
      </w:r>
      <w:r w:rsidR="00BE6B44">
        <w:rPr>
          <w:rFonts w:ascii="Verdana" w:hAnsi="Verdana"/>
          <w:lang w:val="en-GB"/>
        </w:rPr>
        <w:t>.</w:t>
      </w:r>
      <w:r>
        <w:rPr>
          <w:rFonts w:ascii="Verdana" w:hAnsi="Verdana"/>
          <w:lang w:val="en-GB"/>
        </w:rPr>
        <w:t xml:space="preserve"> </w:t>
      </w:r>
    </w:p>
    <w:p w14:paraId="11407B5F" w14:textId="259F05F3" w:rsidR="004F6221" w:rsidRDefault="004F6221" w:rsidP="00F23EF9">
      <w:pPr>
        <w:spacing w:line="360" w:lineRule="auto"/>
        <w:jc w:val="both"/>
        <w:rPr>
          <w:rFonts w:ascii="Verdana" w:hAnsi="Verdana"/>
          <w:lang w:val="en-GB"/>
        </w:rPr>
      </w:pPr>
      <w:r>
        <w:rPr>
          <w:rFonts w:ascii="Verdana" w:hAnsi="Verdana"/>
          <w:lang w:val="en-GB"/>
        </w:rPr>
        <w:lastRenderedPageBreak/>
        <w:t>I was responsible for the mouse cohort’s management</w:t>
      </w:r>
      <w:r w:rsidR="003D74DE">
        <w:rPr>
          <w:rFonts w:ascii="Verdana" w:hAnsi="Verdana"/>
          <w:lang w:val="en-GB"/>
        </w:rPr>
        <w:t xml:space="preserve"> including genotyping, </w:t>
      </w:r>
      <w:proofErr w:type="gramStart"/>
      <w:r w:rsidR="003D74DE">
        <w:rPr>
          <w:rFonts w:ascii="Verdana" w:hAnsi="Verdana"/>
          <w:lang w:val="en-GB"/>
        </w:rPr>
        <w:t>breeders</w:t>
      </w:r>
      <w:proofErr w:type="gramEnd"/>
      <w:r w:rsidR="003D74DE">
        <w:rPr>
          <w:rFonts w:ascii="Verdana" w:hAnsi="Verdana"/>
          <w:lang w:val="en-GB"/>
        </w:rPr>
        <w:t xml:space="preserve"> selection and </w:t>
      </w:r>
      <w:r w:rsidR="00F23EF9">
        <w:rPr>
          <w:rFonts w:ascii="Verdana" w:hAnsi="Verdana"/>
          <w:lang w:val="en-GB"/>
        </w:rPr>
        <w:t>assignation of mice to study cohorts. W</w:t>
      </w:r>
      <w:r>
        <w:rPr>
          <w:rFonts w:ascii="Verdana" w:hAnsi="Verdana"/>
          <w:lang w:val="en-GB"/>
        </w:rPr>
        <w:t>ith the help of my colleagues</w:t>
      </w:r>
      <w:r w:rsidR="00B9312C">
        <w:rPr>
          <w:rFonts w:ascii="Verdana" w:hAnsi="Verdana"/>
          <w:lang w:val="en-GB"/>
        </w:rPr>
        <w:t xml:space="preserve"> (Pierre Garcia, Mélanie </w:t>
      </w:r>
      <w:proofErr w:type="gramStart"/>
      <w:r w:rsidR="00B9312C">
        <w:rPr>
          <w:rFonts w:ascii="Verdana" w:hAnsi="Verdana"/>
          <w:lang w:val="en-GB"/>
        </w:rPr>
        <w:t>Thomas</w:t>
      </w:r>
      <w:proofErr w:type="gramEnd"/>
      <w:r w:rsidR="00B9312C">
        <w:rPr>
          <w:rFonts w:ascii="Verdana" w:hAnsi="Verdana"/>
          <w:lang w:val="en-GB"/>
        </w:rPr>
        <w:t xml:space="preserve"> and Kristopher J. Schmit)</w:t>
      </w:r>
      <w:r>
        <w:rPr>
          <w:rFonts w:ascii="Verdana" w:hAnsi="Verdana"/>
          <w:lang w:val="en-GB"/>
        </w:rPr>
        <w:t xml:space="preserve">, </w:t>
      </w:r>
      <w:r w:rsidR="00F23EF9">
        <w:rPr>
          <w:rFonts w:ascii="Verdana" w:hAnsi="Verdana"/>
          <w:lang w:val="en-GB"/>
        </w:rPr>
        <w:t xml:space="preserve">I performed </w:t>
      </w:r>
      <w:r>
        <w:rPr>
          <w:rFonts w:ascii="Verdana" w:hAnsi="Verdana"/>
          <w:lang w:val="en-GB"/>
        </w:rPr>
        <w:t xml:space="preserve">all behavioural testing, euthanasia and tissue collection. </w:t>
      </w:r>
      <w:proofErr w:type="gramStart"/>
      <w:r>
        <w:rPr>
          <w:rFonts w:ascii="Verdana" w:hAnsi="Verdana"/>
          <w:lang w:val="en-GB"/>
        </w:rPr>
        <w:t>With the exception of</w:t>
      </w:r>
      <w:proofErr w:type="gramEnd"/>
      <w:r>
        <w:rPr>
          <w:rFonts w:ascii="Verdana" w:hAnsi="Verdana"/>
          <w:lang w:val="en-GB"/>
        </w:rPr>
        <w:t xml:space="preserve"> the RNA-sequencing bioinformatic analysis</w:t>
      </w:r>
      <w:r w:rsidR="00D755F4">
        <w:rPr>
          <w:rFonts w:ascii="Verdana" w:hAnsi="Verdana"/>
          <w:lang w:val="en-GB"/>
        </w:rPr>
        <w:t xml:space="preserve"> (Thomas Hentrich)</w:t>
      </w:r>
      <w:r>
        <w:rPr>
          <w:rFonts w:ascii="Verdana" w:hAnsi="Verdana"/>
          <w:lang w:val="en-GB"/>
        </w:rPr>
        <w:t xml:space="preserve">, I carried out all the experiments described below, starting from sample processing to </w:t>
      </w:r>
      <w:r w:rsidR="003A7700">
        <w:rPr>
          <w:rFonts w:ascii="Verdana" w:hAnsi="Verdana"/>
          <w:lang w:val="en-GB"/>
        </w:rPr>
        <w:t xml:space="preserve">statistical analyses and </w:t>
      </w:r>
      <w:r>
        <w:rPr>
          <w:rFonts w:ascii="Verdana" w:hAnsi="Verdana"/>
          <w:lang w:val="en-GB"/>
        </w:rPr>
        <w:t>figures making. Experiments were performed according to the Materials and Methods described in the Part III of this thesis.</w:t>
      </w:r>
      <w:r w:rsidR="00D46B0D">
        <w:rPr>
          <w:rFonts w:ascii="Verdana" w:hAnsi="Verdana"/>
          <w:lang w:val="en-GB"/>
        </w:rPr>
        <w:t xml:space="preserve"> I personally generated </w:t>
      </w:r>
      <w:r w:rsidR="004166D3">
        <w:rPr>
          <w:rFonts w:ascii="Verdana" w:hAnsi="Verdana"/>
          <w:lang w:val="en-GB"/>
        </w:rPr>
        <w:t>F</w:t>
      </w:r>
      <w:r w:rsidR="00D46B0D">
        <w:rPr>
          <w:rFonts w:ascii="Verdana" w:hAnsi="Verdana"/>
          <w:lang w:val="en-GB"/>
        </w:rPr>
        <w:t>igure 1</w:t>
      </w:r>
      <w:r w:rsidR="00F7021F">
        <w:rPr>
          <w:rFonts w:ascii="Verdana" w:hAnsi="Verdana"/>
          <w:lang w:val="en-GB"/>
        </w:rPr>
        <w:t>1</w:t>
      </w:r>
      <w:r w:rsidR="00D46B0D">
        <w:rPr>
          <w:rFonts w:ascii="Verdana" w:hAnsi="Verdana"/>
          <w:lang w:val="en-GB"/>
        </w:rPr>
        <w:t xml:space="preserve"> and 1</w:t>
      </w:r>
      <w:r w:rsidR="00F7021F">
        <w:rPr>
          <w:rFonts w:ascii="Verdana" w:hAnsi="Verdana"/>
          <w:lang w:val="en-GB"/>
        </w:rPr>
        <w:t>2</w:t>
      </w:r>
      <w:r w:rsidR="00C430FC">
        <w:rPr>
          <w:rFonts w:ascii="Verdana" w:hAnsi="Verdana"/>
          <w:lang w:val="en-GB"/>
        </w:rPr>
        <w:t>. Based on the</w:t>
      </w:r>
      <w:r w:rsidR="008C7565">
        <w:rPr>
          <w:rFonts w:ascii="Verdana" w:hAnsi="Verdana"/>
          <w:lang w:val="en-GB"/>
        </w:rPr>
        <w:t xml:space="preserve"> differential</w:t>
      </w:r>
      <w:r w:rsidR="00C430FC">
        <w:rPr>
          <w:rFonts w:ascii="Verdana" w:hAnsi="Verdana"/>
          <w:lang w:val="en-GB"/>
        </w:rPr>
        <w:t xml:space="preserve"> gene expression lists provided by Thomas Hentrich, I generated</w:t>
      </w:r>
      <w:r w:rsidR="00D46B0D">
        <w:rPr>
          <w:rFonts w:ascii="Verdana" w:hAnsi="Verdana"/>
          <w:lang w:val="en-GB"/>
        </w:rPr>
        <w:t xml:space="preserve"> </w:t>
      </w:r>
      <w:r w:rsidR="004166D3">
        <w:rPr>
          <w:rFonts w:ascii="Verdana" w:hAnsi="Verdana"/>
          <w:lang w:val="en-GB"/>
        </w:rPr>
        <w:t>the volcano plots in Figure 14A, 15A</w:t>
      </w:r>
      <w:r w:rsidR="00F82F65">
        <w:rPr>
          <w:rFonts w:ascii="Verdana" w:hAnsi="Verdana"/>
          <w:lang w:val="en-GB"/>
        </w:rPr>
        <w:t>,</w:t>
      </w:r>
      <w:r w:rsidR="004166D3">
        <w:rPr>
          <w:rFonts w:ascii="Verdana" w:hAnsi="Verdana"/>
          <w:lang w:val="en-GB"/>
        </w:rPr>
        <w:t xml:space="preserve"> 16A</w:t>
      </w:r>
      <w:r w:rsidR="00C430FC">
        <w:rPr>
          <w:rFonts w:ascii="Verdana" w:hAnsi="Verdana"/>
          <w:lang w:val="en-GB"/>
        </w:rPr>
        <w:t xml:space="preserve"> and 17A</w:t>
      </w:r>
      <w:r w:rsidR="004166D3">
        <w:rPr>
          <w:rFonts w:ascii="Verdana" w:hAnsi="Verdana"/>
          <w:lang w:val="en-GB"/>
        </w:rPr>
        <w:t>,</w:t>
      </w:r>
      <w:r w:rsidR="008C7565">
        <w:rPr>
          <w:rFonts w:ascii="Verdana" w:hAnsi="Verdana"/>
          <w:lang w:val="en-GB"/>
        </w:rPr>
        <w:t xml:space="preserve"> and</w:t>
      </w:r>
      <w:r w:rsidR="004166D3">
        <w:rPr>
          <w:rFonts w:ascii="Verdana" w:hAnsi="Verdana"/>
          <w:lang w:val="en-GB"/>
        </w:rPr>
        <w:t xml:space="preserve"> the Ingenuity Pathway Analysis report in Figure</w:t>
      </w:r>
      <w:r w:rsidR="00F81AF3">
        <w:rPr>
          <w:rFonts w:ascii="Verdana" w:hAnsi="Verdana"/>
          <w:lang w:val="en-GB"/>
        </w:rPr>
        <w:t xml:space="preserve"> 14D, 15D</w:t>
      </w:r>
      <w:r w:rsidR="00C430FC">
        <w:rPr>
          <w:rFonts w:ascii="Verdana" w:hAnsi="Verdana"/>
          <w:lang w:val="en-GB"/>
        </w:rPr>
        <w:t>, 16D</w:t>
      </w:r>
      <w:r w:rsidR="00F81AF3">
        <w:rPr>
          <w:rFonts w:ascii="Verdana" w:hAnsi="Verdana"/>
          <w:lang w:val="en-GB"/>
        </w:rPr>
        <w:t xml:space="preserve"> and 17</w:t>
      </w:r>
      <w:r w:rsidR="00C430FC">
        <w:rPr>
          <w:rFonts w:ascii="Verdana" w:hAnsi="Verdana"/>
          <w:lang w:val="en-GB"/>
        </w:rPr>
        <w:t>D</w:t>
      </w:r>
      <w:r w:rsidR="00F81AF3">
        <w:rPr>
          <w:rFonts w:ascii="Verdana" w:hAnsi="Verdana"/>
          <w:lang w:val="en-GB"/>
        </w:rPr>
        <w:t>.</w:t>
      </w:r>
      <w:r w:rsidR="00D46B0D">
        <w:rPr>
          <w:rFonts w:ascii="Verdana" w:hAnsi="Verdana"/>
          <w:lang w:val="en-GB"/>
        </w:rPr>
        <w:t xml:space="preserve"> Figures 1</w:t>
      </w:r>
      <w:r w:rsidR="00F7021F">
        <w:rPr>
          <w:rFonts w:ascii="Verdana" w:hAnsi="Verdana"/>
          <w:lang w:val="en-GB"/>
        </w:rPr>
        <w:t>3</w:t>
      </w:r>
      <w:r w:rsidR="00F81AF3">
        <w:rPr>
          <w:rFonts w:ascii="Verdana" w:hAnsi="Verdana"/>
          <w:lang w:val="en-GB"/>
        </w:rPr>
        <w:t>,</w:t>
      </w:r>
      <w:r w:rsidR="00D755F4">
        <w:rPr>
          <w:rFonts w:ascii="Verdana" w:hAnsi="Verdana"/>
          <w:lang w:val="en-GB"/>
        </w:rPr>
        <w:t xml:space="preserve"> 14</w:t>
      </w:r>
      <w:r w:rsidR="00F945FC">
        <w:rPr>
          <w:rFonts w:ascii="Verdana" w:hAnsi="Verdana"/>
          <w:lang w:val="en-GB"/>
        </w:rPr>
        <w:t>B and C, 15B and C, 16</w:t>
      </w:r>
      <w:r w:rsidR="00C430FC">
        <w:rPr>
          <w:rFonts w:ascii="Verdana" w:hAnsi="Verdana"/>
          <w:lang w:val="en-GB"/>
        </w:rPr>
        <w:t>B and C, 17B and C</w:t>
      </w:r>
      <w:r w:rsidR="00D755F4">
        <w:rPr>
          <w:rFonts w:ascii="Verdana" w:hAnsi="Verdana"/>
          <w:lang w:val="en-GB"/>
        </w:rPr>
        <w:t xml:space="preserve"> were generated by Thomas Hentrich.</w:t>
      </w:r>
    </w:p>
    <w:p w14:paraId="2E7F0319" w14:textId="32C97FB4" w:rsidR="004F6221" w:rsidRPr="004F6221" w:rsidRDefault="004F6221" w:rsidP="00B75A83">
      <w:pPr>
        <w:tabs>
          <w:tab w:val="left" w:pos="952"/>
        </w:tabs>
        <w:jc w:val="both"/>
        <w:rPr>
          <w:rFonts w:ascii="Verdana" w:hAnsi="Verdana"/>
          <w:lang w:val="en-GB"/>
        </w:rPr>
        <w:sectPr w:rsidR="004F6221" w:rsidRPr="004F6221" w:rsidSect="00F16765">
          <w:pgSz w:w="11907" w:h="16840" w:code="9"/>
          <w:pgMar w:top="1440" w:right="1418" w:bottom="1440" w:left="1701" w:header="720" w:footer="720" w:gutter="0"/>
          <w:cols w:space="720"/>
          <w:docGrid w:linePitch="360"/>
        </w:sectPr>
      </w:pPr>
      <w:r>
        <w:rPr>
          <w:rFonts w:ascii="Verdana" w:hAnsi="Verdana"/>
          <w:lang w:val="en-GB"/>
        </w:rPr>
        <w:tab/>
      </w:r>
      <w:r w:rsidR="00174D18">
        <w:rPr>
          <w:rFonts w:ascii="Verdana" w:hAnsi="Verdana"/>
          <w:lang w:val="en-GB"/>
        </w:rPr>
        <w:t>A manuscrip</w:t>
      </w:r>
      <w:r w:rsidR="008D7798">
        <w:rPr>
          <w:rFonts w:ascii="Verdana" w:hAnsi="Verdana"/>
          <w:lang w:val="en-GB"/>
        </w:rPr>
        <w:t xml:space="preserve">t </w:t>
      </w:r>
      <w:r w:rsidR="009B0130">
        <w:rPr>
          <w:rFonts w:ascii="Verdana" w:hAnsi="Verdana"/>
          <w:lang w:val="en-GB"/>
        </w:rPr>
        <w:t>enclosing the results presented in this Chapter is currently under preparation</w:t>
      </w:r>
      <w:r w:rsidR="00645016">
        <w:rPr>
          <w:rFonts w:ascii="Verdana" w:hAnsi="Verdana"/>
          <w:lang w:val="en-GB"/>
        </w:rPr>
        <w:t>.</w:t>
      </w:r>
    </w:p>
    <w:p w14:paraId="6F04F020" w14:textId="15E54CFE" w:rsidR="0047046D" w:rsidRPr="00C96630" w:rsidRDefault="0047046D" w:rsidP="00767F9D">
      <w:pPr>
        <w:pStyle w:val="Heading3"/>
        <w:rPr>
          <w:lang w:val="en-GB"/>
        </w:rPr>
      </w:pPr>
      <w:r w:rsidRPr="00C96630">
        <w:rPr>
          <w:lang w:val="en-GB"/>
        </w:rPr>
        <w:lastRenderedPageBreak/>
        <w:t xml:space="preserve">  </w:t>
      </w:r>
      <w:bookmarkStart w:id="81" w:name="_Toc130223436"/>
      <w:r w:rsidR="009E5729">
        <w:rPr>
          <w:lang w:val="en-GB"/>
        </w:rPr>
        <w:t>4.1</w:t>
      </w:r>
      <w:r w:rsidR="009E5729">
        <w:rPr>
          <w:lang w:val="en-GB"/>
        </w:rPr>
        <w:tab/>
      </w:r>
      <w:r w:rsidR="00767F9D">
        <w:rPr>
          <w:lang w:val="en-GB"/>
        </w:rPr>
        <w:t xml:space="preserve">Transgenic alpha-synuclein overexpression in the hippocampus of </w:t>
      </w:r>
      <w:r w:rsidRPr="00C96630">
        <w:rPr>
          <w:lang w:val="en-GB"/>
        </w:rPr>
        <w:t xml:space="preserve">SNCA*E46K </w:t>
      </w:r>
      <w:r w:rsidR="00767F9D">
        <w:rPr>
          <w:lang w:val="en-GB"/>
        </w:rPr>
        <w:t xml:space="preserve">HET </w:t>
      </w:r>
      <w:r w:rsidRPr="00C96630">
        <w:rPr>
          <w:lang w:val="en-GB"/>
        </w:rPr>
        <w:t xml:space="preserve">mice </w:t>
      </w:r>
      <w:r w:rsidR="00767F9D">
        <w:rPr>
          <w:lang w:val="en-GB"/>
        </w:rPr>
        <w:t>increases by age</w:t>
      </w:r>
      <w:bookmarkEnd w:id="81"/>
    </w:p>
    <w:p w14:paraId="54775A7E" w14:textId="787226BA" w:rsidR="003A7700" w:rsidRPr="0047046D" w:rsidRDefault="003A7700" w:rsidP="0047046D">
      <w:pPr>
        <w:spacing w:line="360" w:lineRule="auto"/>
        <w:jc w:val="both"/>
        <w:rPr>
          <w:rFonts w:ascii="Verdana" w:hAnsi="Verdana"/>
          <w:lang w:val="en-GB"/>
        </w:rPr>
      </w:pPr>
      <w:r w:rsidRPr="0047046D">
        <w:rPr>
          <w:rFonts w:ascii="Verdana" w:hAnsi="Verdana"/>
          <w:lang w:val="en-GB"/>
        </w:rPr>
        <w:t>The expression of alpha-synuclein has been reported for the midbrain (</w:t>
      </w:r>
      <w:r w:rsidR="00505F8F">
        <w:rPr>
          <w:rFonts w:ascii="Verdana" w:hAnsi="Verdana"/>
          <w:lang w:val="en-GB"/>
        </w:rPr>
        <w:t xml:space="preserve">Chapter 3, </w:t>
      </w:r>
      <w:r w:rsidRPr="0047046D">
        <w:rPr>
          <w:rFonts w:ascii="Verdana" w:hAnsi="Verdana"/>
          <w:lang w:val="en-GB"/>
        </w:rPr>
        <w:t xml:space="preserve">Hendrickx et al. 2021), but has not yet been fully investigated for other brain regions. Therefore, quantification of alpha-synuclein transgene expression and protein levels in the hippocampus was necessary for the </w:t>
      </w:r>
      <w:r w:rsidR="008809B3">
        <w:rPr>
          <w:rFonts w:ascii="Verdana" w:hAnsi="Verdana"/>
          <w:lang w:val="en-GB"/>
        </w:rPr>
        <w:t>investigation</w:t>
      </w:r>
      <w:r w:rsidRPr="0047046D">
        <w:rPr>
          <w:rFonts w:ascii="Verdana" w:hAnsi="Verdana"/>
          <w:lang w:val="en-GB"/>
        </w:rPr>
        <w:t xml:space="preserve"> of α-synuclein overexpression’s impact in the development of</w:t>
      </w:r>
      <w:r w:rsidR="008809B3">
        <w:rPr>
          <w:rFonts w:ascii="Verdana" w:hAnsi="Verdana"/>
          <w:lang w:val="en-GB"/>
        </w:rPr>
        <w:t xml:space="preserve"> hippocampal dysfunction and</w:t>
      </w:r>
      <w:r w:rsidRPr="0047046D">
        <w:rPr>
          <w:rFonts w:ascii="Verdana" w:hAnsi="Verdana"/>
          <w:lang w:val="en-GB"/>
        </w:rPr>
        <w:t xml:space="preserve"> </w:t>
      </w:r>
      <w:r w:rsidR="008809B3">
        <w:rPr>
          <w:rFonts w:ascii="Verdana" w:hAnsi="Verdana"/>
          <w:lang w:val="en-GB"/>
        </w:rPr>
        <w:t xml:space="preserve">cognitive impairment </w:t>
      </w:r>
      <w:r w:rsidRPr="0047046D">
        <w:rPr>
          <w:rFonts w:ascii="Verdana" w:hAnsi="Verdana"/>
          <w:lang w:val="en-GB"/>
        </w:rPr>
        <w:t>in PD.</w:t>
      </w:r>
    </w:p>
    <w:p w14:paraId="01D7896A" w14:textId="4B38EBF2" w:rsidR="003A7700" w:rsidRDefault="003A7700" w:rsidP="0096042C">
      <w:pPr>
        <w:pStyle w:val="ListParagraph"/>
        <w:spacing w:line="360" w:lineRule="auto"/>
        <w:ind w:left="0"/>
        <w:contextualSpacing w:val="0"/>
        <w:jc w:val="both"/>
        <w:rPr>
          <w:rFonts w:ascii="Verdana" w:hAnsi="Verdana"/>
          <w:lang w:val="en-GB"/>
        </w:rPr>
      </w:pPr>
      <w:r>
        <w:rPr>
          <w:rFonts w:ascii="Verdana" w:hAnsi="Verdana"/>
          <w:lang w:val="en-GB"/>
        </w:rPr>
        <w:t xml:space="preserve">We investigated gene expression through RT-qPCR and protein levels through Western Blot, comparing expression levels across genotypes, </w:t>
      </w:r>
      <w:proofErr w:type="gramStart"/>
      <w:r>
        <w:rPr>
          <w:rFonts w:ascii="Verdana" w:hAnsi="Verdana"/>
          <w:lang w:val="en-GB"/>
        </w:rPr>
        <w:t>ages</w:t>
      </w:r>
      <w:proofErr w:type="gramEnd"/>
      <w:r>
        <w:rPr>
          <w:rFonts w:ascii="Verdana" w:hAnsi="Verdana"/>
          <w:lang w:val="en-GB"/>
        </w:rPr>
        <w:t xml:space="preserve"> and sexes. Gene expression of the murine alpha-synuclein gene (</w:t>
      </w:r>
      <w:proofErr w:type="spellStart"/>
      <w:r w:rsidRPr="004F107D">
        <w:rPr>
          <w:rFonts w:ascii="Verdana" w:hAnsi="Verdana"/>
          <w:i/>
          <w:iCs/>
          <w:lang w:val="en-GB"/>
        </w:rPr>
        <w:t>Snca</w:t>
      </w:r>
      <w:proofErr w:type="spellEnd"/>
      <w:r>
        <w:rPr>
          <w:rFonts w:ascii="Verdana" w:hAnsi="Verdana"/>
          <w:lang w:val="en-GB"/>
        </w:rPr>
        <w:t xml:space="preserve">) did not change between transgenic and wild-type (WT) animals, and expression levels were constant during ageing and did not differ in male versus female animals (Figure </w:t>
      </w:r>
      <w:r w:rsidR="000D1E9C">
        <w:rPr>
          <w:rFonts w:ascii="Verdana" w:hAnsi="Verdana"/>
          <w:lang w:val="en-GB"/>
        </w:rPr>
        <w:t>1</w:t>
      </w:r>
      <w:r w:rsidR="003A7A15">
        <w:rPr>
          <w:rFonts w:ascii="Verdana" w:hAnsi="Verdana"/>
          <w:lang w:val="en-GB"/>
        </w:rPr>
        <w:t>1</w:t>
      </w:r>
      <w:r>
        <w:rPr>
          <w:rFonts w:ascii="Verdana" w:hAnsi="Verdana"/>
          <w:lang w:val="en-GB"/>
        </w:rPr>
        <w:t>A, top). Transgenic synuclein (</w:t>
      </w:r>
      <w:r w:rsidRPr="005E5377">
        <w:rPr>
          <w:rFonts w:ascii="Verdana" w:hAnsi="Verdana"/>
          <w:i/>
          <w:iCs/>
          <w:lang w:val="en-GB"/>
        </w:rPr>
        <w:t>SNCA</w:t>
      </w:r>
      <w:r>
        <w:rPr>
          <w:rFonts w:ascii="Verdana" w:hAnsi="Verdana"/>
          <w:lang w:val="en-GB"/>
        </w:rPr>
        <w:t>) expression was detected only in transgenic animals</w:t>
      </w:r>
      <w:r w:rsidR="00A62CDC">
        <w:rPr>
          <w:rFonts w:ascii="Verdana" w:hAnsi="Verdana"/>
          <w:lang w:val="en-GB"/>
        </w:rPr>
        <w:t xml:space="preserve"> (Figure 1</w:t>
      </w:r>
      <w:r w:rsidR="003A7A15">
        <w:rPr>
          <w:rFonts w:ascii="Verdana" w:hAnsi="Verdana"/>
          <w:lang w:val="en-GB"/>
        </w:rPr>
        <w:t>1</w:t>
      </w:r>
      <w:r w:rsidR="00A62CDC">
        <w:rPr>
          <w:rFonts w:ascii="Verdana" w:hAnsi="Verdana"/>
          <w:lang w:val="en-GB"/>
        </w:rPr>
        <w:t>A, bottom).</w:t>
      </w:r>
      <w:r>
        <w:rPr>
          <w:rFonts w:ascii="Verdana" w:hAnsi="Verdana"/>
          <w:lang w:val="en-GB"/>
        </w:rPr>
        <w:t xml:space="preserve"> </w:t>
      </w:r>
      <w:r w:rsidR="00A62CDC">
        <w:rPr>
          <w:rFonts w:ascii="Verdana" w:hAnsi="Verdana"/>
          <w:lang w:val="en-GB"/>
        </w:rPr>
        <w:t xml:space="preserve">Transgenic alpha-synuclein mRNA expression levels </w:t>
      </w:r>
      <w:r w:rsidR="00CA3ADA">
        <w:rPr>
          <w:rFonts w:ascii="Verdana" w:hAnsi="Verdana"/>
          <w:lang w:val="en-GB"/>
        </w:rPr>
        <w:t>appeared</w:t>
      </w:r>
      <w:r w:rsidR="00A62CDC">
        <w:rPr>
          <w:rFonts w:ascii="Verdana" w:hAnsi="Verdana"/>
          <w:lang w:val="en-GB"/>
        </w:rPr>
        <w:t xml:space="preserve"> to increase with age in both male and female mice, although this trend </w:t>
      </w:r>
      <w:r w:rsidR="00CA3ADA">
        <w:rPr>
          <w:rFonts w:ascii="Verdana" w:hAnsi="Verdana"/>
          <w:lang w:val="en-GB"/>
        </w:rPr>
        <w:t>wa</w:t>
      </w:r>
      <w:r w:rsidR="00A62CDC">
        <w:rPr>
          <w:rFonts w:ascii="Verdana" w:hAnsi="Verdana"/>
          <w:lang w:val="en-GB"/>
        </w:rPr>
        <w:t xml:space="preserve">s more </w:t>
      </w:r>
      <w:r w:rsidR="00A62CDC" w:rsidRPr="004866D9">
        <w:rPr>
          <w:rFonts w:ascii="Verdana" w:hAnsi="Verdana"/>
          <w:lang w:val="en-GB"/>
        </w:rPr>
        <w:t xml:space="preserve">pronounced </w:t>
      </w:r>
      <w:r w:rsidR="004866D9">
        <w:rPr>
          <w:rFonts w:ascii="Verdana" w:hAnsi="Verdana"/>
          <w:lang w:val="en-GB"/>
        </w:rPr>
        <w:t>in</w:t>
      </w:r>
      <w:r w:rsidR="00A62CDC" w:rsidRPr="004866D9">
        <w:rPr>
          <w:rFonts w:ascii="Verdana" w:hAnsi="Verdana"/>
          <w:lang w:val="en-GB"/>
        </w:rPr>
        <w:t xml:space="preserve"> males.</w:t>
      </w:r>
      <w:r w:rsidR="003B6B2C" w:rsidRPr="004866D9">
        <w:rPr>
          <w:rFonts w:ascii="Verdana" w:hAnsi="Verdana"/>
          <w:lang w:val="en-GB"/>
        </w:rPr>
        <w:t xml:space="preserve"> </w:t>
      </w:r>
      <w:r w:rsidR="00F356B3">
        <w:rPr>
          <w:rFonts w:ascii="Verdana" w:hAnsi="Verdana"/>
          <w:lang w:val="en-GB"/>
        </w:rPr>
        <w:t xml:space="preserve">Differences in </w:t>
      </w:r>
      <w:r w:rsidR="00F356B3" w:rsidRPr="000466A6">
        <w:rPr>
          <w:rFonts w:ascii="Verdana" w:hAnsi="Verdana"/>
          <w:i/>
          <w:iCs/>
          <w:lang w:val="en-GB"/>
        </w:rPr>
        <w:t>SNCA</w:t>
      </w:r>
      <w:r w:rsidR="00F356B3">
        <w:rPr>
          <w:rFonts w:ascii="Verdana" w:hAnsi="Verdana"/>
          <w:lang w:val="en-GB"/>
        </w:rPr>
        <w:t xml:space="preserve"> mRNA expression levels for HET mice across ages did not reach significance</w:t>
      </w:r>
      <w:r w:rsidR="00CE5DAD">
        <w:rPr>
          <w:rFonts w:ascii="Verdana" w:hAnsi="Verdana"/>
          <w:lang w:val="en-GB"/>
        </w:rPr>
        <w:t xml:space="preserve"> after correction for multiple comparisons</w:t>
      </w:r>
      <w:r w:rsidR="00F356B3">
        <w:rPr>
          <w:rFonts w:ascii="Verdana" w:hAnsi="Verdana"/>
          <w:lang w:val="en-GB"/>
        </w:rPr>
        <w:t xml:space="preserve">. </w:t>
      </w:r>
      <w:r w:rsidR="003B6B2C">
        <w:rPr>
          <w:rFonts w:ascii="Verdana" w:hAnsi="Verdana"/>
          <w:lang w:val="en-GB"/>
        </w:rPr>
        <w:t xml:space="preserve">On the other hand, when looking at </w:t>
      </w:r>
      <w:r>
        <w:rPr>
          <w:rFonts w:ascii="Verdana" w:hAnsi="Verdana"/>
          <w:lang w:val="en-GB"/>
        </w:rPr>
        <w:t>alpha-synuclein protein (αSyn) levels</w:t>
      </w:r>
      <w:r w:rsidR="003B6B2C">
        <w:rPr>
          <w:rFonts w:ascii="Verdana" w:hAnsi="Verdana"/>
          <w:lang w:val="en-GB"/>
        </w:rPr>
        <w:t xml:space="preserve">, </w:t>
      </w:r>
      <w:r w:rsidR="00CA3ADA">
        <w:rPr>
          <w:rFonts w:ascii="Verdana" w:hAnsi="Verdana"/>
          <w:lang w:val="en-GB"/>
        </w:rPr>
        <w:t xml:space="preserve">expression appeared to be constant across ages for males, while it seemed to increase with age in female mice </w:t>
      </w:r>
      <w:r>
        <w:rPr>
          <w:rFonts w:ascii="Verdana" w:hAnsi="Verdana"/>
          <w:lang w:val="en-GB"/>
        </w:rPr>
        <w:t xml:space="preserve">(Figure </w:t>
      </w:r>
      <w:r w:rsidR="00E141E0">
        <w:rPr>
          <w:rFonts w:ascii="Verdana" w:hAnsi="Verdana"/>
          <w:lang w:val="en-GB"/>
        </w:rPr>
        <w:t>1</w:t>
      </w:r>
      <w:r w:rsidR="003A7A15">
        <w:rPr>
          <w:rFonts w:ascii="Verdana" w:hAnsi="Verdana"/>
          <w:lang w:val="en-GB"/>
        </w:rPr>
        <w:t>1</w:t>
      </w:r>
      <w:r>
        <w:rPr>
          <w:rFonts w:ascii="Verdana" w:hAnsi="Verdana"/>
          <w:lang w:val="en-GB"/>
        </w:rPr>
        <w:t xml:space="preserve">B, bottom). </w:t>
      </w:r>
      <w:r w:rsidR="0087496F">
        <w:rPr>
          <w:rFonts w:ascii="Verdana" w:hAnsi="Verdana"/>
          <w:lang w:val="en-GB"/>
        </w:rPr>
        <w:t xml:space="preserve">Differences in </w:t>
      </w:r>
      <w:r w:rsidR="00CC0153">
        <w:rPr>
          <w:rFonts w:ascii="Verdana" w:hAnsi="Verdana"/>
          <w:lang w:val="en-GB"/>
        </w:rPr>
        <w:t>alpha-synuclein</w:t>
      </w:r>
      <w:r w:rsidR="009C1008">
        <w:rPr>
          <w:rFonts w:ascii="Verdana" w:hAnsi="Verdana"/>
          <w:lang w:val="en-GB"/>
        </w:rPr>
        <w:t xml:space="preserve"> protein levels </w:t>
      </w:r>
      <w:r w:rsidR="00A752FD">
        <w:rPr>
          <w:rFonts w:ascii="Verdana" w:hAnsi="Verdana"/>
          <w:lang w:val="en-GB"/>
        </w:rPr>
        <w:t>did not reach</w:t>
      </w:r>
      <w:r w:rsidR="005217AC">
        <w:rPr>
          <w:rFonts w:ascii="Verdana" w:hAnsi="Verdana"/>
          <w:lang w:val="en-GB"/>
        </w:rPr>
        <w:t xml:space="preserve"> statistical</w:t>
      </w:r>
      <w:r w:rsidR="00A752FD">
        <w:rPr>
          <w:rFonts w:ascii="Verdana" w:hAnsi="Verdana"/>
          <w:lang w:val="en-GB"/>
        </w:rPr>
        <w:t xml:space="preserve"> significance</w:t>
      </w:r>
      <w:r w:rsidR="000B6E62">
        <w:rPr>
          <w:rFonts w:ascii="Verdana" w:hAnsi="Verdana"/>
          <w:lang w:val="en-GB"/>
        </w:rPr>
        <w:t>, even when co</w:t>
      </w:r>
      <w:r w:rsidR="008214D9">
        <w:rPr>
          <w:rFonts w:ascii="Verdana" w:hAnsi="Verdana"/>
          <w:lang w:val="en-GB"/>
        </w:rPr>
        <w:t>nsidering</w:t>
      </w:r>
      <w:r w:rsidR="000B6E62">
        <w:rPr>
          <w:rFonts w:ascii="Verdana" w:hAnsi="Verdana"/>
          <w:lang w:val="en-GB"/>
        </w:rPr>
        <w:t xml:space="preserve"> the </w:t>
      </w:r>
      <w:r w:rsidR="00994ECA">
        <w:rPr>
          <w:rFonts w:ascii="Verdana" w:hAnsi="Verdana"/>
          <w:lang w:val="en-GB"/>
        </w:rPr>
        <w:t>youngest</w:t>
      </w:r>
      <w:r w:rsidR="000B6E62">
        <w:rPr>
          <w:rFonts w:ascii="Verdana" w:hAnsi="Verdana"/>
          <w:lang w:val="en-GB"/>
        </w:rPr>
        <w:t xml:space="preserve"> and oldest</w:t>
      </w:r>
      <w:r w:rsidR="00994ECA">
        <w:rPr>
          <w:rFonts w:ascii="Verdana" w:hAnsi="Verdana"/>
          <w:lang w:val="en-GB"/>
        </w:rPr>
        <w:t xml:space="preserve"> </w:t>
      </w:r>
      <w:r w:rsidR="0096042C">
        <w:rPr>
          <w:rFonts w:ascii="Verdana" w:hAnsi="Verdana"/>
          <w:lang w:val="en-GB"/>
        </w:rPr>
        <w:t>HET females</w:t>
      </w:r>
      <w:r w:rsidR="00994ECA">
        <w:rPr>
          <w:rFonts w:ascii="Verdana" w:hAnsi="Verdana"/>
          <w:lang w:val="en-GB"/>
        </w:rPr>
        <w:t xml:space="preserve"> (Wilcoxon rank sum exact test</w:t>
      </w:r>
      <w:r w:rsidR="00675183">
        <w:rPr>
          <w:rFonts w:ascii="Verdana" w:hAnsi="Verdana"/>
          <w:lang w:val="en-GB"/>
        </w:rPr>
        <w:t xml:space="preserve"> with </w:t>
      </w:r>
      <w:proofErr w:type="spellStart"/>
      <w:r w:rsidR="0096042C">
        <w:rPr>
          <w:rFonts w:ascii="Verdana" w:hAnsi="Verdana"/>
          <w:lang w:val="en-GB"/>
        </w:rPr>
        <w:t>Benjamini</w:t>
      </w:r>
      <w:proofErr w:type="spellEnd"/>
      <w:r w:rsidR="0096042C">
        <w:rPr>
          <w:rFonts w:ascii="Verdana" w:hAnsi="Verdana"/>
          <w:lang w:val="en-GB"/>
        </w:rPr>
        <w:t>-Hochberg correction for multiple comparisons</w:t>
      </w:r>
      <w:r w:rsidR="00994ECA">
        <w:rPr>
          <w:rFonts w:ascii="Verdana" w:hAnsi="Verdana"/>
          <w:lang w:val="en-GB"/>
        </w:rPr>
        <w:t>; 3M vs 8M, p =</w:t>
      </w:r>
      <w:r w:rsidR="00E3622F">
        <w:rPr>
          <w:rFonts w:ascii="Verdana" w:hAnsi="Verdana"/>
          <w:lang w:val="en-GB"/>
        </w:rPr>
        <w:t xml:space="preserve"> 0.091; 3M vs 14M, p =</w:t>
      </w:r>
      <w:r w:rsidR="00675183">
        <w:rPr>
          <w:rFonts w:ascii="Verdana" w:hAnsi="Verdana"/>
          <w:lang w:val="en-GB"/>
        </w:rPr>
        <w:t xml:space="preserve"> 0.091</w:t>
      </w:r>
      <w:r w:rsidR="0096042C">
        <w:rPr>
          <w:rFonts w:ascii="Verdana" w:hAnsi="Verdana"/>
          <w:lang w:val="en-GB"/>
        </w:rPr>
        <w:t>)</w:t>
      </w:r>
      <w:r w:rsidR="00675183">
        <w:rPr>
          <w:rFonts w:ascii="Verdana" w:hAnsi="Verdana"/>
          <w:lang w:val="en-GB"/>
        </w:rPr>
        <w:t>.</w:t>
      </w:r>
      <w:r w:rsidR="0096042C">
        <w:rPr>
          <w:rFonts w:ascii="Verdana" w:hAnsi="Verdana"/>
          <w:lang w:val="en-GB"/>
        </w:rPr>
        <w:t xml:space="preserve"> </w:t>
      </w:r>
      <w:r>
        <w:rPr>
          <w:rFonts w:ascii="Verdana" w:hAnsi="Verdana"/>
          <w:lang w:val="en-GB"/>
        </w:rPr>
        <w:t>Staining with a pan-</w:t>
      </w:r>
      <w:r w:rsidR="008C222C">
        <w:rPr>
          <w:rFonts w:ascii="Verdana" w:hAnsi="Verdana"/>
          <w:lang w:val="en-GB"/>
        </w:rPr>
        <w:t>alpha-synuclein</w:t>
      </w:r>
      <w:r>
        <w:rPr>
          <w:rFonts w:ascii="Verdana" w:hAnsi="Verdana"/>
          <w:lang w:val="en-GB"/>
        </w:rPr>
        <w:t xml:space="preserve"> antibody</w:t>
      </w:r>
      <w:r w:rsidR="007C3049">
        <w:rPr>
          <w:rFonts w:ascii="Verdana" w:hAnsi="Verdana"/>
          <w:lang w:val="en-GB"/>
        </w:rPr>
        <w:t xml:space="preserve"> (pan-αSyn)</w:t>
      </w:r>
      <w:r>
        <w:rPr>
          <w:rFonts w:ascii="Verdana" w:hAnsi="Verdana"/>
          <w:lang w:val="en-GB"/>
        </w:rPr>
        <w:t>, that detects both endogenous (</w:t>
      </w:r>
      <w:proofErr w:type="spellStart"/>
      <w:r w:rsidRPr="00007CE6">
        <w:rPr>
          <w:rFonts w:ascii="Verdana" w:hAnsi="Verdana"/>
          <w:i/>
          <w:iCs/>
          <w:lang w:val="en-GB"/>
        </w:rPr>
        <w:t>Snca</w:t>
      </w:r>
      <w:proofErr w:type="spellEnd"/>
      <w:r>
        <w:rPr>
          <w:rFonts w:ascii="Verdana" w:hAnsi="Verdana"/>
          <w:lang w:val="en-GB"/>
        </w:rPr>
        <w:t>) and transgenic (</w:t>
      </w:r>
      <w:r w:rsidRPr="00007CE6">
        <w:rPr>
          <w:rFonts w:ascii="Verdana" w:hAnsi="Verdana"/>
          <w:i/>
          <w:iCs/>
          <w:lang w:val="en-GB"/>
        </w:rPr>
        <w:t>SNCA</w:t>
      </w:r>
      <w:r>
        <w:rPr>
          <w:rFonts w:ascii="Verdana" w:hAnsi="Verdana"/>
          <w:lang w:val="en-GB"/>
        </w:rPr>
        <w:t xml:space="preserve">) synuclein, showed consistently higher expression levels in HET mice, reflecting the overexpression of the human transgene (Figure </w:t>
      </w:r>
      <w:r w:rsidR="00161A2B">
        <w:rPr>
          <w:rFonts w:ascii="Verdana" w:hAnsi="Verdana"/>
          <w:lang w:val="en-GB"/>
        </w:rPr>
        <w:t>10</w:t>
      </w:r>
      <w:r>
        <w:rPr>
          <w:rFonts w:ascii="Verdana" w:hAnsi="Verdana"/>
          <w:lang w:val="en-GB"/>
        </w:rPr>
        <w:t xml:space="preserve">B, top). </w:t>
      </w:r>
      <w:r w:rsidR="009D02B1">
        <w:rPr>
          <w:rFonts w:ascii="Verdana" w:hAnsi="Verdana"/>
          <w:lang w:val="en-GB"/>
        </w:rPr>
        <w:t>Pan-</w:t>
      </w:r>
      <w:r w:rsidR="007C3049">
        <w:rPr>
          <w:rFonts w:ascii="Verdana" w:hAnsi="Verdana"/>
          <w:lang w:val="en-GB"/>
        </w:rPr>
        <w:t>αSyn</w:t>
      </w:r>
      <w:r w:rsidR="009D02B1">
        <w:rPr>
          <w:rFonts w:ascii="Verdana" w:hAnsi="Verdana"/>
          <w:lang w:val="en-GB"/>
        </w:rPr>
        <w:t xml:space="preserve"> protein levels did not appear to differ much between male and female mice, and o</w:t>
      </w:r>
      <w:r>
        <w:rPr>
          <w:rFonts w:ascii="Verdana" w:hAnsi="Verdana"/>
          <w:lang w:val="en-GB"/>
        </w:rPr>
        <w:t>verall, we detected an average 4.37-fold increase (</w:t>
      </w:r>
      <w:r w:rsidRPr="009D22F6">
        <w:rPr>
          <w:rFonts w:ascii="Verdana" w:hAnsi="Verdana"/>
          <w:lang w:val="en-GB"/>
        </w:rPr>
        <w:t xml:space="preserve">p = </w:t>
      </w:r>
      <w:r>
        <w:rPr>
          <w:rFonts w:ascii="Verdana" w:hAnsi="Verdana"/>
          <w:lang w:val="en-GB"/>
        </w:rPr>
        <w:t>2.2</w:t>
      </w:r>
      <w:r w:rsidRPr="009D22F6">
        <w:rPr>
          <w:rFonts w:ascii="Verdana" w:hAnsi="Verdana"/>
          <w:lang w:val="en-GB"/>
        </w:rPr>
        <w:t>e-</w:t>
      </w:r>
      <w:r>
        <w:rPr>
          <w:rFonts w:ascii="Verdana" w:hAnsi="Verdana"/>
          <w:lang w:val="en-GB"/>
        </w:rPr>
        <w:t xml:space="preserve">16) in total synuclein expression in HET mice versus their WT littermates. The distribution profile for </w:t>
      </w:r>
      <w:r w:rsidRPr="000466A6">
        <w:rPr>
          <w:rFonts w:ascii="Verdana" w:hAnsi="Verdana"/>
          <w:i/>
          <w:iCs/>
          <w:lang w:val="en-GB"/>
        </w:rPr>
        <w:t>SNCA</w:t>
      </w:r>
      <w:r>
        <w:rPr>
          <w:rFonts w:ascii="Verdana" w:hAnsi="Verdana"/>
          <w:lang w:val="en-GB"/>
        </w:rPr>
        <w:t xml:space="preserve">, Pan-αSyn, and Serine 129 phosphorylated </w:t>
      </w:r>
      <w:r w:rsidR="007C3049">
        <w:rPr>
          <w:rFonts w:ascii="Verdana" w:hAnsi="Verdana"/>
          <w:lang w:val="en-GB"/>
        </w:rPr>
        <w:t>alpha</w:t>
      </w:r>
      <w:r>
        <w:rPr>
          <w:rFonts w:ascii="Verdana" w:hAnsi="Verdana"/>
          <w:lang w:val="en-GB"/>
        </w:rPr>
        <w:t xml:space="preserve">-synuclein (pS129-αSyn) are presented in Figure </w:t>
      </w:r>
      <w:r w:rsidR="00161A2B">
        <w:rPr>
          <w:rFonts w:ascii="Verdana" w:hAnsi="Verdana"/>
          <w:lang w:val="en-GB"/>
        </w:rPr>
        <w:t>10</w:t>
      </w:r>
      <w:r>
        <w:rPr>
          <w:rFonts w:ascii="Verdana" w:hAnsi="Verdana"/>
          <w:lang w:val="en-GB"/>
        </w:rPr>
        <w:t xml:space="preserve">C. The </w:t>
      </w:r>
      <w:r w:rsidRPr="000466A6">
        <w:rPr>
          <w:rFonts w:ascii="Verdana" w:hAnsi="Verdana"/>
          <w:i/>
          <w:iCs/>
          <w:lang w:val="en-GB"/>
        </w:rPr>
        <w:t>SNCA</w:t>
      </w:r>
      <w:r>
        <w:rPr>
          <w:rFonts w:ascii="Verdana" w:hAnsi="Verdana"/>
          <w:lang w:val="en-GB"/>
        </w:rPr>
        <w:t xml:space="preserve"> transgene is expressed only in HET mice, and the expression is uniform across the </w:t>
      </w:r>
      <w:r>
        <w:rPr>
          <w:rFonts w:ascii="Verdana" w:hAnsi="Verdana"/>
          <w:lang w:val="en-GB"/>
        </w:rPr>
        <w:lastRenderedPageBreak/>
        <w:t xml:space="preserve">hippocampal CA1-CA3 subregions, and slightly weaker in the dentate gyrus (DG) (Figure </w:t>
      </w:r>
      <w:r w:rsidR="00DA69B1">
        <w:rPr>
          <w:rFonts w:ascii="Verdana" w:hAnsi="Verdana"/>
          <w:lang w:val="en-GB"/>
        </w:rPr>
        <w:t>1</w:t>
      </w:r>
      <w:r w:rsidR="00A44EE8">
        <w:rPr>
          <w:rFonts w:ascii="Verdana" w:hAnsi="Verdana"/>
          <w:lang w:val="en-GB"/>
        </w:rPr>
        <w:t>1</w:t>
      </w:r>
      <w:r>
        <w:rPr>
          <w:rFonts w:ascii="Verdana" w:hAnsi="Verdana"/>
          <w:lang w:val="en-GB"/>
        </w:rPr>
        <w:t xml:space="preserve">C, top row). Similarly, Pan-αSyn is uniformly expressed in the CA1-CA3 subfields, with lower expression levels for the DG (Figure </w:t>
      </w:r>
      <w:r w:rsidR="00DA69B1">
        <w:rPr>
          <w:rFonts w:ascii="Verdana" w:hAnsi="Verdana"/>
          <w:lang w:val="en-GB"/>
        </w:rPr>
        <w:t>1</w:t>
      </w:r>
      <w:r w:rsidR="00A51282">
        <w:rPr>
          <w:rFonts w:ascii="Verdana" w:hAnsi="Verdana"/>
          <w:lang w:val="en-GB"/>
        </w:rPr>
        <w:t>1</w:t>
      </w:r>
      <w:r>
        <w:rPr>
          <w:rFonts w:ascii="Verdana" w:hAnsi="Verdana"/>
          <w:lang w:val="en-GB"/>
        </w:rPr>
        <w:t>C, middle row). As already observed in the western blot experiments, Pan-αSyn expression is higher in HET mice (Figure</w:t>
      </w:r>
      <w:r w:rsidR="00DA69B1">
        <w:rPr>
          <w:rFonts w:ascii="Verdana" w:hAnsi="Verdana"/>
          <w:lang w:val="en-GB"/>
        </w:rPr>
        <w:t xml:space="preserve"> 1</w:t>
      </w:r>
      <w:r w:rsidR="00A51282">
        <w:rPr>
          <w:rFonts w:ascii="Verdana" w:hAnsi="Verdana"/>
          <w:lang w:val="en-GB"/>
        </w:rPr>
        <w:t>1</w:t>
      </w:r>
      <w:r w:rsidR="00DA69B1">
        <w:rPr>
          <w:rFonts w:ascii="Verdana" w:hAnsi="Verdana"/>
          <w:lang w:val="en-GB"/>
        </w:rPr>
        <w:t>C</w:t>
      </w:r>
      <w:r>
        <w:rPr>
          <w:rFonts w:ascii="Verdana" w:hAnsi="Verdana"/>
          <w:lang w:val="en-GB"/>
        </w:rPr>
        <w:t xml:space="preserve">, middle row). Phospho-synuclein is expressed in both WT and HET mice, although the overall expression is higher in transgenic mice (Figure </w:t>
      </w:r>
      <w:r w:rsidR="00A34993">
        <w:rPr>
          <w:rFonts w:ascii="Verdana" w:hAnsi="Verdana"/>
          <w:lang w:val="en-GB"/>
        </w:rPr>
        <w:t>1</w:t>
      </w:r>
      <w:r w:rsidR="00A51282">
        <w:rPr>
          <w:rFonts w:ascii="Verdana" w:hAnsi="Verdana"/>
          <w:lang w:val="en-GB"/>
        </w:rPr>
        <w:t>1</w:t>
      </w:r>
      <w:r>
        <w:rPr>
          <w:rFonts w:ascii="Verdana" w:hAnsi="Verdana"/>
          <w:lang w:val="en-GB"/>
        </w:rPr>
        <w:t>C, bottom row). While p</w:t>
      </w:r>
      <w:r w:rsidR="00C97438">
        <w:rPr>
          <w:rFonts w:ascii="Verdana" w:hAnsi="Verdana"/>
          <w:lang w:val="en-GB"/>
        </w:rPr>
        <w:t>hosphorylated alpha-synuclein</w:t>
      </w:r>
      <w:r>
        <w:rPr>
          <w:rFonts w:ascii="Verdana" w:hAnsi="Verdana"/>
          <w:lang w:val="en-GB"/>
        </w:rPr>
        <w:t xml:space="preserve"> expression appears to be stable across ages in HET mice, in WT mice an increased expression over time can be observed. Furthermore, in both WT and HET mice, the expression profile of p</w:t>
      </w:r>
      <w:r w:rsidR="00C97438">
        <w:rPr>
          <w:rFonts w:ascii="Verdana" w:hAnsi="Verdana"/>
          <w:lang w:val="en-GB"/>
        </w:rPr>
        <w:t>hosphorylated alpha-synuclein</w:t>
      </w:r>
      <w:r>
        <w:rPr>
          <w:rFonts w:ascii="Verdana" w:hAnsi="Verdana"/>
          <w:lang w:val="en-GB"/>
        </w:rPr>
        <w:t xml:space="preserve"> is not homogeneous, with the highest level of expression observed in the neurons of the CA3 hippocampal subfield (Figure </w:t>
      </w:r>
      <w:r w:rsidR="00A34993">
        <w:rPr>
          <w:rFonts w:ascii="Verdana" w:hAnsi="Verdana"/>
          <w:lang w:val="en-GB"/>
        </w:rPr>
        <w:t>1</w:t>
      </w:r>
      <w:r w:rsidR="00A51282">
        <w:rPr>
          <w:rFonts w:ascii="Verdana" w:hAnsi="Verdana"/>
          <w:lang w:val="en-GB"/>
        </w:rPr>
        <w:t>1</w:t>
      </w:r>
      <w:r>
        <w:rPr>
          <w:rFonts w:ascii="Verdana" w:hAnsi="Verdana"/>
          <w:lang w:val="en-GB"/>
        </w:rPr>
        <w:t>C, bottom row).</w:t>
      </w:r>
      <w:r w:rsidR="00A34993">
        <w:rPr>
          <w:rFonts w:ascii="Verdana" w:hAnsi="Verdana"/>
          <w:lang w:val="en-GB"/>
        </w:rPr>
        <w:t xml:space="preserve"> Additionally, HET mice present </w:t>
      </w:r>
      <w:r w:rsidR="005E5230">
        <w:rPr>
          <w:rFonts w:ascii="Verdana" w:hAnsi="Verdana"/>
          <w:lang w:val="en-GB"/>
        </w:rPr>
        <w:t>p</w:t>
      </w:r>
      <w:r w:rsidR="00C97438">
        <w:rPr>
          <w:rFonts w:ascii="Verdana" w:hAnsi="Verdana"/>
          <w:lang w:val="en-GB"/>
        </w:rPr>
        <w:t>hosphorylated alpha-synuclein</w:t>
      </w:r>
      <w:r w:rsidR="005E5230">
        <w:rPr>
          <w:rFonts w:ascii="Verdana" w:hAnsi="Verdana"/>
          <w:lang w:val="en-GB"/>
        </w:rPr>
        <w:t xml:space="preserve"> positive nuclear staining in the cortex surrounding the hippocampus, a staining pattern which is not present in their WT littermates.</w:t>
      </w:r>
      <w:r>
        <w:rPr>
          <w:rFonts w:ascii="Verdana" w:hAnsi="Verdana"/>
          <w:lang w:val="en-GB"/>
        </w:rPr>
        <w:t xml:space="preserve"> No differences were observed for gender in any of the immunofluorescence </w:t>
      </w:r>
      <w:proofErr w:type="spellStart"/>
      <w:r>
        <w:rPr>
          <w:rFonts w:ascii="Verdana" w:hAnsi="Verdana"/>
          <w:lang w:val="en-GB"/>
        </w:rPr>
        <w:t>stainings</w:t>
      </w:r>
      <w:proofErr w:type="spellEnd"/>
      <w:r>
        <w:rPr>
          <w:rFonts w:ascii="Verdana" w:hAnsi="Verdana"/>
          <w:lang w:val="en-GB"/>
        </w:rPr>
        <w:t xml:space="preserve"> (data not shown).</w:t>
      </w:r>
    </w:p>
    <w:p w14:paraId="559961CD" w14:textId="3E9DBF71" w:rsidR="00015237" w:rsidRDefault="00015237" w:rsidP="00807F62">
      <w:pPr>
        <w:spacing w:line="360" w:lineRule="auto"/>
        <w:jc w:val="both"/>
        <w:rPr>
          <w:rFonts w:ascii="Verdana" w:hAnsi="Verdana"/>
          <w:lang w:val="en-GB"/>
        </w:rPr>
      </w:pPr>
    </w:p>
    <w:p w14:paraId="44C62C44" w14:textId="6DBFC811" w:rsidR="00A15D91" w:rsidRDefault="00A15D91" w:rsidP="00807F62">
      <w:pPr>
        <w:spacing w:line="360" w:lineRule="auto"/>
        <w:jc w:val="both"/>
        <w:rPr>
          <w:rFonts w:ascii="Verdana" w:hAnsi="Verdana"/>
          <w:lang w:val="en-GB"/>
        </w:rPr>
      </w:pPr>
    </w:p>
    <w:p w14:paraId="716B204B" w14:textId="00895CEB" w:rsidR="00A15D91" w:rsidRDefault="00A15D91" w:rsidP="00807F62">
      <w:pPr>
        <w:spacing w:line="360" w:lineRule="auto"/>
        <w:jc w:val="both"/>
        <w:rPr>
          <w:rFonts w:ascii="Verdana" w:hAnsi="Verdana"/>
          <w:lang w:val="en-GB"/>
        </w:rPr>
      </w:pPr>
    </w:p>
    <w:p w14:paraId="61CD11F9" w14:textId="544C3357" w:rsidR="00FC6D21" w:rsidRDefault="00FC6D21" w:rsidP="00807F62">
      <w:pPr>
        <w:ind w:firstLine="0"/>
        <w:jc w:val="both"/>
        <w:rPr>
          <w:rFonts w:ascii="Verdana" w:hAnsi="Verdana"/>
          <w:lang w:val="en-GB"/>
        </w:rPr>
      </w:pPr>
      <w:r>
        <w:rPr>
          <w:rFonts w:ascii="Verdana" w:hAnsi="Verdana"/>
          <w:lang w:val="en-GB"/>
        </w:rPr>
        <w:br w:type="page"/>
      </w:r>
    </w:p>
    <w:p w14:paraId="0CB0B1D1" w14:textId="4978A626" w:rsidR="00406757" w:rsidRPr="00406757" w:rsidRDefault="00A50274" w:rsidP="00807F62">
      <w:pPr>
        <w:spacing w:line="360" w:lineRule="auto"/>
        <w:jc w:val="both"/>
        <w:rPr>
          <w:rFonts w:ascii="Verdana" w:hAnsi="Verdana"/>
          <w:b/>
          <w:bCs/>
          <w:lang w:val="en-GB"/>
        </w:rPr>
      </w:pPr>
      <w:r>
        <w:rPr>
          <w:noProof/>
          <w:color w:val="FF0000"/>
        </w:rPr>
        <w:lastRenderedPageBreak/>
        <w:drawing>
          <wp:anchor distT="0" distB="0" distL="114300" distR="114300" simplePos="0" relativeHeight="252027904" behindDoc="0" locked="0" layoutInCell="1" allowOverlap="1" wp14:anchorId="348AD9A5" wp14:editId="7EF8D0DB">
            <wp:simplePos x="0" y="0"/>
            <wp:positionH relativeFrom="margin">
              <wp:align>left</wp:align>
            </wp:positionH>
            <wp:positionV relativeFrom="margin">
              <wp:align>top</wp:align>
            </wp:positionV>
            <wp:extent cx="5580380" cy="5249545"/>
            <wp:effectExtent l="0" t="0" r="1270" b="8255"/>
            <wp:wrapTopAndBottom/>
            <wp:docPr id="67" name="Picture 67" descr="A picture containing text, screenshot, diagram,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screenshot, diagram, colorfulnes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80380" cy="5249545"/>
                    </a:xfrm>
                    <a:prstGeom prst="rect">
                      <a:avLst/>
                    </a:prstGeom>
                  </pic:spPr>
                </pic:pic>
              </a:graphicData>
            </a:graphic>
          </wp:anchor>
        </w:drawing>
      </w:r>
      <w:r w:rsidR="001B0C0C" w:rsidRPr="00E70E0A">
        <w:rPr>
          <w:noProof/>
          <w:color w:val="FF0000"/>
        </w:rPr>
        <mc:AlternateContent>
          <mc:Choice Requires="wps">
            <w:drawing>
              <wp:anchor distT="0" distB="0" distL="114300" distR="114300" simplePos="0" relativeHeight="251886592" behindDoc="0" locked="0" layoutInCell="1" allowOverlap="1" wp14:anchorId="7A184B45" wp14:editId="2F3F20AD">
                <wp:simplePos x="0" y="0"/>
                <wp:positionH relativeFrom="margin">
                  <wp:align>left</wp:align>
                </wp:positionH>
                <wp:positionV relativeFrom="paragraph">
                  <wp:posOffset>5350852</wp:posOffset>
                </wp:positionV>
                <wp:extent cx="5580380" cy="2406650"/>
                <wp:effectExtent l="0" t="0" r="1270" b="0"/>
                <wp:wrapTopAndBottom/>
                <wp:docPr id="120" name="Text Box 120"/>
                <wp:cNvGraphicFramePr/>
                <a:graphic xmlns:a="http://schemas.openxmlformats.org/drawingml/2006/main">
                  <a:graphicData uri="http://schemas.microsoft.com/office/word/2010/wordprocessingShape">
                    <wps:wsp>
                      <wps:cNvSpPr txBox="1"/>
                      <wps:spPr>
                        <a:xfrm>
                          <a:off x="0" y="0"/>
                          <a:ext cx="5580380" cy="2406650"/>
                        </a:xfrm>
                        <a:prstGeom prst="rect">
                          <a:avLst/>
                        </a:prstGeom>
                        <a:solidFill>
                          <a:prstClr val="white"/>
                        </a:solidFill>
                        <a:ln>
                          <a:noFill/>
                        </a:ln>
                      </wps:spPr>
                      <wps:txbx>
                        <w:txbxContent>
                          <w:p w14:paraId="00073D5A" w14:textId="376317C8" w:rsidR="00B811B9" w:rsidRPr="009B4770" w:rsidRDefault="00B811B9" w:rsidP="00B811B9">
                            <w:pPr>
                              <w:pStyle w:val="Caption"/>
                              <w:ind w:firstLine="0"/>
                              <w:jc w:val="both"/>
                              <w:rPr>
                                <w:rFonts w:ascii="Verdana" w:hAnsi="Verdana"/>
                                <w:i w:val="0"/>
                                <w:iCs w:val="0"/>
                                <w:color w:val="auto"/>
                              </w:rPr>
                            </w:pPr>
                            <w:bookmarkStart w:id="82" w:name="_Toc131412753"/>
                            <w:r w:rsidRPr="009B4770">
                              <w:rPr>
                                <w:rFonts w:ascii="Verdana" w:hAnsi="Verdana"/>
                                <w:b/>
                                <w:bCs/>
                                <w:i w:val="0"/>
                                <w:iCs w:val="0"/>
                                <w:color w:val="auto"/>
                              </w:rPr>
                              <w:t xml:space="preserve">Figure </w:t>
                            </w:r>
                            <w:r w:rsidRPr="009B4770">
                              <w:rPr>
                                <w:rFonts w:ascii="Verdana" w:hAnsi="Verdana"/>
                                <w:b/>
                                <w:bCs/>
                                <w:i w:val="0"/>
                                <w:iCs w:val="0"/>
                                <w:color w:val="auto"/>
                              </w:rPr>
                              <w:fldChar w:fldCharType="begin"/>
                            </w:r>
                            <w:r w:rsidRPr="009B4770">
                              <w:rPr>
                                <w:rFonts w:ascii="Verdana" w:hAnsi="Verdana"/>
                                <w:b/>
                                <w:bCs/>
                                <w:i w:val="0"/>
                                <w:iCs w:val="0"/>
                                <w:color w:val="auto"/>
                              </w:rPr>
                              <w:instrText xml:space="preserve"> SEQ Figure \* ARABIC </w:instrText>
                            </w:r>
                            <w:r w:rsidRPr="009B4770">
                              <w:rPr>
                                <w:rFonts w:ascii="Verdana" w:hAnsi="Verdana"/>
                                <w:b/>
                                <w:bCs/>
                                <w:i w:val="0"/>
                                <w:iCs w:val="0"/>
                                <w:color w:val="auto"/>
                              </w:rPr>
                              <w:fldChar w:fldCharType="separate"/>
                            </w:r>
                            <w:r w:rsidR="001D505F">
                              <w:rPr>
                                <w:rFonts w:ascii="Verdana" w:hAnsi="Verdana"/>
                                <w:b/>
                                <w:bCs/>
                                <w:i w:val="0"/>
                                <w:iCs w:val="0"/>
                                <w:noProof/>
                                <w:color w:val="auto"/>
                              </w:rPr>
                              <w:t>11</w:t>
                            </w:r>
                            <w:r w:rsidRPr="009B4770">
                              <w:rPr>
                                <w:rFonts w:ascii="Verdana" w:hAnsi="Verdana"/>
                                <w:b/>
                                <w:bCs/>
                                <w:i w:val="0"/>
                                <w:iCs w:val="0"/>
                                <w:color w:val="auto"/>
                              </w:rPr>
                              <w:fldChar w:fldCharType="end"/>
                            </w:r>
                            <w:r w:rsidRPr="009B4770">
                              <w:rPr>
                                <w:rFonts w:ascii="Verdana" w:hAnsi="Verdana"/>
                                <w:i w:val="0"/>
                                <w:iCs w:val="0"/>
                                <w:color w:val="auto"/>
                              </w:rPr>
                              <w:t xml:space="preserve"> Profiling of alpha-synuclein mRNA and protein expression in the hippocampus of HET and WT mice.</w:t>
                            </w:r>
                            <w:bookmarkEnd w:id="82"/>
                          </w:p>
                          <w:p w14:paraId="30C9690F" w14:textId="700D53A7" w:rsidR="00B811B9" w:rsidRDefault="00B811B9" w:rsidP="00B811B9">
                            <w:pPr>
                              <w:spacing w:line="240" w:lineRule="auto"/>
                              <w:ind w:firstLine="0"/>
                              <w:jc w:val="both"/>
                              <w:rPr>
                                <w:rFonts w:ascii="Verdana" w:hAnsi="Verdana"/>
                                <w:sz w:val="18"/>
                                <w:szCs w:val="18"/>
                              </w:rPr>
                            </w:pPr>
                            <w:r w:rsidRPr="009B4770">
                              <w:rPr>
                                <w:rFonts w:ascii="Verdana" w:hAnsi="Verdana"/>
                                <w:b/>
                                <w:bCs/>
                                <w:sz w:val="18"/>
                                <w:szCs w:val="18"/>
                              </w:rPr>
                              <w:t xml:space="preserve">A) </w:t>
                            </w:r>
                            <w:r w:rsidRPr="009B4770">
                              <w:rPr>
                                <w:rFonts w:ascii="Verdana" w:hAnsi="Verdana"/>
                                <w:sz w:val="18"/>
                                <w:szCs w:val="18"/>
                              </w:rPr>
                              <w:t xml:space="preserve">Boxplots showing the relative mRNA expression level of </w:t>
                            </w:r>
                            <w:proofErr w:type="spellStart"/>
                            <w:r w:rsidRPr="009B4770">
                              <w:rPr>
                                <w:rFonts w:ascii="Verdana" w:hAnsi="Verdana"/>
                                <w:i/>
                                <w:iCs/>
                                <w:sz w:val="18"/>
                                <w:szCs w:val="18"/>
                              </w:rPr>
                              <w:t>Snca</w:t>
                            </w:r>
                            <w:proofErr w:type="spellEnd"/>
                            <w:r w:rsidRPr="009B4770">
                              <w:rPr>
                                <w:rFonts w:ascii="Verdana" w:hAnsi="Verdana"/>
                                <w:sz w:val="18"/>
                                <w:szCs w:val="18"/>
                              </w:rPr>
                              <w:t xml:space="preserve"> (top) and</w:t>
                            </w:r>
                            <w:r w:rsidRPr="009B4770">
                              <w:rPr>
                                <w:rFonts w:ascii="Verdana" w:hAnsi="Verdana"/>
                                <w:i/>
                                <w:iCs/>
                                <w:sz w:val="18"/>
                                <w:szCs w:val="18"/>
                              </w:rPr>
                              <w:t xml:space="preserve"> SNCA</w:t>
                            </w:r>
                            <w:r w:rsidRPr="009B4770">
                              <w:rPr>
                                <w:rFonts w:ascii="Verdana" w:hAnsi="Verdana"/>
                                <w:sz w:val="18"/>
                                <w:szCs w:val="18"/>
                              </w:rPr>
                              <w:t xml:space="preserve"> (bottom) in WT (grey) and HET (purple) mice aged 3-, 6-, 8- and 14- months. No differences were observed between sexes.</w:t>
                            </w:r>
                            <w:r>
                              <w:rPr>
                                <w:rFonts w:ascii="Verdana" w:hAnsi="Verdana"/>
                                <w:sz w:val="18"/>
                                <w:szCs w:val="18"/>
                              </w:rPr>
                              <w:t xml:space="preserve"> n = 4 to 6 mice/group.</w:t>
                            </w:r>
                            <w:r w:rsidRPr="009B4770">
                              <w:rPr>
                                <w:rFonts w:ascii="Verdana" w:hAnsi="Verdana"/>
                                <w:sz w:val="18"/>
                                <w:szCs w:val="18"/>
                              </w:rPr>
                              <w:t xml:space="preserve"> </w:t>
                            </w:r>
                            <w:r w:rsidRPr="009B4770">
                              <w:rPr>
                                <w:rFonts w:ascii="Verdana" w:hAnsi="Verdana"/>
                                <w:b/>
                                <w:bCs/>
                                <w:sz w:val="18"/>
                                <w:szCs w:val="18"/>
                              </w:rPr>
                              <w:t xml:space="preserve">B) </w:t>
                            </w:r>
                            <w:r w:rsidRPr="009B4770">
                              <w:rPr>
                                <w:rFonts w:ascii="Verdana" w:hAnsi="Verdana"/>
                                <w:sz w:val="18"/>
                                <w:szCs w:val="18"/>
                              </w:rPr>
                              <w:t>Boxplots showing the relative density of total (Pan-</w:t>
                            </w:r>
                            <w:r w:rsidRPr="009B4770">
                              <w:rPr>
                                <w:rFonts w:ascii="Verdana" w:hAnsi="Verdana" w:cstheme="minorHAnsi"/>
                                <w:sz w:val="18"/>
                                <w:szCs w:val="18"/>
                              </w:rPr>
                              <w:t>α</w:t>
                            </w:r>
                            <w:r w:rsidRPr="009B4770">
                              <w:rPr>
                                <w:rFonts w:ascii="Verdana" w:hAnsi="Verdana"/>
                                <w:sz w:val="18"/>
                                <w:szCs w:val="18"/>
                              </w:rPr>
                              <w:t>S</w:t>
                            </w:r>
                            <w:r>
                              <w:rPr>
                                <w:rFonts w:ascii="Verdana" w:hAnsi="Verdana"/>
                                <w:sz w:val="18"/>
                                <w:szCs w:val="18"/>
                              </w:rPr>
                              <w:t>yn) and human (SNCA) alpha-synuclein protein in WT (grey) and HET (purple) mice. Relative density was calculated from western blot images, using Actin as a reference protein. n = 4 to 6 mice/group.</w:t>
                            </w:r>
                            <w:r w:rsidRPr="009B4770">
                              <w:rPr>
                                <w:rFonts w:ascii="Verdana" w:hAnsi="Verdana"/>
                                <w:sz w:val="18"/>
                                <w:szCs w:val="18"/>
                              </w:rPr>
                              <w:t xml:space="preserve"> </w:t>
                            </w:r>
                            <w:r w:rsidRPr="007B25F8">
                              <w:rPr>
                                <w:rFonts w:ascii="Verdana" w:hAnsi="Verdana"/>
                                <w:b/>
                                <w:bCs/>
                                <w:sz w:val="18"/>
                                <w:szCs w:val="18"/>
                              </w:rPr>
                              <w:t>C)</w:t>
                            </w:r>
                            <w:r>
                              <w:rPr>
                                <w:rFonts w:ascii="Verdana" w:hAnsi="Verdana"/>
                                <w:sz w:val="18"/>
                                <w:szCs w:val="18"/>
                              </w:rPr>
                              <w:t xml:space="preserve"> Representative immunofluorescence images for human (SNCA), total (Pan-αSyn) and serine 129 phosphorylated </w:t>
                            </w:r>
                            <w:r w:rsidR="00361E28">
                              <w:rPr>
                                <w:rFonts w:ascii="Verdana" w:hAnsi="Verdana"/>
                                <w:sz w:val="18"/>
                                <w:szCs w:val="18"/>
                              </w:rPr>
                              <w:t>alpha-synuclein</w:t>
                            </w:r>
                            <w:r>
                              <w:rPr>
                                <w:rFonts w:ascii="Verdana" w:hAnsi="Verdana"/>
                                <w:sz w:val="18"/>
                                <w:szCs w:val="18"/>
                              </w:rPr>
                              <w:t xml:space="preserve"> (pS129-</w:t>
                            </w:r>
                            <w:r w:rsidRPr="007804EB">
                              <w:rPr>
                                <w:rFonts w:ascii="Verdana" w:hAnsi="Verdana"/>
                                <w:sz w:val="18"/>
                                <w:szCs w:val="18"/>
                              </w:rPr>
                              <w:t xml:space="preserve"> </w:t>
                            </w:r>
                            <w:r>
                              <w:rPr>
                                <w:rFonts w:ascii="Verdana" w:hAnsi="Verdana"/>
                                <w:sz w:val="18"/>
                                <w:szCs w:val="18"/>
                              </w:rPr>
                              <w:t>αSyn) staining for WT and HET animals at different ages.</w:t>
                            </w:r>
                            <w:r w:rsidRPr="00F01400">
                              <w:rPr>
                                <w:noProof/>
                                <w:color w:val="FF0000"/>
                              </w:rPr>
                              <w:t xml:space="preserve"> </w:t>
                            </w:r>
                          </w:p>
                          <w:p w14:paraId="39D0233E" w14:textId="1C4565CF" w:rsidR="00B811B9" w:rsidRDefault="00AD5C27" w:rsidP="00B811B9">
                            <w:pPr>
                              <w:spacing w:line="240" w:lineRule="auto"/>
                              <w:ind w:firstLine="0"/>
                              <w:jc w:val="both"/>
                              <w:rPr>
                                <w:rFonts w:ascii="Verdana" w:hAnsi="Verdana"/>
                                <w:sz w:val="18"/>
                                <w:szCs w:val="18"/>
                              </w:rPr>
                            </w:pPr>
                            <w:r>
                              <w:rPr>
                                <w:rFonts w:ascii="Verdana" w:hAnsi="Verdana"/>
                                <w:sz w:val="18"/>
                                <w:szCs w:val="18"/>
                              </w:rPr>
                              <w:t xml:space="preserve">N = 5-6 mice per group. </w:t>
                            </w:r>
                            <w:r w:rsidR="00B811B9">
                              <w:rPr>
                                <w:rFonts w:ascii="Verdana" w:hAnsi="Verdana"/>
                                <w:sz w:val="18"/>
                                <w:szCs w:val="18"/>
                              </w:rPr>
                              <w:t>Stats: Kruskal-</w:t>
                            </w:r>
                            <w:proofErr w:type="gramStart"/>
                            <w:r w:rsidR="00B811B9">
                              <w:rPr>
                                <w:rFonts w:ascii="Verdana" w:hAnsi="Verdana"/>
                                <w:sz w:val="18"/>
                                <w:szCs w:val="18"/>
                              </w:rPr>
                              <w:t>Wallis</w:t>
                            </w:r>
                            <w:proofErr w:type="gramEnd"/>
                            <w:r w:rsidR="00B811B9">
                              <w:rPr>
                                <w:rFonts w:ascii="Verdana" w:hAnsi="Verdana"/>
                                <w:sz w:val="18"/>
                                <w:szCs w:val="18"/>
                              </w:rPr>
                              <w:t xml:space="preserve"> test, ns = non-significant, * = p&lt;0.05, ** = p&lt;0.01</w:t>
                            </w:r>
                          </w:p>
                          <w:p w14:paraId="00E4CAE2" w14:textId="26175523" w:rsidR="00B811B9" w:rsidRDefault="00B811B9" w:rsidP="00B811B9">
                            <w:pPr>
                              <w:spacing w:line="240" w:lineRule="auto"/>
                              <w:ind w:firstLine="0"/>
                              <w:jc w:val="both"/>
                              <w:rPr>
                                <w:rFonts w:ascii="Verdana" w:hAnsi="Verdana"/>
                                <w:sz w:val="18"/>
                                <w:szCs w:val="18"/>
                              </w:rPr>
                            </w:pPr>
                            <w:r>
                              <w:rPr>
                                <w:rFonts w:ascii="Verdana" w:hAnsi="Verdana"/>
                                <w:sz w:val="18"/>
                                <w:szCs w:val="18"/>
                              </w:rPr>
                              <w:t>WT = wild-type littermates, HET = transgenic SNCA</w:t>
                            </w:r>
                            <w:r w:rsidR="007A1EB1">
                              <w:rPr>
                                <w:rFonts w:ascii="Verdana" w:hAnsi="Verdana"/>
                                <w:sz w:val="18"/>
                                <w:szCs w:val="18"/>
                              </w:rPr>
                              <w:t>*E46K</w:t>
                            </w:r>
                            <w:r>
                              <w:rPr>
                                <w:rFonts w:ascii="Verdana" w:hAnsi="Verdana"/>
                                <w:sz w:val="18"/>
                                <w:szCs w:val="18"/>
                              </w:rPr>
                              <w:t xml:space="preserve"> animals, 3M = 3-months old, 6M = 6-months old, 8M = 8-months old, 14M = 14-months old, </w:t>
                            </w:r>
                            <w:proofErr w:type="spellStart"/>
                            <w:r>
                              <w:rPr>
                                <w:rFonts w:ascii="Verdana" w:hAnsi="Verdana"/>
                                <w:sz w:val="18"/>
                                <w:szCs w:val="18"/>
                              </w:rPr>
                              <w:t>Snca</w:t>
                            </w:r>
                            <w:proofErr w:type="spellEnd"/>
                            <w:r>
                              <w:rPr>
                                <w:rFonts w:ascii="Verdana" w:hAnsi="Verdana"/>
                                <w:sz w:val="18"/>
                                <w:szCs w:val="18"/>
                              </w:rPr>
                              <w:t xml:space="preserve"> = murine alpha-synuclein, SNCA = human alpha-synuclein, Pan-αSyn = total alpha-synuclein, pS129-αSyn = alpha-synuclein phosphorylated at serine 129.</w:t>
                            </w:r>
                          </w:p>
                          <w:p w14:paraId="6447ECE8" w14:textId="77777777" w:rsidR="00B811B9" w:rsidRPr="007B25F8" w:rsidRDefault="00B811B9" w:rsidP="00B811B9">
                            <w:pPr>
                              <w:spacing w:line="240" w:lineRule="auto"/>
                              <w:ind w:firstLine="0"/>
                              <w:jc w:val="both"/>
                              <w:rPr>
                                <w:rFonts w:ascii="Verdana" w:hAnsi="Verdana"/>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184B45" id="Text Box 120" o:spid="_x0000_s1039" type="#_x0000_t202" style="position:absolute;left:0;text-align:left;margin-left:0;margin-top:421.35pt;width:439.4pt;height:189.5pt;z-index:2518865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" stroked="f">
                <v:textbox inset="0,0,0,0">
                  <w:txbxContent>
                    <w:p w14:paraId="00073D5A" w14:textId="376317C8" w:rsidR="00B811B9" w:rsidRPr="009B4770" w:rsidRDefault="00B811B9" w:rsidP="00B811B9">
                      <w:pPr>
                        <w:pStyle w:val="Caption"/>
                        <w:ind w:firstLine="0"/>
                        <w:jc w:val="both"/>
                        <w:rPr>
                          <w:rFonts w:ascii="Verdana" w:hAnsi="Verdana"/>
                          <w:i w:val="0"/>
                          <w:iCs w:val="0"/>
                          <w:color w:val="auto"/>
                        </w:rPr>
                      </w:pPr>
                      <w:bookmarkStart w:id="83" w:name="_Toc131412753"/>
                      <w:r w:rsidRPr="009B4770">
                        <w:rPr>
                          <w:rFonts w:ascii="Verdana" w:hAnsi="Verdana"/>
                          <w:b/>
                          <w:bCs/>
                          <w:i w:val="0"/>
                          <w:iCs w:val="0"/>
                          <w:color w:val="auto"/>
                        </w:rPr>
                        <w:t xml:space="preserve">Figure </w:t>
                      </w:r>
                      <w:r w:rsidRPr="009B4770">
                        <w:rPr>
                          <w:rFonts w:ascii="Verdana" w:hAnsi="Verdana"/>
                          <w:b/>
                          <w:bCs/>
                          <w:i w:val="0"/>
                          <w:iCs w:val="0"/>
                          <w:color w:val="auto"/>
                        </w:rPr>
                        <w:fldChar w:fldCharType="begin"/>
                      </w:r>
                      <w:r w:rsidRPr="009B4770">
                        <w:rPr>
                          <w:rFonts w:ascii="Verdana" w:hAnsi="Verdana"/>
                          <w:b/>
                          <w:bCs/>
                          <w:i w:val="0"/>
                          <w:iCs w:val="0"/>
                          <w:color w:val="auto"/>
                        </w:rPr>
                        <w:instrText xml:space="preserve"> SEQ Figure \* ARABIC </w:instrText>
                      </w:r>
                      <w:r w:rsidRPr="009B4770">
                        <w:rPr>
                          <w:rFonts w:ascii="Verdana" w:hAnsi="Verdana"/>
                          <w:b/>
                          <w:bCs/>
                          <w:i w:val="0"/>
                          <w:iCs w:val="0"/>
                          <w:color w:val="auto"/>
                        </w:rPr>
                        <w:fldChar w:fldCharType="separate"/>
                      </w:r>
                      <w:r w:rsidR="001D505F">
                        <w:rPr>
                          <w:rFonts w:ascii="Verdana" w:hAnsi="Verdana"/>
                          <w:b/>
                          <w:bCs/>
                          <w:i w:val="0"/>
                          <w:iCs w:val="0"/>
                          <w:noProof/>
                          <w:color w:val="auto"/>
                        </w:rPr>
                        <w:t>11</w:t>
                      </w:r>
                      <w:r w:rsidRPr="009B4770">
                        <w:rPr>
                          <w:rFonts w:ascii="Verdana" w:hAnsi="Verdana"/>
                          <w:b/>
                          <w:bCs/>
                          <w:i w:val="0"/>
                          <w:iCs w:val="0"/>
                          <w:color w:val="auto"/>
                        </w:rPr>
                        <w:fldChar w:fldCharType="end"/>
                      </w:r>
                      <w:r w:rsidRPr="009B4770">
                        <w:rPr>
                          <w:rFonts w:ascii="Verdana" w:hAnsi="Verdana"/>
                          <w:i w:val="0"/>
                          <w:iCs w:val="0"/>
                          <w:color w:val="auto"/>
                        </w:rPr>
                        <w:t xml:space="preserve"> Profiling of alpha-synuclein mRNA and protein expression in the hippocampus of HET and WT mice.</w:t>
                      </w:r>
                      <w:bookmarkEnd w:id="83"/>
                    </w:p>
                    <w:p w14:paraId="30C9690F" w14:textId="700D53A7" w:rsidR="00B811B9" w:rsidRDefault="00B811B9" w:rsidP="00B811B9">
                      <w:pPr>
                        <w:spacing w:line="240" w:lineRule="auto"/>
                        <w:ind w:firstLine="0"/>
                        <w:jc w:val="both"/>
                        <w:rPr>
                          <w:rFonts w:ascii="Verdana" w:hAnsi="Verdana"/>
                          <w:sz w:val="18"/>
                          <w:szCs w:val="18"/>
                        </w:rPr>
                      </w:pPr>
                      <w:r w:rsidRPr="009B4770">
                        <w:rPr>
                          <w:rFonts w:ascii="Verdana" w:hAnsi="Verdana"/>
                          <w:b/>
                          <w:bCs/>
                          <w:sz w:val="18"/>
                          <w:szCs w:val="18"/>
                        </w:rPr>
                        <w:t xml:space="preserve">A) </w:t>
                      </w:r>
                      <w:r w:rsidRPr="009B4770">
                        <w:rPr>
                          <w:rFonts w:ascii="Verdana" w:hAnsi="Verdana"/>
                          <w:sz w:val="18"/>
                          <w:szCs w:val="18"/>
                        </w:rPr>
                        <w:t xml:space="preserve">Boxplots showing the relative mRNA expression level of </w:t>
                      </w:r>
                      <w:proofErr w:type="spellStart"/>
                      <w:r w:rsidRPr="009B4770">
                        <w:rPr>
                          <w:rFonts w:ascii="Verdana" w:hAnsi="Verdana"/>
                          <w:i/>
                          <w:iCs/>
                          <w:sz w:val="18"/>
                          <w:szCs w:val="18"/>
                        </w:rPr>
                        <w:t>Snca</w:t>
                      </w:r>
                      <w:proofErr w:type="spellEnd"/>
                      <w:r w:rsidRPr="009B4770">
                        <w:rPr>
                          <w:rFonts w:ascii="Verdana" w:hAnsi="Verdana"/>
                          <w:sz w:val="18"/>
                          <w:szCs w:val="18"/>
                        </w:rPr>
                        <w:t xml:space="preserve"> (top) and</w:t>
                      </w:r>
                      <w:r w:rsidRPr="009B4770">
                        <w:rPr>
                          <w:rFonts w:ascii="Verdana" w:hAnsi="Verdana"/>
                          <w:i/>
                          <w:iCs/>
                          <w:sz w:val="18"/>
                          <w:szCs w:val="18"/>
                        </w:rPr>
                        <w:t xml:space="preserve"> SNCA</w:t>
                      </w:r>
                      <w:r w:rsidRPr="009B4770">
                        <w:rPr>
                          <w:rFonts w:ascii="Verdana" w:hAnsi="Verdana"/>
                          <w:sz w:val="18"/>
                          <w:szCs w:val="18"/>
                        </w:rPr>
                        <w:t xml:space="preserve"> (bottom) in WT (grey) and HET (purple) mice aged 3-, 6-, 8- and 14- months. No differences were observed between sexes.</w:t>
                      </w:r>
                      <w:r>
                        <w:rPr>
                          <w:rFonts w:ascii="Verdana" w:hAnsi="Verdana"/>
                          <w:sz w:val="18"/>
                          <w:szCs w:val="18"/>
                        </w:rPr>
                        <w:t xml:space="preserve"> n = 4 to 6 mice/group.</w:t>
                      </w:r>
                      <w:r w:rsidRPr="009B4770">
                        <w:rPr>
                          <w:rFonts w:ascii="Verdana" w:hAnsi="Verdana"/>
                          <w:sz w:val="18"/>
                          <w:szCs w:val="18"/>
                        </w:rPr>
                        <w:t xml:space="preserve"> </w:t>
                      </w:r>
                      <w:r w:rsidRPr="009B4770">
                        <w:rPr>
                          <w:rFonts w:ascii="Verdana" w:hAnsi="Verdana"/>
                          <w:b/>
                          <w:bCs/>
                          <w:sz w:val="18"/>
                          <w:szCs w:val="18"/>
                        </w:rPr>
                        <w:t xml:space="preserve">B) </w:t>
                      </w:r>
                      <w:r w:rsidRPr="009B4770">
                        <w:rPr>
                          <w:rFonts w:ascii="Verdana" w:hAnsi="Verdana"/>
                          <w:sz w:val="18"/>
                          <w:szCs w:val="18"/>
                        </w:rPr>
                        <w:t>Boxplots showing the relative density of total (Pan-</w:t>
                      </w:r>
                      <w:r w:rsidRPr="009B4770">
                        <w:rPr>
                          <w:rFonts w:ascii="Verdana" w:hAnsi="Verdana" w:cstheme="minorHAnsi"/>
                          <w:sz w:val="18"/>
                          <w:szCs w:val="18"/>
                        </w:rPr>
                        <w:t>α</w:t>
                      </w:r>
                      <w:r w:rsidRPr="009B4770">
                        <w:rPr>
                          <w:rFonts w:ascii="Verdana" w:hAnsi="Verdana"/>
                          <w:sz w:val="18"/>
                          <w:szCs w:val="18"/>
                        </w:rPr>
                        <w:t>S</w:t>
                      </w:r>
                      <w:r>
                        <w:rPr>
                          <w:rFonts w:ascii="Verdana" w:hAnsi="Verdana"/>
                          <w:sz w:val="18"/>
                          <w:szCs w:val="18"/>
                        </w:rPr>
                        <w:t>yn) and human (SNCA) alpha-synuclein protein in WT (grey) and HET (purple) mice. Relative density was calculated from western blot images, using Actin as a reference protein. n = 4 to 6 mice/group.</w:t>
                      </w:r>
                      <w:r w:rsidRPr="009B4770">
                        <w:rPr>
                          <w:rFonts w:ascii="Verdana" w:hAnsi="Verdana"/>
                          <w:sz w:val="18"/>
                          <w:szCs w:val="18"/>
                        </w:rPr>
                        <w:t xml:space="preserve"> </w:t>
                      </w:r>
                      <w:r w:rsidRPr="007B25F8">
                        <w:rPr>
                          <w:rFonts w:ascii="Verdana" w:hAnsi="Verdana"/>
                          <w:b/>
                          <w:bCs/>
                          <w:sz w:val="18"/>
                          <w:szCs w:val="18"/>
                        </w:rPr>
                        <w:t>C)</w:t>
                      </w:r>
                      <w:r>
                        <w:rPr>
                          <w:rFonts w:ascii="Verdana" w:hAnsi="Verdana"/>
                          <w:sz w:val="18"/>
                          <w:szCs w:val="18"/>
                        </w:rPr>
                        <w:t xml:space="preserve"> Representative immunofluorescence images for human (SNCA), total (Pan-αSyn) and serine 129 phosphorylated </w:t>
                      </w:r>
                      <w:r w:rsidR="00361E28">
                        <w:rPr>
                          <w:rFonts w:ascii="Verdana" w:hAnsi="Verdana"/>
                          <w:sz w:val="18"/>
                          <w:szCs w:val="18"/>
                        </w:rPr>
                        <w:t>alpha-synuclein</w:t>
                      </w:r>
                      <w:r>
                        <w:rPr>
                          <w:rFonts w:ascii="Verdana" w:hAnsi="Verdana"/>
                          <w:sz w:val="18"/>
                          <w:szCs w:val="18"/>
                        </w:rPr>
                        <w:t xml:space="preserve"> (pS129-</w:t>
                      </w:r>
                      <w:r w:rsidRPr="007804EB">
                        <w:rPr>
                          <w:rFonts w:ascii="Verdana" w:hAnsi="Verdana"/>
                          <w:sz w:val="18"/>
                          <w:szCs w:val="18"/>
                        </w:rPr>
                        <w:t xml:space="preserve"> </w:t>
                      </w:r>
                      <w:r>
                        <w:rPr>
                          <w:rFonts w:ascii="Verdana" w:hAnsi="Verdana"/>
                          <w:sz w:val="18"/>
                          <w:szCs w:val="18"/>
                        </w:rPr>
                        <w:t>αSyn) staining for WT and HET animals at different ages.</w:t>
                      </w:r>
                      <w:r w:rsidRPr="00F01400">
                        <w:rPr>
                          <w:noProof/>
                          <w:color w:val="FF0000"/>
                        </w:rPr>
                        <w:t xml:space="preserve"> </w:t>
                      </w:r>
                    </w:p>
                    <w:p w14:paraId="39D0233E" w14:textId="1C4565CF" w:rsidR="00B811B9" w:rsidRDefault="00AD5C27" w:rsidP="00B811B9">
                      <w:pPr>
                        <w:spacing w:line="240" w:lineRule="auto"/>
                        <w:ind w:firstLine="0"/>
                        <w:jc w:val="both"/>
                        <w:rPr>
                          <w:rFonts w:ascii="Verdana" w:hAnsi="Verdana"/>
                          <w:sz w:val="18"/>
                          <w:szCs w:val="18"/>
                        </w:rPr>
                      </w:pPr>
                      <w:r>
                        <w:rPr>
                          <w:rFonts w:ascii="Verdana" w:hAnsi="Verdana"/>
                          <w:sz w:val="18"/>
                          <w:szCs w:val="18"/>
                        </w:rPr>
                        <w:t xml:space="preserve">N = 5-6 mice per group. </w:t>
                      </w:r>
                      <w:r w:rsidR="00B811B9">
                        <w:rPr>
                          <w:rFonts w:ascii="Verdana" w:hAnsi="Verdana"/>
                          <w:sz w:val="18"/>
                          <w:szCs w:val="18"/>
                        </w:rPr>
                        <w:t>Stats: Kruskal-</w:t>
                      </w:r>
                      <w:proofErr w:type="gramStart"/>
                      <w:r w:rsidR="00B811B9">
                        <w:rPr>
                          <w:rFonts w:ascii="Verdana" w:hAnsi="Verdana"/>
                          <w:sz w:val="18"/>
                          <w:szCs w:val="18"/>
                        </w:rPr>
                        <w:t>Wallis</w:t>
                      </w:r>
                      <w:proofErr w:type="gramEnd"/>
                      <w:r w:rsidR="00B811B9">
                        <w:rPr>
                          <w:rFonts w:ascii="Verdana" w:hAnsi="Verdana"/>
                          <w:sz w:val="18"/>
                          <w:szCs w:val="18"/>
                        </w:rPr>
                        <w:t xml:space="preserve"> test, ns = non-significant, * = p&lt;0.05, ** = p&lt;0.01</w:t>
                      </w:r>
                    </w:p>
                    <w:p w14:paraId="00E4CAE2" w14:textId="26175523" w:rsidR="00B811B9" w:rsidRDefault="00B811B9" w:rsidP="00B811B9">
                      <w:pPr>
                        <w:spacing w:line="240" w:lineRule="auto"/>
                        <w:ind w:firstLine="0"/>
                        <w:jc w:val="both"/>
                        <w:rPr>
                          <w:rFonts w:ascii="Verdana" w:hAnsi="Verdana"/>
                          <w:sz w:val="18"/>
                          <w:szCs w:val="18"/>
                        </w:rPr>
                      </w:pPr>
                      <w:r>
                        <w:rPr>
                          <w:rFonts w:ascii="Verdana" w:hAnsi="Verdana"/>
                          <w:sz w:val="18"/>
                          <w:szCs w:val="18"/>
                        </w:rPr>
                        <w:t>WT = wild-type littermates, HET = transgenic SNCA</w:t>
                      </w:r>
                      <w:r w:rsidR="007A1EB1">
                        <w:rPr>
                          <w:rFonts w:ascii="Verdana" w:hAnsi="Verdana"/>
                          <w:sz w:val="18"/>
                          <w:szCs w:val="18"/>
                        </w:rPr>
                        <w:t>*E46K</w:t>
                      </w:r>
                      <w:r>
                        <w:rPr>
                          <w:rFonts w:ascii="Verdana" w:hAnsi="Verdana"/>
                          <w:sz w:val="18"/>
                          <w:szCs w:val="18"/>
                        </w:rPr>
                        <w:t xml:space="preserve"> animals, 3M = 3-months old, 6M = 6-months old, 8M = 8-months old, 14M = 14-months old, </w:t>
                      </w:r>
                      <w:proofErr w:type="spellStart"/>
                      <w:r>
                        <w:rPr>
                          <w:rFonts w:ascii="Verdana" w:hAnsi="Verdana"/>
                          <w:sz w:val="18"/>
                          <w:szCs w:val="18"/>
                        </w:rPr>
                        <w:t>Snca</w:t>
                      </w:r>
                      <w:proofErr w:type="spellEnd"/>
                      <w:r>
                        <w:rPr>
                          <w:rFonts w:ascii="Verdana" w:hAnsi="Verdana"/>
                          <w:sz w:val="18"/>
                          <w:szCs w:val="18"/>
                        </w:rPr>
                        <w:t xml:space="preserve"> = murine alpha-synuclein, SNCA = human alpha-synuclein, Pan-αSyn = total alpha-synuclein, pS129-αSyn = alpha-synuclein phosphorylated at serine 129.</w:t>
                      </w:r>
                    </w:p>
                    <w:p w14:paraId="6447ECE8" w14:textId="77777777" w:rsidR="00B811B9" w:rsidRPr="007B25F8" w:rsidRDefault="00B811B9" w:rsidP="00B811B9">
                      <w:pPr>
                        <w:spacing w:line="240" w:lineRule="auto"/>
                        <w:ind w:firstLine="0"/>
                        <w:jc w:val="both"/>
                        <w:rPr>
                          <w:rFonts w:ascii="Verdana" w:hAnsi="Verdana"/>
                          <w:sz w:val="18"/>
                          <w:szCs w:val="18"/>
                        </w:rPr>
                      </w:pPr>
                    </w:p>
                  </w:txbxContent>
                </v:textbox>
                <w10:wrap type="topAndBottom" anchorx="margin"/>
              </v:shape>
            </w:pict>
          </mc:Fallback>
        </mc:AlternateContent>
      </w:r>
    </w:p>
    <w:p w14:paraId="5D4D224E" w14:textId="7C30E381" w:rsidR="00406F77" w:rsidRDefault="00406F77" w:rsidP="00767F9D">
      <w:pPr>
        <w:pStyle w:val="Heading3"/>
        <w:rPr>
          <w:lang w:val="en-GB"/>
        </w:rPr>
      </w:pPr>
    </w:p>
    <w:p w14:paraId="3AF86510" w14:textId="77777777" w:rsidR="007972CB" w:rsidRDefault="007972CB">
      <w:pPr>
        <w:ind w:firstLine="0"/>
        <w:rPr>
          <w:rFonts w:ascii="Verdana" w:hAnsi="Verdana"/>
          <w:lang w:val="en-GB"/>
        </w:rPr>
      </w:pPr>
      <w:r>
        <w:rPr>
          <w:rFonts w:ascii="Verdana" w:hAnsi="Verdana"/>
          <w:lang w:val="en-GB"/>
        </w:rPr>
        <w:br w:type="page"/>
      </w:r>
    </w:p>
    <w:p w14:paraId="6649E32A" w14:textId="1666EA67" w:rsidR="007972CB" w:rsidRPr="00C96630" w:rsidRDefault="007972CB" w:rsidP="00767F9D">
      <w:pPr>
        <w:pStyle w:val="Heading3"/>
        <w:rPr>
          <w:lang w:val="en-GB"/>
        </w:rPr>
      </w:pPr>
      <w:r w:rsidRPr="00C96630">
        <w:rPr>
          <w:lang w:val="en-GB"/>
        </w:rPr>
        <w:lastRenderedPageBreak/>
        <w:t xml:space="preserve">  </w:t>
      </w:r>
      <w:bookmarkStart w:id="84" w:name="_Toc130223437"/>
      <w:r w:rsidR="009E5729">
        <w:rPr>
          <w:lang w:val="en-GB"/>
        </w:rPr>
        <w:t>4.</w:t>
      </w:r>
      <w:r w:rsidR="00535B52">
        <w:rPr>
          <w:lang w:val="en-GB"/>
        </w:rPr>
        <w:t>2</w:t>
      </w:r>
      <w:r w:rsidR="009E5729">
        <w:rPr>
          <w:lang w:val="en-GB"/>
        </w:rPr>
        <w:tab/>
      </w:r>
      <w:r w:rsidRPr="00C96630">
        <w:rPr>
          <w:lang w:val="en-GB"/>
        </w:rPr>
        <w:t>Young male but not female SNCA*E46K transgenic mice show short memory impairments in the Y-maze test</w:t>
      </w:r>
      <w:bookmarkEnd w:id="84"/>
    </w:p>
    <w:p w14:paraId="3B9C9F9E" w14:textId="06F0A93B" w:rsidR="007972CB" w:rsidRDefault="007972CB" w:rsidP="007972CB">
      <w:pPr>
        <w:spacing w:line="360" w:lineRule="auto"/>
        <w:jc w:val="both"/>
        <w:rPr>
          <w:rFonts w:ascii="Verdana" w:hAnsi="Verdana"/>
          <w:lang w:val="en-GB"/>
        </w:rPr>
      </w:pPr>
      <w:r>
        <w:rPr>
          <w:rFonts w:ascii="Verdana" w:hAnsi="Verdana"/>
          <w:lang w:val="en-GB"/>
        </w:rPr>
        <w:t>One of the major roles of the hippocampus is the encoding, processing, and retrieving of information. Hippocampal neurodegeneration will cause a loss in proper hippocampal function, leading to memory loss.</w:t>
      </w:r>
    </w:p>
    <w:p w14:paraId="362E6B45" w14:textId="35143884" w:rsidR="008E1C98" w:rsidRDefault="007972CB" w:rsidP="003B2857">
      <w:pPr>
        <w:spacing w:line="360" w:lineRule="auto"/>
        <w:jc w:val="both"/>
        <w:rPr>
          <w:rFonts w:ascii="Verdana" w:hAnsi="Verdana"/>
          <w:lang w:val="en-GB"/>
        </w:rPr>
      </w:pPr>
      <w:r>
        <w:rPr>
          <w:rFonts w:ascii="Verdana" w:hAnsi="Verdana"/>
          <w:lang w:val="en-GB"/>
        </w:rPr>
        <w:t>The Y</w:t>
      </w:r>
      <w:r w:rsidR="00904A1C">
        <w:rPr>
          <w:rFonts w:ascii="Verdana" w:hAnsi="Verdana"/>
          <w:lang w:val="en-GB"/>
        </w:rPr>
        <w:t>-</w:t>
      </w:r>
      <w:r>
        <w:rPr>
          <w:rFonts w:ascii="Verdana" w:hAnsi="Verdana"/>
          <w:lang w:val="en-GB"/>
        </w:rPr>
        <w:t>Maze Spontaneous Alternation test measures the inclination of rodents to explore new environments. Cognitively unimpaired animals show a preference to enter a new arm of the maze over one that has been previously visited (alternations &gt; 50%), and the hippocampus plays a fundamental role in the regulation of this task. We tested mice from young (4-months old) to aged (17-months old). When compared to WT littermates,</w:t>
      </w:r>
      <w:r w:rsidR="00904A1C">
        <w:rPr>
          <w:rFonts w:ascii="Verdana" w:hAnsi="Verdana"/>
          <w:lang w:val="en-GB"/>
        </w:rPr>
        <w:t xml:space="preserve"> male</w:t>
      </w:r>
      <w:r>
        <w:rPr>
          <w:rFonts w:ascii="Verdana" w:hAnsi="Verdana"/>
          <w:lang w:val="en-GB"/>
        </w:rPr>
        <w:t xml:space="preserve"> HET mice show</w:t>
      </w:r>
      <w:r w:rsidR="00904A1C">
        <w:rPr>
          <w:rFonts w:ascii="Verdana" w:hAnsi="Verdana"/>
          <w:lang w:val="en-GB"/>
        </w:rPr>
        <w:t>ed</w:t>
      </w:r>
      <w:r w:rsidR="00C409EC">
        <w:rPr>
          <w:rFonts w:ascii="Verdana" w:hAnsi="Verdana"/>
          <w:lang w:val="en-GB"/>
        </w:rPr>
        <w:t xml:space="preserve"> a</w:t>
      </w:r>
      <w:r>
        <w:rPr>
          <w:rFonts w:ascii="Verdana" w:hAnsi="Verdana"/>
          <w:lang w:val="en-GB"/>
        </w:rPr>
        <w:t xml:space="preserve"> significant difference</w:t>
      </w:r>
      <w:r w:rsidR="00C409EC">
        <w:rPr>
          <w:rFonts w:ascii="Verdana" w:hAnsi="Verdana"/>
          <w:lang w:val="en-GB"/>
        </w:rPr>
        <w:t xml:space="preserve"> </w:t>
      </w:r>
      <w:r>
        <w:rPr>
          <w:rFonts w:ascii="Verdana" w:hAnsi="Verdana"/>
          <w:lang w:val="en-GB"/>
        </w:rPr>
        <w:t xml:space="preserve">in </w:t>
      </w:r>
      <w:r w:rsidR="00C409EC">
        <w:rPr>
          <w:rFonts w:ascii="Verdana" w:hAnsi="Verdana"/>
          <w:lang w:val="en-GB"/>
        </w:rPr>
        <w:t xml:space="preserve">the percentage of </w:t>
      </w:r>
      <w:r>
        <w:rPr>
          <w:rFonts w:ascii="Verdana" w:hAnsi="Verdana"/>
          <w:lang w:val="en-GB"/>
        </w:rPr>
        <w:t>spontaneous alternations</w:t>
      </w:r>
      <w:r w:rsidR="00AD3380">
        <w:rPr>
          <w:rFonts w:ascii="Verdana" w:hAnsi="Verdana"/>
          <w:lang w:val="en-GB"/>
        </w:rPr>
        <w:t xml:space="preserve"> at 4-months of age</w:t>
      </w:r>
      <w:r w:rsidR="001511A5">
        <w:rPr>
          <w:rFonts w:ascii="Verdana" w:hAnsi="Verdana"/>
          <w:lang w:val="en-GB"/>
        </w:rPr>
        <w:t xml:space="preserve"> (Figure 1</w:t>
      </w:r>
      <w:r w:rsidR="00A51282">
        <w:rPr>
          <w:rFonts w:ascii="Verdana" w:hAnsi="Verdana"/>
          <w:lang w:val="en-GB"/>
        </w:rPr>
        <w:t>2</w:t>
      </w:r>
      <w:r w:rsidR="001511A5">
        <w:rPr>
          <w:rFonts w:ascii="Verdana" w:hAnsi="Verdana"/>
          <w:lang w:val="en-GB"/>
        </w:rPr>
        <w:t>A, left</w:t>
      </w:r>
      <w:r w:rsidR="00B37023">
        <w:rPr>
          <w:rFonts w:ascii="Verdana" w:hAnsi="Verdana"/>
          <w:lang w:val="en-GB"/>
        </w:rPr>
        <w:t xml:space="preserve">; p = </w:t>
      </w:r>
      <w:r w:rsidR="00F90B0D">
        <w:rPr>
          <w:rFonts w:ascii="Verdana" w:hAnsi="Verdana"/>
          <w:lang w:val="en-GB"/>
        </w:rPr>
        <w:t>0.022</w:t>
      </w:r>
      <w:r w:rsidR="001511A5">
        <w:rPr>
          <w:rFonts w:ascii="Verdana" w:hAnsi="Verdana"/>
          <w:lang w:val="en-GB"/>
        </w:rPr>
        <w:t>)</w:t>
      </w:r>
      <w:r w:rsidR="00AD3380">
        <w:rPr>
          <w:rFonts w:ascii="Verdana" w:hAnsi="Verdana"/>
          <w:lang w:val="en-GB"/>
        </w:rPr>
        <w:t xml:space="preserve">. </w:t>
      </w:r>
      <w:r w:rsidR="001511A5">
        <w:rPr>
          <w:rFonts w:ascii="Verdana" w:hAnsi="Verdana"/>
          <w:lang w:val="en-GB"/>
        </w:rPr>
        <w:t>Impairments in performing the test are not present in older HET males, nor in the HET females at any of the investigated timepoints (Figure 1</w:t>
      </w:r>
      <w:r w:rsidR="00A51282">
        <w:rPr>
          <w:rFonts w:ascii="Verdana" w:hAnsi="Verdana"/>
          <w:lang w:val="en-GB"/>
        </w:rPr>
        <w:t>2</w:t>
      </w:r>
      <w:r w:rsidR="001511A5">
        <w:rPr>
          <w:rFonts w:ascii="Verdana" w:hAnsi="Verdana"/>
          <w:lang w:val="en-GB"/>
        </w:rPr>
        <w:t>A).</w:t>
      </w:r>
      <w:r w:rsidR="003B2857">
        <w:rPr>
          <w:rFonts w:ascii="Verdana" w:hAnsi="Verdana"/>
          <w:lang w:val="en-GB"/>
        </w:rPr>
        <w:t xml:space="preserve"> </w:t>
      </w:r>
      <w:r>
        <w:rPr>
          <w:rFonts w:ascii="Verdana" w:hAnsi="Verdana"/>
          <w:lang w:val="en-GB"/>
        </w:rPr>
        <w:t>Overall, males appeared to perform</w:t>
      </w:r>
      <w:r w:rsidR="003B2857">
        <w:rPr>
          <w:rFonts w:ascii="Verdana" w:hAnsi="Verdana"/>
          <w:lang w:val="en-GB"/>
        </w:rPr>
        <w:t xml:space="preserve"> slightly</w:t>
      </w:r>
      <w:r>
        <w:rPr>
          <w:rFonts w:ascii="Verdana" w:hAnsi="Verdana"/>
          <w:lang w:val="en-GB"/>
        </w:rPr>
        <w:t xml:space="preserve"> better than females</w:t>
      </w:r>
      <w:r w:rsidR="003B2857">
        <w:rPr>
          <w:rFonts w:ascii="Verdana" w:hAnsi="Verdana"/>
          <w:lang w:val="en-GB"/>
        </w:rPr>
        <w:t xml:space="preserve"> at 8 and 14 months of age</w:t>
      </w:r>
      <w:r>
        <w:rPr>
          <w:rFonts w:ascii="Verdana" w:hAnsi="Verdana"/>
          <w:lang w:val="en-GB"/>
        </w:rPr>
        <w:t>, although the difference in the alternation’s percentage was not significant, and this phenomenon was independent of the genotype.</w:t>
      </w:r>
    </w:p>
    <w:p w14:paraId="02A456AE" w14:textId="2EA283C0" w:rsidR="007972CB" w:rsidRDefault="007972CB" w:rsidP="003B2857">
      <w:pPr>
        <w:spacing w:line="360" w:lineRule="auto"/>
        <w:jc w:val="both"/>
        <w:rPr>
          <w:rFonts w:ascii="Verdana" w:hAnsi="Verdana"/>
          <w:lang w:val="en-GB"/>
        </w:rPr>
      </w:pPr>
      <w:r>
        <w:rPr>
          <w:rFonts w:ascii="Verdana" w:hAnsi="Verdana"/>
          <w:lang w:val="en-GB"/>
        </w:rPr>
        <w:t>HET mice did not show significant differences when compared to their WT littermates regarding the total number of visits to the maze arms (entries) – a parameter that in mice correlates with a hyperactive phenotype</w:t>
      </w:r>
      <w:r w:rsidR="008E1C98">
        <w:rPr>
          <w:rFonts w:ascii="Verdana" w:hAnsi="Verdana"/>
          <w:lang w:val="en-GB"/>
        </w:rPr>
        <w:t xml:space="preserve"> – at any of the studied ages</w:t>
      </w:r>
      <w:r>
        <w:rPr>
          <w:rFonts w:ascii="Verdana" w:hAnsi="Verdana"/>
          <w:lang w:val="en-GB"/>
        </w:rPr>
        <w:t xml:space="preserve">. </w:t>
      </w:r>
      <w:r w:rsidR="000B4F0D">
        <w:rPr>
          <w:rFonts w:ascii="Verdana" w:hAnsi="Verdana"/>
          <w:lang w:val="en-GB"/>
        </w:rPr>
        <w:t>Both</w:t>
      </w:r>
      <w:r w:rsidR="006F5B4E">
        <w:rPr>
          <w:rFonts w:ascii="Verdana" w:hAnsi="Verdana"/>
          <w:lang w:val="en-GB"/>
        </w:rPr>
        <w:t xml:space="preserve"> the</w:t>
      </w:r>
      <w:r w:rsidR="000B4F0D">
        <w:rPr>
          <w:rFonts w:ascii="Verdana" w:hAnsi="Verdana"/>
          <w:lang w:val="en-GB"/>
        </w:rPr>
        <w:t xml:space="preserve"> male and female mice </w:t>
      </w:r>
      <w:r w:rsidR="006F5B4E">
        <w:rPr>
          <w:rFonts w:ascii="Verdana" w:hAnsi="Verdana"/>
          <w:lang w:val="en-GB"/>
        </w:rPr>
        <w:t xml:space="preserve">groups </w:t>
      </w:r>
      <w:r w:rsidR="000B4F0D">
        <w:rPr>
          <w:rFonts w:ascii="Verdana" w:hAnsi="Verdana"/>
          <w:lang w:val="en-GB"/>
        </w:rPr>
        <w:t>p</w:t>
      </w:r>
      <w:r w:rsidR="006F5B4E">
        <w:rPr>
          <w:rFonts w:ascii="Verdana" w:hAnsi="Verdana"/>
          <w:lang w:val="en-GB"/>
        </w:rPr>
        <w:t>resented an average of</w:t>
      </w:r>
      <w:r w:rsidR="000B4F0D">
        <w:rPr>
          <w:rFonts w:ascii="Verdana" w:hAnsi="Verdana"/>
          <w:lang w:val="en-GB"/>
        </w:rPr>
        <w:t xml:space="preserve"> </w:t>
      </w:r>
      <w:r w:rsidR="006F5B4E">
        <w:rPr>
          <w:rFonts w:ascii="Verdana" w:hAnsi="Verdana"/>
          <w:lang w:val="en-GB"/>
        </w:rPr>
        <w:t>25 entries, with lower entries</w:t>
      </w:r>
      <w:r w:rsidR="008B0180">
        <w:rPr>
          <w:rFonts w:ascii="Verdana" w:hAnsi="Verdana"/>
          <w:lang w:val="en-GB"/>
        </w:rPr>
        <w:t xml:space="preserve"> numbers</w:t>
      </w:r>
      <w:r w:rsidR="006F5B4E">
        <w:rPr>
          <w:rFonts w:ascii="Verdana" w:hAnsi="Verdana"/>
          <w:lang w:val="en-GB"/>
        </w:rPr>
        <w:t xml:space="preserve"> detected for both gender and genotypes at 8 months</w:t>
      </w:r>
      <w:r w:rsidR="00074B4F">
        <w:rPr>
          <w:rFonts w:ascii="Verdana" w:hAnsi="Verdana"/>
          <w:lang w:val="en-GB"/>
        </w:rPr>
        <w:t xml:space="preserve"> (Figure 1</w:t>
      </w:r>
      <w:r w:rsidR="00A51282">
        <w:rPr>
          <w:rFonts w:ascii="Verdana" w:hAnsi="Verdana"/>
          <w:lang w:val="en-GB"/>
        </w:rPr>
        <w:t>2</w:t>
      </w:r>
      <w:r w:rsidR="00074B4F">
        <w:rPr>
          <w:rFonts w:ascii="Verdana" w:hAnsi="Verdana"/>
          <w:lang w:val="en-GB"/>
        </w:rPr>
        <w:t>B).</w:t>
      </w:r>
      <w:r w:rsidR="003C6AF1">
        <w:rPr>
          <w:rFonts w:ascii="Verdana" w:hAnsi="Verdana"/>
          <w:lang w:val="en-GB"/>
        </w:rPr>
        <w:t xml:space="preserve"> </w:t>
      </w:r>
      <w:r w:rsidR="00720A35">
        <w:rPr>
          <w:rFonts w:ascii="Verdana" w:hAnsi="Verdana"/>
          <w:lang w:val="en-GB"/>
        </w:rPr>
        <w:t>Given that each time point constituted a cohort, and each cohort was tested separately from the others, it is possible that the decrease in entries observed at 8-months is the result o</w:t>
      </w:r>
      <w:r w:rsidR="0028165F">
        <w:rPr>
          <w:rFonts w:ascii="Verdana" w:hAnsi="Verdana"/>
          <w:lang w:val="en-GB"/>
        </w:rPr>
        <w:t>f a variability in testing conditions determined</w:t>
      </w:r>
      <w:r w:rsidR="0065064A">
        <w:rPr>
          <w:rFonts w:ascii="Verdana" w:hAnsi="Verdana"/>
          <w:lang w:val="en-GB"/>
        </w:rPr>
        <w:t xml:space="preserve"> by factors such as external noise which are out of </w:t>
      </w:r>
      <w:r w:rsidR="00953A3C">
        <w:rPr>
          <w:rFonts w:ascii="Verdana" w:hAnsi="Verdana"/>
          <w:lang w:val="en-GB"/>
        </w:rPr>
        <w:t>our</w:t>
      </w:r>
      <w:r w:rsidR="0065064A">
        <w:rPr>
          <w:rFonts w:ascii="Verdana" w:hAnsi="Verdana"/>
          <w:lang w:val="en-GB"/>
        </w:rPr>
        <w:t xml:space="preserve"> control.</w:t>
      </w:r>
    </w:p>
    <w:p w14:paraId="14E6D26B" w14:textId="556DF4A0" w:rsidR="00924F79" w:rsidRDefault="0083092E" w:rsidP="003B2857">
      <w:pPr>
        <w:spacing w:line="360" w:lineRule="auto"/>
        <w:jc w:val="both"/>
        <w:rPr>
          <w:rFonts w:ascii="Verdana" w:hAnsi="Verdana"/>
          <w:lang w:val="en-GB"/>
        </w:rPr>
      </w:pPr>
      <w:r>
        <w:rPr>
          <w:rFonts w:ascii="Verdana" w:hAnsi="Verdana"/>
          <w:lang w:val="en-GB"/>
        </w:rPr>
        <w:t>T</w:t>
      </w:r>
      <w:r w:rsidR="00924F79">
        <w:rPr>
          <w:rFonts w:ascii="Verdana" w:hAnsi="Verdana"/>
          <w:lang w:val="en-GB"/>
        </w:rPr>
        <w:t>he presence of an impairment limited to early time points</w:t>
      </w:r>
      <w:r>
        <w:rPr>
          <w:rFonts w:ascii="Verdana" w:hAnsi="Verdana"/>
          <w:lang w:val="en-GB"/>
        </w:rPr>
        <w:t xml:space="preserve"> is reminiscent of the motor phenotype described in Chapter 3.</w:t>
      </w:r>
      <w:r w:rsidR="0022555E">
        <w:rPr>
          <w:rFonts w:ascii="Verdana" w:hAnsi="Verdana"/>
          <w:lang w:val="en-GB"/>
        </w:rPr>
        <w:t xml:space="preserve"> We can speculate that </w:t>
      </w:r>
      <w:r w:rsidR="00C033F9">
        <w:rPr>
          <w:rFonts w:ascii="Verdana" w:hAnsi="Verdana"/>
          <w:lang w:val="en-GB"/>
        </w:rPr>
        <w:t>during the ageing process, transgenic mice are able to compensate such deficits, restoring their cognitive performance to levels comparable to</w:t>
      </w:r>
      <w:r w:rsidR="009C61B7">
        <w:rPr>
          <w:rFonts w:ascii="Verdana" w:hAnsi="Verdana"/>
          <w:lang w:val="en-GB"/>
        </w:rPr>
        <w:t xml:space="preserve"> those of</w:t>
      </w:r>
      <w:r w:rsidR="00C033F9">
        <w:rPr>
          <w:rFonts w:ascii="Verdana" w:hAnsi="Verdana"/>
          <w:lang w:val="en-GB"/>
        </w:rPr>
        <w:t xml:space="preserve"> WT mice.</w:t>
      </w:r>
      <w:r>
        <w:rPr>
          <w:rFonts w:ascii="Verdana" w:hAnsi="Verdana"/>
          <w:lang w:val="en-GB"/>
        </w:rPr>
        <w:t xml:space="preserve"> </w:t>
      </w:r>
      <w:r w:rsidR="003D3E88">
        <w:rPr>
          <w:rFonts w:ascii="Verdana" w:hAnsi="Verdana"/>
          <w:lang w:val="en-GB"/>
        </w:rPr>
        <w:t>As for the adhesive removal test, males seem to be more affected than females</w:t>
      </w:r>
      <w:r w:rsidR="009B20EE">
        <w:rPr>
          <w:rFonts w:ascii="Verdana" w:hAnsi="Verdana"/>
          <w:lang w:val="en-GB"/>
        </w:rPr>
        <w:t xml:space="preserve">, </w:t>
      </w:r>
      <w:r w:rsidR="009B20EE">
        <w:rPr>
          <w:rFonts w:ascii="Verdana" w:hAnsi="Verdana"/>
          <w:lang w:val="en-GB"/>
        </w:rPr>
        <w:lastRenderedPageBreak/>
        <w:t xml:space="preserve">suggesting that </w:t>
      </w:r>
      <w:r w:rsidR="00640717">
        <w:rPr>
          <w:rFonts w:ascii="Verdana" w:hAnsi="Verdana"/>
          <w:lang w:val="en-GB"/>
        </w:rPr>
        <w:t xml:space="preserve">sex differences might </w:t>
      </w:r>
      <w:r w:rsidR="0022555E">
        <w:rPr>
          <w:rFonts w:ascii="Verdana" w:hAnsi="Verdana"/>
          <w:lang w:val="en-GB"/>
        </w:rPr>
        <w:t xml:space="preserve">impact the manifestation of parkinsonism </w:t>
      </w:r>
      <w:r w:rsidR="009C61B7">
        <w:rPr>
          <w:rFonts w:ascii="Verdana" w:hAnsi="Verdana"/>
          <w:lang w:val="en-GB"/>
        </w:rPr>
        <w:t xml:space="preserve">phenotypes </w:t>
      </w:r>
      <w:r w:rsidR="0022555E">
        <w:rPr>
          <w:rFonts w:ascii="Verdana" w:hAnsi="Verdana"/>
          <w:lang w:val="en-GB"/>
        </w:rPr>
        <w:t>consequent to transgenic alpha-synuclein overexpression.</w:t>
      </w:r>
    </w:p>
    <w:p w14:paraId="5728E303" w14:textId="4FE9356D" w:rsidR="001F21E6" w:rsidRDefault="00640B77">
      <w:pPr>
        <w:ind w:firstLine="0"/>
        <w:rPr>
          <w:rFonts w:ascii="Verdana" w:hAnsi="Verdana"/>
          <w:lang w:val="en-GB"/>
        </w:rPr>
      </w:pPr>
      <w:r>
        <w:rPr>
          <w:noProof/>
        </w:rPr>
        <mc:AlternateContent>
          <mc:Choice Requires="wps">
            <w:drawing>
              <wp:anchor distT="0" distB="0" distL="114300" distR="114300" simplePos="0" relativeHeight="251891712" behindDoc="0" locked="0" layoutInCell="1" allowOverlap="1" wp14:anchorId="202DF8D8" wp14:editId="31C7870B">
                <wp:simplePos x="0" y="0"/>
                <wp:positionH relativeFrom="margin">
                  <wp:posOffset>-1270</wp:posOffset>
                </wp:positionH>
                <wp:positionV relativeFrom="paragraph">
                  <wp:posOffset>5215946</wp:posOffset>
                </wp:positionV>
                <wp:extent cx="5577840" cy="1813560"/>
                <wp:effectExtent l="0" t="0" r="3810" b="8255"/>
                <wp:wrapTopAndBottom/>
                <wp:docPr id="129" name="Text Box 129"/>
                <wp:cNvGraphicFramePr/>
                <a:graphic xmlns:a="http://schemas.openxmlformats.org/drawingml/2006/main">
                  <a:graphicData uri="http://schemas.microsoft.com/office/word/2010/wordprocessingShape">
                    <wps:wsp>
                      <wps:cNvSpPr txBox="1"/>
                      <wps:spPr>
                        <a:xfrm>
                          <a:off x="0" y="0"/>
                          <a:ext cx="5577840" cy="1813560"/>
                        </a:xfrm>
                        <a:prstGeom prst="rect">
                          <a:avLst/>
                        </a:prstGeom>
                        <a:solidFill>
                          <a:prstClr val="white"/>
                        </a:solidFill>
                        <a:ln>
                          <a:noFill/>
                        </a:ln>
                      </wps:spPr>
                      <wps:txbx>
                        <w:txbxContent>
                          <w:p w14:paraId="3435A8AB" w14:textId="63D7A29E" w:rsidR="009C61B7" w:rsidRDefault="009C61B7" w:rsidP="008411C8">
                            <w:pPr>
                              <w:pStyle w:val="Caption"/>
                              <w:ind w:firstLine="0"/>
                              <w:jc w:val="both"/>
                              <w:rPr>
                                <w:rFonts w:ascii="Verdana" w:hAnsi="Verdana"/>
                                <w:i w:val="0"/>
                                <w:iCs w:val="0"/>
                                <w:color w:val="auto"/>
                              </w:rPr>
                            </w:pPr>
                            <w:bookmarkStart w:id="85" w:name="_Toc131412754"/>
                            <w:r w:rsidRPr="009C61B7">
                              <w:rPr>
                                <w:rFonts w:ascii="Verdana" w:hAnsi="Verdana"/>
                                <w:b/>
                                <w:bCs/>
                                <w:i w:val="0"/>
                                <w:iCs w:val="0"/>
                                <w:color w:val="auto"/>
                              </w:rPr>
                              <w:t xml:space="preserve">Figure </w:t>
                            </w:r>
                            <w:r w:rsidRPr="009C61B7">
                              <w:rPr>
                                <w:rFonts w:ascii="Verdana" w:hAnsi="Verdana"/>
                                <w:b/>
                                <w:bCs/>
                                <w:i w:val="0"/>
                                <w:iCs w:val="0"/>
                                <w:color w:val="auto"/>
                              </w:rPr>
                              <w:fldChar w:fldCharType="begin"/>
                            </w:r>
                            <w:r w:rsidRPr="009C61B7">
                              <w:rPr>
                                <w:rFonts w:ascii="Verdana" w:hAnsi="Verdana"/>
                                <w:b/>
                                <w:bCs/>
                                <w:i w:val="0"/>
                                <w:iCs w:val="0"/>
                                <w:color w:val="auto"/>
                              </w:rPr>
                              <w:instrText xml:space="preserve"> SEQ Figure \* ARABIC </w:instrText>
                            </w:r>
                            <w:r w:rsidRPr="009C61B7">
                              <w:rPr>
                                <w:rFonts w:ascii="Verdana" w:hAnsi="Verdana"/>
                                <w:b/>
                                <w:bCs/>
                                <w:i w:val="0"/>
                                <w:iCs w:val="0"/>
                                <w:color w:val="auto"/>
                              </w:rPr>
                              <w:fldChar w:fldCharType="separate"/>
                            </w:r>
                            <w:r w:rsidR="001D505F">
                              <w:rPr>
                                <w:rFonts w:ascii="Verdana" w:hAnsi="Verdana"/>
                                <w:b/>
                                <w:bCs/>
                                <w:i w:val="0"/>
                                <w:iCs w:val="0"/>
                                <w:noProof/>
                                <w:color w:val="auto"/>
                              </w:rPr>
                              <w:t>12</w:t>
                            </w:r>
                            <w:r w:rsidRPr="009C61B7">
                              <w:rPr>
                                <w:rFonts w:ascii="Verdana" w:hAnsi="Verdana"/>
                                <w:b/>
                                <w:bCs/>
                                <w:i w:val="0"/>
                                <w:iCs w:val="0"/>
                                <w:color w:val="auto"/>
                              </w:rPr>
                              <w:fldChar w:fldCharType="end"/>
                            </w:r>
                            <w:r w:rsidR="00AE3AD6" w:rsidRPr="00AE3AD6">
                              <w:rPr>
                                <w:rFonts w:ascii="Verdana" w:hAnsi="Verdana"/>
                                <w:i w:val="0"/>
                                <w:iCs w:val="0"/>
                                <w:color w:val="auto"/>
                              </w:rPr>
                              <w:t xml:space="preserve"> Y</w:t>
                            </w:r>
                            <w:r w:rsidR="00AE3AD6">
                              <w:rPr>
                                <w:rFonts w:ascii="Verdana" w:hAnsi="Verdana"/>
                                <w:i w:val="0"/>
                                <w:iCs w:val="0"/>
                                <w:color w:val="auto"/>
                              </w:rPr>
                              <w:t>oung HET males but not females present short-term memory impairments in the Y-maze test</w:t>
                            </w:r>
                            <w:bookmarkEnd w:id="85"/>
                          </w:p>
                          <w:p w14:paraId="6E4ED4B1" w14:textId="612BA455" w:rsidR="00AE3AD6" w:rsidRDefault="00AE3AD6" w:rsidP="008411C8">
                            <w:pPr>
                              <w:ind w:firstLine="0"/>
                              <w:jc w:val="both"/>
                            </w:pPr>
                            <w:r w:rsidRPr="008865A1">
                              <w:rPr>
                                <w:b/>
                                <w:bCs/>
                              </w:rPr>
                              <w:t>A)</w:t>
                            </w:r>
                            <w:r>
                              <w:t xml:space="preserve"> Percentage of spontaneous alternations for male (left) and female (right) mice at different ages. </w:t>
                            </w:r>
                            <w:r w:rsidRPr="008865A1">
                              <w:rPr>
                                <w:b/>
                                <w:bCs/>
                              </w:rPr>
                              <w:t xml:space="preserve">B) </w:t>
                            </w:r>
                            <w:r>
                              <w:t>Number of total entries</w:t>
                            </w:r>
                            <w:r w:rsidR="008865A1">
                              <w:t xml:space="preserve"> in the maze’s arms in male (left) and female (right) mice.</w:t>
                            </w:r>
                          </w:p>
                          <w:p w14:paraId="624C4B16" w14:textId="2A97BE2B" w:rsidR="008865A1" w:rsidRDefault="008865A1" w:rsidP="008411C8">
                            <w:pPr>
                              <w:ind w:firstLine="0"/>
                              <w:jc w:val="both"/>
                            </w:pPr>
                            <w:r>
                              <w:t>Stats: Kruskal-</w:t>
                            </w:r>
                            <w:proofErr w:type="gramStart"/>
                            <w:r>
                              <w:t>Wallis</w:t>
                            </w:r>
                            <w:proofErr w:type="gramEnd"/>
                            <w:r>
                              <w:t xml:space="preserve"> test. ns = non-significant, * = p&lt; 0.05.</w:t>
                            </w:r>
                          </w:p>
                          <w:p w14:paraId="500D7117" w14:textId="3F2B209C" w:rsidR="00AE3AD6" w:rsidRPr="00AE3AD6" w:rsidRDefault="004E5626" w:rsidP="008411C8">
                            <w:pPr>
                              <w:ind w:firstLine="0"/>
                              <w:jc w:val="both"/>
                            </w:pPr>
                            <w:r>
                              <w:t>WT = wild-type littermates, HET = transgenic SNCA*E46K animals, M = males, F = females, 4M = 4-months old, 8M = 8-months old, 14M = 14-months old, 17M = 17-months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2DF8D8" id="Text Box 129" o:spid="_x0000_s1040" type="#_x0000_t202" style="position:absolute;margin-left:-.1pt;margin-top:410.7pt;width:439.2pt;height:142.8pt;z-index:25189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" stroked="f">
                <v:textbox style="mso-fit-shape-to-text:t" inset="0,0,0,0">
                  <w:txbxContent>
                    <w:p w14:paraId="3435A8AB" w14:textId="63D7A29E" w:rsidR="009C61B7" w:rsidRDefault="009C61B7" w:rsidP="008411C8">
                      <w:pPr>
                        <w:pStyle w:val="Caption"/>
                        <w:ind w:firstLine="0"/>
                        <w:jc w:val="both"/>
                        <w:rPr>
                          <w:rFonts w:ascii="Verdana" w:hAnsi="Verdana"/>
                          <w:i w:val="0"/>
                          <w:iCs w:val="0"/>
                          <w:color w:val="auto"/>
                        </w:rPr>
                      </w:pPr>
                      <w:bookmarkStart w:id="86" w:name="_Toc131412754"/>
                      <w:r w:rsidRPr="009C61B7">
                        <w:rPr>
                          <w:rFonts w:ascii="Verdana" w:hAnsi="Verdana"/>
                          <w:b/>
                          <w:bCs/>
                          <w:i w:val="0"/>
                          <w:iCs w:val="0"/>
                          <w:color w:val="auto"/>
                        </w:rPr>
                        <w:t xml:space="preserve">Figure </w:t>
                      </w:r>
                      <w:r w:rsidRPr="009C61B7">
                        <w:rPr>
                          <w:rFonts w:ascii="Verdana" w:hAnsi="Verdana"/>
                          <w:b/>
                          <w:bCs/>
                          <w:i w:val="0"/>
                          <w:iCs w:val="0"/>
                          <w:color w:val="auto"/>
                        </w:rPr>
                        <w:fldChar w:fldCharType="begin"/>
                      </w:r>
                      <w:r w:rsidRPr="009C61B7">
                        <w:rPr>
                          <w:rFonts w:ascii="Verdana" w:hAnsi="Verdana"/>
                          <w:b/>
                          <w:bCs/>
                          <w:i w:val="0"/>
                          <w:iCs w:val="0"/>
                          <w:color w:val="auto"/>
                        </w:rPr>
                        <w:instrText xml:space="preserve"> SEQ Figure \* ARABIC </w:instrText>
                      </w:r>
                      <w:r w:rsidRPr="009C61B7">
                        <w:rPr>
                          <w:rFonts w:ascii="Verdana" w:hAnsi="Verdana"/>
                          <w:b/>
                          <w:bCs/>
                          <w:i w:val="0"/>
                          <w:iCs w:val="0"/>
                          <w:color w:val="auto"/>
                        </w:rPr>
                        <w:fldChar w:fldCharType="separate"/>
                      </w:r>
                      <w:r w:rsidR="001D505F">
                        <w:rPr>
                          <w:rFonts w:ascii="Verdana" w:hAnsi="Verdana"/>
                          <w:b/>
                          <w:bCs/>
                          <w:i w:val="0"/>
                          <w:iCs w:val="0"/>
                          <w:noProof/>
                          <w:color w:val="auto"/>
                        </w:rPr>
                        <w:t>12</w:t>
                      </w:r>
                      <w:r w:rsidRPr="009C61B7">
                        <w:rPr>
                          <w:rFonts w:ascii="Verdana" w:hAnsi="Verdana"/>
                          <w:b/>
                          <w:bCs/>
                          <w:i w:val="0"/>
                          <w:iCs w:val="0"/>
                          <w:color w:val="auto"/>
                        </w:rPr>
                        <w:fldChar w:fldCharType="end"/>
                      </w:r>
                      <w:r w:rsidR="00AE3AD6" w:rsidRPr="00AE3AD6">
                        <w:rPr>
                          <w:rFonts w:ascii="Verdana" w:hAnsi="Verdana"/>
                          <w:i w:val="0"/>
                          <w:iCs w:val="0"/>
                          <w:color w:val="auto"/>
                        </w:rPr>
                        <w:t xml:space="preserve"> Y</w:t>
                      </w:r>
                      <w:r w:rsidR="00AE3AD6">
                        <w:rPr>
                          <w:rFonts w:ascii="Verdana" w:hAnsi="Verdana"/>
                          <w:i w:val="0"/>
                          <w:iCs w:val="0"/>
                          <w:color w:val="auto"/>
                        </w:rPr>
                        <w:t>oung HET males but not females present short-term memory impairments in the Y-maze test</w:t>
                      </w:r>
                      <w:bookmarkEnd w:id="86"/>
                    </w:p>
                    <w:p w14:paraId="6E4ED4B1" w14:textId="612BA455" w:rsidR="00AE3AD6" w:rsidRDefault="00AE3AD6" w:rsidP="008411C8">
                      <w:pPr>
                        <w:ind w:firstLine="0"/>
                        <w:jc w:val="both"/>
                      </w:pPr>
                      <w:r w:rsidRPr="008865A1">
                        <w:rPr>
                          <w:b/>
                          <w:bCs/>
                        </w:rPr>
                        <w:t>A)</w:t>
                      </w:r>
                      <w:r>
                        <w:t xml:space="preserve"> Percentage of spontaneous alternations for male (left) and female (right) mice at different ages. </w:t>
                      </w:r>
                      <w:r w:rsidRPr="008865A1">
                        <w:rPr>
                          <w:b/>
                          <w:bCs/>
                        </w:rPr>
                        <w:t xml:space="preserve">B) </w:t>
                      </w:r>
                      <w:r>
                        <w:t>Number of total entries</w:t>
                      </w:r>
                      <w:r w:rsidR="008865A1">
                        <w:t xml:space="preserve"> in the maze’s arms in male (left) and female (right) mice.</w:t>
                      </w:r>
                    </w:p>
                    <w:p w14:paraId="624C4B16" w14:textId="2A97BE2B" w:rsidR="008865A1" w:rsidRDefault="008865A1" w:rsidP="008411C8">
                      <w:pPr>
                        <w:ind w:firstLine="0"/>
                        <w:jc w:val="both"/>
                      </w:pPr>
                      <w:r>
                        <w:t>Stats: Kruskal-</w:t>
                      </w:r>
                      <w:proofErr w:type="gramStart"/>
                      <w:r>
                        <w:t>Wallis</w:t>
                      </w:r>
                      <w:proofErr w:type="gramEnd"/>
                      <w:r>
                        <w:t xml:space="preserve"> test. ns = non-significant, * = p&lt; 0.05.</w:t>
                      </w:r>
                    </w:p>
                    <w:p w14:paraId="500D7117" w14:textId="3F2B209C" w:rsidR="00AE3AD6" w:rsidRPr="00AE3AD6" w:rsidRDefault="004E5626" w:rsidP="008411C8">
                      <w:pPr>
                        <w:ind w:firstLine="0"/>
                        <w:jc w:val="both"/>
                      </w:pPr>
                      <w:r>
                        <w:t>WT = wild-type littermates, HET = transgenic SNCA*E46K animals, M = males, F = females, 4M = 4-months old, 8M = 8-months old, 14M = 14-months old, 17M = 17-months old.</w:t>
                      </w:r>
                    </w:p>
                  </w:txbxContent>
                </v:textbox>
                <w10:wrap type="topAndBottom" anchorx="margin"/>
              </v:shape>
            </w:pict>
          </mc:Fallback>
        </mc:AlternateContent>
      </w:r>
      <w:r>
        <w:rPr>
          <w:rFonts w:ascii="Verdana" w:hAnsi="Verdana"/>
          <w:b/>
          <w:bCs/>
          <w:noProof/>
          <w:color w:val="FF0000"/>
          <w:lang w:val="en-GB"/>
        </w:rPr>
        <w:drawing>
          <wp:anchor distT="0" distB="0" distL="114300" distR="114300" simplePos="0" relativeHeight="251889664" behindDoc="0" locked="0" layoutInCell="1" allowOverlap="1" wp14:anchorId="385D1224" wp14:editId="4E949087">
            <wp:simplePos x="0" y="0"/>
            <wp:positionH relativeFrom="page">
              <wp:posOffset>1519555</wp:posOffset>
            </wp:positionH>
            <wp:positionV relativeFrom="margin">
              <wp:posOffset>820029</wp:posOffset>
            </wp:positionV>
            <wp:extent cx="4522470" cy="4784090"/>
            <wp:effectExtent l="0" t="0" r="0" b="0"/>
            <wp:wrapTopAndBottom/>
            <wp:docPr id="122" name="Picture 12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hart, box and whisker char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22470" cy="4784090"/>
                    </a:xfrm>
                    <a:prstGeom prst="rect">
                      <a:avLst/>
                    </a:prstGeom>
                  </pic:spPr>
                </pic:pic>
              </a:graphicData>
            </a:graphic>
            <wp14:sizeRelH relativeFrom="margin">
              <wp14:pctWidth>0</wp14:pctWidth>
            </wp14:sizeRelH>
            <wp14:sizeRelV relativeFrom="margin">
              <wp14:pctHeight>0</wp14:pctHeight>
            </wp14:sizeRelV>
          </wp:anchor>
        </w:drawing>
      </w:r>
      <w:r w:rsidR="005B0A3A">
        <w:rPr>
          <w:rFonts w:ascii="Verdana" w:hAnsi="Verdana"/>
          <w:lang w:val="en-GB"/>
        </w:rPr>
        <w:br w:type="page"/>
      </w:r>
    </w:p>
    <w:p w14:paraId="34CF6A10" w14:textId="4C0B53F2" w:rsidR="00866995" w:rsidRPr="00500A33" w:rsidRDefault="00866995" w:rsidP="00767F9D">
      <w:pPr>
        <w:pStyle w:val="Heading3"/>
        <w:rPr>
          <w:lang w:val="en-GB"/>
        </w:rPr>
      </w:pPr>
      <w:r w:rsidRPr="00500A33">
        <w:rPr>
          <w:lang w:val="en-GB"/>
        </w:rPr>
        <w:lastRenderedPageBreak/>
        <w:t xml:space="preserve">  </w:t>
      </w:r>
      <w:bookmarkStart w:id="87" w:name="_Toc130223438"/>
      <w:r w:rsidR="009E5729">
        <w:rPr>
          <w:lang w:val="en-GB"/>
        </w:rPr>
        <w:t>4.</w:t>
      </w:r>
      <w:r w:rsidR="00535B52">
        <w:rPr>
          <w:lang w:val="en-GB"/>
        </w:rPr>
        <w:t>3</w:t>
      </w:r>
      <w:r w:rsidR="009E5729">
        <w:rPr>
          <w:lang w:val="en-GB"/>
        </w:rPr>
        <w:tab/>
      </w:r>
      <w:r w:rsidRPr="00500A33">
        <w:rPr>
          <w:lang w:val="en-GB"/>
        </w:rPr>
        <w:t>Hippocampal gene expression changes are mostly driven by age</w:t>
      </w:r>
      <w:bookmarkEnd w:id="87"/>
    </w:p>
    <w:p w14:paraId="5B4867DB" w14:textId="0BED5C88" w:rsidR="006875E6" w:rsidRDefault="00866995" w:rsidP="00836B72">
      <w:pPr>
        <w:spacing w:line="360" w:lineRule="auto"/>
        <w:jc w:val="both"/>
        <w:rPr>
          <w:rFonts w:ascii="Verdana" w:hAnsi="Verdana"/>
          <w:lang w:val="en-GB"/>
        </w:rPr>
      </w:pPr>
      <w:r>
        <w:rPr>
          <w:rFonts w:ascii="Verdana" w:hAnsi="Verdana"/>
          <w:lang w:val="en-GB"/>
        </w:rPr>
        <w:t xml:space="preserve">The hippocampal transcriptome was analysed in transgenic and wild-type mice at 3-, 6-, 8- and 14-months of age. </w:t>
      </w:r>
      <w:r w:rsidR="002859B9">
        <w:rPr>
          <w:rFonts w:ascii="Verdana" w:hAnsi="Verdana"/>
          <w:lang w:val="en-GB"/>
        </w:rPr>
        <w:t xml:space="preserve">The unsupervised clustering of all samples showed an almost full partitioning by genotype for male mice, with only two </w:t>
      </w:r>
      <w:proofErr w:type="gramStart"/>
      <w:r w:rsidR="002859B9">
        <w:rPr>
          <w:rFonts w:ascii="Verdana" w:hAnsi="Verdana"/>
          <w:lang w:val="en-GB"/>
        </w:rPr>
        <w:t>wild-type</w:t>
      </w:r>
      <w:proofErr w:type="gramEnd"/>
      <w:r w:rsidR="002859B9">
        <w:rPr>
          <w:rFonts w:ascii="Verdana" w:hAnsi="Verdana"/>
          <w:lang w:val="en-GB"/>
        </w:rPr>
        <w:t xml:space="preserve">, 3-months old samples clustering amongst the transgenic ones (Figure 13A, left), but no such separation was observed for female mice (Figure 13A, right). </w:t>
      </w:r>
      <w:r w:rsidR="00836B72">
        <w:rPr>
          <w:rFonts w:ascii="Verdana" w:hAnsi="Verdana"/>
          <w:lang w:val="en-GB"/>
        </w:rPr>
        <w:t>No</w:t>
      </w:r>
      <w:r w:rsidR="002859B9">
        <w:rPr>
          <w:rFonts w:ascii="Verdana" w:hAnsi="Verdana"/>
          <w:lang w:val="en-GB"/>
        </w:rPr>
        <w:t xml:space="preserve"> separation was observed b</w:t>
      </w:r>
      <w:r w:rsidR="00C158A4">
        <w:rPr>
          <w:rFonts w:ascii="Verdana" w:hAnsi="Verdana"/>
          <w:lang w:val="en-GB"/>
        </w:rPr>
        <w:t>ased on</w:t>
      </w:r>
      <w:r w:rsidR="002859B9">
        <w:rPr>
          <w:rFonts w:ascii="Verdana" w:hAnsi="Verdana"/>
          <w:lang w:val="en-GB"/>
        </w:rPr>
        <w:t xml:space="preserve"> the four different age groups for both sexes.</w:t>
      </w:r>
      <w:r w:rsidR="00836B72">
        <w:rPr>
          <w:rFonts w:ascii="Verdana" w:hAnsi="Verdana"/>
          <w:lang w:val="en-GB"/>
        </w:rPr>
        <w:t xml:space="preserve"> </w:t>
      </w:r>
      <w:r>
        <w:rPr>
          <w:rFonts w:ascii="Verdana" w:hAnsi="Verdana"/>
          <w:lang w:val="en-GB"/>
        </w:rPr>
        <w:t xml:space="preserve">Furthermore, </w:t>
      </w:r>
      <w:r w:rsidR="00836B72">
        <w:rPr>
          <w:rFonts w:ascii="Verdana" w:hAnsi="Verdana"/>
          <w:lang w:val="en-GB"/>
        </w:rPr>
        <w:t>samples appeared to partition</w:t>
      </w:r>
      <w:r>
        <w:rPr>
          <w:rFonts w:ascii="Verdana" w:hAnsi="Verdana"/>
          <w:lang w:val="en-GB"/>
        </w:rPr>
        <w:t xml:space="preserve"> into subgroups, </w:t>
      </w:r>
      <w:r w:rsidR="00836B72">
        <w:rPr>
          <w:rFonts w:ascii="Verdana" w:hAnsi="Verdana"/>
          <w:lang w:val="en-GB"/>
        </w:rPr>
        <w:t xml:space="preserve">which </w:t>
      </w:r>
      <w:r>
        <w:rPr>
          <w:rFonts w:ascii="Verdana" w:hAnsi="Verdana"/>
          <w:lang w:val="en-GB"/>
        </w:rPr>
        <w:t>could not be explained by any known genetic, technical</w:t>
      </w:r>
      <w:r w:rsidR="0096759E">
        <w:rPr>
          <w:rFonts w:ascii="Verdana" w:hAnsi="Verdana"/>
          <w:lang w:val="en-GB"/>
        </w:rPr>
        <w:t>,</w:t>
      </w:r>
      <w:r>
        <w:rPr>
          <w:rFonts w:ascii="Verdana" w:hAnsi="Verdana"/>
          <w:lang w:val="en-GB"/>
        </w:rPr>
        <w:t xml:space="preserve"> or environmental parameter known to us. Indeed, </w:t>
      </w:r>
      <w:proofErr w:type="gramStart"/>
      <w:r>
        <w:rPr>
          <w:rFonts w:ascii="Verdana" w:hAnsi="Verdana"/>
          <w:lang w:val="en-GB"/>
        </w:rPr>
        <w:t>unbiased</w:t>
      </w:r>
      <w:proofErr w:type="gramEnd"/>
      <w:r>
        <w:rPr>
          <w:rFonts w:ascii="Verdana" w:hAnsi="Verdana"/>
          <w:lang w:val="en-GB"/>
        </w:rPr>
        <w:t xml:space="preserve"> and blind machine learning approaches predicted a single batch (</w:t>
      </w:r>
      <w:r w:rsidRPr="00E3427A">
        <w:rPr>
          <w:rFonts w:ascii="Verdana" w:hAnsi="Verdana"/>
          <w:lang w:val="en-GB"/>
        </w:rPr>
        <w:t>data not shown</w:t>
      </w:r>
      <w:r>
        <w:rPr>
          <w:rFonts w:ascii="Verdana" w:hAnsi="Verdana"/>
          <w:lang w:val="en-GB"/>
        </w:rPr>
        <w:t>). Based on th</w:t>
      </w:r>
      <w:r w:rsidR="00E3427A">
        <w:rPr>
          <w:rFonts w:ascii="Verdana" w:hAnsi="Verdana"/>
          <w:lang w:val="en-GB"/>
        </w:rPr>
        <w:t xml:space="preserve">ese </w:t>
      </w:r>
      <w:r>
        <w:rPr>
          <w:rFonts w:ascii="Verdana" w:hAnsi="Verdana"/>
          <w:lang w:val="en-GB"/>
        </w:rPr>
        <w:t>results, we fe</w:t>
      </w:r>
      <w:r w:rsidR="002A30F2">
        <w:rPr>
          <w:rFonts w:ascii="Verdana" w:hAnsi="Verdana"/>
          <w:lang w:val="en-GB"/>
        </w:rPr>
        <w:t>el</w:t>
      </w:r>
      <w:r w:rsidR="00E774A7">
        <w:rPr>
          <w:rFonts w:ascii="Verdana" w:hAnsi="Verdana"/>
          <w:lang w:val="en-GB"/>
        </w:rPr>
        <w:t xml:space="preserve"> </w:t>
      </w:r>
      <w:r>
        <w:rPr>
          <w:rFonts w:ascii="Verdana" w:hAnsi="Verdana"/>
          <w:lang w:val="en-GB"/>
        </w:rPr>
        <w:t>rather confident in excluding a batch effect in our sample</w:t>
      </w:r>
      <w:r w:rsidR="00E3427A">
        <w:rPr>
          <w:rFonts w:ascii="Verdana" w:hAnsi="Verdana"/>
          <w:lang w:val="en-GB"/>
        </w:rPr>
        <w:t>s</w:t>
      </w:r>
      <w:r>
        <w:rPr>
          <w:rFonts w:ascii="Verdana" w:hAnsi="Verdana"/>
          <w:lang w:val="en-GB"/>
        </w:rPr>
        <w:t>, and we speculate that the observed partitioning is due to the background strain used, being the mice B6-D2 hybrids. When we run an unrestricted surrogate variable analysis on the data, and used the predicted surrogates to correct the data, we obtain</w:t>
      </w:r>
      <w:r w:rsidR="00E774A7">
        <w:rPr>
          <w:rFonts w:ascii="Verdana" w:hAnsi="Verdana"/>
          <w:lang w:val="en-GB"/>
        </w:rPr>
        <w:t>ed</w:t>
      </w:r>
      <w:r>
        <w:rPr>
          <w:rFonts w:ascii="Verdana" w:hAnsi="Verdana"/>
          <w:lang w:val="en-GB"/>
        </w:rPr>
        <w:t xml:space="preserve"> a clear partitioning of the samples by genotype</w:t>
      </w:r>
      <w:r w:rsidR="006557A4">
        <w:rPr>
          <w:rFonts w:ascii="Verdana" w:hAnsi="Verdana"/>
          <w:lang w:val="en-GB"/>
        </w:rPr>
        <w:t xml:space="preserve"> for both sexes</w:t>
      </w:r>
      <w:r>
        <w:rPr>
          <w:rFonts w:ascii="Verdana" w:hAnsi="Verdana"/>
          <w:lang w:val="en-GB"/>
        </w:rPr>
        <w:t xml:space="preserve"> (</w:t>
      </w:r>
      <w:r w:rsidRPr="00B72570">
        <w:rPr>
          <w:rFonts w:ascii="Verdana" w:hAnsi="Verdana"/>
          <w:color w:val="000000" w:themeColor="text1"/>
          <w:lang w:val="en-GB"/>
        </w:rPr>
        <w:t xml:space="preserve">Figure </w:t>
      </w:r>
      <w:r w:rsidR="00E774A7" w:rsidRPr="00B72570">
        <w:rPr>
          <w:rFonts w:ascii="Verdana" w:hAnsi="Verdana"/>
          <w:color w:val="000000" w:themeColor="text1"/>
          <w:lang w:val="en-GB"/>
        </w:rPr>
        <w:t>1</w:t>
      </w:r>
      <w:r w:rsidR="00A51282">
        <w:rPr>
          <w:rFonts w:ascii="Verdana" w:hAnsi="Verdana"/>
          <w:color w:val="000000" w:themeColor="text1"/>
          <w:lang w:val="en-GB"/>
        </w:rPr>
        <w:t>3</w:t>
      </w:r>
      <w:r w:rsidRPr="00B72570">
        <w:rPr>
          <w:rFonts w:ascii="Verdana" w:hAnsi="Verdana"/>
          <w:color w:val="000000" w:themeColor="text1"/>
          <w:lang w:val="en-GB"/>
        </w:rPr>
        <w:t>B</w:t>
      </w:r>
      <w:r>
        <w:rPr>
          <w:rFonts w:ascii="Verdana" w:hAnsi="Verdana"/>
          <w:lang w:val="en-GB"/>
        </w:rPr>
        <w:t>). Moreover, within each cluster, samples appear</w:t>
      </w:r>
      <w:r w:rsidR="00290019">
        <w:rPr>
          <w:rFonts w:ascii="Verdana" w:hAnsi="Verdana"/>
          <w:lang w:val="en-GB"/>
        </w:rPr>
        <w:t>ed</w:t>
      </w:r>
      <w:r>
        <w:rPr>
          <w:rFonts w:ascii="Verdana" w:hAnsi="Verdana"/>
          <w:lang w:val="en-GB"/>
        </w:rPr>
        <w:t xml:space="preserve"> now to be organised on a gradient that nicely reflects age, and the direction and spread of such gradient </w:t>
      </w:r>
      <w:r w:rsidR="00184CCB">
        <w:rPr>
          <w:rFonts w:ascii="Verdana" w:hAnsi="Verdana"/>
          <w:lang w:val="en-GB"/>
        </w:rPr>
        <w:t>wa</w:t>
      </w:r>
      <w:r>
        <w:rPr>
          <w:rFonts w:ascii="Verdana" w:hAnsi="Verdana"/>
          <w:lang w:val="en-GB"/>
        </w:rPr>
        <w:t>s uniform within the 4 clusters.</w:t>
      </w:r>
    </w:p>
    <w:p w14:paraId="60991BAD" w14:textId="65A951D9" w:rsidR="00866995" w:rsidRDefault="00866995" w:rsidP="00866995">
      <w:pPr>
        <w:spacing w:line="360" w:lineRule="auto"/>
        <w:jc w:val="both"/>
        <w:rPr>
          <w:rFonts w:ascii="Verdana" w:hAnsi="Verdana"/>
          <w:lang w:val="en-GB"/>
        </w:rPr>
      </w:pPr>
      <w:r>
        <w:rPr>
          <w:rFonts w:ascii="Verdana" w:hAnsi="Verdana"/>
          <w:lang w:val="en-GB"/>
        </w:rPr>
        <w:t xml:space="preserve">Notwithstanding </w:t>
      </w:r>
      <w:r w:rsidR="008865D7">
        <w:rPr>
          <w:rFonts w:ascii="Verdana" w:hAnsi="Verdana"/>
          <w:lang w:val="en-GB"/>
        </w:rPr>
        <w:t xml:space="preserve">the observed clustering across the genotype axis, we </w:t>
      </w:r>
      <w:r w:rsidR="003826D4">
        <w:rPr>
          <w:rFonts w:ascii="Verdana" w:hAnsi="Verdana"/>
          <w:lang w:val="en-GB"/>
        </w:rPr>
        <w:t xml:space="preserve">found that only the transgene and few other genes were responsible for </w:t>
      </w:r>
      <w:r w:rsidR="00246C4B">
        <w:rPr>
          <w:rFonts w:ascii="Verdana" w:hAnsi="Verdana"/>
          <w:lang w:val="en-GB"/>
        </w:rPr>
        <w:t>it</w:t>
      </w:r>
      <w:r w:rsidR="00D343D1">
        <w:rPr>
          <w:rFonts w:ascii="Verdana" w:hAnsi="Verdana"/>
          <w:lang w:val="en-GB"/>
        </w:rPr>
        <w:t xml:space="preserve">, with no differences </w:t>
      </w:r>
      <w:r w:rsidR="006C4483">
        <w:rPr>
          <w:rFonts w:ascii="Verdana" w:hAnsi="Verdana"/>
          <w:lang w:val="en-GB"/>
        </w:rPr>
        <w:t>between the age groups nor the two sexes</w:t>
      </w:r>
      <w:r w:rsidR="00246C4B">
        <w:rPr>
          <w:rFonts w:ascii="Verdana" w:hAnsi="Verdana"/>
          <w:lang w:val="en-GB"/>
        </w:rPr>
        <w:t xml:space="preserve"> (</w:t>
      </w:r>
      <w:r w:rsidR="00246C4B" w:rsidRPr="00B72570">
        <w:rPr>
          <w:rFonts w:ascii="Verdana" w:hAnsi="Verdana"/>
          <w:color w:val="000000" w:themeColor="text1"/>
          <w:lang w:val="en-GB"/>
        </w:rPr>
        <w:t>Figure 1</w:t>
      </w:r>
      <w:r w:rsidR="00A51282">
        <w:rPr>
          <w:rFonts w:ascii="Verdana" w:hAnsi="Verdana"/>
          <w:color w:val="000000" w:themeColor="text1"/>
          <w:lang w:val="en-GB"/>
        </w:rPr>
        <w:t>3</w:t>
      </w:r>
      <w:r w:rsidR="00246C4B" w:rsidRPr="00B72570">
        <w:rPr>
          <w:rFonts w:ascii="Verdana" w:hAnsi="Verdana"/>
          <w:color w:val="000000" w:themeColor="text1"/>
          <w:lang w:val="en-GB"/>
        </w:rPr>
        <w:t>C</w:t>
      </w:r>
      <w:r w:rsidR="00246C4B">
        <w:rPr>
          <w:rFonts w:ascii="Verdana" w:hAnsi="Verdana"/>
          <w:lang w:val="en-GB"/>
        </w:rPr>
        <w:t>, horizontal lines)</w:t>
      </w:r>
      <w:r w:rsidR="00D343D1">
        <w:rPr>
          <w:rFonts w:ascii="Verdana" w:hAnsi="Verdana"/>
          <w:lang w:val="en-GB"/>
        </w:rPr>
        <w:t>.</w:t>
      </w:r>
      <w:r w:rsidR="00CF0B4B">
        <w:rPr>
          <w:rFonts w:ascii="Verdana" w:hAnsi="Verdana"/>
          <w:lang w:val="en-GB"/>
        </w:rPr>
        <w:t xml:space="preserve"> Indeed, most of the gene expression changes occur along the age </w:t>
      </w:r>
      <w:r w:rsidR="00C46089">
        <w:rPr>
          <w:rFonts w:ascii="Verdana" w:hAnsi="Verdana"/>
          <w:lang w:val="en-GB"/>
        </w:rPr>
        <w:t>axis (Figure 1</w:t>
      </w:r>
      <w:r w:rsidR="00A51282">
        <w:rPr>
          <w:rFonts w:ascii="Verdana" w:hAnsi="Verdana"/>
          <w:lang w:val="en-GB"/>
        </w:rPr>
        <w:t>3</w:t>
      </w:r>
      <w:r w:rsidR="00C46089">
        <w:rPr>
          <w:rFonts w:ascii="Verdana" w:hAnsi="Verdana"/>
          <w:lang w:val="en-GB"/>
        </w:rPr>
        <w:t xml:space="preserve">C, vertical lines), with the highest number of DEGs for males observed between </w:t>
      </w:r>
      <w:r w:rsidR="007268FF">
        <w:rPr>
          <w:rFonts w:ascii="Verdana" w:hAnsi="Verdana"/>
          <w:lang w:val="en-GB"/>
        </w:rPr>
        <w:t>3- and 6-months</w:t>
      </w:r>
      <w:r w:rsidR="00C46089">
        <w:rPr>
          <w:rFonts w:ascii="Verdana" w:hAnsi="Verdana"/>
          <w:lang w:val="en-GB"/>
        </w:rPr>
        <w:t xml:space="preserve"> old HET mice, and </w:t>
      </w:r>
      <w:r w:rsidR="007268FF">
        <w:rPr>
          <w:rFonts w:ascii="Verdana" w:hAnsi="Verdana"/>
          <w:lang w:val="en-GB"/>
        </w:rPr>
        <w:t>the highest number of DEGs appearing at later time points for females of both genotypes.</w:t>
      </w:r>
      <w:r w:rsidR="00B356D6">
        <w:rPr>
          <w:rFonts w:ascii="Verdana" w:hAnsi="Verdana"/>
          <w:lang w:val="en-GB"/>
        </w:rPr>
        <w:t xml:space="preserve"> Overall, gene expression changes seem to be stronger in females, as indicated by the presence of a higher number of DEGs compared to males.</w:t>
      </w:r>
    </w:p>
    <w:p w14:paraId="71BEC9B0" w14:textId="77777777" w:rsidR="00CF0B4B" w:rsidRDefault="00CF0B4B" w:rsidP="00866995">
      <w:pPr>
        <w:spacing w:line="360" w:lineRule="auto"/>
        <w:jc w:val="both"/>
        <w:rPr>
          <w:sz w:val="24"/>
          <w:szCs w:val="24"/>
        </w:rPr>
      </w:pPr>
    </w:p>
    <w:p w14:paraId="3CC4263E" w14:textId="77777777" w:rsidR="007268FF" w:rsidRDefault="007268FF" w:rsidP="00866995">
      <w:pPr>
        <w:spacing w:line="360" w:lineRule="auto"/>
        <w:jc w:val="both"/>
        <w:rPr>
          <w:rFonts w:ascii="Verdana" w:hAnsi="Verdana"/>
          <w:lang w:val="en-GB"/>
        </w:rPr>
      </w:pPr>
    </w:p>
    <w:p w14:paraId="27C995B0" w14:textId="2421C632" w:rsidR="007268FF" w:rsidRDefault="007268FF">
      <w:pPr>
        <w:ind w:firstLine="0"/>
        <w:rPr>
          <w:rFonts w:ascii="Verdana" w:hAnsi="Verdana"/>
          <w:lang w:val="en-GB"/>
        </w:rPr>
      </w:pPr>
    </w:p>
    <w:p w14:paraId="78D68C67" w14:textId="6348C78D" w:rsidR="00582007" w:rsidRPr="00372FF5" w:rsidRDefault="00C71631" w:rsidP="00372FF5">
      <w:pPr>
        <w:keepNext/>
        <w:ind w:firstLine="0"/>
      </w:pPr>
      <w:r>
        <w:rPr>
          <w:noProof/>
        </w:rPr>
        <w:lastRenderedPageBreak/>
        <w:drawing>
          <wp:anchor distT="0" distB="0" distL="114300" distR="114300" simplePos="0" relativeHeight="252026880" behindDoc="0" locked="0" layoutInCell="1" allowOverlap="1" wp14:anchorId="7A1C527F" wp14:editId="6662047E">
            <wp:simplePos x="0" y="0"/>
            <wp:positionH relativeFrom="margin">
              <wp:align>right</wp:align>
            </wp:positionH>
            <wp:positionV relativeFrom="paragraph">
              <wp:posOffset>531</wp:posOffset>
            </wp:positionV>
            <wp:extent cx="5580380" cy="8258810"/>
            <wp:effectExtent l="0" t="0" r="1270" b="8890"/>
            <wp:wrapTopAndBottom/>
            <wp:docPr id="45" name="Picture 4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alenda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80380" cy="8258810"/>
                    </a:xfrm>
                    <a:prstGeom prst="rect">
                      <a:avLst/>
                    </a:prstGeom>
                  </pic:spPr>
                </pic:pic>
              </a:graphicData>
            </a:graphic>
          </wp:anchor>
        </w:drawing>
      </w:r>
    </w:p>
    <w:p w14:paraId="00A11599" w14:textId="5D876024" w:rsidR="007268FF" w:rsidRPr="00372FF5" w:rsidRDefault="007268FF" w:rsidP="00372FF5">
      <w:pPr>
        <w:ind w:firstLine="0"/>
        <w:rPr>
          <w:rFonts w:ascii="Verdana" w:hAnsi="Verdana"/>
          <w:b/>
          <w:bCs/>
          <w:lang w:val="en-GB"/>
        </w:rPr>
      </w:pPr>
      <w:r w:rsidRPr="00372FF5">
        <w:rPr>
          <w:rFonts w:ascii="Verdana" w:hAnsi="Verdana"/>
          <w:b/>
          <w:bCs/>
          <w:lang w:val="en-GB"/>
        </w:rPr>
        <w:br w:type="page"/>
      </w:r>
    </w:p>
    <w:p w14:paraId="750217A0" w14:textId="0A62647B" w:rsidR="007E2777" w:rsidRDefault="007E2777">
      <w:pPr>
        <w:ind w:firstLine="0"/>
        <w:rPr>
          <w:rFonts w:ascii="Verdana" w:eastAsiaTheme="majorEastAsia" w:hAnsi="Verdana" w:cstheme="majorBidi"/>
          <w:b/>
          <w:szCs w:val="24"/>
          <w:lang w:val="en-GB"/>
        </w:rPr>
      </w:pPr>
      <w:r>
        <w:rPr>
          <w:noProof/>
        </w:rPr>
        <w:lastRenderedPageBreak/>
        <mc:AlternateContent>
          <mc:Choice Requires="wps">
            <w:drawing>
              <wp:anchor distT="0" distB="0" distL="114300" distR="114300" simplePos="0" relativeHeight="251894784" behindDoc="0" locked="0" layoutInCell="1" allowOverlap="1" wp14:anchorId="3BEB6B2C" wp14:editId="7E41ACEA">
                <wp:simplePos x="0" y="0"/>
                <wp:positionH relativeFrom="margin">
                  <wp:align>right</wp:align>
                </wp:positionH>
                <wp:positionV relativeFrom="paragraph">
                  <wp:posOffset>0</wp:posOffset>
                </wp:positionV>
                <wp:extent cx="5578475" cy="635"/>
                <wp:effectExtent l="0" t="0" r="3175" b="0"/>
                <wp:wrapTopAndBottom/>
                <wp:docPr id="131" name="Text Box 131"/>
                <wp:cNvGraphicFramePr/>
                <a:graphic xmlns:a="http://schemas.openxmlformats.org/drawingml/2006/main">
                  <a:graphicData uri="http://schemas.microsoft.com/office/word/2010/wordprocessingShape">
                    <wps:wsp>
                      <wps:cNvSpPr txBox="1"/>
                      <wps:spPr>
                        <a:xfrm>
                          <a:off x="0" y="0"/>
                          <a:ext cx="5578475" cy="635"/>
                        </a:xfrm>
                        <a:prstGeom prst="rect">
                          <a:avLst/>
                        </a:prstGeom>
                        <a:solidFill>
                          <a:prstClr val="white"/>
                        </a:solidFill>
                        <a:ln>
                          <a:noFill/>
                        </a:ln>
                      </wps:spPr>
                      <wps:txbx>
                        <w:txbxContent>
                          <w:p w14:paraId="359F4F21" w14:textId="4A65B9A5" w:rsidR="00B26E40" w:rsidRPr="00CF4DC0" w:rsidRDefault="00B26E40" w:rsidP="0026458B">
                            <w:pPr>
                              <w:pStyle w:val="Caption"/>
                              <w:ind w:firstLine="0"/>
                              <w:jc w:val="both"/>
                              <w:rPr>
                                <w:rFonts w:ascii="Verdana" w:hAnsi="Verdana"/>
                                <w:i w:val="0"/>
                                <w:iCs w:val="0"/>
                                <w:color w:val="000000" w:themeColor="text1"/>
                              </w:rPr>
                            </w:pPr>
                            <w:bookmarkStart w:id="88" w:name="_Toc131412755"/>
                            <w:r w:rsidRPr="00CF4DC0">
                              <w:rPr>
                                <w:rFonts w:ascii="Verdana" w:hAnsi="Verdana"/>
                                <w:b/>
                                <w:bCs/>
                                <w:i w:val="0"/>
                                <w:iCs w:val="0"/>
                                <w:color w:val="000000" w:themeColor="text1"/>
                              </w:rPr>
                              <w:t xml:space="preserve">Figure </w:t>
                            </w:r>
                            <w:r w:rsidRPr="00CF4DC0">
                              <w:rPr>
                                <w:rFonts w:ascii="Verdana" w:hAnsi="Verdana"/>
                                <w:b/>
                                <w:bCs/>
                                <w:i w:val="0"/>
                                <w:iCs w:val="0"/>
                                <w:color w:val="000000" w:themeColor="text1"/>
                              </w:rPr>
                              <w:fldChar w:fldCharType="begin"/>
                            </w:r>
                            <w:r w:rsidRPr="00CF4DC0">
                              <w:rPr>
                                <w:rFonts w:ascii="Verdana" w:hAnsi="Verdana"/>
                                <w:b/>
                                <w:bCs/>
                                <w:i w:val="0"/>
                                <w:iCs w:val="0"/>
                                <w:color w:val="000000" w:themeColor="text1"/>
                              </w:rPr>
                              <w:instrText xml:space="preserve"> SEQ Figure \* ARABIC </w:instrText>
                            </w:r>
                            <w:r w:rsidRPr="00CF4DC0">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13</w:t>
                            </w:r>
                            <w:r w:rsidRPr="00CF4DC0">
                              <w:rPr>
                                <w:rFonts w:ascii="Verdana" w:hAnsi="Verdana"/>
                                <w:b/>
                                <w:bCs/>
                                <w:i w:val="0"/>
                                <w:iCs w:val="0"/>
                                <w:color w:val="000000" w:themeColor="text1"/>
                              </w:rPr>
                              <w:fldChar w:fldCharType="end"/>
                            </w:r>
                            <w:r w:rsidRPr="00CF4DC0">
                              <w:rPr>
                                <w:rFonts w:ascii="Verdana" w:hAnsi="Verdana"/>
                                <w:b/>
                                <w:bCs/>
                                <w:i w:val="0"/>
                                <w:iCs w:val="0"/>
                                <w:color w:val="000000" w:themeColor="text1"/>
                              </w:rPr>
                              <w:t xml:space="preserve"> </w:t>
                            </w:r>
                            <w:r w:rsidRPr="00CF4DC0">
                              <w:rPr>
                                <w:rFonts w:ascii="Verdana" w:hAnsi="Verdana"/>
                                <w:i w:val="0"/>
                                <w:iCs w:val="0"/>
                                <w:color w:val="000000" w:themeColor="text1"/>
                              </w:rPr>
                              <w:t>Differential expression in the hippocampus of SNCA*E46K mice and WT littermates is mostly driven by age.</w:t>
                            </w:r>
                            <w:bookmarkEnd w:id="88"/>
                          </w:p>
                          <w:p w14:paraId="072FEEB8" w14:textId="3E9CE37A" w:rsidR="00990D2B" w:rsidRDefault="00B26E40" w:rsidP="0026458B">
                            <w:pPr>
                              <w:ind w:firstLine="0"/>
                              <w:jc w:val="both"/>
                              <w:rPr>
                                <w:rFonts w:ascii="Verdana" w:hAnsi="Verdana"/>
                                <w:sz w:val="18"/>
                                <w:szCs w:val="18"/>
                              </w:rPr>
                            </w:pPr>
                            <w:r w:rsidRPr="00CF4DC0">
                              <w:rPr>
                                <w:rFonts w:ascii="Verdana" w:hAnsi="Verdana"/>
                                <w:b/>
                                <w:bCs/>
                                <w:sz w:val="18"/>
                                <w:szCs w:val="18"/>
                              </w:rPr>
                              <w:t>A)</w:t>
                            </w:r>
                            <w:r w:rsidRPr="00CF4DC0">
                              <w:rPr>
                                <w:rFonts w:ascii="Verdana" w:hAnsi="Verdana"/>
                                <w:sz w:val="18"/>
                                <w:szCs w:val="18"/>
                              </w:rPr>
                              <w:t xml:space="preserve"> PCA plot for all age and genotype groups before correction</w:t>
                            </w:r>
                            <w:r w:rsidR="00413F2E">
                              <w:rPr>
                                <w:rFonts w:ascii="Verdana" w:hAnsi="Verdana"/>
                                <w:sz w:val="18"/>
                                <w:szCs w:val="18"/>
                              </w:rPr>
                              <w:t xml:space="preserve"> for male (left) and female (right) mice</w:t>
                            </w:r>
                            <w:r w:rsidRPr="00CF4DC0">
                              <w:rPr>
                                <w:rFonts w:ascii="Verdana" w:hAnsi="Verdana"/>
                                <w:sz w:val="18"/>
                                <w:szCs w:val="18"/>
                              </w:rPr>
                              <w:t>. The samples</w:t>
                            </w:r>
                            <w:r w:rsidR="00FB19B0">
                              <w:rPr>
                                <w:rFonts w:ascii="Verdana" w:hAnsi="Verdana"/>
                                <w:sz w:val="18"/>
                                <w:szCs w:val="18"/>
                              </w:rPr>
                              <w:t xml:space="preserve"> mostly</w:t>
                            </w:r>
                            <w:r w:rsidRPr="00CF4DC0">
                              <w:rPr>
                                <w:rFonts w:ascii="Verdana" w:hAnsi="Verdana"/>
                                <w:sz w:val="18"/>
                                <w:szCs w:val="18"/>
                              </w:rPr>
                              <w:t xml:space="preserve"> separate according to </w:t>
                            </w:r>
                            <w:r w:rsidR="00FB19B0">
                              <w:rPr>
                                <w:rFonts w:ascii="Verdana" w:hAnsi="Verdana"/>
                                <w:sz w:val="18"/>
                                <w:szCs w:val="18"/>
                              </w:rPr>
                              <w:t>genotype</w:t>
                            </w:r>
                            <w:r w:rsidRPr="00CF4DC0">
                              <w:rPr>
                                <w:rFonts w:ascii="Verdana" w:hAnsi="Verdana"/>
                                <w:sz w:val="18"/>
                                <w:szCs w:val="18"/>
                              </w:rPr>
                              <w:t>,</w:t>
                            </w:r>
                            <w:r w:rsidR="00194246" w:rsidRPr="00CF4DC0">
                              <w:rPr>
                                <w:rFonts w:ascii="Verdana" w:hAnsi="Verdana"/>
                                <w:sz w:val="18"/>
                                <w:szCs w:val="18"/>
                              </w:rPr>
                              <w:t xml:space="preserve"> and further partition according to unknown factors.</w:t>
                            </w:r>
                            <w:r w:rsidR="00194246" w:rsidRPr="00CF4DC0">
                              <w:rPr>
                                <w:rFonts w:ascii="Verdana" w:hAnsi="Verdana"/>
                                <w:b/>
                                <w:bCs/>
                                <w:sz w:val="18"/>
                                <w:szCs w:val="18"/>
                              </w:rPr>
                              <w:t xml:space="preserve"> B)</w:t>
                            </w:r>
                            <w:r w:rsidR="00194246" w:rsidRPr="00CF4DC0">
                              <w:rPr>
                                <w:rFonts w:ascii="Verdana" w:hAnsi="Verdana"/>
                                <w:sz w:val="18"/>
                                <w:szCs w:val="18"/>
                              </w:rPr>
                              <w:t xml:space="preserve"> PCA plot for all</w:t>
                            </w:r>
                            <w:r w:rsidR="00D3323D" w:rsidRPr="00CF4DC0">
                              <w:rPr>
                                <w:rFonts w:ascii="Verdana" w:hAnsi="Verdana"/>
                                <w:sz w:val="18"/>
                                <w:szCs w:val="18"/>
                              </w:rPr>
                              <w:t xml:space="preserve"> age and genotype groups </w:t>
                            </w:r>
                            <w:r w:rsidR="00194246" w:rsidRPr="00CF4DC0">
                              <w:rPr>
                                <w:rFonts w:ascii="Verdana" w:hAnsi="Verdana"/>
                                <w:sz w:val="18"/>
                                <w:szCs w:val="18"/>
                              </w:rPr>
                              <w:t xml:space="preserve">after </w:t>
                            </w:r>
                            <w:r w:rsidR="00D3323D" w:rsidRPr="00CF4DC0">
                              <w:rPr>
                                <w:rFonts w:ascii="Verdana" w:hAnsi="Verdana"/>
                                <w:sz w:val="18"/>
                                <w:szCs w:val="18"/>
                              </w:rPr>
                              <w:t>correction of the data</w:t>
                            </w:r>
                            <w:r w:rsidR="00D74DBB">
                              <w:rPr>
                                <w:rFonts w:ascii="Verdana" w:hAnsi="Verdana"/>
                                <w:sz w:val="18"/>
                                <w:szCs w:val="18"/>
                              </w:rPr>
                              <w:t xml:space="preserve"> for male (left) and female (right) mice</w:t>
                            </w:r>
                            <w:r w:rsidR="00D3323D" w:rsidRPr="00CF4DC0">
                              <w:rPr>
                                <w:rFonts w:ascii="Verdana" w:hAnsi="Verdana"/>
                                <w:sz w:val="18"/>
                                <w:szCs w:val="18"/>
                              </w:rPr>
                              <w:t>. The sample</w:t>
                            </w:r>
                            <w:r w:rsidR="0088329E" w:rsidRPr="00CF4DC0">
                              <w:rPr>
                                <w:rFonts w:ascii="Verdana" w:hAnsi="Verdana"/>
                                <w:sz w:val="18"/>
                                <w:szCs w:val="18"/>
                              </w:rPr>
                              <w:t>s nicely separate according to gen</w:t>
                            </w:r>
                            <w:r w:rsidR="00D74DBB">
                              <w:rPr>
                                <w:rFonts w:ascii="Verdana" w:hAnsi="Verdana"/>
                                <w:sz w:val="18"/>
                                <w:szCs w:val="18"/>
                              </w:rPr>
                              <w:t>otype</w:t>
                            </w:r>
                            <w:r w:rsidR="0088329E" w:rsidRPr="00CF4DC0">
                              <w:rPr>
                                <w:rFonts w:ascii="Verdana" w:hAnsi="Verdana"/>
                                <w:sz w:val="18"/>
                                <w:szCs w:val="18"/>
                              </w:rPr>
                              <w:t xml:space="preserve"> (x axis), and </w:t>
                            </w:r>
                            <w:r w:rsidR="00AB7DDF" w:rsidRPr="00CF4DC0">
                              <w:rPr>
                                <w:rFonts w:ascii="Verdana" w:hAnsi="Verdana"/>
                                <w:sz w:val="18"/>
                                <w:szCs w:val="18"/>
                              </w:rPr>
                              <w:t xml:space="preserve">further distribute following an age-dependent gradient. </w:t>
                            </w:r>
                            <w:r w:rsidR="00AB7DDF" w:rsidRPr="00CF4DC0">
                              <w:rPr>
                                <w:rFonts w:ascii="Verdana" w:hAnsi="Verdana"/>
                                <w:b/>
                                <w:bCs/>
                                <w:sz w:val="18"/>
                                <w:szCs w:val="18"/>
                              </w:rPr>
                              <w:t xml:space="preserve">C) </w:t>
                            </w:r>
                            <w:r w:rsidR="00381679" w:rsidRPr="00CF4DC0">
                              <w:rPr>
                                <w:rFonts w:ascii="Verdana" w:hAnsi="Verdana"/>
                                <w:sz w:val="18"/>
                                <w:szCs w:val="18"/>
                              </w:rPr>
                              <w:t xml:space="preserve">Differentially expressed genes </w:t>
                            </w:r>
                            <w:r w:rsidR="00B971E8" w:rsidRPr="00CF4DC0">
                              <w:rPr>
                                <w:rFonts w:ascii="Verdana" w:hAnsi="Verdana"/>
                                <w:sz w:val="18"/>
                                <w:szCs w:val="18"/>
                              </w:rPr>
                              <w:t>in</w:t>
                            </w:r>
                            <w:r w:rsidR="00381679" w:rsidRPr="00CF4DC0">
                              <w:rPr>
                                <w:rFonts w:ascii="Verdana" w:hAnsi="Verdana"/>
                                <w:sz w:val="18"/>
                                <w:szCs w:val="18"/>
                              </w:rPr>
                              <w:t xml:space="preserve"> male </w:t>
                            </w:r>
                            <w:r w:rsidR="00C71631">
                              <w:rPr>
                                <w:rFonts w:ascii="Verdana" w:hAnsi="Verdana"/>
                                <w:sz w:val="18"/>
                                <w:szCs w:val="18"/>
                              </w:rPr>
                              <w:t xml:space="preserve">(left) and female (right) </w:t>
                            </w:r>
                            <w:r w:rsidR="00381679" w:rsidRPr="00CF4DC0">
                              <w:rPr>
                                <w:rFonts w:ascii="Verdana" w:hAnsi="Verdana"/>
                                <w:sz w:val="18"/>
                                <w:szCs w:val="18"/>
                              </w:rPr>
                              <w:t>mice</w:t>
                            </w:r>
                            <w:r w:rsidR="00B971E8" w:rsidRPr="00CF4DC0">
                              <w:rPr>
                                <w:rFonts w:ascii="Verdana" w:hAnsi="Verdana"/>
                                <w:sz w:val="18"/>
                                <w:szCs w:val="18"/>
                              </w:rPr>
                              <w:t xml:space="preserve">. </w:t>
                            </w:r>
                            <w:r w:rsidR="00990D2B" w:rsidRPr="00CF4DC0">
                              <w:rPr>
                                <w:rFonts w:ascii="Verdana" w:hAnsi="Verdana"/>
                                <w:sz w:val="18"/>
                                <w:szCs w:val="18"/>
                              </w:rPr>
                              <w:t>Genotype-dependent DEGs are plotted horizontally, age-dependent DEGs</w:t>
                            </w:r>
                            <w:r w:rsidR="00990D2B">
                              <w:rPr>
                                <w:rFonts w:ascii="Verdana" w:hAnsi="Verdana"/>
                                <w:sz w:val="18"/>
                                <w:szCs w:val="18"/>
                              </w:rPr>
                              <w:t xml:space="preserve"> within the same genotype</w:t>
                            </w:r>
                            <w:r w:rsidR="00990D2B" w:rsidRPr="00CF4DC0">
                              <w:rPr>
                                <w:rFonts w:ascii="Verdana" w:hAnsi="Verdana"/>
                                <w:sz w:val="18"/>
                                <w:szCs w:val="18"/>
                              </w:rPr>
                              <w:t xml:space="preserve"> are plotted vertically</w:t>
                            </w:r>
                            <w:r w:rsidR="00990D2B">
                              <w:rPr>
                                <w:rFonts w:ascii="Verdana" w:hAnsi="Verdana"/>
                                <w:sz w:val="18"/>
                                <w:szCs w:val="18"/>
                              </w:rPr>
                              <w:t>.</w:t>
                            </w:r>
                          </w:p>
                          <w:p w14:paraId="3060225D" w14:textId="07CAE7D4" w:rsidR="00BD5F16" w:rsidRPr="00BD5F16" w:rsidRDefault="00BD5F16" w:rsidP="0026458B">
                            <w:pPr>
                              <w:ind w:firstLine="0"/>
                              <w:jc w:val="both"/>
                              <w:rPr>
                                <w:rFonts w:ascii="Verdana" w:hAnsi="Verdana"/>
                                <w:sz w:val="18"/>
                                <w:szCs w:val="18"/>
                              </w:rPr>
                            </w:pPr>
                            <w:r>
                              <w:rPr>
                                <w:rFonts w:ascii="Verdana" w:hAnsi="Verdana"/>
                                <w:sz w:val="18"/>
                                <w:szCs w:val="18"/>
                              </w:rPr>
                              <w:t xml:space="preserve">N = </w:t>
                            </w:r>
                            <w:r w:rsidR="00D06E5E">
                              <w:rPr>
                                <w:rFonts w:ascii="Verdana" w:hAnsi="Verdana"/>
                                <w:sz w:val="18"/>
                                <w:szCs w:val="18"/>
                              </w:rPr>
                              <w:t xml:space="preserve">4 mice per group. </w:t>
                            </w:r>
                            <w:r w:rsidRPr="00BD5F16">
                              <w:rPr>
                                <w:rFonts w:ascii="Verdana" w:hAnsi="Verdana"/>
                                <w:sz w:val="18"/>
                                <w:szCs w:val="18"/>
                              </w:rPr>
                              <w:t xml:space="preserve">WT = </w:t>
                            </w:r>
                            <w:r>
                              <w:rPr>
                                <w:rFonts w:ascii="Verdana" w:hAnsi="Verdana"/>
                                <w:sz w:val="18"/>
                                <w:szCs w:val="18"/>
                              </w:rPr>
                              <w:t>wild-type littermates, HET =</w:t>
                            </w:r>
                            <w:r w:rsidR="00D06E5E">
                              <w:rPr>
                                <w:rFonts w:ascii="Verdana" w:hAnsi="Verdana"/>
                                <w:sz w:val="18"/>
                                <w:szCs w:val="18"/>
                              </w:rPr>
                              <w:t xml:space="preserve"> transgenic SNCA*E46K animals, 3M = 3-months old, 6M = 6-months old, 8M = 8-months old, 14M = 14-months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EB6B2C" id="Text Box 131" o:spid="_x0000_s1041" type="#_x0000_t202" style="position:absolute;margin-left:388.05pt;margin-top:0;width:439.25pt;height:.05pt;z-index:2518947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" stroked="f">
                <v:textbox style="mso-fit-shape-to-text:t" inset="0,0,0,0">
                  <w:txbxContent>
                    <w:p w14:paraId="359F4F21" w14:textId="4A65B9A5" w:rsidR="00B26E40" w:rsidRPr="00CF4DC0" w:rsidRDefault="00B26E40" w:rsidP="0026458B">
                      <w:pPr>
                        <w:pStyle w:val="Caption"/>
                        <w:ind w:firstLine="0"/>
                        <w:jc w:val="both"/>
                        <w:rPr>
                          <w:rFonts w:ascii="Verdana" w:hAnsi="Verdana"/>
                          <w:i w:val="0"/>
                          <w:iCs w:val="0"/>
                          <w:color w:val="000000" w:themeColor="text1"/>
                        </w:rPr>
                      </w:pPr>
                      <w:bookmarkStart w:id="89" w:name="_Toc131412755"/>
                      <w:r w:rsidRPr="00CF4DC0">
                        <w:rPr>
                          <w:rFonts w:ascii="Verdana" w:hAnsi="Verdana"/>
                          <w:b/>
                          <w:bCs/>
                          <w:i w:val="0"/>
                          <w:iCs w:val="0"/>
                          <w:color w:val="000000" w:themeColor="text1"/>
                        </w:rPr>
                        <w:t xml:space="preserve">Figure </w:t>
                      </w:r>
                      <w:r w:rsidRPr="00CF4DC0">
                        <w:rPr>
                          <w:rFonts w:ascii="Verdana" w:hAnsi="Verdana"/>
                          <w:b/>
                          <w:bCs/>
                          <w:i w:val="0"/>
                          <w:iCs w:val="0"/>
                          <w:color w:val="000000" w:themeColor="text1"/>
                        </w:rPr>
                        <w:fldChar w:fldCharType="begin"/>
                      </w:r>
                      <w:r w:rsidRPr="00CF4DC0">
                        <w:rPr>
                          <w:rFonts w:ascii="Verdana" w:hAnsi="Verdana"/>
                          <w:b/>
                          <w:bCs/>
                          <w:i w:val="0"/>
                          <w:iCs w:val="0"/>
                          <w:color w:val="000000" w:themeColor="text1"/>
                        </w:rPr>
                        <w:instrText xml:space="preserve"> SEQ Figure \* ARABIC </w:instrText>
                      </w:r>
                      <w:r w:rsidRPr="00CF4DC0">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13</w:t>
                      </w:r>
                      <w:r w:rsidRPr="00CF4DC0">
                        <w:rPr>
                          <w:rFonts w:ascii="Verdana" w:hAnsi="Verdana"/>
                          <w:b/>
                          <w:bCs/>
                          <w:i w:val="0"/>
                          <w:iCs w:val="0"/>
                          <w:color w:val="000000" w:themeColor="text1"/>
                        </w:rPr>
                        <w:fldChar w:fldCharType="end"/>
                      </w:r>
                      <w:r w:rsidRPr="00CF4DC0">
                        <w:rPr>
                          <w:rFonts w:ascii="Verdana" w:hAnsi="Verdana"/>
                          <w:b/>
                          <w:bCs/>
                          <w:i w:val="0"/>
                          <w:iCs w:val="0"/>
                          <w:color w:val="000000" w:themeColor="text1"/>
                        </w:rPr>
                        <w:t xml:space="preserve"> </w:t>
                      </w:r>
                      <w:r w:rsidRPr="00CF4DC0">
                        <w:rPr>
                          <w:rFonts w:ascii="Verdana" w:hAnsi="Verdana"/>
                          <w:i w:val="0"/>
                          <w:iCs w:val="0"/>
                          <w:color w:val="000000" w:themeColor="text1"/>
                        </w:rPr>
                        <w:t>Differential expression in the hippocampus of SNCA*E46K mice and WT littermates is mostly driven by age.</w:t>
                      </w:r>
                      <w:bookmarkEnd w:id="89"/>
                    </w:p>
                    <w:p w14:paraId="072FEEB8" w14:textId="3E9CE37A" w:rsidR="00990D2B" w:rsidRDefault="00B26E40" w:rsidP="0026458B">
                      <w:pPr>
                        <w:ind w:firstLine="0"/>
                        <w:jc w:val="both"/>
                        <w:rPr>
                          <w:rFonts w:ascii="Verdana" w:hAnsi="Verdana"/>
                          <w:sz w:val="18"/>
                          <w:szCs w:val="18"/>
                        </w:rPr>
                      </w:pPr>
                      <w:r w:rsidRPr="00CF4DC0">
                        <w:rPr>
                          <w:rFonts w:ascii="Verdana" w:hAnsi="Verdana"/>
                          <w:b/>
                          <w:bCs/>
                          <w:sz w:val="18"/>
                          <w:szCs w:val="18"/>
                        </w:rPr>
                        <w:t>A)</w:t>
                      </w:r>
                      <w:r w:rsidRPr="00CF4DC0">
                        <w:rPr>
                          <w:rFonts w:ascii="Verdana" w:hAnsi="Verdana"/>
                          <w:sz w:val="18"/>
                          <w:szCs w:val="18"/>
                        </w:rPr>
                        <w:t xml:space="preserve"> PCA plot for all age and genotype groups before correction</w:t>
                      </w:r>
                      <w:r w:rsidR="00413F2E">
                        <w:rPr>
                          <w:rFonts w:ascii="Verdana" w:hAnsi="Verdana"/>
                          <w:sz w:val="18"/>
                          <w:szCs w:val="18"/>
                        </w:rPr>
                        <w:t xml:space="preserve"> for male (left) and female (right) mice</w:t>
                      </w:r>
                      <w:r w:rsidRPr="00CF4DC0">
                        <w:rPr>
                          <w:rFonts w:ascii="Verdana" w:hAnsi="Verdana"/>
                          <w:sz w:val="18"/>
                          <w:szCs w:val="18"/>
                        </w:rPr>
                        <w:t>. The samples</w:t>
                      </w:r>
                      <w:r w:rsidR="00FB19B0">
                        <w:rPr>
                          <w:rFonts w:ascii="Verdana" w:hAnsi="Verdana"/>
                          <w:sz w:val="18"/>
                          <w:szCs w:val="18"/>
                        </w:rPr>
                        <w:t xml:space="preserve"> mostly</w:t>
                      </w:r>
                      <w:r w:rsidRPr="00CF4DC0">
                        <w:rPr>
                          <w:rFonts w:ascii="Verdana" w:hAnsi="Verdana"/>
                          <w:sz w:val="18"/>
                          <w:szCs w:val="18"/>
                        </w:rPr>
                        <w:t xml:space="preserve"> separate according to </w:t>
                      </w:r>
                      <w:r w:rsidR="00FB19B0">
                        <w:rPr>
                          <w:rFonts w:ascii="Verdana" w:hAnsi="Verdana"/>
                          <w:sz w:val="18"/>
                          <w:szCs w:val="18"/>
                        </w:rPr>
                        <w:t>genotype</w:t>
                      </w:r>
                      <w:r w:rsidRPr="00CF4DC0">
                        <w:rPr>
                          <w:rFonts w:ascii="Verdana" w:hAnsi="Verdana"/>
                          <w:sz w:val="18"/>
                          <w:szCs w:val="18"/>
                        </w:rPr>
                        <w:t>,</w:t>
                      </w:r>
                      <w:r w:rsidR="00194246" w:rsidRPr="00CF4DC0">
                        <w:rPr>
                          <w:rFonts w:ascii="Verdana" w:hAnsi="Verdana"/>
                          <w:sz w:val="18"/>
                          <w:szCs w:val="18"/>
                        </w:rPr>
                        <w:t xml:space="preserve"> and further partition according to unknown factors.</w:t>
                      </w:r>
                      <w:r w:rsidR="00194246" w:rsidRPr="00CF4DC0">
                        <w:rPr>
                          <w:rFonts w:ascii="Verdana" w:hAnsi="Verdana"/>
                          <w:b/>
                          <w:bCs/>
                          <w:sz w:val="18"/>
                          <w:szCs w:val="18"/>
                        </w:rPr>
                        <w:t xml:space="preserve"> B)</w:t>
                      </w:r>
                      <w:r w:rsidR="00194246" w:rsidRPr="00CF4DC0">
                        <w:rPr>
                          <w:rFonts w:ascii="Verdana" w:hAnsi="Verdana"/>
                          <w:sz w:val="18"/>
                          <w:szCs w:val="18"/>
                        </w:rPr>
                        <w:t xml:space="preserve"> PCA plot for all</w:t>
                      </w:r>
                      <w:r w:rsidR="00D3323D" w:rsidRPr="00CF4DC0">
                        <w:rPr>
                          <w:rFonts w:ascii="Verdana" w:hAnsi="Verdana"/>
                          <w:sz w:val="18"/>
                          <w:szCs w:val="18"/>
                        </w:rPr>
                        <w:t xml:space="preserve"> age and genotype groups </w:t>
                      </w:r>
                      <w:r w:rsidR="00194246" w:rsidRPr="00CF4DC0">
                        <w:rPr>
                          <w:rFonts w:ascii="Verdana" w:hAnsi="Verdana"/>
                          <w:sz w:val="18"/>
                          <w:szCs w:val="18"/>
                        </w:rPr>
                        <w:t xml:space="preserve">after </w:t>
                      </w:r>
                      <w:r w:rsidR="00D3323D" w:rsidRPr="00CF4DC0">
                        <w:rPr>
                          <w:rFonts w:ascii="Verdana" w:hAnsi="Verdana"/>
                          <w:sz w:val="18"/>
                          <w:szCs w:val="18"/>
                        </w:rPr>
                        <w:t>correction of the data</w:t>
                      </w:r>
                      <w:r w:rsidR="00D74DBB">
                        <w:rPr>
                          <w:rFonts w:ascii="Verdana" w:hAnsi="Verdana"/>
                          <w:sz w:val="18"/>
                          <w:szCs w:val="18"/>
                        </w:rPr>
                        <w:t xml:space="preserve"> for male (left) and female (right) mice</w:t>
                      </w:r>
                      <w:r w:rsidR="00D3323D" w:rsidRPr="00CF4DC0">
                        <w:rPr>
                          <w:rFonts w:ascii="Verdana" w:hAnsi="Verdana"/>
                          <w:sz w:val="18"/>
                          <w:szCs w:val="18"/>
                        </w:rPr>
                        <w:t>. The sample</w:t>
                      </w:r>
                      <w:r w:rsidR="0088329E" w:rsidRPr="00CF4DC0">
                        <w:rPr>
                          <w:rFonts w:ascii="Verdana" w:hAnsi="Verdana"/>
                          <w:sz w:val="18"/>
                          <w:szCs w:val="18"/>
                        </w:rPr>
                        <w:t>s nicely separate according to gen</w:t>
                      </w:r>
                      <w:r w:rsidR="00D74DBB">
                        <w:rPr>
                          <w:rFonts w:ascii="Verdana" w:hAnsi="Verdana"/>
                          <w:sz w:val="18"/>
                          <w:szCs w:val="18"/>
                        </w:rPr>
                        <w:t>otype</w:t>
                      </w:r>
                      <w:r w:rsidR="0088329E" w:rsidRPr="00CF4DC0">
                        <w:rPr>
                          <w:rFonts w:ascii="Verdana" w:hAnsi="Verdana"/>
                          <w:sz w:val="18"/>
                          <w:szCs w:val="18"/>
                        </w:rPr>
                        <w:t xml:space="preserve"> (x axis), and </w:t>
                      </w:r>
                      <w:r w:rsidR="00AB7DDF" w:rsidRPr="00CF4DC0">
                        <w:rPr>
                          <w:rFonts w:ascii="Verdana" w:hAnsi="Verdana"/>
                          <w:sz w:val="18"/>
                          <w:szCs w:val="18"/>
                        </w:rPr>
                        <w:t xml:space="preserve">further distribute following an age-dependent gradient. </w:t>
                      </w:r>
                      <w:r w:rsidR="00AB7DDF" w:rsidRPr="00CF4DC0">
                        <w:rPr>
                          <w:rFonts w:ascii="Verdana" w:hAnsi="Verdana"/>
                          <w:b/>
                          <w:bCs/>
                          <w:sz w:val="18"/>
                          <w:szCs w:val="18"/>
                        </w:rPr>
                        <w:t xml:space="preserve">C) </w:t>
                      </w:r>
                      <w:r w:rsidR="00381679" w:rsidRPr="00CF4DC0">
                        <w:rPr>
                          <w:rFonts w:ascii="Verdana" w:hAnsi="Verdana"/>
                          <w:sz w:val="18"/>
                          <w:szCs w:val="18"/>
                        </w:rPr>
                        <w:t xml:space="preserve">Differentially expressed genes </w:t>
                      </w:r>
                      <w:r w:rsidR="00B971E8" w:rsidRPr="00CF4DC0">
                        <w:rPr>
                          <w:rFonts w:ascii="Verdana" w:hAnsi="Verdana"/>
                          <w:sz w:val="18"/>
                          <w:szCs w:val="18"/>
                        </w:rPr>
                        <w:t>in</w:t>
                      </w:r>
                      <w:r w:rsidR="00381679" w:rsidRPr="00CF4DC0">
                        <w:rPr>
                          <w:rFonts w:ascii="Verdana" w:hAnsi="Verdana"/>
                          <w:sz w:val="18"/>
                          <w:szCs w:val="18"/>
                        </w:rPr>
                        <w:t xml:space="preserve"> male </w:t>
                      </w:r>
                      <w:r w:rsidR="00C71631">
                        <w:rPr>
                          <w:rFonts w:ascii="Verdana" w:hAnsi="Verdana"/>
                          <w:sz w:val="18"/>
                          <w:szCs w:val="18"/>
                        </w:rPr>
                        <w:t xml:space="preserve">(left) and female (right) </w:t>
                      </w:r>
                      <w:r w:rsidR="00381679" w:rsidRPr="00CF4DC0">
                        <w:rPr>
                          <w:rFonts w:ascii="Verdana" w:hAnsi="Verdana"/>
                          <w:sz w:val="18"/>
                          <w:szCs w:val="18"/>
                        </w:rPr>
                        <w:t>mice</w:t>
                      </w:r>
                      <w:r w:rsidR="00B971E8" w:rsidRPr="00CF4DC0">
                        <w:rPr>
                          <w:rFonts w:ascii="Verdana" w:hAnsi="Verdana"/>
                          <w:sz w:val="18"/>
                          <w:szCs w:val="18"/>
                        </w:rPr>
                        <w:t xml:space="preserve">. </w:t>
                      </w:r>
                      <w:r w:rsidR="00990D2B" w:rsidRPr="00CF4DC0">
                        <w:rPr>
                          <w:rFonts w:ascii="Verdana" w:hAnsi="Verdana"/>
                          <w:sz w:val="18"/>
                          <w:szCs w:val="18"/>
                        </w:rPr>
                        <w:t>Genotype-dependent DEGs are plotted horizontally, age-dependent DEGs</w:t>
                      </w:r>
                      <w:r w:rsidR="00990D2B">
                        <w:rPr>
                          <w:rFonts w:ascii="Verdana" w:hAnsi="Verdana"/>
                          <w:sz w:val="18"/>
                          <w:szCs w:val="18"/>
                        </w:rPr>
                        <w:t xml:space="preserve"> within the same genotype</w:t>
                      </w:r>
                      <w:r w:rsidR="00990D2B" w:rsidRPr="00CF4DC0">
                        <w:rPr>
                          <w:rFonts w:ascii="Verdana" w:hAnsi="Verdana"/>
                          <w:sz w:val="18"/>
                          <w:szCs w:val="18"/>
                        </w:rPr>
                        <w:t xml:space="preserve"> are plotted vertically</w:t>
                      </w:r>
                      <w:r w:rsidR="00990D2B">
                        <w:rPr>
                          <w:rFonts w:ascii="Verdana" w:hAnsi="Verdana"/>
                          <w:sz w:val="18"/>
                          <w:szCs w:val="18"/>
                        </w:rPr>
                        <w:t>.</w:t>
                      </w:r>
                    </w:p>
                    <w:p w14:paraId="3060225D" w14:textId="07CAE7D4" w:rsidR="00BD5F16" w:rsidRPr="00BD5F16" w:rsidRDefault="00BD5F16" w:rsidP="0026458B">
                      <w:pPr>
                        <w:ind w:firstLine="0"/>
                        <w:jc w:val="both"/>
                        <w:rPr>
                          <w:rFonts w:ascii="Verdana" w:hAnsi="Verdana"/>
                          <w:sz w:val="18"/>
                          <w:szCs w:val="18"/>
                        </w:rPr>
                      </w:pPr>
                      <w:r>
                        <w:rPr>
                          <w:rFonts w:ascii="Verdana" w:hAnsi="Verdana"/>
                          <w:sz w:val="18"/>
                          <w:szCs w:val="18"/>
                        </w:rPr>
                        <w:t xml:space="preserve">N = </w:t>
                      </w:r>
                      <w:r w:rsidR="00D06E5E">
                        <w:rPr>
                          <w:rFonts w:ascii="Verdana" w:hAnsi="Verdana"/>
                          <w:sz w:val="18"/>
                          <w:szCs w:val="18"/>
                        </w:rPr>
                        <w:t xml:space="preserve">4 mice per group. </w:t>
                      </w:r>
                      <w:r w:rsidRPr="00BD5F16">
                        <w:rPr>
                          <w:rFonts w:ascii="Verdana" w:hAnsi="Verdana"/>
                          <w:sz w:val="18"/>
                          <w:szCs w:val="18"/>
                        </w:rPr>
                        <w:t xml:space="preserve">WT = </w:t>
                      </w:r>
                      <w:r>
                        <w:rPr>
                          <w:rFonts w:ascii="Verdana" w:hAnsi="Verdana"/>
                          <w:sz w:val="18"/>
                          <w:szCs w:val="18"/>
                        </w:rPr>
                        <w:t>wild-type littermates, HET =</w:t>
                      </w:r>
                      <w:r w:rsidR="00D06E5E">
                        <w:rPr>
                          <w:rFonts w:ascii="Verdana" w:hAnsi="Verdana"/>
                          <w:sz w:val="18"/>
                          <w:szCs w:val="18"/>
                        </w:rPr>
                        <w:t xml:space="preserve"> transgenic SNCA*E46K animals, 3M = 3-months old, 6M = 6-months old, 8M = 8-months old, 14M = 14-months old.</w:t>
                      </w:r>
                    </w:p>
                  </w:txbxContent>
                </v:textbox>
                <w10:wrap type="topAndBottom" anchorx="margin"/>
              </v:shape>
            </w:pict>
          </mc:Fallback>
        </mc:AlternateContent>
      </w:r>
      <w:r>
        <w:rPr>
          <w:lang w:val="en-GB"/>
        </w:rPr>
        <w:br w:type="page"/>
      </w:r>
    </w:p>
    <w:p w14:paraId="47D76008" w14:textId="24AA1BAD" w:rsidR="00866995" w:rsidRPr="00DE2EFA" w:rsidRDefault="009E5729" w:rsidP="00767F9D">
      <w:pPr>
        <w:pStyle w:val="Heading3"/>
        <w:rPr>
          <w:lang w:val="en-GB"/>
        </w:rPr>
      </w:pPr>
      <w:bookmarkStart w:id="90" w:name="_Toc130223439"/>
      <w:r>
        <w:rPr>
          <w:lang w:val="en-GB"/>
        </w:rPr>
        <w:lastRenderedPageBreak/>
        <w:t>4.</w:t>
      </w:r>
      <w:r w:rsidR="00535B52">
        <w:rPr>
          <w:lang w:val="en-GB"/>
        </w:rPr>
        <w:t>4</w:t>
      </w:r>
      <w:r>
        <w:rPr>
          <w:lang w:val="en-GB"/>
        </w:rPr>
        <w:tab/>
      </w:r>
      <w:r w:rsidR="003D104F" w:rsidRPr="00DE2EFA">
        <w:rPr>
          <w:lang w:val="en-GB"/>
        </w:rPr>
        <w:t xml:space="preserve"> </w:t>
      </w:r>
      <w:r w:rsidR="00CF7CF1">
        <w:rPr>
          <w:lang w:val="en-GB"/>
        </w:rPr>
        <w:t xml:space="preserve">Transcriptional changes in SNCA*E46K HET </w:t>
      </w:r>
      <w:r w:rsidR="0085177E">
        <w:rPr>
          <w:lang w:val="en-GB"/>
        </w:rPr>
        <w:t>mice</w:t>
      </w:r>
      <w:r w:rsidR="00CF7CF1">
        <w:rPr>
          <w:lang w:val="en-GB"/>
        </w:rPr>
        <w:t xml:space="preserve"> are indicative of</w:t>
      </w:r>
      <w:r w:rsidR="001141EF">
        <w:rPr>
          <w:lang w:val="en-GB"/>
        </w:rPr>
        <w:t xml:space="preserve"> </w:t>
      </w:r>
      <w:r w:rsidR="0085177E">
        <w:rPr>
          <w:lang w:val="en-GB"/>
        </w:rPr>
        <w:t>glutamatergic</w:t>
      </w:r>
      <w:r w:rsidR="00FE21C4">
        <w:rPr>
          <w:lang w:val="en-GB"/>
        </w:rPr>
        <w:t xml:space="preserve"> and calcium</w:t>
      </w:r>
      <w:r w:rsidR="0085177E">
        <w:rPr>
          <w:lang w:val="en-GB"/>
        </w:rPr>
        <w:t xml:space="preserve"> </w:t>
      </w:r>
      <w:r w:rsidR="00CF7CF1">
        <w:rPr>
          <w:lang w:val="en-GB"/>
        </w:rPr>
        <w:t>s</w:t>
      </w:r>
      <w:r w:rsidR="001141EF">
        <w:rPr>
          <w:lang w:val="en-GB"/>
        </w:rPr>
        <w:t>ignalling</w:t>
      </w:r>
      <w:r w:rsidR="00CF7CF1">
        <w:rPr>
          <w:lang w:val="en-GB"/>
        </w:rPr>
        <w:t xml:space="preserve"> dysfunction</w:t>
      </w:r>
      <w:bookmarkEnd w:id="90"/>
    </w:p>
    <w:p w14:paraId="5EA6EB39" w14:textId="592D9CD7" w:rsidR="000544D2" w:rsidRDefault="006F10A2" w:rsidP="000544D2">
      <w:pPr>
        <w:spacing w:line="360" w:lineRule="auto"/>
        <w:jc w:val="both"/>
        <w:rPr>
          <w:rFonts w:ascii="Verdana" w:hAnsi="Verdana"/>
          <w:noProof/>
          <w:color w:val="000000" w:themeColor="text1"/>
          <w:lang w:val="en-GB"/>
        </w:rPr>
      </w:pPr>
      <w:r>
        <w:rPr>
          <w:rFonts w:ascii="Verdana" w:hAnsi="Verdana"/>
          <w:color w:val="000000" w:themeColor="text1"/>
          <w:lang w:val="en-GB"/>
        </w:rPr>
        <w:t xml:space="preserve">Overall, male mice </w:t>
      </w:r>
      <w:r w:rsidR="000506EE">
        <w:rPr>
          <w:rFonts w:ascii="Verdana" w:hAnsi="Verdana"/>
          <w:color w:val="000000" w:themeColor="text1"/>
          <w:lang w:val="en-GB"/>
        </w:rPr>
        <w:t xml:space="preserve">of both genotypes </w:t>
      </w:r>
      <w:r>
        <w:rPr>
          <w:rFonts w:ascii="Verdana" w:hAnsi="Verdana"/>
          <w:color w:val="000000" w:themeColor="text1"/>
          <w:lang w:val="en-GB"/>
        </w:rPr>
        <w:t>presented a low number of DEGs</w:t>
      </w:r>
      <w:r w:rsidR="000506EE">
        <w:rPr>
          <w:rFonts w:ascii="Verdana" w:hAnsi="Verdana"/>
          <w:color w:val="000000" w:themeColor="text1"/>
          <w:lang w:val="en-GB"/>
        </w:rPr>
        <w:t xml:space="preserve">. The most consistent </w:t>
      </w:r>
      <w:r w:rsidR="00340E60">
        <w:rPr>
          <w:rFonts w:ascii="Verdana" w:hAnsi="Verdana"/>
          <w:color w:val="000000" w:themeColor="text1"/>
          <w:lang w:val="en-GB"/>
        </w:rPr>
        <w:t xml:space="preserve">transcriptional deregulation was observed between </w:t>
      </w:r>
      <w:r w:rsidR="00F25AB8">
        <w:rPr>
          <w:rFonts w:ascii="Verdana" w:hAnsi="Verdana"/>
          <w:color w:val="000000" w:themeColor="text1"/>
          <w:lang w:val="en-GB"/>
        </w:rPr>
        <w:t>6</w:t>
      </w:r>
      <w:r w:rsidR="00340E60">
        <w:rPr>
          <w:rFonts w:ascii="Verdana" w:hAnsi="Verdana"/>
          <w:color w:val="000000" w:themeColor="text1"/>
          <w:lang w:val="en-GB"/>
        </w:rPr>
        <w:t xml:space="preserve">- and </w:t>
      </w:r>
      <w:r w:rsidR="00F25AB8">
        <w:rPr>
          <w:rFonts w:ascii="Verdana" w:hAnsi="Verdana"/>
          <w:color w:val="000000" w:themeColor="text1"/>
          <w:lang w:val="en-GB"/>
        </w:rPr>
        <w:t>3</w:t>
      </w:r>
      <w:r w:rsidR="00340E60">
        <w:rPr>
          <w:rFonts w:ascii="Verdana" w:hAnsi="Verdana"/>
          <w:color w:val="000000" w:themeColor="text1"/>
          <w:lang w:val="en-GB"/>
        </w:rPr>
        <w:t>-months old HET mice, with a total of 113 DEGs.</w:t>
      </w:r>
      <w:r w:rsidR="00F25AB8">
        <w:rPr>
          <w:rFonts w:ascii="Verdana" w:hAnsi="Verdana"/>
          <w:color w:val="000000" w:themeColor="text1"/>
          <w:lang w:val="en-GB"/>
        </w:rPr>
        <w:t xml:space="preserve"> </w:t>
      </w:r>
      <w:r w:rsidR="00DF426A">
        <w:rPr>
          <w:rFonts w:ascii="Verdana" w:hAnsi="Verdana"/>
          <w:color w:val="000000" w:themeColor="text1"/>
          <w:lang w:val="en-GB"/>
        </w:rPr>
        <w:t xml:space="preserve">Most of the DEGs were up-regulated </w:t>
      </w:r>
      <w:r w:rsidR="00326119">
        <w:rPr>
          <w:rFonts w:ascii="Verdana" w:hAnsi="Verdana"/>
          <w:color w:val="000000" w:themeColor="text1"/>
          <w:lang w:val="en-GB"/>
        </w:rPr>
        <w:t xml:space="preserve">at 6-months of age </w:t>
      </w:r>
      <w:r w:rsidR="00DF426A">
        <w:rPr>
          <w:rFonts w:ascii="Verdana" w:hAnsi="Verdana"/>
          <w:color w:val="000000" w:themeColor="text1"/>
          <w:lang w:val="en-GB"/>
        </w:rPr>
        <w:t>(</w:t>
      </w:r>
      <w:r w:rsidR="00DA02C7">
        <w:rPr>
          <w:rFonts w:ascii="Verdana" w:hAnsi="Verdana"/>
          <w:color w:val="000000" w:themeColor="text1"/>
          <w:lang w:val="en-GB"/>
        </w:rPr>
        <w:t>73/113 or 65% up-regulated</w:t>
      </w:r>
      <w:r w:rsidR="001409A4">
        <w:rPr>
          <w:rFonts w:ascii="Verdana" w:hAnsi="Verdana"/>
          <w:color w:val="000000" w:themeColor="text1"/>
          <w:lang w:val="en-GB"/>
        </w:rPr>
        <w:t xml:space="preserve"> (Figure 1</w:t>
      </w:r>
      <w:r w:rsidR="00A51282">
        <w:rPr>
          <w:rFonts w:ascii="Verdana" w:hAnsi="Verdana"/>
          <w:color w:val="000000" w:themeColor="text1"/>
          <w:lang w:val="en-GB"/>
        </w:rPr>
        <w:t>4</w:t>
      </w:r>
      <w:r w:rsidR="001409A4">
        <w:rPr>
          <w:rFonts w:ascii="Verdana" w:hAnsi="Verdana"/>
          <w:color w:val="000000" w:themeColor="text1"/>
          <w:lang w:val="en-GB"/>
        </w:rPr>
        <w:t xml:space="preserve">A, </w:t>
      </w:r>
      <w:r w:rsidR="00CB5154">
        <w:rPr>
          <w:rFonts w:ascii="Verdana" w:hAnsi="Verdana"/>
          <w:color w:val="000000" w:themeColor="text1"/>
          <w:lang w:val="en-GB"/>
        </w:rPr>
        <w:t>orange</w:t>
      </w:r>
      <w:r w:rsidR="001409A4">
        <w:rPr>
          <w:rFonts w:ascii="Verdana" w:hAnsi="Verdana"/>
          <w:color w:val="000000" w:themeColor="text1"/>
          <w:lang w:val="en-GB"/>
        </w:rPr>
        <w:t>)</w:t>
      </w:r>
      <w:r w:rsidR="00DA02C7">
        <w:rPr>
          <w:rFonts w:ascii="Verdana" w:hAnsi="Verdana"/>
          <w:color w:val="000000" w:themeColor="text1"/>
          <w:lang w:val="en-GB"/>
        </w:rPr>
        <w:t xml:space="preserve">, </w:t>
      </w:r>
      <w:r w:rsidR="001409A4">
        <w:rPr>
          <w:rFonts w:ascii="Verdana" w:hAnsi="Verdana"/>
          <w:color w:val="000000" w:themeColor="text1"/>
          <w:lang w:val="en-GB"/>
        </w:rPr>
        <w:t>40/113 or 35% down-regulated (Figure 1</w:t>
      </w:r>
      <w:r w:rsidR="00A51282">
        <w:rPr>
          <w:rFonts w:ascii="Verdana" w:hAnsi="Verdana"/>
          <w:color w:val="000000" w:themeColor="text1"/>
          <w:lang w:val="en-GB"/>
        </w:rPr>
        <w:t>4</w:t>
      </w:r>
      <w:r w:rsidR="001409A4">
        <w:rPr>
          <w:rFonts w:ascii="Verdana" w:hAnsi="Verdana"/>
          <w:color w:val="000000" w:themeColor="text1"/>
          <w:lang w:val="en-GB"/>
        </w:rPr>
        <w:t xml:space="preserve">A, </w:t>
      </w:r>
      <w:r w:rsidR="00CB5154">
        <w:rPr>
          <w:rFonts w:ascii="Verdana" w:hAnsi="Verdana"/>
          <w:color w:val="000000" w:themeColor="text1"/>
          <w:lang w:val="en-GB"/>
        </w:rPr>
        <w:t>purple</w:t>
      </w:r>
      <w:r w:rsidR="001409A4">
        <w:rPr>
          <w:rFonts w:ascii="Verdana" w:hAnsi="Verdana"/>
          <w:color w:val="000000" w:themeColor="text1"/>
          <w:lang w:val="en-GB"/>
        </w:rPr>
        <w:t>)).</w:t>
      </w:r>
      <w:r w:rsidR="00A54345">
        <w:rPr>
          <w:rFonts w:ascii="Verdana" w:hAnsi="Verdana"/>
          <w:color w:val="000000" w:themeColor="text1"/>
          <w:lang w:val="en-GB"/>
        </w:rPr>
        <w:t xml:space="preserve"> </w:t>
      </w:r>
      <w:r w:rsidR="00BA322B">
        <w:rPr>
          <w:rFonts w:ascii="Verdana" w:hAnsi="Verdana"/>
          <w:color w:val="000000" w:themeColor="text1"/>
          <w:lang w:val="en-GB"/>
        </w:rPr>
        <w:t xml:space="preserve">When plotting the 113 DEGs for all male </w:t>
      </w:r>
      <w:r w:rsidR="003F2B2E">
        <w:rPr>
          <w:rFonts w:ascii="Verdana" w:hAnsi="Verdana"/>
          <w:color w:val="000000" w:themeColor="text1"/>
          <w:lang w:val="en-GB"/>
        </w:rPr>
        <w:t xml:space="preserve">mice, </w:t>
      </w:r>
      <w:r w:rsidR="007B7E4F">
        <w:rPr>
          <w:rFonts w:ascii="Verdana" w:hAnsi="Verdana"/>
          <w:color w:val="000000" w:themeColor="text1"/>
          <w:lang w:val="en-GB"/>
        </w:rPr>
        <w:t>the differential expression of these genes</w:t>
      </w:r>
      <w:r w:rsidR="001D3705">
        <w:rPr>
          <w:rFonts w:ascii="Verdana" w:hAnsi="Verdana"/>
          <w:color w:val="000000" w:themeColor="text1"/>
          <w:lang w:val="en-GB"/>
        </w:rPr>
        <w:t xml:space="preserve"> show</w:t>
      </w:r>
      <w:r w:rsidR="00CF7CF1">
        <w:rPr>
          <w:rFonts w:ascii="Verdana" w:hAnsi="Verdana"/>
          <w:color w:val="000000" w:themeColor="text1"/>
          <w:lang w:val="en-GB"/>
        </w:rPr>
        <w:t>ed</w:t>
      </w:r>
      <w:r w:rsidR="001D3705">
        <w:rPr>
          <w:rFonts w:ascii="Verdana" w:hAnsi="Verdana"/>
          <w:color w:val="000000" w:themeColor="text1"/>
          <w:lang w:val="en-GB"/>
        </w:rPr>
        <w:t xml:space="preserve"> a clear pattern</w:t>
      </w:r>
      <w:r w:rsidR="007B7E4F">
        <w:rPr>
          <w:rFonts w:ascii="Verdana" w:hAnsi="Verdana"/>
          <w:color w:val="000000" w:themeColor="text1"/>
          <w:lang w:val="en-GB"/>
        </w:rPr>
        <w:t xml:space="preserve"> between 3- and 6-months old HET mice</w:t>
      </w:r>
      <w:r w:rsidR="001554AE">
        <w:rPr>
          <w:rFonts w:ascii="Verdana" w:hAnsi="Verdana"/>
          <w:color w:val="000000" w:themeColor="text1"/>
          <w:lang w:val="en-GB"/>
        </w:rPr>
        <w:t xml:space="preserve"> (Figure 1</w:t>
      </w:r>
      <w:r w:rsidR="00A51282">
        <w:rPr>
          <w:rFonts w:ascii="Verdana" w:hAnsi="Verdana"/>
          <w:color w:val="000000" w:themeColor="text1"/>
          <w:lang w:val="en-GB"/>
        </w:rPr>
        <w:t>4</w:t>
      </w:r>
      <w:r w:rsidR="0094362B">
        <w:rPr>
          <w:rFonts w:ascii="Verdana" w:hAnsi="Verdana"/>
          <w:color w:val="000000" w:themeColor="text1"/>
          <w:lang w:val="en-GB"/>
        </w:rPr>
        <w:t>B</w:t>
      </w:r>
      <w:r w:rsidR="00737B61">
        <w:rPr>
          <w:rFonts w:ascii="Verdana" w:hAnsi="Verdana"/>
          <w:color w:val="000000" w:themeColor="text1"/>
          <w:lang w:val="en-GB"/>
        </w:rPr>
        <w:t>, columns 5 and 6</w:t>
      </w:r>
      <w:r w:rsidR="001554AE">
        <w:rPr>
          <w:rFonts w:ascii="Verdana" w:hAnsi="Verdana"/>
          <w:color w:val="000000" w:themeColor="text1"/>
          <w:lang w:val="en-GB"/>
        </w:rPr>
        <w:t>)</w:t>
      </w:r>
      <w:r w:rsidR="00F47172">
        <w:rPr>
          <w:rFonts w:ascii="Verdana" w:hAnsi="Verdana"/>
          <w:color w:val="000000" w:themeColor="text1"/>
          <w:lang w:val="en-GB"/>
        </w:rPr>
        <w:t>.</w:t>
      </w:r>
      <w:r w:rsidR="00625235">
        <w:rPr>
          <w:rFonts w:ascii="Verdana" w:hAnsi="Verdana"/>
          <w:color w:val="000000" w:themeColor="text1"/>
          <w:lang w:val="en-GB"/>
        </w:rPr>
        <w:t xml:space="preserve"> When looking at WT mice at the same age, this pattern of expression </w:t>
      </w:r>
      <w:r w:rsidR="00676C7B">
        <w:rPr>
          <w:rFonts w:ascii="Verdana" w:hAnsi="Verdana"/>
          <w:color w:val="000000" w:themeColor="text1"/>
          <w:lang w:val="en-GB"/>
        </w:rPr>
        <w:t>c</w:t>
      </w:r>
      <w:r w:rsidR="00CF7CF1">
        <w:rPr>
          <w:rFonts w:ascii="Verdana" w:hAnsi="Verdana"/>
          <w:color w:val="000000" w:themeColor="text1"/>
          <w:lang w:val="en-GB"/>
        </w:rPr>
        <w:t>ould</w:t>
      </w:r>
      <w:r w:rsidR="00676C7B">
        <w:rPr>
          <w:rFonts w:ascii="Verdana" w:hAnsi="Verdana"/>
          <w:color w:val="000000" w:themeColor="text1"/>
          <w:lang w:val="en-GB"/>
        </w:rPr>
        <w:t xml:space="preserve"> also be identified, but the differential expression </w:t>
      </w:r>
      <w:r w:rsidR="00CF7CF1">
        <w:rPr>
          <w:rFonts w:ascii="Verdana" w:hAnsi="Verdana"/>
          <w:color w:val="000000" w:themeColor="text1"/>
          <w:lang w:val="en-GB"/>
        </w:rPr>
        <w:t>was</w:t>
      </w:r>
      <w:r w:rsidR="00676C7B">
        <w:rPr>
          <w:rFonts w:ascii="Verdana" w:hAnsi="Verdana"/>
          <w:color w:val="000000" w:themeColor="text1"/>
          <w:lang w:val="en-GB"/>
        </w:rPr>
        <w:t xml:space="preserve"> weaker than that of HET mice</w:t>
      </w:r>
      <w:r w:rsidR="004B2608">
        <w:rPr>
          <w:rFonts w:ascii="Verdana" w:hAnsi="Verdana"/>
          <w:color w:val="000000" w:themeColor="text1"/>
          <w:lang w:val="en-GB"/>
        </w:rPr>
        <w:t xml:space="preserve"> (Figure 1</w:t>
      </w:r>
      <w:r w:rsidR="00A51282">
        <w:rPr>
          <w:rFonts w:ascii="Verdana" w:hAnsi="Verdana"/>
          <w:color w:val="000000" w:themeColor="text1"/>
          <w:lang w:val="en-GB"/>
        </w:rPr>
        <w:t>4</w:t>
      </w:r>
      <w:r w:rsidR="0094362B">
        <w:rPr>
          <w:rFonts w:ascii="Verdana" w:hAnsi="Verdana"/>
          <w:color w:val="000000" w:themeColor="text1"/>
          <w:lang w:val="en-GB"/>
        </w:rPr>
        <w:t>B</w:t>
      </w:r>
      <w:r w:rsidR="00737B61">
        <w:rPr>
          <w:rFonts w:ascii="Verdana" w:hAnsi="Verdana"/>
          <w:color w:val="000000" w:themeColor="text1"/>
          <w:lang w:val="en-GB"/>
        </w:rPr>
        <w:t>, columns 1 and 2</w:t>
      </w:r>
      <w:r w:rsidR="004B2608">
        <w:rPr>
          <w:rFonts w:ascii="Verdana" w:hAnsi="Verdana"/>
          <w:color w:val="000000" w:themeColor="text1"/>
          <w:lang w:val="en-GB"/>
        </w:rPr>
        <w:t>)</w:t>
      </w:r>
      <w:r w:rsidR="00676C7B">
        <w:rPr>
          <w:rFonts w:ascii="Verdana" w:hAnsi="Verdana"/>
          <w:color w:val="000000" w:themeColor="text1"/>
          <w:lang w:val="en-GB"/>
        </w:rPr>
        <w:t>.</w:t>
      </w:r>
      <w:r w:rsidR="00A706F1">
        <w:rPr>
          <w:rFonts w:ascii="Verdana" w:hAnsi="Verdana"/>
          <w:color w:val="000000" w:themeColor="text1"/>
          <w:lang w:val="en-GB"/>
        </w:rPr>
        <w:t xml:space="preserve"> GO term analysis </w:t>
      </w:r>
      <w:r w:rsidR="005D7A72">
        <w:rPr>
          <w:rFonts w:ascii="Verdana" w:hAnsi="Verdana"/>
          <w:color w:val="000000" w:themeColor="text1"/>
          <w:lang w:val="en-GB"/>
        </w:rPr>
        <w:t>was enriched for synaptic membrane</w:t>
      </w:r>
      <w:r w:rsidR="00876E75">
        <w:rPr>
          <w:rFonts w:ascii="Verdana" w:hAnsi="Verdana"/>
          <w:color w:val="000000" w:themeColor="text1"/>
          <w:lang w:val="en-GB"/>
        </w:rPr>
        <w:t xml:space="preserve"> component, cell development and ion channel complex</w:t>
      </w:r>
      <w:r w:rsidR="004B2608">
        <w:rPr>
          <w:rFonts w:ascii="Verdana" w:hAnsi="Verdana"/>
          <w:color w:val="000000" w:themeColor="text1"/>
          <w:lang w:val="en-GB"/>
        </w:rPr>
        <w:t xml:space="preserve"> (Figure 1</w:t>
      </w:r>
      <w:r w:rsidR="00A51282">
        <w:rPr>
          <w:rFonts w:ascii="Verdana" w:hAnsi="Verdana"/>
          <w:color w:val="000000" w:themeColor="text1"/>
          <w:lang w:val="en-GB"/>
        </w:rPr>
        <w:t>4</w:t>
      </w:r>
      <w:r w:rsidR="0094362B">
        <w:rPr>
          <w:rFonts w:ascii="Verdana" w:hAnsi="Verdana"/>
          <w:color w:val="000000" w:themeColor="text1"/>
          <w:lang w:val="en-GB"/>
        </w:rPr>
        <w:t>C</w:t>
      </w:r>
      <w:r w:rsidR="004B2608">
        <w:rPr>
          <w:rFonts w:ascii="Verdana" w:hAnsi="Verdana"/>
          <w:color w:val="000000" w:themeColor="text1"/>
          <w:lang w:val="en-GB"/>
        </w:rPr>
        <w:t>)</w:t>
      </w:r>
      <w:r w:rsidR="00E479CB">
        <w:rPr>
          <w:rFonts w:ascii="Verdana" w:hAnsi="Verdana"/>
          <w:color w:val="000000" w:themeColor="text1"/>
          <w:lang w:val="en-GB"/>
        </w:rPr>
        <w:t>.</w:t>
      </w:r>
      <w:r w:rsidR="000544D2">
        <w:rPr>
          <w:rFonts w:ascii="Verdana" w:hAnsi="Verdana"/>
          <w:b/>
          <w:bCs/>
          <w:noProof/>
          <w:color w:val="000000" w:themeColor="text1"/>
          <w:lang w:val="en-GB"/>
        </w:rPr>
        <w:t xml:space="preserve"> </w:t>
      </w:r>
      <w:r w:rsidR="00CF7CF1" w:rsidRPr="00CF7CF1">
        <w:rPr>
          <w:rFonts w:ascii="Verdana" w:hAnsi="Verdana"/>
          <w:noProof/>
          <w:color w:val="000000" w:themeColor="text1"/>
          <w:lang w:val="en-GB"/>
        </w:rPr>
        <w:t xml:space="preserve">To have a better </w:t>
      </w:r>
      <w:r w:rsidR="00CF7CF1">
        <w:rPr>
          <w:rFonts w:ascii="Verdana" w:hAnsi="Verdana"/>
          <w:noProof/>
          <w:color w:val="000000" w:themeColor="text1"/>
          <w:lang w:val="en-GB"/>
        </w:rPr>
        <w:t xml:space="preserve">understanding of the impaired processes in </w:t>
      </w:r>
      <w:r w:rsidR="00B10761">
        <w:rPr>
          <w:rFonts w:ascii="Verdana" w:hAnsi="Verdana"/>
          <w:noProof/>
          <w:color w:val="000000" w:themeColor="text1"/>
          <w:lang w:val="en-GB"/>
        </w:rPr>
        <w:t>mid-age SNCA*E46K HET males, we run an Ingenuity Pathway Analysis ® (Qiagen) with the 113 DEGs as input.</w:t>
      </w:r>
      <w:r w:rsidR="00181E85">
        <w:rPr>
          <w:rFonts w:ascii="Verdana" w:hAnsi="Verdana"/>
          <w:noProof/>
          <w:color w:val="000000" w:themeColor="text1"/>
          <w:lang w:val="en-GB"/>
        </w:rPr>
        <w:t xml:space="preserve"> </w:t>
      </w:r>
      <w:r w:rsidR="003263B6">
        <w:rPr>
          <w:rFonts w:ascii="Verdana" w:hAnsi="Verdana"/>
          <w:noProof/>
          <w:color w:val="000000" w:themeColor="text1"/>
          <w:lang w:val="en-GB"/>
        </w:rPr>
        <w:t>The most significantly impaired pathway predicted by the IPA® tool “Canonical Pathways” was Synaptic Long Term Depression</w:t>
      </w:r>
      <w:r w:rsidR="00C666D5">
        <w:rPr>
          <w:rFonts w:ascii="Verdana" w:hAnsi="Verdana"/>
          <w:noProof/>
          <w:color w:val="000000" w:themeColor="text1"/>
          <w:lang w:val="en-GB"/>
        </w:rPr>
        <w:t xml:space="preserve"> (LTD)</w:t>
      </w:r>
      <w:r w:rsidR="003263B6">
        <w:rPr>
          <w:rFonts w:ascii="Verdana" w:hAnsi="Verdana"/>
          <w:noProof/>
          <w:color w:val="000000" w:themeColor="text1"/>
          <w:lang w:val="en-GB"/>
        </w:rPr>
        <w:t xml:space="preserve">, </w:t>
      </w:r>
      <w:r w:rsidR="000150F3">
        <w:rPr>
          <w:rFonts w:ascii="Verdana" w:hAnsi="Verdana"/>
          <w:noProof/>
          <w:color w:val="000000" w:themeColor="text1"/>
          <w:lang w:val="en-GB"/>
        </w:rPr>
        <w:t>a central process in the regulation of synapse strength and plasticity, mostly involving modulation of L-glutamate signalling</w:t>
      </w:r>
      <w:r w:rsidR="00E84495">
        <w:rPr>
          <w:rFonts w:ascii="Verdana" w:hAnsi="Verdana"/>
          <w:noProof/>
          <w:color w:val="000000" w:themeColor="text1"/>
          <w:lang w:val="en-GB"/>
        </w:rPr>
        <w:t xml:space="preserve"> (Figure 14D)</w:t>
      </w:r>
      <w:r w:rsidR="000150F3">
        <w:rPr>
          <w:rFonts w:ascii="Verdana" w:hAnsi="Verdana"/>
          <w:noProof/>
          <w:color w:val="000000" w:themeColor="text1"/>
          <w:lang w:val="en-GB"/>
        </w:rPr>
        <w:t>. Other relevant pathways were</w:t>
      </w:r>
      <w:r w:rsidR="003263B6">
        <w:rPr>
          <w:rFonts w:ascii="Verdana" w:hAnsi="Verdana"/>
          <w:noProof/>
          <w:color w:val="000000" w:themeColor="text1"/>
          <w:lang w:val="en-GB"/>
        </w:rPr>
        <w:t xml:space="preserve"> Calcium Signalling</w:t>
      </w:r>
      <w:r w:rsidR="007F2217">
        <w:rPr>
          <w:rFonts w:ascii="Verdana" w:hAnsi="Verdana"/>
          <w:noProof/>
          <w:color w:val="000000" w:themeColor="text1"/>
          <w:lang w:val="en-GB"/>
        </w:rPr>
        <w:t>,</w:t>
      </w:r>
      <w:r w:rsidR="005D003F">
        <w:rPr>
          <w:rFonts w:ascii="Verdana" w:hAnsi="Verdana"/>
          <w:noProof/>
          <w:color w:val="000000" w:themeColor="text1"/>
          <w:lang w:val="en-GB"/>
        </w:rPr>
        <w:t xml:space="preserve"> </w:t>
      </w:r>
      <w:r w:rsidR="00014193">
        <w:rPr>
          <w:rFonts w:ascii="Verdana" w:hAnsi="Verdana"/>
          <w:noProof/>
          <w:color w:val="000000" w:themeColor="text1"/>
          <w:lang w:val="en-GB"/>
        </w:rPr>
        <w:t xml:space="preserve">which is involved in the maintenance and survival of neurons; </w:t>
      </w:r>
      <w:r w:rsidR="007F2217">
        <w:rPr>
          <w:rFonts w:ascii="Verdana" w:hAnsi="Verdana"/>
          <w:noProof/>
          <w:color w:val="000000" w:themeColor="text1"/>
          <w:lang w:val="en-GB"/>
        </w:rPr>
        <w:t>Neuropathic Pain Signalling in Dorsal Horn Neurons,</w:t>
      </w:r>
      <w:r w:rsidR="003263B6">
        <w:rPr>
          <w:rFonts w:ascii="Verdana" w:hAnsi="Verdana"/>
          <w:noProof/>
          <w:color w:val="000000" w:themeColor="text1"/>
          <w:lang w:val="en-GB"/>
        </w:rPr>
        <w:t xml:space="preserve"> </w:t>
      </w:r>
      <w:r w:rsidR="00F805D6">
        <w:rPr>
          <w:rFonts w:ascii="Verdana" w:hAnsi="Verdana"/>
          <w:noProof/>
          <w:color w:val="000000" w:themeColor="text1"/>
          <w:lang w:val="en-GB"/>
        </w:rPr>
        <w:t>wh</w:t>
      </w:r>
      <w:r w:rsidR="00E200BC">
        <w:rPr>
          <w:rFonts w:ascii="Verdana" w:hAnsi="Verdana"/>
          <w:noProof/>
          <w:color w:val="000000" w:themeColor="text1"/>
          <w:lang w:val="en-GB"/>
        </w:rPr>
        <w:t>ich even if not directly connected to hippocampal function</w:t>
      </w:r>
      <w:r w:rsidR="00E77C70">
        <w:rPr>
          <w:rFonts w:ascii="Verdana" w:hAnsi="Verdana"/>
          <w:noProof/>
          <w:color w:val="000000" w:themeColor="text1"/>
          <w:lang w:val="en-GB"/>
        </w:rPr>
        <w:t>,</w:t>
      </w:r>
      <w:r w:rsidR="00A16BE3">
        <w:rPr>
          <w:rFonts w:ascii="Verdana" w:hAnsi="Verdana"/>
          <w:noProof/>
          <w:color w:val="000000" w:themeColor="text1"/>
          <w:lang w:val="en-GB"/>
        </w:rPr>
        <w:t xml:space="preserve"> might be reflective of neuronal damage</w:t>
      </w:r>
      <w:r w:rsidR="00E77C70">
        <w:rPr>
          <w:rFonts w:ascii="Verdana" w:hAnsi="Verdana"/>
          <w:noProof/>
          <w:color w:val="000000" w:themeColor="text1"/>
          <w:lang w:val="en-GB"/>
        </w:rPr>
        <w:t xml:space="preserve">; </w:t>
      </w:r>
      <w:r w:rsidR="003263B6">
        <w:rPr>
          <w:rFonts w:ascii="Verdana" w:hAnsi="Verdana"/>
          <w:noProof/>
          <w:color w:val="000000" w:themeColor="text1"/>
          <w:lang w:val="en-GB"/>
        </w:rPr>
        <w:t>and Synaptogenesis Signalling</w:t>
      </w:r>
      <w:r w:rsidR="00527B80">
        <w:rPr>
          <w:rFonts w:ascii="Verdana" w:hAnsi="Verdana"/>
          <w:noProof/>
          <w:color w:val="000000" w:themeColor="text1"/>
          <w:lang w:val="en-GB"/>
        </w:rPr>
        <w:t xml:space="preserve">, </w:t>
      </w:r>
      <w:r w:rsidR="00744603">
        <w:rPr>
          <w:rFonts w:ascii="Verdana" w:hAnsi="Verdana"/>
          <w:noProof/>
          <w:color w:val="000000" w:themeColor="text1"/>
          <w:lang w:val="en-GB"/>
        </w:rPr>
        <w:t xml:space="preserve">a pathway involved in </w:t>
      </w:r>
      <w:r w:rsidR="00527B80">
        <w:rPr>
          <w:rFonts w:ascii="Verdana" w:hAnsi="Verdana"/>
          <w:noProof/>
          <w:color w:val="000000" w:themeColor="text1"/>
          <w:lang w:val="en-GB"/>
        </w:rPr>
        <w:t>synapse formation, maintenance and elimination</w:t>
      </w:r>
      <w:r w:rsidR="00744603">
        <w:rPr>
          <w:rFonts w:ascii="Verdana" w:hAnsi="Verdana"/>
          <w:noProof/>
          <w:color w:val="000000" w:themeColor="text1"/>
          <w:lang w:val="en-GB"/>
        </w:rPr>
        <w:t xml:space="preserve"> contributing</w:t>
      </w:r>
      <w:r w:rsidR="00035AE8">
        <w:rPr>
          <w:rFonts w:ascii="Verdana" w:hAnsi="Verdana"/>
          <w:noProof/>
          <w:color w:val="000000" w:themeColor="text1"/>
          <w:lang w:val="en-GB"/>
        </w:rPr>
        <w:t xml:space="preserve"> to</w:t>
      </w:r>
      <w:r w:rsidR="00744603">
        <w:rPr>
          <w:rFonts w:ascii="Verdana" w:hAnsi="Verdana"/>
          <w:noProof/>
          <w:color w:val="000000" w:themeColor="text1"/>
          <w:lang w:val="en-GB"/>
        </w:rPr>
        <w:t xml:space="preserve"> synapse remodelling and plasticity.</w:t>
      </w:r>
      <w:r w:rsidR="000A307D">
        <w:rPr>
          <w:rFonts w:ascii="Verdana" w:hAnsi="Verdana"/>
          <w:noProof/>
          <w:color w:val="000000" w:themeColor="text1"/>
          <w:lang w:val="en-GB"/>
        </w:rPr>
        <w:t xml:space="preserve"> These pathways presented a negative z-score and thus </w:t>
      </w:r>
      <w:r w:rsidR="00090A35">
        <w:rPr>
          <w:rFonts w:ascii="Verdana" w:hAnsi="Verdana"/>
          <w:noProof/>
          <w:color w:val="000000" w:themeColor="text1"/>
          <w:lang w:val="en-GB"/>
        </w:rPr>
        <w:t>we</w:t>
      </w:r>
      <w:r w:rsidR="000A307D">
        <w:rPr>
          <w:rFonts w:ascii="Verdana" w:hAnsi="Verdana"/>
          <w:noProof/>
          <w:color w:val="000000" w:themeColor="text1"/>
          <w:lang w:val="en-GB"/>
        </w:rPr>
        <w:t xml:space="preserve">re predicted to be </w:t>
      </w:r>
      <w:r w:rsidR="00035AE8">
        <w:rPr>
          <w:rFonts w:ascii="Verdana" w:hAnsi="Verdana"/>
          <w:noProof/>
          <w:color w:val="000000" w:themeColor="text1"/>
          <w:lang w:val="en-GB"/>
        </w:rPr>
        <w:t>inhibited</w:t>
      </w:r>
      <w:r w:rsidR="000A307D">
        <w:rPr>
          <w:rFonts w:ascii="Verdana" w:hAnsi="Verdana"/>
          <w:noProof/>
          <w:color w:val="000000" w:themeColor="text1"/>
          <w:lang w:val="en-GB"/>
        </w:rPr>
        <w:t>.</w:t>
      </w:r>
      <w:r w:rsidR="00090A35">
        <w:rPr>
          <w:rFonts w:ascii="Verdana" w:hAnsi="Verdana"/>
          <w:noProof/>
          <w:color w:val="000000" w:themeColor="text1"/>
          <w:lang w:val="en-GB"/>
        </w:rPr>
        <w:t xml:space="preserve"> The predicted impairment was specifically linked to the down-regulation of </w:t>
      </w:r>
      <w:r w:rsidR="000E17B0">
        <w:rPr>
          <w:rFonts w:ascii="Verdana" w:hAnsi="Verdana"/>
          <w:noProof/>
          <w:color w:val="000000" w:themeColor="text1"/>
          <w:lang w:val="en-GB"/>
        </w:rPr>
        <w:t xml:space="preserve">genes </w:t>
      </w:r>
      <w:r w:rsidR="00B41E9F">
        <w:rPr>
          <w:rFonts w:ascii="Verdana" w:hAnsi="Verdana"/>
          <w:noProof/>
          <w:color w:val="000000" w:themeColor="text1"/>
          <w:lang w:val="en-GB"/>
        </w:rPr>
        <w:t>encoding</w:t>
      </w:r>
      <w:r w:rsidR="000E17B0">
        <w:rPr>
          <w:rFonts w:ascii="Verdana" w:hAnsi="Verdana"/>
          <w:noProof/>
          <w:color w:val="000000" w:themeColor="text1"/>
          <w:lang w:val="en-GB"/>
        </w:rPr>
        <w:t xml:space="preserve"> glutammate receptors and </w:t>
      </w:r>
      <w:r w:rsidR="00897673">
        <w:rPr>
          <w:rFonts w:ascii="Verdana" w:hAnsi="Verdana"/>
          <w:noProof/>
          <w:color w:val="000000" w:themeColor="text1"/>
          <w:lang w:val="en-GB"/>
        </w:rPr>
        <w:t>calcium</w:t>
      </w:r>
      <w:r w:rsidR="004A11B8">
        <w:rPr>
          <w:rFonts w:ascii="Verdana" w:hAnsi="Verdana"/>
          <w:noProof/>
          <w:color w:val="000000" w:themeColor="text1"/>
          <w:lang w:val="en-GB"/>
        </w:rPr>
        <w:t xml:space="preserve"> voltage-gated channels</w:t>
      </w:r>
      <w:r w:rsidR="000E17B0">
        <w:rPr>
          <w:rFonts w:ascii="Verdana" w:hAnsi="Verdana"/>
          <w:noProof/>
          <w:color w:val="000000" w:themeColor="text1"/>
          <w:lang w:val="en-GB"/>
        </w:rPr>
        <w:t xml:space="preserve"> (data not shown)</w:t>
      </w:r>
      <w:r w:rsidR="00C977EE">
        <w:rPr>
          <w:rFonts w:ascii="Verdana" w:hAnsi="Verdana"/>
          <w:noProof/>
          <w:color w:val="000000" w:themeColor="text1"/>
          <w:lang w:val="en-GB"/>
        </w:rPr>
        <w:t xml:space="preserve">, </w:t>
      </w:r>
      <w:r w:rsidR="00CA2B50">
        <w:rPr>
          <w:rFonts w:ascii="Verdana" w:hAnsi="Verdana"/>
          <w:noProof/>
          <w:color w:val="000000" w:themeColor="text1"/>
          <w:lang w:val="en-GB"/>
        </w:rPr>
        <w:t>potentially</w:t>
      </w:r>
      <w:r w:rsidR="00C977EE">
        <w:rPr>
          <w:rFonts w:ascii="Verdana" w:hAnsi="Verdana"/>
          <w:noProof/>
          <w:color w:val="000000" w:themeColor="text1"/>
          <w:lang w:val="en-GB"/>
        </w:rPr>
        <w:t xml:space="preserve"> re</w:t>
      </w:r>
      <w:r w:rsidR="00CA2B50">
        <w:rPr>
          <w:rFonts w:ascii="Verdana" w:hAnsi="Verdana"/>
          <w:noProof/>
          <w:color w:val="000000" w:themeColor="text1"/>
          <w:lang w:val="en-GB"/>
        </w:rPr>
        <w:t>flecting an occurring d</w:t>
      </w:r>
      <w:r w:rsidR="00442375">
        <w:rPr>
          <w:rFonts w:ascii="Verdana" w:hAnsi="Verdana"/>
          <w:noProof/>
          <w:color w:val="000000" w:themeColor="text1"/>
          <w:lang w:val="en-GB"/>
        </w:rPr>
        <w:t>y</w:t>
      </w:r>
      <w:r w:rsidR="00CA2B50">
        <w:rPr>
          <w:rFonts w:ascii="Verdana" w:hAnsi="Verdana"/>
          <w:noProof/>
          <w:color w:val="000000" w:themeColor="text1"/>
          <w:lang w:val="en-GB"/>
        </w:rPr>
        <w:t>sfunction in the hippocampus of 6</w:t>
      </w:r>
      <w:r w:rsidR="00442375">
        <w:rPr>
          <w:rFonts w:ascii="Verdana" w:hAnsi="Verdana"/>
          <w:noProof/>
          <w:color w:val="000000" w:themeColor="text1"/>
          <w:lang w:val="en-GB"/>
        </w:rPr>
        <w:t>-months old HET mice</w:t>
      </w:r>
      <w:r w:rsidR="000E17B0">
        <w:rPr>
          <w:rFonts w:ascii="Verdana" w:hAnsi="Verdana"/>
          <w:noProof/>
          <w:color w:val="000000" w:themeColor="text1"/>
          <w:lang w:val="en-GB"/>
        </w:rPr>
        <w:t>.</w:t>
      </w:r>
      <w:r w:rsidR="005C1F5E">
        <w:rPr>
          <w:rFonts w:ascii="Verdana" w:hAnsi="Verdana"/>
          <w:noProof/>
          <w:color w:val="000000" w:themeColor="text1"/>
          <w:lang w:val="en-GB"/>
        </w:rPr>
        <w:t xml:space="preserve"> </w:t>
      </w:r>
    </w:p>
    <w:p w14:paraId="0B51868B" w14:textId="3DEBE9A9" w:rsidR="00A54345" w:rsidRPr="00CF7CF1" w:rsidRDefault="00A54345" w:rsidP="000544D2">
      <w:pPr>
        <w:spacing w:line="360" w:lineRule="auto"/>
        <w:jc w:val="both"/>
        <w:rPr>
          <w:rFonts w:ascii="Verdana" w:hAnsi="Verdana"/>
          <w:noProof/>
          <w:color w:val="000000" w:themeColor="text1"/>
          <w:lang w:val="en-GB"/>
        </w:rPr>
      </w:pPr>
      <w:r w:rsidRPr="00CF7CF1">
        <w:rPr>
          <w:rFonts w:ascii="Verdana" w:hAnsi="Verdana"/>
          <w:noProof/>
          <w:color w:val="000000" w:themeColor="text1"/>
          <w:lang w:val="en-GB"/>
        </w:rPr>
        <w:br w:type="page"/>
      </w:r>
    </w:p>
    <w:p w14:paraId="720BD4BD" w14:textId="3C7B62BA" w:rsidR="00183A8E" w:rsidRPr="005D67FD" w:rsidRDefault="00CC1D50" w:rsidP="005D67FD">
      <w:pPr>
        <w:ind w:firstLine="0"/>
        <w:rPr>
          <w:rFonts w:ascii="Verdana" w:hAnsi="Verdana"/>
          <w:b/>
          <w:bCs/>
          <w:color w:val="000000" w:themeColor="text1"/>
          <w:lang w:val="en-GB"/>
        </w:rPr>
      </w:pPr>
      <w:r>
        <w:rPr>
          <w:noProof/>
        </w:rPr>
        <w:lastRenderedPageBreak/>
        <mc:AlternateContent>
          <mc:Choice Requires="wps">
            <w:drawing>
              <wp:anchor distT="0" distB="0" distL="114300" distR="114300" simplePos="0" relativeHeight="251897856" behindDoc="0" locked="0" layoutInCell="1" allowOverlap="1" wp14:anchorId="1199237D" wp14:editId="7AD9908B">
                <wp:simplePos x="0" y="0"/>
                <wp:positionH relativeFrom="margin">
                  <wp:posOffset>-1270</wp:posOffset>
                </wp:positionH>
                <wp:positionV relativeFrom="paragraph">
                  <wp:posOffset>6451600</wp:posOffset>
                </wp:positionV>
                <wp:extent cx="5580380" cy="405130"/>
                <wp:effectExtent l="0" t="0" r="1270" b="0"/>
                <wp:wrapTopAndBottom/>
                <wp:docPr id="133" name="Text Box 133"/>
                <wp:cNvGraphicFramePr/>
                <a:graphic xmlns:a="http://schemas.openxmlformats.org/drawingml/2006/main">
                  <a:graphicData uri="http://schemas.microsoft.com/office/word/2010/wordprocessingShape">
                    <wps:wsp>
                      <wps:cNvSpPr txBox="1"/>
                      <wps:spPr>
                        <a:xfrm>
                          <a:off x="0" y="0"/>
                          <a:ext cx="5580380" cy="405130"/>
                        </a:xfrm>
                        <a:prstGeom prst="rect">
                          <a:avLst/>
                        </a:prstGeom>
                        <a:solidFill>
                          <a:prstClr val="white"/>
                        </a:solidFill>
                        <a:ln>
                          <a:noFill/>
                        </a:ln>
                      </wps:spPr>
                      <wps:txbx>
                        <w:txbxContent>
                          <w:p w14:paraId="2428C817" w14:textId="7CEB6442" w:rsidR="00882CF7" w:rsidRPr="00D51322" w:rsidRDefault="00882CF7" w:rsidP="00D05B0F">
                            <w:pPr>
                              <w:pStyle w:val="Caption"/>
                              <w:ind w:firstLine="0"/>
                              <w:jc w:val="both"/>
                              <w:rPr>
                                <w:rFonts w:ascii="Verdana" w:hAnsi="Verdana"/>
                                <w:i w:val="0"/>
                                <w:iCs w:val="0"/>
                                <w:color w:val="auto"/>
                              </w:rPr>
                            </w:pPr>
                            <w:bookmarkStart w:id="91" w:name="_Toc131412756"/>
                            <w:r w:rsidRPr="00882CF7">
                              <w:rPr>
                                <w:rFonts w:ascii="Verdana" w:hAnsi="Verdana"/>
                                <w:b/>
                                <w:bCs/>
                                <w:i w:val="0"/>
                                <w:iCs w:val="0"/>
                                <w:color w:val="auto"/>
                              </w:rPr>
                              <w:t xml:space="preserve">Figure </w:t>
                            </w:r>
                            <w:r w:rsidRPr="00882CF7">
                              <w:rPr>
                                <w:rFonts w:ascii="Verdana" w:hAnsi="Verdana"/>
                                <w:b/>
                                <w:bCs/>
                                <w:i w:val="0"/>
                                <w:iCs w:val="0"/>
                                <w:color w:val="auto"/>
                              </w:rPr>
                              <w:fldChar w:fldCharType="begin"/>
                            </w:r>
                            <w:r w:rsidRPr="00882CF7">
                              <w:rPr>
                                <w:rFonts w:ascii="Verdana" w:hAnsi="Verdana"/>
                                <w:b/>
                                <w:bCs/>
                                <w:i w:val="0"/>
                                <w:iCs w:val="0"/>
                                <w:color w:val="auto"/>
                              </w:rPr>
                              <w:instrText xml:space="preserve"> SEQ Figure \* ARABIC </w:instrText>
                            </w:r>
                            <w:r w:rsidRPr="00882CF7">
                              <w:rPr>
                                <w:rFonts w:ascii="Verdana" w:hAnsi="Verdana"/>
                                <w:b/>
                                <w:bCs/>
                                <w:i w:val="0"/>
                                <w:iCs w:val="0"/>
                                <w:color w:val="auto"/>
                              </w:rPr>
                              <w:fldChar w:fldCharType="separate"/>
                            </w:r>
                            <w:r w:rsidR="001D505F">
                              <w:rPr>
                                <w:rFonts w:ascii="Verdana" w:hAnsi="Verdana"/>
                                <w:b/>
                                <w:bCs/>
                                <w:i w:val="0"/>
                                <w:iCs w:val="0"/>
                                <w:noProof/>
                                <w:color w:val="auto"/>
                              </w:rPr>
                              <w:t>14</w:t>
                            </w:r>
                            <w:r w:rsidRPr="00882CF7">
                              <w:rPr>
                                <w:rFonts w:ascii="Verdana" w:hAnsi="Verdana"/>
                                <w:b/>
                                <w:bCs/>
                                <w:i w:val="0"/>
                                <w:iCs w:val="0"/>
                                <w:color w:val="auto"/>
                              </w:rPr>
                              <w:fldChar w:fldCharType="end"/>
                            </w:r>
                            <w:r w:rsidR="00A54345">
                              <w:rPr>
                                <w:rFonts w:ascii="Verdana" w:hAnsi="Verdana"/>
                                <w:b/>
                                <w:bCs/>
                                <w:i w:val="0"/>
                                <w:iCs w:val="0"/>
                                <w:color w:val="auto"/>
                              </w:rPr>
                              <w:t xml:space="preserve"> </w:t>
                            </w:r>
                            <w:r w:rsidR="00745E90">
                              <w:rPr>
                                <w:rFonts w:ascii="Verdana" w:hAnsi="Verdana"/>
                                <w:i w:val="0"/>
                                <w:iCs w:val="0"/>
                                <w:color w:val="auto"/>
                              </w:rPr>
                              <w:t>Transcriptional changes in the hippocampus of young HET male mice.</w:t>
                            </w:r>
                            <w:bookmarkEnd w:id="91"/>
                          </w:p>
                          <w:p w14:paraId="678E65B3" w14:textId="4B7B3ACC" w:rsidR="00D51322" w:rsidRDefault="00D51322" w:rsidP="00D05B0F">
                            <w:pPr>
                              <w:ind w:firstLine="0"/>
                              <w:jc w:val="both"/>
                              <w:rPr>
                                <w:rFonts w:ascii="Verdana" w:hAnsi="Verdana"/>
                                <w:sz w:val="18"/>
                                <w:szCs w:val="18"/>
                              </w:rPr>
                            </w:pPr>
                            <w:r w:rsidRPr="00D51322">
                              <w:rPr>
                                <w:rFonts w:ascii="Verdana" w:hAnsi="Verdana"/>
                                <w:b/>
                                <w:bCs/>
                                <w:sz w:val="18"/>
                                <w:szCs w:val="18"/>
                              </w:rPr>
                              <w:t>A)</w:t>
                            </w:r>
                            <w:r w:rsidRPr="00D51322">
                              <w:rPr>
                                <w:rFonts w:ascii="Verdana" w:hAnsi="Verdana"/>
                                <w:sz w:val="18"/>
                                <w:szCs w:val="18"/>
                              </w:rPr>
                              <w:t xml:space="preserve"> </w:t>
                            </w:r>
                            <w:r w:rsidR="00F42B78">
                              <w:rPr>
                                <w:rFonts w:ascii="Verdana" w:hAnsi="Verdana"/>
                                <w:sz w:val="18"/>
                                <w:szCs w:val="18"/>
                              </w:rPr>
                              <w:t xml:space="preserve">Volcano plot illustrating the up- and down-regulated genes </w:t>
                            </w:r>
                            <w:r w:rsidR="00D135ED">
                              <w:rPr>
                                <w:rFonts w:ascii="Verdana" w:hAnsi="Verdana"/>
                                <w:sz w:val="18"/>
                                <w:szCs w:val="18"/>
                              </w:rPr>
                              <w:t xml:space="preserve">in 6 vs 3 months old HET male mice. The horizontal dashed line indicates the cut-off of adjusted p-value </w:t>
                            </w:r>
                            <w:r w:rsidR="00030887">
                              <w:rPr>
                                <w:rFonts w:ascii="Verdana" w:hAnsi="Verdana"/>
                                <w:sz w:val="18"/>
                                <w:szCs w:val="18"/>
                              </w:rPr>
                              <w:t xml:space="preserve">&lt;= 0.05. </w:t>
                            </w:r>
                            <w:r w:rsidR="00030887" w:rsidRPr="00030887">
                              <w:rPr>
                                <w:rFonts w:ascii="Verdana" w:hAnsi="Verdana"/>
                                <w:b/>
                                <w:bCs/>
                                <w:sz w:val="18"/>
                                <w:szCs w:val="18"/>
                              </w:rPr>
                              <w:t>B)</w:t>
                            </w:r>
                            <w:r w:rsidR="00030887">
                              <w:rPr>
                                <w:rFonts w:ascii="Verdana" w:hAnsi="Verdana"/>
                                <w:sz w:val="18"/>
                                <w:szCs w:val="18"/>
                              </w:rPr>
                              <w:t xml:space="preserve"> </w:t>
                            </w:r>
                            <w:r>
                              <w:rPr>
                                <w:rFonts w:ascii="Verdana" w:hAnsi="Verdana"/>
                                <w:sz w:val="18"/>
                                <w:szCs w:val="18"/>
                              </w:rPr>
                              <w:t>Heatmap showing</w:t>
                            </w:r>
                            <w:r w:rsidR="00C8264B">
                              <w:rPr>
                                <w:rFonts w:ascii="Verdana" w:hAnsi="Verdana"/>
                                <w:sz w:val="18"/>
                                <w:szCs w:val="18"/>
                              </w:rPr>
                              <w:t xml:space="preserve"> the gene expression pattern of the 113 DEGs for both genotypes and all age groups in males.</w:t>
                            </w:r>
                            <w:r w:rsidR="00225BC6">
                              <w:rPr>
                                <w:rFonts w:ascii="Verdana" w:hAnsi="Verdana"/>
                                <w:sz w:val="18"/>
                                <w:szCs w:val="18"/>
                              </w:rPr>
                              <w:t xml:space="preserve"> A clear pattern of gene expression can be identified </w:t>
                            </w:r>
                            <w:r w:rsidR="005003C2">
                              <w:rPr>
                                <w:rFonts w:ascii="Verdana" w:hAnsi="Verdana"/>
                                <w:sz w:val="18"/>
                                <w:szCs w:val="18"/>
                              </w:rPr>
                              <w:t>between 3- and 6-months old HET mice, while the expression is more variable for old HET and WT mice.</w:t>
                            </w:r>
                            <w:r w:rsidR="009F1C8E">
                              <w:rPr>
                                <w:rFonts w:ascii="Verdana" w:hAnsi="Verdana"/>
                                <w:sz w:val="18"/>
                                <w:szCs w:val="18"/>
                              </w:rPr>
                              <w:t xml:space="preserve"> </w:t>
                            </w:r>
                            <w:r w:rsidR="00030887">
                              <w:rPr>
                                <w:rFonts w:ascii="Verdana" w:hAnsi="Verdana"/>
                                <w:b/>
                                <w:bCs/>
                                <w:sz w:val="18"/>
                                <w:szCs w:val="18"/>
                              </w:rPr>
                              <w:t>C</w:t>
                            </w:r>
                            <w:r w:rsidR="009F1C8E" w:rsidRPr="009F1C8E">
                              <w:rPr>
                                <w:rFonts w:ascii="Verdana" w:hAnsi="Verdana"/>
                                <w:b/>
                                <w:bCs/>
                                <w:sz w:val="18"/>
                                <w:szCs w:val="18"/>
                              </w:rPr>
                              <w:t>)</w:t>
                            </w:r>
                            <w:r w:rsidR="008D0759">
                              <w:rPr>
                                <w:rFonts w:ascii="Verdana" w:hAnsi="Verdana"/>
                                <w:b/>
                                <w:bCs/>
                                <w:sz w:val="18"/>
                                <w:szCs w:val="18"/>
                              </w:rPr>
                              <w:t xml:space="preserve"> </w:t>
                            </w:r>
                            <w:r w:rsidR="008D0759" w:rsidRPr="008D0759">
                              <w:rPr>
                                <w:rFonts w:ascii="Verdana" w:hAnsi="Verdana"/>
                                <w:sz w:val="18"/>
                                <w:szCs w:val="18"/>
                              </w:rPr>
                              <w:t>Top 10</w:t>
                            </w:r>
                            <w:r w:rsidR="009F1C8E" w:rsidRPr="008D0759">
                              <w:rPr>
                                <w:rFonts w:ascii="Verdana" w:hAnsi="Verdana"/>
                                <w:sz w:val="18"/>
                                <w:szCs w:val="18"/>
                              </w:rPr>
                              <w:t xml:space="preserve"> </w:t>
                            </w:r>
                            <w:r w:rsidR="00C737DC">
                              <w:rPr>
                                <w:rFonts w:ascii="Verdana" w:hAnsi="Verdana"/>
                                <w:sz w:val="18"/>
                                <w:szCs w:val="18"/>
                              </w:rPr>
                              <w:t>GO ter</w:t>
                            </w:r>
                            <w:r w:rsidR="008D0759">
                              <w:rPr>
                                <w:rFonts w:ascii="Verdana" w:hAnsi="Verdana"/>
                                <w:sz w:val="18"/>
                                <w:szCs w:val="18"/>
                              </w:rPr>
                              <w:t>ms between 6- and 3-months old HET male mice.</w:t>
                            </w:r>
                            <w:r w:rsidR="00030887">
                              <w:rPr>
                                <w:rFonts w:ascii="Verdana" w:hAnsi="Verdana"/>
                                <w:sz w:val="18"/>
                                <w:szCs w:val="18"/>
                              </w:rPr>
                              <w:t xml:space="preserve"> </w:t>
                            </w:r>
                            <w:r w:rsidR="00030887" w:rsidRPr="00030887">
                              <w:rPr>
                                <w:rFonts w:ascii="Verdana" w:hAnsi="Verdana"/>
                                <w:b/>
                                <w:bCs/>
                                <w:sz w:val="18"/>
                                <w:szCs w:val="18"/>
                              </w:rPr>
                              <w:t>D)</w:t>
                            </w:r>
                            <w:r w:rsidR="00030887">
                              <w:rPr>
                                <w:rFonts w:ascii="Verdana" w:hAnsi="Verdana"/>
                                <w:sz w:val="18"/>
                                <w:szCs w:val="18"/>
                              </w:rPr>
                              <w:t xml:space="preserve"> </w:t>
                            </w:r>
                            <w:r w:rsidR="00B97E26">
                              <w:rPr>
                                <w:rFonts w:ascii="Verdana" w:hAnsi="Verdana"/>
                                <w:sz w:val="18"/>
                                <w:szCs w:val="18"/>
                              </w:rPr>
                              <w:t>Top 15 d</w:t>
                            </w:r>
                            <w:r w:rsidR="00EA002B">
                              <w:rPr>
                                <w:rFonts w:ascii="Verdana" w:hAnsi="Verdana"/>
                                <w:sz w:val="18"/>
                                <w:szCs w:val="18"/>
                              </w:rPr>
                              <w:t xml:space="preserve">eregulated pathways predicted by Ingenuity Pathway Analysis ® </w:t>
                            </w:r>
                            <w:r w:rsidR="00A33D2C">
                              <w:rPr>
                                <w:rFonts w:ascii="Verdana" w:hAnsi="Verdana"/>
                                <w:sz w:val="18"/>
                                <w:szCs w:val="18"/>
                              </w:rPr>
                              <w:t>“</w:t>
                            </w:r>
                            <w:r w:rsidR="00EA002B">
                              <w:rPr>
                                <w:rFonts w:ascii="Verdana" w:hAnsi="Verdana"/>
                                <w:sz w:val="18"/>
                                <w:szCs w:val="18"/>
                              </w:rPr>
                              <w:t>Canonical Pathways</w:t>
                            </w:r>
                            <w:r w:rsidR="00A33D2C">
                              <w:rPr>
                                <w:rFonts w:ascii="Verdana" w:hAnsi="Verdana"/>
                                <w:sz w:val="18"/>
                                <w:szCs w:val="18"/>
                              </w:rPr>
                              <w:t>”.</w:t>
                            </w:r>
                            <w:r w:rsidR="00EA002B">
                              <w:rPr>
                                <w:rFonts w:ascii="Verdana" w:hAnsi="Verdana"/>
                                <w:sz w:val="18"/>
                                <w:szCs w:val="18"/>
                              </w:rPr>
                              <w:t xml:space="preserve">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7D2C0574" w14:textId="7F94FC86" w:rsidR="005958B3" w:rsidRPr="005958B3" w:rsidRDefault="005958B3" w:rsidP="00D05B0F">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9237D" id="Text Box 133" o:spid="_x0000_s1042" type="#_x0000_t202" style="position:absolute;margin-left:-.1pt;margin-top:508pt;width:439.4pt;height:31.9pt;z-index:251897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" stroked="f">
                <v:textbox style="mso-fit-shape-to-text:t" inset="0,0,0,0">
                  <w:txbxContent>
                    <w:p w14:paraId="2428C817" w14:textId="7CEB6442" w:rsidR="00882CF7" w:rsidRPr="00D51322" w:rsidRDefault="00882CF7" w:rsidP="00D05B0F">
                      <w:pPr>
                        <w:pStyle w:val="Caption"/>
                        <w:ind w:firstLine="0"/>
                        <w:jc w:val="both"/>
                        <w:rPr>
                          <w:rFonts w:ascii="Verdana" w:hAnsi="Verdana"/>
                          <w:i w:val="0"/>
                          <w:iCs w:val="0"/>
                          <w:color w:val="auto"/>
                        </w:rPr>
                      </w:pPr>
                      <w:bookmarkStart w:id="92" w:name="_Toc131412756"/>
                      <w:r w:rsidRPr="00882CF7">
                        <w:rPr>
                          <w:rFonts w:ascii="Verdana" w:hAnsi="Verdana"/>
                          <w:b/>
                          <w:bCs/>
                          <w:i w:val="0"/>
                          <w:iCs w:val="0"/>
                          <w:color w:val="auto"/>
                        </w:rPr>
                        <w:t xml:space="preserve">Figure </w:t>
                      </w:r>
                      <w:r w:rsidRPr="00882CF7">
                        <w:rPr>
                          <w:rFonts w:ascii="Verdana" w:hAnsi="Verdana"/>
                          <w:b/>
                          <w:bCs/>
                          <w:i w:val="0"/>
                          <w:iCs w:val="0"/>
                          <w:color w:val="auto"/>
                        </w:rPr>
                        <w:fldChar w:fldCharType="begin"/>
                      </w:r>
                      <w:r w:rsidRPr="00882CF7">
                        <w:rPr>
                          <w:rFonts w:ascii="Verdana" w:hAnsi="Verdana"/>
                          <w:b/>
                          <w:bCs/>
                          <w:i w:val="0"/>
                          <w:iCs w:val="0"/>
                          <w:color w:val="auto"/>
                        </w:rPr>
                        <w:instrText xml:space="preserve"> SEQ Figure \* ARABIC </w:instrText>
                      </w:r>
                      <w:r w:rsidRPr="00882CF7">
                        <w:rPr>
                          <w:rFonts w:ascii="Verdana" w:hAnsi="Verdana"/>
                          <w:b/>
                          <w:bCs/>
                          <w:i w:val="0"/>
                          <w:iCs w:val="0"/>
                          <w:color w:val="auto"/>
                        </w:rPr>
                        <w:fldChar w:fldCharType="separate"/>
                      </w:r>
                      <w:r w:rsidR="001D505F">
                        <w:rPr>
                          <w:rFonts w:ascii="Verdana" w:hAnsi="Verdana"/>
                          <w:b/>
                          <w:bCs/>
                          <w:i w:val="0"/>
                          <w:iCs w:val="0"/>
                          <w:noProof/>
                          <w:color w:val="auto"/>
                        </w:rPr>
                        <w:t>14</w:t>
                      </w:r>
                      <w:r w:rsidRPr="00882CF7">
                        <w:rPr>
                          <w:rFonts w:ascii="Verdana" w:hAnsi="Verdana"/>
                          <w:b/>
                          <w:bCs/>
                          <w:i w:val="0"/>
                          <w:iCs w:val="0"/>
                          <w:color w:val="auto"/>
                        </w:rPr>
                        <w:fldChar w:fldCharType="end"/>
                      </w:r>
                      <w:r w:rsidR="00A54345">
                        <w:rPr>
                          <w:rFonts w:ascii="Verdana" w:hAnsi="Verdana"/>
                          <w:b/>
                          <w:bCs/>
                          <w:i w:val="0"/>
                          <w:iCs w:val="0"/>
                          <w:color w:val="auto"/>
                        </w:rPr>
                        <w:t xml:space="preserve"> </w:t>
                      </w:r>
                      <w:r w:rsidR="00745E90">
                        <w:rPr>
                          <w:rFonts w:ascii="Verdana" w:hAnsi="Verdana"/>
                          <w:i w:val="0"/>
                          <w:iCs w:val="0"/>
                          <w:color w:val="auto"/>
                        </w:rPr>
                        <w:t>Transcriptional changes in the hippocampus of young HET male mice.</w:t>
                      </w:r>
                      <w:bookmarkEnd w:id="92"/>
                    </w:p>
                    <w:p w14:paraId="678E65B3" w14:textId="4B7B3ACC" w:rsidR="00D51322" w:rsidRDefault="00D51322" w:rsidP="00D05B0F">
                      <w:pPr>
                        <w:ind w:firstLine="0"/>
                        <w:jc w:val="both"/>
                        <w:rPr>
                          <w:rFonts w:ascii="Verdana" w:hAnsi="Verdana"/>
                          <w:sz w:val="18"/>
                          <w:szCs w:val="18"/>
                        </w:rPr>
                      </w:pPr>
                      <w:r w:rsidRPr="00D51322">
                        <w:rPr>
                          <w:rFonts w:ascii="Verdana" w:hAnsi="Verdana"/>
                          <w:b/>
                          <w:bCs/>
                          <w:sz w:val="18"/>
                          <w:szCs w:val="18"/>
                        </w:rPr>
                        <w:t>A)</w:t>
                      </w:r>
                      <w:r w:rsidRPr="00D51322">
                        <w:rPr>
                          <w:rFonts w:ascii="Verdana" w:hAnsi="Verdana"/>
                          <w:sz w:val="18"/>
                          <w:szCs w:val="18"/>
                        </w:rPr>
                        <w:t xml:space="preserve"> </w:t>
                      </w:r>
                      <w:r w:rsidR="00F42B78">
                        <w:rPr>
                          <w:rFonts w:ascii="Verdana" w:hAnsi="Verdana"/>
                          <w:sz w:val="18"/>
                          <w:szCs w:val="18"/>
                        </w:rPr>
                        <w:t xml:space="preserve">Volcano plot illustrating the up- and down-regulated genes </w:t>
                      </w:r>
                      <w:r w:rsidR="00D135ED">
                        <w:rPr>
                          <w:rFonts w:ascii="Verdana" w:hAnsi="Verdana"/>
                          <w:sz w:val="18"/>
                          <w:szCs w:val="18"/>
                        </w:rPr>
                        <w:t xml:space="preserve">in 6 vs 3 months old HET male mice. The horizontal dashed line indicates the cut-off of adjusted p-value </w:t>
                      </w:r>
                      <w:r w:rsidR="00030887">
                        <w:rPr>
                          <w:rFonts w:ascii="Verdana" w:hAnsi="Verdana"/>
                          <w:sz w:val="18"/>
                          <w:szCs w:val="18"/>
                        </w:rPr>
                        <w:t xml:space="preserve">&lt;= 0.05. </w:t>
                      </w:r>
                      <w:r w:rsidR="00030887" w:rsidRPr="00030887">
                        <w:rPr>
                          <w:rFonts w:ascii="Verdana" w:hAnsi="Verdana"/>
                          <w:b/>
                          <w:bCs/>
                          <w:sz w:val="18"/>
                          <w:szCs w:val="18"/>
                        </w:rPr>
                        <w:t>B)</w:t>
                      </w:r>
                      <w:r w:rsidR="00030887">
                        <w:rPr>
                          <w:rFonts w:ascii="Verdana" w:hAnsi="Verdana"/>
                          <w:sz w:val="18"/>
                          <w:szCs w:val="18"/>
                        </w:rPr>
                        <w:t xml:space="preserve"> </w:t>
                      </w:r>
                      <w:r>
                        <w:rPr>
                          <w:rFonts w:ascii="Verdana" w:hAnsi="Verdana"/>
                          <w:sz w:val="18"/>
                          <w:szCs w:val="18"/>
                        </w:rPr>
                        <w:t>Heatmap showing</w:t>
                      </w:r>
                      <w:r w:rsidR="00C8264B">
                        <w:rPr>
                          <w:rFonts w:ascii="Verdana" w:hAnsi="Verdana"/>
                          <w:sz w:val="18"/>
                          <w:szCs w:val="18"/>
                        </w:rPr>
                        <w:t xml:space="preserve"> the gene expression pattern of the 113 DEGs for both genotypes and all age groups in males.</w:t>
                      </w:r>
                      <w:r w:rsidR="00225BC6">
                        <w:rPr>
                          <w:rFonts w:ascii="Verdana" w:hAnsi="Verdana"/>
                          <w:sz w:val="18"/>
                          <w:szCs w:val="18"/>
                        </w:rPr>
                        <w:t xml:space="preserve"> A clear pattern of gene expression can be identified </w:t>
                      </w:r>
                      <w:r w:rsidR="005003C2">
                        <w:rPr>
                          <w:rFonts w:ascii="Verdana" w:hAnsi="Verdana"/>
                          <w:sz w:val="18"/>
                          <w:szCs w:val="18"/>
                        </w:rPr>
                        <w:t>between 3- and 6-months old HET mice, while the expression is more variable for old HET and WT mice.</w:t>
                      </w:r>
                      <w:r w:rsidR="009F1C8E">
                        <w:rPr>
                          <w:rFonts w:ascii="Verdana" w:hAnsi="Verdana"/>
                          <w:sz w:val="18"/>
                          <w:szCs w:val="18"/>
                        </w:rPr>
                        <w:t xml:space="preserve"> </w:t>
                      </w:r>
                      <w:r w:rsidR="00030887">
                        <w:rPr>
                          <w:rFonts w:ascii="Verdana" w:hAnsi="Verdana"/>
                          <w:b/>
                          <w:bCs/>
                          <w:sz w:val="18"/>
                          <w:szCs w:val="18"/>
                        </w:rPr>
                        <w:t>C</w:t>
                      </w:r>
                      <w:r w:rsidR="009F1C8E" w:rsidRPr="009F1C8E">
                        <w:rPr>
                          <w:rFonts w:ascii="Verdana" w:hAnsi="Verdana"/>
                          <w:b/>
                          <w:bCs/>
                          <w:sz w:val="18"/>
                          <w:szCs w:val="18"/>
                        </w:rPr>
                        <w:t>)</w:t>
                      </w:r>
                      <w:r w:rsidR="008D0759">
                        <w:rPr>
                          <w:rFonts w:ascii="Verdana" w:hAnsi="Verdana"/>
                          <w:b/>
                          <w:bCs/>
                          <w:sz w:val="18"/>
                          <w:szCs w:val="18"/>
                        </w:rPr>
                        <w:t xml:space="preserve"> </w:t>
                      </w:r>
                      <w:r w:rsidR="008D0759" w:rsidRPr="008D0759">
                        <w:rPr>
                          <w:rFonts w:ascii="Verdana" w:hAnsi="Verdana"/>
                          <w:sz w:val="18"/>
                          <w:szCs w:val="18"/>
                        </w:rPr>
                        <w:t>Top 10</w:t>
                      </w:r>
                      <w:r w:rsidR="009F1C8E" w:rsidRPr="008D0759">
                        <w:rPr>
                          <w:rFonts w:ascii="Verdana" w:hAnsi="Verdana"/>
                          <w:sz w:val="18"/>
                          <w:szCs w:val="18"/>
                        </w:rPr>
                        <w:t xml:space="preserve"> </w:t>
                      </w:r>
                      <w:r w:rsidR="00C737DC">
                        <w:rPr>
                          <w:rFonts w:ascii="Verdana" w:hAnsi="Verdana"/>
                          <w:sz w:val="18"/>
                          <w:szCs w:val="18"/>
                        </w:rPr>
                        <w:t>GO ter</w:t>
                      </w:r>
                      <w:r w:rsidR="008D0759">
                        <w:rPr>
                          <w:rFonts w:ascii="Verdana" w:hAnsi="Verdana"/>
                          <w:sz w:val="18"/>
                          <w:szCs w:val="18"/>
                        </w:rPr>
                        <w:t>ms between 6- and 3-months old HET male mice.</w:t>
                      </w:r>
                      <w:r w:rsidR="00030887">
                        <w:rPr>
                          <w:rFonts w:ascii="Verdana" w:hAnsi="Verdana"/>
                          <w:sz w:val="18"/>
                          <w:szCs w:val="18"/>
                        </w:rPr>
                        <w:t xml:space="preserve"> </w:t>
                      </w:r>
                      <w:r w:rsidR="00030887" w:rsidRPr="00030887">
                        <w:rPr>
                          <w:rFonts w:ascii="Verdana" w:hAnsi="Verdana"/>
                          <w:b/>
                          <w:bCs/>
                          <w:sz w:val="18"/>
                          <w:szCs w:val="18"/>
                        </w:rPr>
                        <w:t>D)</w:t>
                      </w:r>
                      <w:r w:rsidR="00030887">
                        <w:rPr>
                          <w:rFonts w:ascii="Verdana" w:hAnsi="Verdana"/>
                          <w:sz w:val="18"/>
                          <w:szCs w:val="18"/>
                        </w:rPr>
                        <w:t xml:space="preserve"> </w:t>
                      </w:r>
                      <w:r w:rsidR="00B97E26">
                        <w:rPr>
                          <w:rFonts w:ascii="Verdana" w:hAnsi="Verdana"/>
                          <w:sz w:val="18"/>
                          <w:szCs w:val="18"/>
                        </w:rPr>
                        <w:t>Top 15 d</w:t>
                      </w:r>
                      <w:r w:rsidR="00EA002B">
                        <w:rPr>
                          <w:rFonts w:ascii="Verdana" w:hAnsi="Verdana"/>
                          <w:sz w:val="18"/>
                          <w:szCs w:val="18"/>
                        </w:rPr>
                        <w:t xml:space="preserve">eregulated pathways predicted by Ingenuity Pathway Analysis ® </w:t>
                      </w:r>
                      <w:r w:rsidR="00A33D2C">
                        <w:rPr>
                          <w:rFonts w:ascii="Verdana" w:hAnsi="Verdana"/>
                          <w:sz w:val="18"/>
                          <w:szCs w:val="18"/>
                        </w:rPr>
                        <w:t>“</w:t>
                      </w:r>
                      <w:r w:rsidR="00EA002B">
                        <w:rPr>
                          <w:rFonts w:ascii="Verdana" w:hAnsi="Verdana"/>
                          <w:sz w:val="18"/>
                          <w:szCs w:val="18"/>
                        </w:rPr>
                        <w:t>Canonical Pathways</w:t>
                      </w:r>
                      <w:r w:rsidR="00A33D2C">
                        <w:rPr>
                          <w:rFonts w:ascii="Verdana" w:hAnsi="Verdana"/>
                          <w:sz w:val="18"/>
                          <w:szCs w:val="18"/>
                        </w:rPr>
                        <w:t>”.</w:t>
                      </w:r>
                      <w:r w:rsidR="00EA002B">
                        <w:rPr>
                          <w:rFonts w:ascii="Verdana" w:hAnsi="Verdana"/>
                          <w:sz w:val="18"/>
                          <w:szCs w:val="18"/>
                        </w:rPr>
                        <w:t xml:space="preserve">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7D2C0574" w14:textId="7F94FC86" w:rsidR="005958B3" w:rsidRPr="005958B3" w:rsidRDefault="005958B3" w:rsidP="00D05B0F">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v:textbox>
                <w10:wrap type="topAndBottom" anchorx="margin"/>
              </v:shape>
            </w:pict>
          </mc:Fallback>
        </mc:AlternateContent>
      </w:r>
      <w:r>
        <w:rPr>
          <w:rFonts w:ascii="Verdana" w:hAnsi="Verdana"/>
          <w:b/>
          <w:bCs/>
          <w:noProof/>
          <w:color w:val="000000" w:themeColor="text1"/>
          <w:lang w:val="en-GB"/>
        </w:rPr>
        <w:drawing>
          <wp:anchor distT="0" distB="0" distL="114300" distR="114300" simplePos="0" relativeHeight="252018688" behindDoc="0" locked="0" layoutInCell="1" allowOverlap="1" wp14:anchorId="3FA5F13F" wp14:editId="64874E03">
            <wp:simplePos x="0" y="0"/>
            <wp:positionH relativeFrom="margin">
              <wp:align>right</wp:align>
            </wp:positionH>
            <wp:positionV relativeFrom="paragraph">
              <wp:posOffset>0</wp:posOffset>
            </wp:positionV>
            <wp:extent cx="5580380" cy="6125210"/>
            <wp:effectExtent l="0" t="0" r="1270" b="8890"/>
            <wp:wrapTopAndBottom/>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80380" cy="6125210"/>
                    </a:xfrm>
                    <a:prstGeom prst="rect">
                      <a:avLst/>
                    </a:prstGeom>
                  </pic:spPr>
                </pic:pic>
              </a:graphicData>
            </a:graphic>
            <wp14:sizeRelH relativeFrom="margin">
              <wp14:pctWidth>0</wp14:pctWidth>
            </wp14:sizeRelH>
            <wp14:sizeRelV relativeFrom="margin">
              <wp14:pctHeight>0</wp14:pctHeight>
            </wp14:sizeRelV>
          </wp:anchor>
        </w:drawing>
      </w:r>
      <w:r w:rsidR="000506EE">
        <w:rPr>
          <w:rFonts w:ascii="Verdana" w:hAnsi="Verdana"/>
          <w:b/>
          <w:bCs/>
          <w:color w:val="000000" w:themeColor="text1"/>
          <w:lang w:val="en-GB"/>
        </w:rPr>
        <w:br w:type="page"/>
      </w:r>
    </w:p>
    <w:p w14:paraId="10CEF44D" w14:textId="77777777" w:rsidR="0039316D" w:rsidRPr="000544D2" w:rsidRDefault="0039316D" w:rsidP="0039316D">
      <w:pPr>
        <w:spacing w:line="360" w:lineRule="auto"/>
        <w:jc w:val="both"/>
        <w:rPr>
          <w:rFonts w:ascii="Verdana" w:hAnsi="Verdana"/>
          <w:b/>
          <w:bCs/>
          <w:noProof/>
          <w:color w:val="000000" w:themeColor="text1"/>
          <w:lang w:val="en-GB"/>
        </w:rPr>
      </w:pPr>
      <w:r>
        <w:rPr>
          <w:rFonts w:ascii="Verdana" w:hAnsi="Verdana"/>
          <w:color w:val="000000" w:themeColor="text1"/>
          <w:lang w:val="en-GB"/>
        </w:rPr>
        <w:lastRenderedPageBreak/>
        <w:t>Transcriptional changes in female mice were detected later in time. Compared to what observed in males, there are only few DEGs between 6- and 3-months old mice, with most of the DEGs occurring between 14- and 8- months in WT animals (179 DEGs), and between the 8- and 6-months old (141 DEGs) and the 14- and 8-months old (67 DEGs) groups in HET mice. To better understand the transcriptional changes which might be differentially regulating ageing in HET and WT female mice, we analysed the 3 biggest group of DEGs separately.</w:t>
      </w:r>
    </w:p>
    <w:p w14:paraId="6E7EDBAD" w14:textId="77777777" w:rsidR="0039316D" w:rsidRDefault="0039316D" w:rsidP="0039316D">
      <w:pPr>
        <w:pStyle w:val="ListParagraph"/>
        <w:spacing w:line="360" w:lineRule="auto"/>
        <w:ind w:firstLine="0"/>
        <w:jc w:val="both"/>
        <w:rPr>
          <w:rFonts w:ascii="Verdana" w:hAnsi="Verdana"/>
          <w:b/>
          <w:bCs/>
          <w:color w:val="000000" w:themeColor="text1"/>
          <w:lang w:val="en-GB"/>
        </w:rPr>
      </w:pPr>
    </w:p>
    <w:p w14:paraId="13BE7469" w14:textId="77777777" w:rsidR="0039316D" w:rsidRPr="00902476" w:rsidRDefault="0039316D" w:rsidP="002D410A">
      <w:pPr>
        <w:pStyle w:val="ListParagraph"/>
        <w:numPr>
          <w:ilvl w:val="0"/>
          <w:numId w:val="23"/>
        </w:numPr>
        <w:spacing w:line="360" w:lineRule="auto"/>
        <w:ind w:left="0" w:firstLine="720"/>
        <w:jc w:val="both"/>
        <w:rPr>
          <w:rFonts w:ascii="Verdana" w:hAnsi="Verdana"/>
          <w:color w:val="000000" w:themeColor="text1"/>
          <w:lang w:val="en-GB"/>
        </w:rPr>
      </w:pPr>
      <w:r w:rsidRPr="00902476">
        <w:rPr>
          <w:rFonts w:ascii="Verdana" w:hAnsi="Verdana"/>
          <w:color w:val="000000" w:themeColor="text1"/>
          <w:lang w:val="en-GB"/>
        </w:rPr>
        <w:t>DEGs between 14- and 8-months old WT female mice</w:t>
      </w:r>
    </w:p>
    <w:p w14:paraId="1AEC97FF" w14:textId="0113E1DE" w:rsidR="002708FC" w:rsidRDefault="0039316D" w:rsidP="0039316D">
      <w:pPr>
        <w:pStyle w:val="ListParagraph"/>
        <w:spacing w:line="360" w:lineRule="auto"/>
        <w:ind w:left="0"/>
        <w:jc w:val="both"/>
        <w:rPr>
          <w:rFonts w:ascii="Verdana" w:hAnsi="Verdana"/>
          <w:color w:val="000000" w:themeColor="text1"/>
          <w:lang w:val="en-GB"/>
        </w:rPr>
      </w:pPr>
      <w:r>
        <w:rPr>
          <w:rFonts w:ascii="Verdana" w:hAnsi="Verdana"/>
          <w:color w:val="000000" w:themeColor="text1"/>
          <w:lang w:val="en-GB"/>
        </w:rPr>
        <w:t xml:space="preserve">179 genes are differentially expressed between 14- and 8-months old WT female mice, with </w:t>
      </w:r>
      <w:proofErr w:type="gramStart"/>
      <w:r>
        <w:rPr>
          <w:rFonts w:ascii="Verdana" w:hAnsi="Verdana"/>
          <w:color w:val="000000" w:themeColor="text1"/>
          <w:lang w:val="en-GB"/>
        </w:rPr>
        <w:t>the majority of</w:t>
      </w:r>
      <w:proofErr w:type="gramEnd"/>
      <w:r>
        <w:rPr>
          <w:rFonts w:ascii="Verdana" w:hAnsi="Verdana"/>
          <w:color w:val="000000" w:themeColor="text1"/>
          <w:lang w:val="en-GB"/>
        </w:rPr>
        <w:t xml:space="preserve"> the genes getting downregulated at the later timepoint (117/179 or 65% down-regulated (Figure 1</w:t>
      </w:r>
      <w:r w:rsidR="00A51282">
        <w:rPr>
          <w:rFonts w:ascii="Verdana" w:hAnsi="Verdana"/>
          <w:color w:val="000000" w:themeColor="text1"/>
          <w:lang w:val="en-GB"/>
        </w:rPr>
        <w:t>5</w:t>
      </w:r>
      <w:r>
        <w:rPr>
          <w:rFonts w:ascii="Verdana" w:hAnsi="Verdana"/>
          <w:color w:val="000000" w:themeColor="text1"/>
          <w:lang w:val="en-GB"/>
        </w:rPr>
        <w:t>A, purple), 62/179 or 35% up-regulated (Figure 1</w:t>
      </w:r>
      <w:r w:rsidR="00A51282">
        <w:rPr>
          <w:rFonts w:ascii="Verdana" w:hAnsi="Verdana"/>
          <w:color w:val="000000" w:themeColor="text1"/>
          <w:lang w:val="en-GB"/>
        </w:rPr>
        <w:t>5</w:t>
      </w:r>
      <w:r>
        <w:rPr>
          <w:rFonts w:ascii="Verdana" w:hAnsi="Verdana"/>
          <w:color w:val="000000" w:themeColor="text1"/>
          <w:lang w:val="en-GB"/>
        </w:rPr>
        <w:t>A, orange)). The same pattern of expression is visible in HET mice at the same age, even though the strength of these changes is lower than that observed in WT mice, possibly indicating that HET mice fail to activate, at least to some extent, age-related trans</w:t>
      </w:r>
      <w:r w:rsidR="007D2246">
        <w:rPr>
          <w:rFonts w:ascii="Verdana" w:hAnsi="Verdana"/>
          <w:color w:val="000000" w:themeColor="text1"/>
          <w:lang w:val="en-GB"/>
        </w:rPr>
        <w:t>criptional</w:t>
      </w:r>
      <w:r>
        <w:rPr>
          <w:rFonts w:ascii="Verdana" w:hAnsi="Verdana"/>
          <w:color w:val="000000" w:themeColor="text1"/>
          <w:lang w:val="en-GB"/>
        </w:rPr>
        <w:t xml:space="preserve"> changes</w:t>
      </w:r>
      <w:r w:rsidR="002708FC">
        <w:rPr>
          <w:rFonts w:ascii="Verdana" w:hAnsi="Verdana"/>
          <w:color w:val="000000" w:themeColor="text1"/>
          <w:lang w:val="en-GB"/>
        </w:rPr>
        <w:t xml:space="preserve"> (Figure 1</w:t>
      </w:r>
      <w:r w:rsidR="00A51282">
        <w:rPr>
          <w:rFonts w:ascii="Verdana" w:hAnsi="Verdana"/>
          <w:color w:val="000000" w:themeColor="text1"/>
          <w:lang w:val="en-GB"/>
        </w:rPr>
        <w:t>5</w:t>
      </w:r>
      <w:r w:rsidR="002708FC">
        <w:rPr>
          <w:rFonts w:ascii="Verdana" w:hAnsi="Verdana"/>
          <w:color w:val="000000" w:themeColor="text1"/>
          <w:lang w:val="en-GB"/>
        </w:rPr>
        <w:t>B)</w:t>
      </w:r>
      <w:r>
        <w:rPr>
          <w:rFonts w:ascii="Verdana" w:hAnsi="Verdana"/>
          <w:color w:val="000000" w:themeColor="text1"/>
          <w:lang w:val="en-GB"/>
        </w:rPr>
        <w:t>. Finally, the expression of the investigated 179 genes in young mice for both genotypes is variable, and no clear expression patterns can be identified, suggesting that these genes might be relevant only at later times in life</w:t>
      </w:r>
      <w:r w:rsidR="002708FC">
        <w:rPr>
          <w:rFonts w:ascii="Verdana" w:hAnsi="Verdana"/>
          <w:color w:val="000000" w:themeColor="text1"/>
          <w:lang w:val="en-GB"/>
        </w:rPr>
        <w:t xml:space="preserve"> (Figure 14B)</w:t>
      </w:r>
      <w:r>
        <w:rPr>
          <w:rFonts w:ascii="Verdana" w:hAnsi="Verdana"/>
          <w:color w:val="000000" w:themeColor="text1"/>
          <w:lang w:val="en-GB"/>
        </w:rPr>
        <w:t>. As identified by the GO term enrichment analysis, dysregulated processes include synapse, protein binding, and development (Figure 1</w:t>
      </w:r>
      <w:r w:rsidR="00A51282">
        <w:rPr>
          <w:rFonts w:ascii="Verdana" w:hAnsi="Verdana"/>
          <w:color w:val="000000" w:themeColor="text1"/>
          <w:lang w:val="en-GB"/>
        </w:rPr>
        <w:t>5</w:t>
      </w:r>
      <w:r w:rsidR="002708FC">
        <w:rPr>
          <w:rFonts w:ascii="Verdana" w:hAnsi="Verdana"/>
          <w:color w:val="000000" w:themeColor="text1"/>
          <w:lang w:val="en-GB"/>
        </w:rPr>
        <w:t>C</w:t>
      </w:r>
      <w:r>
        <w:rPr>
          <w:rFonts w:ascii="Verdana" w:hAnsi="Verdana"/>
          <w:color w:val="000000" w:themeColor="text1"/>
          <w:lang w:val="en-GB"/>
        </w:rPr>
        <w:t>).</w:t>
      </w:r>
      <w:r w:rsidR="002708FC">
        <w:rPr>
          <w:rFonts w:ascii="Verdana" w:hAnsi="Verdana"/>
          <w:color w:val="000000" w:themeColor="text1"/>
          <w:lang w:val="en-GB"/>
        </w:rPr>
        <w:t xml:space="preserve"> </w:t>
      </w:r>
      <w:r w:rsidR="005D7271">
        <w:rPr>
          <w:rFonts w:ascii="Verdana" w:hAnsi="Verdana"/>
          <w:color w:val="000000" w:themeColor="text1"/>
          <w:lang w:val="en-GB"/>
        </w:rPr>
        <w:t xml:space="preserve">IPA® Pathway analysis yielded similar results, highlighting deficits in CSDE1 signalling, </w:t>
      </w:r>
      <w:proofErr w:type="spellStart"/>
      <w:r w:rsidR="005D7271">
        <w:rPr>
          <w:rFonts w:ascii="Verdana" w:hAnsi="Verdana"/>
          <w:color w:val="000000" w:themeColor="text1"/>
          <w:lang w:val="en-GB"/>
        </w:rPr>
        <w:t>RhoGDI</w:t>
      </w:r>
      <w:proofErr w:type="spellEnd"/>
      <w:r w:rsidR="005D7271">
        <w:rPr>
          <w:rFonts w:ascii="Verdana" w:hAnsi="Verdana"/>
          <w:color w:val="000000" w:themeColor="text1"/>
          <w:lang w:val="en-GB"/>
        </w:rPr>
        <w:t xml:space="preserve"> signalling and </w:t>
      </w:r>
      <w:proofErr w:type="spellStart"/>
      <w:r w:rsidR="005D7271">
        <w:rPr>
          <w:rFonts w:ascii="Verdana" w:hAnsi="Verdana"/>
          <w:color w:val="000000" w:themeColor="text1"/>
          <w:lang w:val="en-GB"/>
        </w:rPr>
        <w:t>nNOS</w:t>
      </w:r>
      <w:proofErr w:type="spellEnd"/>
      <w:r w:rsidR="005D7271">
        <w:rPr>
          <w:rFonts w:ascii="Verdana" w:hAnsi="Verdana"/>
          <w:color w:val="000000" w:themeColor="text1"/>
          <w:lang w:val="en-GB"/>
        </w:rPr>
        <w:t xml:space="preserve"> signalling,</w:t>
      </w:r>
      <w:r w:rsidR="00D67DB8">
        <w:rPr>
          <w:rFonts w:ascii="Verdana" w:hAnsi="Verdana"/>
          <w:color w:val="000000" w:themeColor="text1"/>
          <w:lang w:val="en-GB"/>
        </w:rPr>
        <w:t xml:space="preserve"> </w:t>
      </w:r>
      <w:r w:rsidR="005D7271">
        <w:rPr>
          <w:rFonts w:ascii="Verdana" w:hAnsi="Verdana"/>
          <w:color w:val="000000" w:themeColor="text1"/>
          <w:lang w:val="en-GB"/>
        </w:rPr>
        <w:t>kno</w:t>
      </w:r>
      <w:r w:rsidR="00D67DB8">
        <w:rPr>
          <w:rFonts w:ascii="Verdana" w:hAnsi="Verdana"/>
          <w:color w:val="000000" w:themeColor="text1"/>
          <w:lang w:val="en-GB"/>
        </w:rPr>
        <w:t>wn to be responsible for neuronal differentiation, synaptic plasticity, and neurotransmission (Figure 1</w:t>
      </w:r>
      <w:r w:rsidR="00A51282">
        <w:rPr>
          <w:rFonts w:ascii="Verdana" w:hAnsi="Verdana"/>
          <w:color w:val="000000" w:themeColor="text1"/>
          <w:lang w:val="en-GB"/>
        </w:rPr>
        <w:t>5</w:t>
      </w:r>
      <w:r w:rsidR="00D67DB8">
        <w:rPr>
          <w:rFonts w:ascii="Verdana" w:hAnsi="Verdana"/>
          <w:color w:val="000000" w:themeColor="text1"/>
          <w:lang w:val="en-GB"/>
        </w:rPr>
        <w:t>D</w:t>
      </w:r>
      <w:r w:rsidR="004526F6">
        <w:rPr>
          <w:rFonts w:ascii="Verdana" w:hAnsi="Verdana"/>
          <w:color w:val="000000" w:themeColor="text1"/>
          <w:lang w:val="en-GB"/>
        </w:rPr>
        <w:t>),</w:t>
      </w:r>
      <w:r w:rsidR="00D67DB8">
        <w:rPr>
          <w:rFonts w:ascii="Verdana" w:hAnsi="Verdana"/>
          <w:color w:val="000000" w:themeColor="text1"/>
          <w:lang w:val="en-GB"/>
        </w:rPr>
        <w:t xml:space="preserve"> </w:t>
      </w:r>
      <w:r w:rsidR="008F3076">
        <w:rPr>
          <w:rFonts w:ascii="Verdana" w:hAnsi="Verdana"/>
          <w:color w:val="000000" w:themeColor="text1"/>
          <w:lang w:val="en-GB"/>
        </w:rPr>
        <w:t>possibly indicating reduced synaptic function with ageing.</w:t>
      </w:r>
    </w:p>
    <w:p w14:paraId="032ADF7B" w14:textId="77777777" w:rsidR="002708FC" w:rsidRDefault="002708FC" w:rsidP="0039316D">
      <w:pPr>
        <w:pStyle w:val="ListParagraph"/>
        <w:spacing w:line="360" w:lineRule="auto"/>
        <w:ind w:left="0"/>
        <w:jc w:val="both"/>
        <w:rPr>
          <w:rFonts w:ascii="Verdana" w:hAnsi="Verdana"/>
          <w:color w:val="000000" w:themeColor="text1"/>
          <w:lang w:val="en-GB"/>
        </w:rPr>
      </w:pPr>
    </w:p>
    <w:p w14:paraId="56A13B1A" w14:textId="76DF4D81" w:rsidR="00742D51" w:rsidRDefault="00742D51">
      <w:pPr>
        <w:ind w:firstLine="0"/>
        <w:rPr>
          <w:rFonts w:ascii="Verdana" w:hAnsi="Verdana"/>
          <w:color w:val="FF0000"/>
          <w:lang w:val="en-GB"/>
        </w:rPr>
      </w:pPr>
      <w:r>
        <w:rPr>
          <w:rFonts w:ascii="Verdana" w:hAnsi="Verdana"/>
          <w:color w:val="FF0000"/>
          <w:lang w:val="en-GB"/>
        </w:rPr>
        <w:br w:type="page"/>
      </w:r>
    </w:p>
    <w:p w14:paraId="6FAD4BAA" w14:textId="7BEBC9CC" w:rsidR="0039316D" w:rsidRPr="00B931D1" w:rsidRDefault="005166D5" w:rsidP="00B931D1">
      <w:pPr>
        <w:ind w:firstLine="0"/>
        <w:rPr>
          <w:rFonts w:ascii="Verdana" w:hAnsi="Verdana"/>
          <w:color w:val="000000" w:themeColor="text1"/>
          <w:lang w:val="en-GB"/>
        </w:rPr>
      </w:pPr>
      <w:r>
        <w:rPr>
          <w:noProof/>
        </w:rPr>
        <w:lastRenderedPageBreak/>
        <mc:AlternateContent>
          <mc:Choice Requires="wps">
            <w:drawing>
              <wp:anchor distT="0" distB="0" distL="114300" distR="114300" simplePos="0" relativeHeight="252007424" behindDoc="0" locked="0" layoutInCell="1" allowOverlap="1" wp14:anchorId="7FF1AF01" wp14:editId="1FA98990">
                <wp:simplePos x="0" y="0"/>
                <wp:positionH relativeFrom="margin">
                  <wp:align>right</wp:align>
                </wp:positionH>
                <wp:positionV relativeFrom="paragraph">
                  <wp:posOffset>6963410</wp:posOffset>
                </wp:positionV>
                <wp:extent cx="5565775" cy="1891665"/>
                <wp:effectExtent l="0" t="0" r="0" b="0"/>
                <wp:wrapTopAndBottom/>
                <wp:docPr id="50" name="Text Box 50"/>
                <wp:cNvGraphicFramePr/>
                <a:graphic xmlns:a="http://schemas.openxmlformats.org/drawingml/2006/main">
                  <a:graphicData uri="http://schemas.microsoft.com/office/word/2010/wordprocessingShape">
                    <wps:wsp>
                      <wps:cNvSpPr txBox="1"/>
                      <wps:spPr>
                        <a:xfrm>
                          <a:off x="0" y="0"/>
                          <a:ext cx="5565775" cy="1891665"/>
                        </a:xfrm>
                        <a:prstGeom prst="rect">
                          <a:avLst/>
                        </a:prstGeom>
                        <a:solidFill>
                          <a:prstClr val="white"/>
                        </a:solidFill>
                        <a:ln>
                          <a:noFill/>
                        </a:ln>
                      </wps:spPr>
                      <wps:txbx>
                        <w:txbxContent>
                          <w:p w14:paraId="41E1AC1B" w14:textId="44FFD8CE" w:rsidR="00745E90" w:rsidRPr="00D51322" w:rsidRDefault="00745E90" w:rsidP="00B12376">
                            <w:pPr>
                              <w:pStyle w:val="Caption"/>
                              <w:ind w:firstLine="0"/>
                              <w:jc w:val="both"/>
                              <w:rPr>
                                <w:rFonts w:ascii="Verdana" w:hAnsi="Verdana"/>
                                <w:i w:val="0"/>
                                <w:iCs w:val="0"/>
                                <w:color w:val="auto"/>
                              </w:rPr>
                            </w:pPr>
                            <w:bookmarkStart w:id="93" w:name="_Toc131412757"/>
                            <w:r w:rsidRPr="00745E90">
                              <w:rPr>
                                <w:rFonts w:ascii="Verdana" w:hAnsi="Verdana"/>
                                <w:b/>
                                <w:bCs/>
                                <w:i w:val="0"/>
                                <w:iCs w:val="0"/>
                                <w:color w:val="auto"/>
                              </w:rPr>
                              <w:t xml:space="preserve">Figure </w:t>
                            </w:r>
                            <w:r w:rsidRPr="00745E90">
                              <w:rPr>
                                <w:rFonts w:ascii="Verdana" w:hAnsi="Verdana"/>
                                <w:b/>
                                <w:bCs/>
                                <w:i w:val="0"/>
                                <w:iCs w:val="0"/>
                                <w:color w:val="auto"/>
                              </w:rPr>
                              <w:fldChar w:fldCharType="begin"/>
                            </w:r>
                            <w:r w:rsidRPr="00745E90">
                              <w:rPr>
                                <w:rFonts w:ascii="Verdana" w:hAnsi="Verdana"/>
                                <w:b/>
                                <w:bCs/>
                                <w:i w:val="0"/>
                                <w:iCs w:val="0"/>
                                <w:color w:val="auto"/>
                              </w:rPr>
                              <w:instrText xml:space="preserve"> SEQ Figure \* ARABIC </w:instrText>
                            </w:r>
                            <w:r w:rsidRPr="00745E90">
                              <w:rPr>
                                <w:rFonts w:ascii="Verdana" w:hAnsi="Verdana"/>
                                <w:b/>
                                <w:bCs/>
                                <w:i w:val="0"/>
                                <w:iCs w:val="0"/>
                                <w:color w:val="auto"/>
                              </w:rPr>
                              <w:fldChar w:fldCharType="separate"/>
                            </w:r>
                            <w:r w:rsidR="001D505F">
                              <w:rPr>
                                <w:rFonts w:ascii="Verdana" w:hAnsi="Verdana"/>
                                <w:b/>
                                <w:bCs/>
                                <w:i w:val="0"/>
                                <w:iCs w:val="0"/>
                                <w:noProof/>
                                <w:color w:val="auto"/>
                              </w:rPr>
                              <w:t>15</w:t>
                            </w:r>
                            <w:r w:rsidRPr="00745E90">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Transcriptional changes in the hippocampus of old WT female mice.</w:t>
                            </w:r>
                            <w:bookmarkEnd w:id="93"/>
                          </w:p>
                          <w:p w14:paraId="09945A75" w14:textId="3AF0B6A2" w:rsidR="00745E90" w:rsidRDefault="00745E90" w:rsidP="00B12376">
                            <w:pPr>
                              <w:ind w:firstLine="0"/>
                              <w:jc w:val="both"/>
                              <w:rPr>
                                <w:rFonts w:ascii="Verdana" w:hAnsi="Verdana"/>
                                <w:sz w:val="18"/>
                                <w:szCs w:val="18"/>
                              </w:rPr>
                            </w:pPr>
                            <w:r w:rsidRPr="00D51322">
                              <w:rPr>
                                <w:rFonts w:ascii="Verdana" w:hAnsi="Verdana"/>
                                <w:b/>
                                <w:bCs/>
                                <w:sz w:val="18"/>
                                <w:szCs w:val="18"/>
                              </w:rPr>
                              <w:t>A)</w:t>
                            </w:r>
                            <w:r w:rsidRPr="00D51322">
                              <w:rPr>
                                <w:rFonts w:ascii="Verdana" w:hAnsi="Verdana"/>
                                <w:sz w:val="18"/>
                                <w:szCs w:val="18"/>
                              </w:rPr>
                              <w:t xml:space="preserve"> </w:t>
                            </w:r>
                            <w:r>
                              <w:rPr>
                                <w:rFonts w:ascii="Verdana" w:hAnsi="Verdana"/>
                                <w:sz w:val="18"/>
                                <w:szCs w:val="18"/>
                              </w:rPr>
                              <w:t xml:space="preserve">Volcano plot illustrating the up- and down-regulated genes in 14 vs 8 months old HET female mice. The horizontal dashed line indicates the cut-off of adjusted p-value &lt;= 0.05. </w:t>
                            </w:r>
                            <w:r w:rsidRPr="00030887">
                              <w:rPr>
                                <w:rFonts w:ascii="Verdana" w:hAnsi="Verdana"/>
                                <w:b/>
                                <w:bCs/>
                                <w:sz w:val="18"/>
                                <w:szCs w:val="18"/>
                              </w:rPr>
                              <w:t>B)</w:t>
                            </w:r>
                            <w:r>
                              <w:rPr>
                                <w:rFonts w:ascii="Verdana" w:hAnsi="Verdana"/>
                                <w:sz w:val="18"/>
                                <w:szCs w:val="18"/>
                              </w:rPr>
                              <w:t xml:space="preserve"> Heatmap showing the gene expression pattern of the 179 DEGs in female mice for both genotypes and all age groups. A clear pattern of gene expression can be identified between 8- and 14-months old WT mice, while the expression is more variable for HET and young WT mice. </w:t>
                            </w:r>
                            <w:r>
                              <w:rPr>
                                <w:rFonts w:ascii="Verdana" w:hAnsi="Verdana"/>
                                <w:b/>
                                <w:bCs/>
                                <w:sz w:val="18"/>
                                <w:szCs w:val="18"/>
                              </w:rPr>
                              <w:t>C</w:t>
                            </w:r>
                            <w:r w:rsidRPr="009F1C8E">
                              <w:rPr>
                                <w:rFonts w:ascii="Verdana" w:hAnsi="Verdana"/>
                                <w:b/>
                                <w:bCs/>
                                <w:sz w:val="18"/>
                                <w:szCs w:val="18"/>
                              </w:rPr>
                              <w:t>)</w:t>
                            </w:r>
                            <w:r>
                              <w:rPr>
                                <w:rFonts w:ascii="Verdana" w:hAnsi="Verdana"/>
                                <w:b/>
                                <w:bCs/>
                                <w:sz w:val="18"/>
                                <w:szCs w:val="18"/>
                              </w:rPr>
                              <w:t xml:space="preserve"> </w:t>
                            </w:r>
                            <w:r w:rsidRPr="008D0759">
                              <w:rPr>
                                <w:rFonts w:ascii="Verdana" w:hAnsi="Verdana"/>
                                <w:sz w:val="18"/>
                                <w:szCs w:val="18"/>
                              </w:rPr>
                              <w:t xml:space="preserve">Top 10 </w:t>
                            </w:r>
                            <w:r>
                              <w:rPr>
                                <w:rFonts w:ascii="Verdana" w:hAnsi="Verdana"/>
                                <w:sz w:val="18"/>
                                <w:szCs w:val="18"/>
                              </w:rPr>
                              <w:t xml:space="preserve">GO terms between </w:t>
                            </w:r>
                            <w:r w:rsidR="001B602F">
                              <w:rPr>
                                <w:rFonts w:ascii="Verdana" w:hAnsi="Verdana"/>
                                <w:sz w:val="18"/>
                                <w:szCs w:val="18"/>
                              </w:rPr>
                              <w:t>14</w:t>
                            </w:r>
                            <w:r>
                              <w:rPr>
                                <w:rFonts w:ascii="Verdana" w:hAnsi="Verdana"/>
                                <w:sz w:val="18"/>
                                <w:szCs w:val="18"/>
                              </w:rPr>
                              <w:t xml:space="preserve">- and </w:t>
                            </w:r>
                            <w:r w:rsidR="001B602F">
                              <w:rPr>
                                <w:rFonts w:ascii="Verdana" w:hAnsi="Verdana"/>
                                <w:sz w:val="18"/>
                                <w:szCs w:val="18"/>
                              </w:rPr>
                              <w:t>8</w:t>
                            </w:r>
                            <w:r>
                              <w:rPr>
                                <w:rFonts w:ascii="Verdana" w:hAnsi="Verdana"/>
                                <w:sz w:val="18"/>
                                <w:szCs w:val="18"/>
                              </w:rPr>
                              <w:t xml:space="preserve">-months old </w:t>
                            </w:r>
                            <w:r w:rsidR="001B602F">
                              <w:rPr>
                                <w:rFonts w:ascii="Verdana" w:hAnsi="Verdana"/>
                                <w:sz w:val="18"/>
                                <w:szCs w:val="18"/>
                              </w:rPr>
                              <w:t xml:space="preserve">WT </w:t>
                            </w:r>
                            <w:r>
                              <w:rPr>
                                <w:rFonts w:ascii="Verdana" w:hAnsi="Verdana"/>
                                <w:sz w:val="18"/>
                                <w:szCs w:val="18"/>
                              </w:rPr>
                              <w:t xml:space="preserve">mice. </w:t>
                            </w:r>
                            <w:r w:rsidRPr="00030887">
                              <w:rPr>
                                <w:rFonts w:ascii="Verdana" w:hAnsi="Verdana"/>
                                <w:b/>
                                <w:bCs/>
                                <w:sz w:val="18"/>
                                <w:szCs w:val="18"/>
                              </w:rPr>
                              <w:t>D)</w:t>
                            </w:r>
                            <w:r>
                              <w:rPr>
                                <w:rFonts w:ascii="Verdana" w:hAnsi="Verdana"/>
                                <w:sz w:val="18"/>
                                <w:szCs w:val="18"/>
                              </w:rPr>
                              <w:t xml:space="preserve"> </w:t>
                            </w:r>
                            <w:r w:rsidR="00B97E26">
                              <w:rPr>
                                <w:rFonts w:ascii="Verdana" w:hAnsi="Verdana"/>
                                <w:sz w:val="18"/>
                                <w:szCs w:val="18"/>
                              </w:rPr>
                              <w:t>Top 15 d</w:t>
                            </w:r>
                            <w:r>
                              <w:rPr>
                                <w:rFonts w:ascii="Verdana" w:hAnsi="Verdana"/>
                                <w:sz w:val="18"/>
                                <w:szCs w:val="18"/>
                              </w:rPr>
                              <w:t xml:space="preserve">eregulated pathways predicted by Ingenuity Pathway Analysis ® “Canonical Pathways”.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6D511DF1" w14:textId="5FAC8135" w:rsidR="00745E90" w:rsidRPr="00B12376" w:rsidRDefault="00745E90" w:rsidP="00B12376">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1AF01" id="Text Box 50" o:spid="_x0000_s1043" type="#_x0000_t202" style="position:absolute;margin-left:387.05pt;margin-top:548.3pt;width:438.25pt;height:148.95pt;z-index:252007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" stroked="f">
                <v:textbox inset="0,0,0,0">
                  <w:txbxContent>
                    <w:p w14:paraId="41E1AC1B" w14:textId="44FFD8CE" w:rsidR="00745E90" w:rsidRPr="00D51322" w:rsidRDefault="00745E90" w:rsidP="00B12376">
                      <w:pPr>
                        <w:pStyle w:val="Caption"/>
                        <w:ind w:firstLine="0"/>
                        <w:jc w:val="both"/>
                        <w:rPr>
                          <w:rFonts w:ascii="Verdana" w:hAnsi="Verdana"/>
                          <w:i w:val="0"/>
                          <w:iCs w:val="0"/>
                          <w:color w:val="auto"/>
                        </w:rPr>
                      </w:pPr>
                      <w:bookmarkStart w:id="94" w:name="_Toc131412757"/>
                      <w:r w:rsidRPr="00745E90">
                        <w:rPr>
                          <w:rFonts w:ascii="Verdana" w:hAnsi="Verdana"/>
                          <w:b/>
                          <w:bCs/>
                          <w:i w:val="0"/>
                          <w:iCs w:val="0"/>
                          <w:color w:val="auto"/>
                        </w:rPr>
                        <w:t xml:space="preserve">Figure </w:t>
                      </w:r>
                      <w:r w:rsidRPr="00745E90">
                        <w:rPr>
                          <w:rFonts w:ascii="Verdana" w:hAnsi="Verdana"/>
                          <w:b/>
                          <w:bCs/>
                          <w:i w:val="0"/>
                          <w:iCs w:val="0"/>
                          <w:color w:val="auto"/>
                        </w:rPr>
                        <w:fldChar w:fldCharType="begin"/>
                      </w:r>
                      <w:r w:rsidRPr="00745E90">
                        <w:rPr>
                          <w:rFonts w:ascii="Verdana" w:hAnsi="Verdana"/>
                          <w:b/>
                          <w:bCs/>
                          <w:i w:val="0"/>
                          <w:iCs w:val="0"/>
                          <w:color w:val="auto"/>
                        </w:rPr>
                        <w:instrText xml:space="preserve"> SEQ Figure \* ARABIC </w:instrText>
                      </w:r>
                      <w:r w:rsidRPr="00745E90">
                        <w:rPr>
                          <w:rFonts w:ascii="Verdana" w:hAnsi="Verdana"/>
                          <w:b/>
                          <w:bCs/>
                          <w:i w:val="0"/>
                          <w:iCs w:val="0"/>
                          <w:color w:val="auto"/>
                        </w:rPr>
                        <w:fldChar w:fldCharType="separate"/>
                      </w:r>
                      <w:r w:rsidR="001D505F">
                        <w:rPr>
                          <w:rFonts w:ascii="Verdana" w:hAnsi="Verdana"/>
                          <w:b/>
                          <w:bCs/>
                          <w:i w:val="0"/>
                          <w:iCs w:val="0"/>
                          <w:noProof/>
                          <w:color w:val="auto"/>
                        </w:rPr>
                        <w:t>15</w:t>
                      </w:r>
                      <w:r w:rsidRPr="00745E90">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Transcriptional changes in the hippocampus of old WT female mice.</w:t>
                      </w:r>
                      <w:bookmarkEnd w:id="94"/>
                    </w:p>
                    <w:p w14:paraId="09945A75" w14:textId="3AF0B6A2" w:rsidR="00745E90" w:rsidRDefault="00745E90" w:rsidP="00B12376">
                      <w:pPr>
                        <w:ind w:firstLine="0"/>
                        <w:jc w:val="both"/>
                        <w:rPr>
                          <w:rFonts w:ascii="Verdana" w:hAnsi="Verdana"/>
                          <w:sz w:val="18"/>
                          <w:szCs w:val="18"/>
                        </w:rPr>
                      </w:pPr>
                      <w:r w:rsidRPr="00D51322">
                        <w:rPr>
                          <w:rFonts w:ascii="Verdana" w:hAnsi="Verdana"/>
                          <w:b/>
                          <w:bCs/>
                          <w:sz w:val="18"/>
                          <w:szCs w:val="18"/>
                        </w:rPr>
                        <w:t>A)</w:t>
                      </w:r>
                      <w:r w:rsidRPr="00D51322">
                        <w:rPr>
                          <w:rFonts w:ascii="Verdana" w:hAnsi="Verdana"/>
                          <w:sz w:val="18"/>
                          <w:szCs w:val="18"/>
                        </w:rPr>
                        <w:t xml:space="preserve"> </w:t>
                      </w:r>
                      <w:r>
                        <w:rPr>
                          <w:rFonts w:ascii="Verdana" w:hAnsi="Verdana"/>
                          <w:sz w:val="18"/>
                          <w:szCs w:val="18"/>
                        </w:rPr>
                        <w:t xml:space="preserve">Volcano plot illustrating the up- and down-regulated genes in 14 vs 8 months old HET female mice. The horizontal dashed line indicates the cut-off of adjusted p-value &lt;= 0.05. </w:t>
                      </w:r>
                      <w:r w:rsidRPr="00030887">
                        <w:rPr>
                          <w:rFonts w:ascii="Verdana" w:hAnsi="Verdana"/>
                          <w:b/>
                          <w:bCs/>
                          <w:sz w:val="18"/>
                          <w:szCs w:val="18"/>
                        </w:rPr>
                        <w:t>B)</w:t>
                      </w:r>
                      <w:r>
                        <w:rPr>
                          <w:rFonts w:ascii="Verdana" w:hAnsi="Verdana"/>
                          <w:sz w:val="18"/>
                          <w:szCs w:val="18"/>
                        </w:rPr>
                        <w:t xml:space="preserve"> Heatmap showing the gene expression pattern of the 179 DEGs in female mice for both genotypes and all age groups. A clear pattern of gene expression can be identified between 8- and 14-months old WT mice, while the expression is more variable for HET and young WT mice. </w:t>
                      </w:r>
                      <w:r>
                        <w:rPr>
                          <w:rFonts w:ascii="Verdana" w:hAnsi="Verdana"/>
                          <w:b/>
                          <w:bCs/>
                          <w:sz w:val="18"/>
                          <w:szCs w:val="18"/>
                        </w:rPr>
                        <w:t>C</w:t>
                      </w:r>
                      <w:r w:rsidRPr="009F1C8E">
                        <w:rPr>
                          <w:rFonts w:ascii="Verdana" w:hAnsi="Verdana"/>
                          <w:b/>
                          <w:bCs/>
                          <w:sz w:val="18"/>
                          <w:szCs w:val="18"/>
                        </w:rPr>
                        <w:t>)</w:t>
                      </w:r>
                      <w:r>
                        <w:rPr>
                          <w:rFonts w:ascii="Verdana" w:hAnsi="Verdana"/>
                          <w:b/>
                          <w:bCs/>
                          <w:sz w:val="18"/>
                          <w:szCs w:val="18"/>
                        </w:rPr>
                        <w:t xml:space="preserve"> </w:t>
                      </w:r>
                      <w:r w:rsidRPr="008D0759">
                        <w:rPr>
                          <w:rFonts w:ascii="Verdana" w:hAnsi="Verdana"/>
                          <w:sz w:val="18"/>
                          <w:szCs w:val="18"/>
                        </w:rPr>
                        <w:t xml:space="preserve">Top 10 </w:t>
                      </w:r>
                      <w:r>
                        <w:rPr>
                          <w:rFonts w:ascii="Verdana" w:hAnsi="Verdana"/>
                          <w:sz w:val="18"/>
                          <w:szCs w:val="18"/>
                        </w:rPr>
                        <w:t xml:space="preserve">GO terms between </w:t>
                      </w:r>
                      <w:r w:rsidR="001B602F">
                        <w:rPr>
                          <w:rFonts w:ascii="Verdana" w:hAnsi="Verdana"/>
                          <w:sz w:val="18"/>
                          <w:szCs w:val="18"/>
                        </w:rPr>
                        <w:t>14</w:t>
                      </w:r>
                      <w:r>
                        <w:rPr>
                          <w:rFonts w:ascii="Verdana" w:hAnsi="Verdana"/>
                          <w:sz w:val="18"/>
                          <w:szCs w:val="18"/>
                        </w:rPr>
                        <w:t xml:space="preserve">- and </w:t>
                      </w:r>
                      <w:r w:rsidR="001B602F">
                        <w:rPr>
                          <w:rFonts w:ascii="Verdana" w:hAnsi="Verdana"/>
                          <w:sz w:val="18"/>
                          <w:szCs w:val="18"/>
                        </w:rPr>
                        <w:t>8</w:t>
                      </w:r>
                      <w:r>
                        <w:rPr>
                          <w:rFonts w:ascii="Verdana" w:hAnsi="Verdana"/>
                          <w:sz w:val="18"/>
                          <w:szCs w:val="18"/>
                        </w:rPr>
                        <w:t xml:space="preserve">-months old </w:t>
                      </w:r>
                      <w:r w:rsidR="001B602F">
                        <w:rPr>
                          <w:rFonts w:ascii="Verdana" w:hAnsi="Verdana"/>
                          <w:sz w:val="18"/>
                          <w:szCs w:val="18"/>
                        </w:rPr>
                        <w:t xml:space="preserve">WT </w:t>
                      </w:r>
                      <w:r>
                        <w:rPr>
                          <w:rFonts w:ascii="Verdana" w:hAnsi="Verdana"/>
                          <w:sz w:val="18"/>
                          <w:szCs w:val="18"/>
                        </w:rPr>
                        <w:t xml:space="preserve">mice. </w:t>
                      </w:r>
                      <w:r w:rsidRPr="00030887">
                        <w:rPr>
                          <w:rFonts w:ascii="Verdana" w:hAnsi="Verdana"/>
                          <w:b/>
                          <w:bCs/>
                          <w:sz w:val="18"/>
                          <w:szCs w:val="18"/>
                        </w:rPr>
                        <w:t>D)</w:t>
                      </w:r>
                      <w:r>
                        <w:rPr>
                          <w:rFonts w:ascii="Verdana" w:hAnsi="Verdana"/>
                          <w:sz w:val="18"/>
                          <w:szCs w:val="18"/>
                        </w:rPr>
                        <w:t xml:space="preserve"> </w:t>
                      </w:r>
                      <w:r w:rsidR="00B97E26">
                        <w:rPr>
                          <w:rFonts w:ascii="Verdana" w:hAnsi="Verdana"/>
                          <w:sz w:val="18"/>
                          <w:szCs w:val="18"/>
                        </w:rPr>
                        <w:t>Top 15 d</w:t>
                      </w:r>
                      <w:r>
                        <w:rPr>
                          <w:rFonts w:ascii="Verdana" w:hAnsi="Verdana"/>
                          <w:sz w:val="18"/>
                          <w:szCs w:val="18"/>
                        </w:rPr>
                        <w:t xml:space="preserve">eregulated pathways predicted by Ingenuity Pathway Analysis ® “Canonical Pathways”.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6D511DF1" w14:textId="5FAC8135" w:rsidR="00745E90" w:rsidRPr="00B12376" w:rsidRDefault="00745E90" w:rsidP="00B12376">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v:textbox>
                <w10:wrap type="topAndBottom" anchorx="margin"/>
              </v:shape>
            </w:pict>
          </mc:Fallback>
        </mc:AlternateContent>
      </w:r>
      <w:r w:rsidR="00B97E26">
        <w:rPr>
          <w:noProof/>
        </w:rPr>
        <w:drawing>
          <wp:anchor distT="0" distB="0" distL="114300" distR="114300" simplePos="0" relativeHeight="252019712" behindDoc="0" locked="0" layoutInCell="1" allowOverlap="1" wp14:anchorId="581E58CF" wp14:editId="2D0D593F">
            <wp:simplePos x="0" y="0"/>
            <wp:positionH relativeFrom="margin">
              <wp:align>right</wp:align>
            </wp:positionH>
            <wp:positionV relativeFrom="paragraph">
              <wp:posOffset>0</wp:posOffset>
            </wp:positionV>
            <wp:extent cx="5580380" cy="6921500"/>
            <wp:effectExtent l="0" t="0" r="1270" b="0"/>
            <wp:wrapTopAndBottom/>
            <wp:docPr id="66" name="Picture 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graphical user interfac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80380" cy="6921500"/>
                    </a:xfrm>
                    <a:prstGeom prst="rect">
                      <a:avLst/>
                    </a:prstGeom>
                  </pic:spPr>
                </pic:pic>
              </a:graphicData>
            </a:graphic>
          </wp:anchor>
        </w:drawing>
      </w:r>
      <w:r w:rsidR="00745E90">
        <w:rPr>
          <w:rFonts w:ascii="Verdana" w:hAnsi="Verdana"/>
          <w:color w:val="000000" w:themeColor="text1"/>
          <w:lang w:val="en-GB"/>
        </w:rPr>
        <w:br w:type="page"/>
      </w:r>
    </w:p>
    <w:p w14:paraId="02654511" w14:textId="77777777" w:rsidR="0039316D" w:rsidRPr="00902476" w:rsidRDefault="0039316D" w:rsidP="002D410A">
      <w:pPr>
        <w:pStyle w:val="ListParagraph"/>
        <w:numPr>
          <w:ilvl w:val="0"/>
          <w:numId w:val="23"/>
        </w:numPr>
        <w:spacing w:line="360" w:lineRule="auto"/>
        <w:ind w:left="0" w:firstLine="720"/>
        <w:jc w:val="both"/>
        <w:rPr>
          <w:rFonts w:ascii="Verdana" w:hAnsi="Verdana"/>
          <w:color w:val="000000" w:themeColor="text1"/>
          <w:lang w:val="en-GB"/>
        </w:rPr>
      </w:pPr>
      <w:r w:rsidRPr="00902476">
        <w:rPr>
          <w:rFonts w:ascii="Verdana" w:hAnsi="Verdana"/>
          <w:color w:val="000000" w:themeColor="text1"/>
          <w:lang w:val="en-GB"/>
        </w:rPr>
        <w:lastRenderedPageBreak/>
        <w:t>DEGs between 8- and 6-months old HET female mice</w:t>
      </w:r>
    </w:p>
    <w:p w14:paraId="021750E1" w14:textId="0DA4083C" w:rsidR="0039316D" w:rsidRDefault="0039316D" w:rsidP="0039316D">
      <w:pPr>
        <w:pStyle w:val="ListParagraph"/>
        <w:spacing w:line="360" w:lineRule="auto"/>
        <w:ind w:left="0"/>
        <w:jc w:val="both"/>
        <w:rPr>
          <w:rFonts w:ascii="Verdana" w:hAnsi="Verdana"/>
          <w:color w:val="000000" w:themeColor="text1"/>
          <w:lang w:val="en-GB"/>
        </w:rPr>
      </w:pPr>
      <w:r>
        <w:rPr>
          <w:rFonts w:ascii="Verdana" w:hAnsi="Verdana"/>
          <w:color w:val="000000" w:themeColor="text1"/>
          <w:lang w:val="en-GB"/>
        </w:rPr>
        <w:t xml:space="preserve">141 genes </w:t>
      </w:r>
      <w:r w:rsidR="002D410A">
        <w:rPr>
          <w:rFonts w:ascii="Verdana" w:hAnsi="Verdana"/>
          <w:color w:val="000000" w:themeColor="text1"/>
          <w:lang w:val="en-GB"/>
        </w:rPr>
        <w:t>were</w:t>
      </w:r>
      <w:r>
        <w:rPr>
          <w:rFonts w:ascii="Verdana" w:hAnsi="Verdana"/>
          <w:color w:val="000000" w:themeColor="text1"/>
          <w:lang w:val="en-GB"/>
        </w:rPr>
        <w:t xml:space="preserve"> differentially expressed between 8- and 6-months old HET female mice, with </w:t>
      </w:r>
      <w:proofErr w:type="gramStart"/>
      <w:r>
        <w:rPr>
          <w:rFonts w:ascii="Verdana" w:hAnsi="Verdana"/>
          <w:color w:val="000000" w:themeColor="text1"/>
          <w:lang w:val="en-GB"/>
        </w:rPr>
        <w:t>the majority of</w:t>
      </w:r>
      <w:proofErr w:type="gramEnd"/>
      <w:r>
        <w:rPr>
          <w:rFonts w:ascii="Verdana" w:hAnsi="Verdana"/>
          <w:color w:val="000000" w:themeColor="text1"/>
          <w:lang w:val="en-GB"/>
        </w:rPr>
        <w:t xml:space="preserve"> the genes being downregulated at 8-months of age (</w:t>
      </w:r>
      <w:r w:rsidR="00E71EBE">
        <w:rPr>
          <w:rFonts w:ascii="Verdana" w:hAnsi="Verdana"/>
          <w:color w:val="000000" w:themeColor="text1"/>
          <w:lang w:val="en-GB"/>
        </w:rPr>
        <w:t xml:space="preserve">81/141 or </w:t>
      </w:r>
      <w:r w:rsidR="00D567C8">
        <w:rPr>
          <w:rFonts w:ascii="Verdana" w:hAnsi="Verdana"/>
          <w:color w:val="000000" w:themeColor="text1"/>
          <w:lang w:val="en-GB"/>
        </w:rPr>
        <w:t>5</w:t>
      </w:r>
      <w:r w:rsidR="00F36142">
        <w:rPr>
          <w:rFonts w:ascii="Verdana" w:hAnsi="Verdana"/>
          <w:color w:val="000000" w:themeColor="text1"/>
          <w:lang w:val="en-GB"/>
        </w:rPr>
        <w:t>8</w:t>
      </w:r>
      <w:r w:rsidR="00D567C8">
        <w:rPr>
          <w:rFonts w:ascii="Verdana" w:hAnsi="Verdana"/>
          <w:color w:val="000000" w:themeColor="text1"/>
          <w:lang w:val="en-GB"/>
        </w:rPr>
        <w:t>% down-regulated (</w:t>
      </w:r>
      <w:r>
        <w:rPr>
          <w:rFonts w:ascii="Verdana" w:hAnsi="Verdana"/>
          <w:color w:val="000000" w:themeColor="text1"/>
          <w:lang w:val="en-GB"/>
        </w:rPr>
        <w:t xml:space="preserve">Figure </w:t>
      </w:r>
      <w:r w:rsidR="002D410A">
        <w:rPr>
          <w:rFonts w:ascii="Verdana" w:hAnsi="Verdana"/>
          <w:color w:val="000000" w:themeColor="text1"/>
          <w:lang w:val="en-GB"/>
        </w:rPr>
        <w:t>1</w:t>
      </w:r>
      <w:r w:rsidR="00A51282">
        <w:rPr>
          <w:rFonts w:ascii="Verdana" w:hAnsi="Verdana"/>
          <w:color w:val="000000" w:themeColor="text1"/>
          <w:lang w:val="en-GB"/>
        </w:rPr>
        <w:t>6</w:t>
      </w:r>
      <w:r w:rsidR="002D410A">
        <w:rPr>
          <w:rFonts w:ascii="Verdana" w:hAnsi="Verdana"/>
          <w:color w:val="000000" w:themeColor="text1"/>
          <w:lang w:val="en-GB"/>
        </w:rPr>
        <w:t>A</w:t>
      </w:r>
      <w:r w:rsidR="00D567C8">
        <w:rPr>
          <w:rFonts w:ascii="Verdana" w:hAnsi="Verdana"/>
          <w:color w:val="000000" w:themeColor="text1"/>
          <w:lang w:val="en-GB"/>
        </w:rPr>
        <w:t xml:space="preserve">, purple), </w:t>
      </w:r>
      <w:r w:rsidR="00F36142">
        <w:rPr>
          <w:rFonts w:ascii="Verdana" w:hAnsi="Verdana"/>
          <w:color w:val="000000" w:themeColor="text1"/>
          <w:lang w:val="en-GB"/>
        </w:rPr>
        <w:t>60/141 or 42% up-regulated (Figure 1</w:t>
      </w:r>
      <w:r w:rsidR="00A51282">
        <w:rPr>
          <w:rFonts w:ascii="Verdana" w:hAnsi="Verdana"/>
          <w:color w:val="000000" w:themeColor="text1"/>
          <w:lang w:val="en-GB"/>
        </w:rPr>
        <w:t>6</w:t>
      </w:r>
      <w:r w:rsidR="00F36142">
        <w:rPr>
          <w:rFonts w:ascii="Verdana" w:hAnsi="Verdana"/>
          <w:color w:val="000000" w:themeColor="text1"/>
          <w:lang w:val="en-GB"/>
        </w:rPr>
        <w:t>A, orange)</w:t>
      </w:r>
      <w:r>
        <w:rPr>
          <w:rFonts w:ascii="Verdana" w:hAnsi="Verdana"/>
          <w:color w:val="000000" w:themeColor="text1"/>
          <w:lang w:val="en-GB"/>
        </w:rPr>
        <w:t>). WT mice at the same age show a similar expression pattern despite it being weaker, while the expression for the 3- and 14-months old groups in both genotypes is variable and no clear expression pattern can be identified</w:t>
      </w:r>
      <w:r w:rsidR="00F36142">
        <w:rPr>
          <w:rFonts w:ascii="Verdana" w:hAnsi="Verdana"/>
          <w:color w:val="000000" w:themeColor="text1"/>
          <w:lang w:val="en-GB"/>
        </w:rPr>
        <w:t xml:space="preserve"> (Figure 1</w:t>
      </w:r>
      <w:r w:rsidR="00A51282">
        <w:rPr>
          <w:rFonts w:ascii="Verdana" w:hAnsi="Verdana"/>
          <w:color w:val="000000" w:themeColor="text1"/>
          <w:lang w:val="en-GB"/>
        </w:rPr>
        <w:t>6</w:t>
      </w:r>
      <w:r w:rsidR="00F36142">
        <w:rPr>
          <w:rFonts w:ascii="Verdana" w:hAnsi="Verdana"/>
          <w:color w:val="000000" w:themeColor="text1"/>
          <w:lang w:val="en-GB"/>
        </w:rPr>
        <w:t>B)</w:t>
      </w:r>
      <w:r>
        <w:rPr>
          <w:rFonts w:ascii="Verdana" w:hAnsi="Verdana"/>
          <w:color w:val="000000" w:themeColor="text1"/>
          <w:lang w:val="en-GB"/>
        </w:rPr>
        <w:t>. GO terms are enriched for</w:t>
      </w:r>
      <w:r w:rsidR="00F42622">
        <w:rPr>
          <w:rFonts w:ascii="Verdana" w:hAnsi="Verdana"/>
          <w:color w:val="000000" w:themeColor="text1"/>
          <w:lang w:val="en-GB"/>
        </w:rPr>
        <w:t xml:space="preserve"> synapse and component of</w:t>
      </w:r>
      <w:r>
        <w:rPr>
          <w:rFonts w:ascii="Verdana" w:hAnsi="Verdana"/>
          <w:color w:val="000000" w:themeColor="text1"/>
          <w:lang w:val="en-GB"/>
        </w:rPr>
        <w:t xml:space="preserve"> synaptic membrane (Figure 1</w:t>
      </w:r>
      <w:r w:rsidR="00A51282">
        <w:rPr>
          <w:rFonts w:ascii="Verdana" w:hAnsi="Verdana"/>
          <w:color w:val="000000" w:themeColor="text1"/>
          <w:lang w:val="en-GB"/>
        </w:rPr>
        <w:t>6</w:t>
      </w:r>
      <w:r w:rsidR="00F36142">
        <w:rPr>
          <w:rFonts w:ascii="Verdana" w:hAnsi="Verdana"/>
          <w:color w:val="000000" w:themeColor="text1"/>
          <w:lang w:val="en-GB"/>
        </w:rPr>
        <w:t>C</w:t>
      </w:r>
      <w:r>
        <w:rPr>
          <w:rFonts w:ascii="Verdana" w:hAnsi="Verdana"/>
          <w:color w:val="000000" w:themeColor="text1"/>
          <w:lang w:val="en-GB"/>
        </w:rPr>
        <w:t>)</w:t>
      </w:r>
      <w:r w:rsidR="00052266">
        <w:rPr>
          <w:rFonts w:ascii="Verdana" w:hAnsi="Verdana"/>
          <w:color w:val="000000" w:themeColor="text1"/>
          <w:lang w:val="en-GB"/>
        </w:rPr>
        <w:t xml:space="preserve">. </w:t>
      </w:r>
      <w:r w:rsidR="00875665">
        <w:rPr>
          <w:rFonts w:ascii="Verdana" w:hAnsi="Verdana"/>
          <w:color w:val="000000" w:themeColor="text1"/>
          <w:lang w:val="en-GB"/>
        </w:rPr>
        <w:t xml:space="preserve">IPA® predicted the </w:t>
      </w:r>
      <w:r w:rsidR="00A23785">
        <w:rPr>
          <w:rFonts w:ascii="Verdana" w:hAnsi="Verdana"/>
          <w:color w:val="000000" w:themeColor="text1"/>
          <w:lang w:val="en-GB"/>
        </w:rPr>
        <w:t>inhibition</w:t>
      </w:r>
      <w:r w:rsidR="00875665">
        <w:rPr>
          <w:rFonts w:ascii="Verdana" w:hAnsi="Verdana"/>
          <w:color w:val="000000" w:themeColor="text1"/>
          <w:lang w:val="en-GB"/>
        </w:rPr>
        <w:t xml:space="preserve"> of Synapt</w:t>
      </w:r>
      <w:r w:rsidR="006400E5">
        <w:rPr>
          <w:rFonts w:ascii="Verdana" w:hAnsi="Verdana"/>
          <w:color w:val="000000" w:themeColor="text1"/>
          <w:lang w:val="en-GB"/>
        </w:rPr>
        <w:t>ogenesis</w:t>
      </w:r>
      <w:r w:rsidR="00875665">
        <w:rPr>
          <w:rFonts w:ascii="Verdana" w:hAnsi="Verdana"/>
          <w:color w:val="000000" w:themeColor="text1"/>
          <w:lang w:val="en-GB"/>
        </w:rPr>
        <w:t xml:space="preserve"> Signalling</w:t>
      </w:r>
      <w:r w:rsidR="00A23785">
        <w:rPr>
          <w:rFonts w:ascii="Verdana" w:hAnsi="Verdana"/>
          <w:color w:val="000000" w:themeColor="text1"/>
          <w:lang w:val="en-GB"/>
        </w:rPr>
        <w:t xml:space="preserve"> following the downregulation of NMDA and Ephrin receptors</w:t>
      </w:r>
      <w:r w:rsidR="00875665">
        <w:rPr>
          <w:rFonts w:ascii="Verdana" w:hAnsi="Verdana"/>
          <w:color w:val="000000" w:themeColor="text1"/>
          <w:lang w:val="en-GB"/>
        </w:rPr>
        <w:t xml:space="preserve"> as the most impaired process</w:t>
      </w:r>
      <w:r w:rsidR="00052266">
        <w:rPr>
          <w:rFonts w:ascii="Verdana" w:hAnsi="Verdana"/>
          <w:color w:val="000000" w:themeColor="text1"/>
          <w:lang w:val="en-GB"/>
        </w:rPr>
        <w:t>, while Calcium Signalling appears to be up-regulated, possibly as a compensatory mechanism to the occurring synaptic dysfunction (Figure 1</w:t>
      </w:r>
      <w:r w:rsidR="00A51282">
        <w:rPr>
          <w:rFonts w:ascii="Verdana" w:hAnsi="Verdana"/>
          <w:color w:val="000000" w:themeColor="text1"/>
          <w:lang w:val="en-GB"/>
        </w:rPr>
        <w:t>6</w:t>
      </w:r>
      <w:r w:rsidR="00431A90">
        <w:rPr>
          <w:rFonts w:ascii="Verdana" w:hAnsi="Verdana"/>
          <w:color w:val="000000" w:themeColor="text1"/>
          <w:lang w:val="en-GB"/>
        </w:rPr>
        <w:t>D</w:t>
      </w:r>
      <w:r w:rsidR="00052266">
        <w:rPr>
          <w:rFonts w:ascii="Verdana" w:hAnsi="Verdana"/>
          <w:color w:val="000000" w:themeColor="text1"/>
          <w:lang w:val="en-GB"/>
        </w:rPr>
        <w:t>).</w:t>
      </w:r>
      <w:r w:rsidR="00967833">
        <w:rPr>
          <w:rFonts w:ascii="Verdana" w:hAnsi="Verdana"/>
          <w:color w:val="000000" w:themeColor="text1"/>
          <w:lang w:val="en-GB"/>
        </w:rPr>
        <w:t xml:space="preserve"> Other relevant</w:t>
      </w:r>
      <w:r w:rsidR="00553E23">
        <w:rPr>
          <w:rFonts w:ascii="Verdana" w:hAnsi="Verdana"/>
          <w:color w:val="000000" w:themeColor="text1"/>
          <w:lang w:val="en-GB"/>
        </w:rPr>
        <w:t xml:space="preserve"> </w:t>
      </w:r>
      <w:r w:rsidR="008843A8">
        <w:rPr>
          <w:rFonts w:ascii="Verdana" w:hAnsi="Verdana"/>
          <w:color w:val="000000" w:themeColor="text1"/>
          <w:lang w:val="en-GB"/>
        </w:rPr>
        <w:t xml:space="preserve">findings included the predicted inhibition of </w:t>
      </w:r>
      <w:r w:rsidR="00553E23">
        <w:rPr>
          <w:rFonts w:ascii="Verdana" w:hAnsi="Verdana"/>
          <w:color w:val="000000" w:themeColor="text1"/>
          <w:lang w:val="en-GB"/>
        </w:rPr>
        <w:t>GPCR signalling</w:t>
      </w:r>
      <w:r w:rsidR="008843A8">
        <w:rPr>
          <w:rFonts w:ascii="Verdana" w:hAnsi="Verdana"/>
          <w:color w:val="000000" w:themeColor="text1"/>
          <w:lang w:val="en-GB"/>
        </w:rPr>
        <w:t xml:space="preserve">, </w:t>
      </w:r>
      <w:r w:rsidR="006F6941">
        <w:rPr>
          <w:rFonts w:ascii="Verdana" w:hAnsi="Verdana"/>
          <w:color w:val="000000" w:themeColor="text1"/>
          <w:lang w:val="en-GB"/>
        </w:rPr>
        <w:t>a pathway</w:t>
      </w:r>
      <w:r w:rsidR="00EE042F">
        <w:rPr>
          <w:rFonts w:ascii="Verdana" w:hAnsi="Verdana"/>
          <w:color w:val="000000" w:themeColor="text1"/>
          <w:lang w:val="en-GB"/>
        </w:rPr>
        <w:t xml:space="preserve"> w</w:t>
      </w:r>
      <w:r w:rsidR="00CF5418">
        <w:rPr>
          <w:rFonts w:ascii="Verdana" w:hAnsi="Verdana"/>
          <w:color w:val="000000" w:themeColor="text1"/>
          <w:lang w:val="en-GB"/>
        </w:rPr>
        <w:t>hose</w:t>
      </w:r>
      <w:r w:rsidR="00EE042F">
        <w:rPr>
          <w:rFonts w:ascii="Verdana" w:hAnsi="Verdana"/>
          <w:color w:val="000000" w:themeColor="text1"/>
          <w:lang w:val="en-GB"/>
        </w:rPr>
        <w:t xml:space="preserve"> deregulat</w:t>
      </w:r>
      <w:r w:rsidR="00CF5418">
        <w:rPr>
          <w:rFonts w:ascii="Verdana" w:hAnsi="Verdana"/>
          <w:color w:val="000000" w:themeColor="text1"/>
          <w:lang w:val="en-GB"/>
        </w:rPr>
        <w:t>ion</w:t>
      </w:r>
      <w:r w:rsidR="00EE042F">
        <w:rPr>
          <w:rFonts w:ascii="Verdana" w:hAnsi="Verdana"/>
          <w:color w:val="000000" w:themeColor="text1"/>
          <w:lang w:val="en-GB"/>
        </w:rPr>
        <w:t xml:space="preserve"> with ageing </w:t>
      </w:r>
      <w:r w:rsidR="00CF5418">
        <w:rPr>
          <w:rFonts w:ascii="Verdana" w:hAnsi="Verdana"/>
          <w:color w:val="000000" w:themeColor="text1"/>
          <w:lang w:val="en-GB"/>
        </w:rPr>
        <w:t>results in</w:t>
      </w:r>
      <w:r w:rsidR="00EE042F">
        <w:rPr>
          <w:rFonts w:ascii="Verdana" w:hAnsi="Verdana"/>
          <w:color w:val="000000" w:themeColor="text1"/>
          <w:lang w:val="en-GB"/>
        </w:rPr>
        <w:t xml:space="preserve"> </w:t>
      </w:r>
      <w:r w:rsidR="00CF5418">
        <w:rPr>
          <w:rFonts w:ascii="Verdana" w:hAnsi="Verdana"/>
          <w:color w:val="000000" w:themeColor="text1"/>
          <w:lang w:val="en-GB"/>
        </w:rPr>
        <w:t>increased vulnerability to neurodegenerative pathologies; and the predicted inhibition of c-AMP-mediated</w:t>
      </w:r>
      <w:r w:rsidR="008D1DE3">
        <w:rPr>
          <w:rFonts w:ascii="Verdana" w:hAnsi="Verdana"/>
          <w:color w:val="000000" w:themeColor="text1"/>
          <w:lang w:val="en-GB"/>
        </w:rPr>
        <w:t xml:space="preserve"> signalling</w:t>
      </w:r>
      <w:r w:rsidR="00CF5418">
        <w:rPr>
          <w:rFonts w:ascii="Verdana" w:hAnsi="Verdana"/>
          <w:color w:val="000000" w:themeColor="text1"/>
          <w:lang w:val="en-GB"/>
        </w:rPr>
        <w:t xml:space="preserve"> and CREB signalling</w:t>
      </w:r>
      <w:r w:rsidR="001F25FF">
        <w:rPr>
          <w:rFonts w:ascii="Verdana" w:hAnsi="Verdana"/>
          <w:color w:val="000000" w:themeColor="text1"/>
          <w:lang w:val="en-GB"/>
        </w:rPr>
        <w:t xml:space="preserve">, known to mediate </w:t>
      </w:r>
      <w:r w:rsidR="00F47CCD">
        <w:rPr>
          <w:rFonts w:ascii="Verdana" w:hAnsi="Verdana"/>
          <w:color w:val="000000" w:themeColor="text1"/>
          <w:lang w:val="en-GB"/>
        </w:rPr>
        <w:t xml:space="preserve">hippocampal function and memory formation through </w:t>
      </w:r>
      <w:r w:rsidR="00362658">
        <w:rPr>
          <w:rFonts w:ascii="Verdana" w:hAnsi="Verdana"/>
          <w:color w:val="000000" w:themeColor="text1"/>
          <w:lang w:val="en-GB"/>
        </w:rPr>
        <w:t>its involvement in synaptic plasticity.</w:t>
      </w:r>
    </w:p>
    <w:p w14:paraId="538687F4" w14:textId="77777777" w:rsidR="0039316D" w:rsidRDefault="0039316D" w:rsidP="0039316D">
      <w:pPr>
        <w:pStyle w:val="ListParagraph"/>
        <w:spacing w:line="360" w:lineRule="auto"/>
        <w:ind w:left="0"/>
        <w:jc w:val="both"/>
        <w:rPr>
          <w:rFonts w:ascii="Verdana" w:hAnsi="Verdana"/>
          <w:color w:val="000000" w:themeColor="text1"/>
          <w:lang w:val="en-GB"/>
        </w:rPr>
      </w:pPr>
    </w:p>
    <w:p w14:paraId="6B1A7FAA" w14:textId="77777777" w:rsidR="0039316D" w:rsidRPr="00902476" w:rsidRDefault="0039316D" w:rsidP="002D410A">
      <w:pPr>
        <w:pStyle w:val="ListParagraph"/>
        <w:numPr>
          <w:ilvl w:val="0"/>
          <w:numId w:val="23"/>
        </w:numPr>
        <w:spacing w:line="360" w:lineRule="auto"/>
        <w:ind w:left="0" w:firstLine="720"/>
        <w:jc w:val="both"/>
        <w:rPr>
          <w:rFonts w:ascii="Verdana" w:hAnsi="Verdana"/>
          <w:color w:val="000000" w:themeColor="text1"/>
          <w:lang w:val="en-GB"/>
        </w:rPr>
      </w:pPr>
      <w:r w:rsidRPr="00902476">
        <w:rPr>
          <w:rFonts w:ascii="Verdana" w:hAnsi="Verdana"/>
          <w:color w:val="000000" w:themeColor="text1"/>
          <w:lang w:val="en-GB"/>
        </w:rPr>
        <w:t>DEGs between 14- and 8-months old HET female mice</w:t>
      </w:r>
    </w:p>
    <w:p w14:paraId="72A081C2" w14:textId="075BA4FF" w:rsidR="0039316D" w:rsidRDefault="0039316D" w:rsidP="0039316D">
      <w:pPr>
        <w:spacing w:line="360" w:lineRule="auto"/>
        <w:jc w:val="both"/>
        <w:rPr>
          <w:rFonts w:ascii="Verdana" w:hAnsi="Verdana"/>
          <w:color w:val="000000" w:themeColor="text1"/>
          <w:lang w:val="en-GB"/>
        </w:rPr>
      </w:pPr>
      <w:r>
        <w:rPr>
          <w:rFonts w:ascii="Verdana" w:hAnsi="Verdana"/>
          <w:color w:val="000000" w:themeColor="text1"/>
          <w:lang w:val="en-GB"/>
        </w:rPr>
        <w:t xml:space="preserve">67 genes </w:t>
      </w:r>
      <w:r w:rsidR="00A23785">
        <w:rPr>
          <w:rFonts w:ascii="Verdana" w:hAnsi="Verdana"/>
          <w:color w:val="000000" w:themeColor="text1"/>
          <w:lang w:val="en-GB"/>
        </w:rPr>
        <w:t>were</w:t>
      </w:r>
      <w:r>
        <w:rPr>
          <w:rFonts w:ascii="Verdana" w:hAnsi="Verdana"/>
          <w:color w:val="000000" w:themeColor="text1"/>
          <w:lang w:val="en-GB"/>
        </w:rPr>
        <w:t xml:space="preserve"> differentially expressed between female HET mice at 14- and 8-months of age. Most of the genes appear to be downregulated </w:t>
      </w:r>
      <w:r w:rsidR="00CF7EB0">
        <w:rPr>
          <w:rFonts w:ascii="Verdana" w:hAnsi="Verdana"/>
          <w:color w:val="000000" w:themeColor="text1"/>
          <w:lang w:val="en-GB"/>
        </w:rPr>
        <w:t xml:space="preserve">in 14-months old mice compared to their younger littermates </w:t>
      </w:r>
      <w:r>
        <w:rPr>
          <w:rFonts w:ascii="Verdana" w:hAnsi="Verdana"/>
          <w:color w:val="000000" w:themeColor="text1"/>
          <w:lang w:val="en-GB"/>
        </w:rPr>
        <w:t>(</w:t>
      </w:r>
      <w:r w:rsidR="00C66E6F">
        <w:rPr>
          <w:rFonts w:ascii="Verdana" w:hAnsi="Verdana"/>
          <w:color w:val="000000" w:themeColor="text1"/>
          <w:lang w:val="en-GB"/>
        </w:rPr>
        <w:t>50/67 or 75% down-regulated (</w:t>
      </w:r>
      <w:r>
        <w:rPr>
          <w:rFonts w:ascii="Verdana" w:hAnsi="Verdana"/>
          <w:color w:val="000000" w:themeColor="text1"/>
          <w:lang w:val="en-GB"/>
        </w:rPr>
        <w:t>Figure 1</w:t>
      </w:r>
      <w:r w:rsidR="00A51282">
        <w:rPr>
          <w:rFonts w:ascii="Verdana" w:hAnsi="Verdana"/>
          <w:color w:val="000000" w:themeColor="text1"/>
          <w:lang w:val="en-GB"/>
        </w:rPr>
        <w:t>7</w:t>
      </w:r>
      <w:r w:rsidR="00A23785">
        <w:rPr>
          <w:rFonts w:ascii="Verdana" w:hAnsi="Verdana"/>
          <w:color w:val="000000" w:themeColor="text1"/>
          <w:lang w:val="en-GB"/>
        </w:rPr>
        <w:t>A</w:t>
      </w:r>
      <w:r w:rsidR="00C66E6F">
        <w:rPr>
          <w:rFonts w:ascii="Verdana" w:hAnsi="Verdana"/>
          <w:color w:val="000000" w:themeColor="text1"/>
          <w:lang w:val="en-GB"/>
        </w:rPr>
        <w:t xml:space="preserve">, purple), 17/67 or </w:t>
      </w:r>
      <w:r w:rsidR="00305282">
        <w:rPr>
          <w:rFonts w:ascii="Verdana" w:hAnsi="Verdana"/>
          <w:color w:val="000000" w:themeColor="text1"/>
          <w:lang w:val="en-GB"/>
        </w:rPr>
        <w:t>25% up-regulated (Figure 1</w:t>
      </w:r>
      <w:r w:rsidR="00A51282">
        <w:rPr>
          <w:rFonts w:ascii="Verdana" w:hAnsi="Verdana"/>
          <w:color w:val="000000" w:themeColor="text1"/>
          <w:lang w:val="en-GB"/>
        </w:rPr>
        <w:t>7</w:t>
      </w:r>
      <w:r w:rsidR="00305282">
        <w:rPr>
          <w:rFonts w:ascii="Verdana" w:hAnsi="Verdana"/>
          <w:color w:val="000000" w:themeColor="text1"/>
          <w:lang w:val="en-GB"/>
        </w:rPr>
        <w:t>A, orange)</w:t>
      </w:r>
      <w:r>
        <w:rPr>
          <w:rFonts w:ascii="Verdana" w:hAnsi="Verdana"/>
          <w:color w:val="000000" w:themeColor="text1"/>
          <w:lang w:val="en-GB"/>
        </w:rPr>
        <w:t xml:space="preserve">). Aged HET female mice samples cluster well together, and the switch in the expression can be easily visualized when plotting these DEGs (Figure </w:t>
      </w:r>
      <w:r w:rsidR="00BD0AD3">
        <w:rPr>
          <w:rFonts w:ascii="Verdana" w:hAnsi="Verdana"/>
          <w:color w:val="000000" w:themeColor="text1"/>
          <w:lang w:val="en-GB"/>
        </w:rPr>
        <w:t>1</w:t>
      </w:r>
      <w:r w:rsidR="00A51282">
        <w:rPr>
          <w:rFonts w:ascii="Verdana" w:hAnsi="Verdana"/>
          <w:color w:val="000000" w:themeColor="text1"/>
          <w:lang w:val="en-GB"/>
        </w:rPr>
        <w:t>7</w:t>
      </w:r>
      <w:r w:rsidR="00BD0AD3">
        <w:rPr>
          <w:rFonts w:ascii="Verdana" w:hAnsi="Verdana"/>
          <w:color w:val="000000" w:themeColor="text1"/>
          <w:lang w:val="en-GB"/>
        </w:rPr>
        <w:t>B</w:t>
      </w:r>
      <w:r>
        <w:rPr>
          <w:rFonts w:ascii="Verdana" w:hAnsi="Verdana"/>
          <w:color w:val="000000" w:themeColor="text1"/>
          <w:lang w:val="en-GB"/>
        </w:rPr>
        <w:t>). Gene expression is not as consistent in young HET mice and in WT mice at all ages, with no clear expression pattern visible and high intra-group variability</w:t>
      </w:r>
      <w:r w:rsidR="00103DA9">
        <w:rPr>
          <w:rFonts w:ascii="Verdana" w:hAnsi="Verdana"/>
          <w:color w:val="000000" w:themeColor="text1"/>
          <w:lang w:val="en-GB"/>
        </w:rPr>
        <w:t xml:space="preserve"> (Figure 1</w:t>
      </w:r>
      <w:r w:rsidR="00A51282">
        <w:rPr>
          <w:rFonts w:ascii="Verdana" w:hAnsi="Verdana"/>
          <w:color w:val="000000" w:themeColor="text1"/>
          <w:lang w:val="en-GB"/>
        </w:rPr>
        <w:t>7</w:t>
      </w:r>
      <w:r w:rsidR="00BD0AD3">
        <w:rPr>
          <w:rFonts w:ascii="Verdana" w:hAnsi="Verdana"/>
          <w:color w:val="000000" w:themeColor="text1"/>
          <w:lang w:val="en-GB"/>
        </w:rPr>
        <w:t>B</w:t>
      </w:r>
      <w:r w:rsidR="00103DA9">
        <w:rPr>
          <w:rFonts w:ascii="Verdana" w:hAnsi="Verdana"/>
          <w:color w:val="000000" w:themeColor="text1"/>
          <w:lang w:val="en-GB"/>
        </w:rPr>
        <w:t>)</w:t>
      </w:r>
      <w:r>
        <w:rPr>
          <w:rFonts w:ascii="Verdana" w:hAnsi="Verdana"/>
          <w:color w:val="000000" w:themeColor="text1"/>
          <w:lang w:val="en-GB"/>
        </w:rPr>
        <w:t>. The top 10 GO terms detected were associated with synaptic</w:t>
      </w:r>
      <w:r w:rsidR="00055A67">
        <w:rPr>
          <w:rFonts w:ascii="Verdana" w:hAnsi="Verdana"/>
          <w:color w:val="000000" w:themeColor="text1"/>
          <w:lang w:val="en-GB"/>
        </w:rPr>
        <w:t xml:space="preserve"> and</w:t>
      </w:r>
      <w:r>
        <w:rPr>
          <w:rFonts w:ascii="Verdana" w:hAnsi="Verdana"/>
          <w:color w:val="000000" w:themeColor="text1"/>
          <w:lang w:val="en-GB"/>
        </w:rPr>
        <w:t xml:space="preserve"> axonal</w:t>
      </w:r>
      <w:r w:rsidR="00055A67">
        <w:rPr>
          <w:rFonts w:ascii="Verdana" w:hAnsi="Verdana"/>
          <w:color w:val="000000" w:themeColor="text1"/>
          <w:lang w:val="en-GB"/>
        </w:rPr>
        <w:t xml:space="preserve"> function</w:t>
      </w:r>
      <w:r>
        <w:rPr>
          <w:rFonts w:ascii="Verdana" w:hAnsi="Verdana"/>
          <w:color w:val="000000" w:themeColor="text1"/>
          <w:lang w:val="en-GB"/>
        </w:rPr>
        <w:t xml:space="preserve">, and neuronal </w:t>
      </w:r>
      <w:r w:rsidR="00055A67">
        <w:rPr>
          <w:rFonts w:ascii="Verdana" w:hAnsi="Verdana"/>
          <w:color w:val="000000" w:themeColor="text1"/>
          <w:lang w:val="en-GB"/>
        </w:rPr>
        <w:t>projection</w:t>
      </w:r>
      <w:r w:rsidRPr="00A4040C">
        <w:rPr>
          <w:rFonts w:ascii="Verdana" w:hAnsi="Verdana"/>
          <w:color w:val="000000" w:themeColor="text1"/>
          <w:lang w:val="en-GB"/>
        </w:rPr>
        <w:t xml:space="preserve"> (Figure 1</w:t>
      </w:r>
      <w:r w:rsidR="00A51282">
        <w:rPr>
          <w:rFonts w:ascii="Verdana" w:hAnsi="Verdana"/>
          <w:color w:val="000000" w:themeColor="text1"/>
          <w:lang w:val="en-GB"/>
        </w:rPr>
        <w:t>7</w:t>
      </w:r>
      <w:r w:rsidR="00BD0AD3">
        <w:rPr>
          <w:rFonts w:ascii="Verdana" w:hAnsi="Verdana"/>
          <w:color w:val="000000" w:themeColor="text1"/>
          <w:lang w:val="en-GB"/>
        </w:rPr>
        <w:t>C</w:t>
      </w:r>
      <w:r w:rsidRPr="00A4040C">
        <w:rPr>
          <w:rFonts w:ascii="Verdana" w:hAnsi="Verdana"/>
          <w:color w:val="000000" w:themeColor="text1"/>
          <w:lang w:val="en-GB"/>
        </w:rPr>
        <w:t>).</w:t>
      </w:r>
      <w:r>
        <w:rPr>
          <w:rFonts w:ascii="Verdana" w:hAnsi="Verdana"/>
          <w:color w:val="000000" w:themeColor="text1"/>
          <w:lang w:val="en-GB"/>
        </w:rPr>
        <w:t xml:space="preserve"> </w:t>
      </w:r>
      <w:r w:rsidR="00BD0AD3">
        <w:rPr>
          <w:rFonts w:ascii="Verdana" w:hAnsi="Verdana"/>
          <w:color w:val="000000" w:themeColor="text1"/>
          <w:lang w:val="en-GB"/>
        </w:rPr>
        <w:t>Only</w:t>
      </w:r>
      <w:r w:rsidR="009328C3">
        <w:rPr>
          <w:rFonts w:ascii="Verdana" w:hAnsi="Verdana"/>
          <w:color w:val="000000" w:themeColor="text1"/>
          <w:lang w:val="en-GB"/>
        </w:rPr>
        <w:t xml:space="preserve"> the </w:t>
      </w:r>
      <w:proofErr w:type="gramStart"/>
      <w:r w:rsidR="009328C3">
        <w:rPr>
          <w:rFonts w:ascii="Verdana" w:hAnsi="Verdana"/>
          <w:color w:val="000000" w:themeColor="text1"/>
          <w:lang w:val="en-GB"/>
        </w:rPr>
        <w:t>down-regulation</w:t>
      </w:r>
      <w:proofErr w:type="gramEnd"/>
      <w:r w:rsidR="009328C3">
        <w:rPr>
          <w:rFonts w:ascii="Verdana" w:hAnsi="Verdana"/>
          <w:color w:val="000000" w:themeColor="text1"/>
          <w:lang w:val="en-GB"/>
        </w:rPr>
        <w:t xml:space="preserve"> of</w:t>
      </w:r>
      <w:r w:rsidR="00BD0AD3">
        <w:rPr>
          <w:rFonts w:ascii="Verdana" w:hAnsi="Verdana"/>
          <w:color w:val="000000" w:themeColor="text1"/>
          <w:lang w:val="en-GB"/>
        </w:rPr>
        <w:t xml:space="preserve"> one gene</w:t>
      </w:r>
      <w:r w:rsidR="0075588C">
        <w:rPr>
          <w:rFonts w:ascii="Verdana" w:hAnsi="Verdana"/>
          <w:color w:val="000000" w:themeColor="text1"/>
          <w:lang w:val="en-GB"/>
        </w:rPr>
        <w:t xml:space="preserve"> (</w:t>
      </w:r>
      <w:r w:rsidR="003437D5" w:rsidRPr="003437D5">
        <w:rPr>
          <w:rFonts w:ascii="Verdana" w:hAnsi="Verdana"/>
          <w:color w:val="000000" w:themeColor="text1"/>
          <w:lang w:val="en-GB"/>
        </w:rPr>
        <w:t>Cell Migration Inducing Hyaluronidase 1</w:t>
      </w:r>
      <w:r w:rsidR="003437D5">
        <w:rPr>
          <w:rFonts w:ascii="Verdana" w:hAnsi="Verdana"/>
          <w:color w:val="000000" w:themeColor="text1"/>
          <w:lang w:val="en-GB"/>
        </w:rPr>
        <w:t xml:space="preserve"> (</w:t>
      </w:r>
      <w:proofErr w:type="spellStart"/>
      <w:r w:rsidR="00155F87">
        <w:rPr>
          <w:rFonts w:ascii="Verdana" w:hAnsi="Verdana"/>
          <w:color w:val="000000" w:themeColor="text1"/>
          <w:lang w:val="en-GB"/>
        </w:rPr>
        <w:t>Cemip</w:t>
      </w:r>
      <w:proofErr w:type="spellEnd"/>
      <w:r w:rsidR="003437D5">
        <w:rPr>
          <w:rFonts w:ascii="Verdana" w:hAnsi="Verdana"/>
          <w:color w:val="000000" w:themeColor="text1"/>
          <w:lang w:val="en-GB"/>
        </w:rPr>
        <w:t>))</w:t>
      </w:r>
      <w:r>
        <w:rPr>
          <w:rFonts w:ascii="Verdana" w:hAnsi="Verdana"/>
          <w:color w:val="000000" w:themeColor="text1"/>
          <w:lang w:val="en-GB"/>
        </w:rPr>
        <w:t xml:space="preserve"> </w:t>
      </w:r>
      <w:r w:rsidR="0075588C">
        <w:rPr>
          <w:rFonts w:ascii="Verdana" w:hAnsi="Verdana"/>
          <w:color w:val="000000" w:themeColor="text1"/>
          <w:lang w:val="en-GB"/>
        </w:rPr>
        <w:t xml:space="preserve">was shared </w:t>
      </w:r>
      <w:r>
        <w:rPr>
          <w:rFonts w:ascii="Verdana" w:hAnsi="Verdana"/>
          <w:color w:val="000000" w:themeColor="text1"/>
          <w:lang w:val="en-GB"/>
        </w:rPr>
        <w:t>between these 67 DEGs and the 179 DEGs identified in the WT mice at the same timepoin</w:t>
      </w:r>
      <w:r w:rsidR="0075588C">
        <w:rPr>
          <w:rFonts w:ascii="Verdana" w:hAnsi="Verdana"/>
          <w:color w:val="000000" w:themeColor="text1"/>
          <w:lang w:val="en-GB"/>
        </w:rPr>
        <w:t>t</w:t>
      </w:r>
      <w:r>
        <w:rPr>
          <w:rFonts w:ascii="Verdana" w:hAnsi="Verdana"/>
          <w:color w:val="000000" w:themeColor="text1"/>
          <w:lang w:val="en-GB"/>
        </w:rPr>
        <w:t>, indicating that different processes might be involved in the ageing of HET versus WT mice.</w:t>
      </w:r>
      <w:r w:rsidR="00103DA9">
        <w:rPr>
          <w:rFonts w:ascii="Verdana" w:hAnsi="Verdana"/>
          <w:color w:val="000000" w:themeColor="text1"/>
          <w:lang w:val="en-GB"/>
        </w:rPr>
        <w:t xml:space="preserve"> Once again IPA® predicted </w:t>
      </w:r>
      <w:r w:rsidR="004526F6">
        <w:rPr>
          <w:rFonts w:ascii="Verdana" w:hAnsi="Verdana"/>
          <w:color w:val="000000" w:themeColor="text1"/>
          <w:lang w:val="en-GB"/>
        </w:rPr>
        <w:t>inhibition</w:t>
      </w:r>
      <w:r w:rsidR="00103DA9">
        <w:rPr>
          <w:rFonts w:ascii="Verdana" w:hAnsi="Verdana"/>
          <w:color w:val="000000" w:themeColor="text1"/>
          <w:lang w:val="en-GB"/>
        </w:rPr>
        <w:t xml:space="preserve"> of </w:t>
      </w:r>
      <w:r w:rsidR="00103DA9">
        <w:rPr>
          <w:rFonts w:ascii="Verdana" w:hAnsi="Verdana"/>
          <w:color w:val="000000" w:themeColor="text1"/>
          <w:lang w:val="en-GB"/>
        </w:rPr>
        <w:lastRenderedPageBreak/>
        <w:t>Synaptogenesis Signalling</w:t>
      </w:r>
      <w:r w:rsidR="0030479F">
        <w:rPr>
          <w:rFonts w:ascii="Verdana" w:hAnsi="Verdana"/>
          <w:color w:val="000000" w:themeColor="text1"/>
          <w:lang w:val="en-GB"/>
        </w:rPr>
        <w:t xml:space="preserve"> pathway</w:t>
      </w:r>
      <w:r w:rsidR="005E703B">
        <w:rPr>
          <w:rFonts w:ascii="Verdana" w:hAnsi="Verdana"/>
          <w:color w:val="000000" w:themeColor="text1"/>
          <w:lang w:val="en-GB"/>
        </w:rPr>
        <w:t xml:space="preserve"> and </w:t>
      </w:r>
      <w:r w:rsidR="00152948">
        <w:rPr>
          <w:rFonts w:ascii="Verdana" w:hAnsi="Verdana"/>
          <w:color w:val="000000" w:themeColor="text1"/>
          <w:lang w:val="en-GB"/>
        </w:rPr>
        <w:t>Synaptic Long-Term Potentiation</w:t>
      </w:r>
      <w:r w:rsidR="005E703B">
        <w:rPr>
          <w:rFonts w:ascii="Verdana" w:hAnsi="Verdana"/>
          <w:color w:val="000000" w:themeColor="text1"/>
          <w:lang w:val="en-GB"/>
        </w:rPr>
        <w:t>, accompanied by predicted inhibition of c-AMP and GPCR signalling</w:t>
      </w:r>
      <w:r w:rsidR="00152948">
        <w:rPr>
          <w:rFonts w:ascii="Verdana" w:hAnsi="Verdana"/>
          <w:color w:val="000000" w:themeColor="text1"/>
          <w:lang w:val="en-GB"/>
        </w:rPr>
        <w:t xml:space="preserve"> (Figure 1</w:t>
      </w:r>
      <w:r w:rsidR="00A51282">
        <w:rPr>
          <w:rFonts w:ascii="Verdana" w:hAnsi="Verdana"/>
          <w:color w:val="000000" w:themeColor="text1"/>
          <w:lang w:val="en-GB"/>
        </w:rPr>
        <w:t>7</w:t>
      </w:r>
      <w:r w:rsidR="003A7A15">
        <w:rPr>
          <w:rFonts w:ascii="Verdana" w:hAnsi="Verdana"/>
          <w:color w:val="000000" w:themeColor="text1"/>
          <w:lang w:val="en-GB"/>
        </w:rPr>
        <w:t>D</w:t>
      </w:r>
      <w:r w:rsidR="00152948">
        <w:rPr>
          <w:rFonts w:ascii="Verdana" w:hAnsi="Verdana"/>
          <w:color w:val="000000" w:themeColor="text1"/>
          <w:lang w:val="en-GB"/>
        </w:rPr>
        <w:t>)</w:t>
      </w:r>
      <w:r w:rsidR="000651E5">
        <w:rPr>
          <w:rFonts w:ascii="Verdana" w:hAnsi="Verdana"/>
          <w:color w:val="000000" w:themeColor="text1"/>
          <w:lang w:val="en-GB"/>
        </w:rPr>
        <w:t>. These predictions were mostly</w:t>
      </w:r>
      <w:r w:rsidR="008B1E0E">
        <w:rPr>
          <w:rFonts w:ascii="Verdana" w:hAnsi="Verdana"/>
          <w:color w:val="000000" w:themeColor="text1"/>
          <w:lang w:val="en-GB"/>
        </w:rPr>
        <w:t xml:space="preserve"> linked to</w:t>
      </w:r>
      <w:r w:rsidR="00673A76">
        <w:rPr>
          <w:rFonts w:ascii="Verdana" w:hAnsi="Verdana"/>
          <w:color w:val="000000" w:themeColor="text1"/>
          <w:lang w:val="en-GB"/>
        </w:rPr>
        <w:t xml:space="preserve"> the</w:t>
      </w:r>
      <w:r w:rsidR="008B1E0E">
        <w:rPr>
          <w:rFonts w:ascii="Verdana" w:hAnsi="Verdana"/>
          <w:color w:val="000000" w:themeColor="text1"/>
          <w:lang w:val="en-GB"/>
        </w:rPr>
        <w:t xml:space="preserve"> </w:t>
      </w:r>
      <w:r w:rsidR="00A37C3F">
        <w:rPr>
          <w:rFonts w:ascii="Verdana" w:hAnsi="Verdana"/>
          <w:lang w:val="en-GB"/>
        </w:rPr>
        <w:t>downregulation</w:t>
      </w:r>
      <w:r w:rsidR="008B1E0E" w:rsidRPr="00A37C3F">
        <w:rPr>
          <w:rFonts w:ascii="Verdana" w:hAnsi="Verdana"/>
          <w:lang w:val="en-GB"/>
        </w:rPr>
        <w:t xml:space="preserve"> </w:t>
      </w:r>
      <w:r w:rsidR="008B1E0E">
        <w:rPr>
          <w:rFonts w:ascii="Verdana" w:hAnsi="Verdana"/>
          <w:color w:val="000000" w:themeColor="text1"/>
          <w:lang w:val="en-GB"/>
        </w:rPr>
        <w:t>of calcium/calmodulin</w:t>
      </w:r>
      <w:r w:rsidR="00A37C3F">
        <w:rPr>
          <w:rFonts w:ascii="Verdana" w:hAnsi="Verdana"/>
          <w:color w:val="000000" w:themeColor="text1"/>
          <w:lang w:val="en-GB"/>
        </w:rPr>
        <w:t>-dependent protein kinase</w:t>
      </w:r>
      <w:r w:rsidR="008B1E0E">
        <w:rPr>
          <w:rFonts w:ascii="Verdana" w:hAnsi="Verdana"/>
          <w:color w:val="000000" w:themeColor="text1"/>
          <w:lang w:val="en-GB"/>
        </w:rPr>
        <w:t>, glutamate receptor and</w:t>
      </w:r>
      <w:r w:rsidR="00D30FD4">
        <w:rPr>
          <w:rFonts w:ascii="Verdana" w:hAnsi="Verdana"/>
          <w:color w:val="000000" w:themeColor="text1"/>
          <w:lang w:val="en-GB"/>
        </w:rPr>
        <w:t xml:space="preserve"> protein kinase C genes.</w:t>
      </w:r>
    </w:p>
    <w:p w14:paraId="129EE9FD" w14:textId="079A0F17" w:rsidR="00F36142" w:rsidRDefault="0039316D" w:rsidP="0039316D">
      <w:pPr>
        <w:spacing w:line="360" w:lineRule="auto"/>
        <w:jc w:val="both"/>
        <w:rPr>
          <w:rFonts w:ascii="Verdana" w:hAnsi="Verdana"/>
          <w:lang w:val="en-GB"/>
        </w:rPr>
      </w:pPr>
      <w:r>
        <w:rPr>
          <w:rFonts w:ascii="Verdana" w:hAnsi="Verdana"/>
          <w:noProof/>
          <w:color w:val="000000" w:themeColor="text1"/>
          <w:lang w:val="en-GB"/>
        </w:rPr>
        <w:t xml:space="preserve">Taken altogether, </w:t>
      </w:r>
      <w:r>
        <w:rPr>
          <w:rFonts w:ascii="Verdana" w:hAnsi="Verdana"/>
          <w:lang w:val="en-GB"/>
        </w:rPr>
        <w:t>the</w:t>
      </w:r>
      <w:r w:rsidR="00152948">
        <w:rPr>
          <w:rFonts w:ascii="Verdana" w:hAnsi="Verdana"/>
          <w:lang w:val="en-GB"/>
        </w:rPr>
        <w:t>se</w:t>
      </w:r>
      <w:r>
        <w:rPr>
          <w:rFonts w:ascii="Verdana" w:hAnsi="Verdana"/>
          <w:lang w:val="en-GB"/>
        </w:rPr>
        <w:t xml:space="preserve"> results</w:t>
      </w:r>
      <w:r w:rsidR="00152948">
        <w:rPr>
          <w:rFonts w:ascii="Verdana" w:hAnsi="Verdana"/>
          <w:lang w:val="en-GB"/>
        </w:rPr>
        <w:t xml:space="preserve"> </w:t>
      </w:r>
      <w:r>
        <w:rPr>
          <w:rFonts w:ascii="Verdana" w:hAnsi="Verdana"/>
          <w:lang w:val="en-GB"/>
        </w:rPr>
        <w:t xml:space="preserve">suggest the downregulation of </w:t>
      </w:r>
      <w:r w:rsidR="00152948">
        <w:rPr>
          <w:rFonts w:ascii="Verdana" w:hAnsi="Verdana"/>
          <w:lang w:val="en-GB"/>
        </w:rPr>
        <w:t>synaptic plasticity and</w:t>
      </w:r>
      <w:r>
        <w:rPr>
          <w:rFonts w:ascii="Verdana" w:hAnsi="Verdana"/>
          <w:lang w:val="en-GB"/>
        </w:rPr>
        <w:t xml:space="preserve"> </w:t>
      </w:r>
      <w:r w:rsidR="00152948">
        <w:rPr>
          <w:rFonts w:ascii="Verdana" w:hAnsi="Verdana"/>
          <w:lang w:val="en-GB"/>
        </w:rPr>
        <w:t>neuro</w:t>
      </w:r>
      <w:r>
        <w:rPr>
          <w:rFonts w:ascii="Verdana" w:hAnsi="Verdana"/>
          <w:lang w:val="en-GB"/>
        </w:rPr>
        <w:t>transmission as an early event contributing to cognitive impairment.</w:t>
      </w:r>
    </w:p>
    <w:p w14:paraId="5E403327" w14:textId="7862ADB2" w:rsidR="004333B0" w:rsidRPr="00E4739B" w:rsidRDefault="003A7A15">
      <w:pPr>
        <w:ind w:firstLine="0"/>
        <w:rPr>
          <w:rFonts w:ascii="Verdana" w:hAnsi="Verdana"/>
          <w:lang w:val="en-GB"/>
        </w:rPr>
      </w:pPr>
      <w:r>
        <w:rPr>
          <w:noProof/>
        </w:rPr>
        <w:lastRenderedPageBreak/>
        <mc:AlternateContent>
          <mc:Choice Requires="wps">
            <w:drawing>
              <wp:anchor distT="0" distB="0" distL="114300" distR="114300" simplePos="0" relativeHeight="251905024" behindDoc="0" locked="0" layoutInCell="1" allowOverlap="1" wp14:anchorId="68AFAAC3" wp14:editId="0ECA0E87">
                <wp:simplePos x="0" y="0"/>
                <wp:positionH relativeFrom="margin">
                  <wp:align>right</wp:align>
                </wp:positionH>
                <wp:positionV relativeFrom="paragraph">
                  <wp:posOffset>6504714</wp:posOffset>
                </wp:positionV>
                <wp:extent cx="5572760" cy="635"/>
                <wp:effectExtent l="0" t="0" r="8890" b="5080"/>
                <wp:wrapTopAndBottom/>
                <wp:docPr id="137" name="Text Box 137"/>
                <wp:cNvGraphicFramePr/>
                <a:graphic xmlns:a="http://schemas.openxmlformats.org/drawingml/2006/main">
                  <a:graphicData uri="http://schemas.microsoft.com/office/word/2010/wordprocessingShape">
                    <wps:wsp>
                      <wps:cNvSpPr txBox="1"/>
                      <wps:spPr>
                        <a:xfrm>
                          <a:off x="0" y="0"/>
                          <a:ext cx="5572760" cy="635"/>
                        </a:xfrm>
                        <a:prstGeom prst="rect">
                          <a:avLst/>
                        </a:prstGeom>
                        <a:solidFill>
                          <a:prstClr val="white"/>
                        </a:solidFill>
                        <a:ln>
                          <a:noFill/>
                        </a:ln>
                      </wps:spPr>
                      <wps:txbx>
                        <w:txbxContent>
                          <w:p w14:paraId="136F3D5E" w14:textId="0B4F1E3F" w:rsidR="00F84DAB" w:rsidRPr="00D51322" w:rsidRDefault="00F84DAB" w:rsidP="00AC43BA">
                            <w:pPr>
                              <w:pStyle w:val="Caption"/>
                              <w:ind w:firstLine="0"/>
                              <w:jc w:val="both"/>
                              <w:rPr>
                                <w:rFonts w:ascii="Verdana" w:hAnsi="Verdana"/>
                                <w:i w:val="0"/>
                                <w:iCs w:val="0"/>
                                <w:color w:val="auto"/>
                              </w:rPr>
                            </w:pPr>
                            <w:bookmarkStart w:id="95" w:name="_Toc131412758"/>
                            <w:r w:rsidRPr="00F84DAB">
                              <w:rPr>
                                <w:rFonts w:ascii="Verdana" w:hAnsi="Verdana"/>
                                <w:b/>
                                <w:bCs/>
                                <w:i w:val="0"/>
                                <w:iCs w:val="0"/>
                                <w:color w:val="auto"/>
                              </w:rPr>
                              <w:t xml:space="preserve">Figure </w:t>
                            </w:r>
                            <w:r w:rsidRPr="00F84DAB">
                              <w:rPr>
                                <w:rFonts w:ascii="Verdana" w:hAnsi="Verdana"/>
                                <w:b/>
                                <w:bCs/>
                                <w:i w:val="0"/>
                                <w:iCs w:val="0"/>
                                <w:color w:val="auto"/>
                              </w:rPr>
                              <w:fldChar w:fldCharType="begin"/>
                            </w:r>
                            <w:r w:rsidRPr="00F84DAB">
                              <w:rPr>
                                <w:rFonts w:ascii="Verdana" w:hAnsi="Verdana"/>
                                <w:b/>
                                <w:bCs/>
                                <w:i w:val="0"/>
                                <w:iCs w:val="0"/>
                                <w:color w:val="auto"/>
                              </w:rPr>
                              <w:instrText xml:space="preserve"> SEQ Figure \* ARABIC </w:instrText>
                            </w:r>
                            <w:r w:rsidRPr="00F84DAB">
                              <w:rPr>
                                <w:rFonts w:ascii="Verdana" w:hAnsi="Verdana"/>
                                <w:b/>
                                <w:bCs/>
                                <w:i w:val="0"/>
                                <w:iCs w:val="0"/>
                                <w:color w:val="auto"/>
                              </w:rPr>
                              <w:fldChar w:fldCharType="separate"/>
                            </w:r>
                            <w:r w:rsidR="001D505F">
                              <w:rPr>
                                <w:rFonts w:ascii="Verdana" w:hAnsi="Verdana"/>
                                <w:b/>
                                <w:bCs/>
                                <w:i w:val="0"/>
                                <w:iCs w:val="0"/>
                                <w:noProof/>
                                <w:color w:val="auto"/>
                              </w:rPr>
                              <w:t>16</w:t>
                            </w:r>
                            <w:r w:rsidRPr="00F84DAB">
                              <w:rPr>
                                <w:rFonts w:ascii="Verdana" w:hAnsi="Verdana"/>
                                <w:b/>
                                <w:bCs/>
                                <w:i w:val="0"/>
                                <w:iCs w:val="0"/>
                                <w:color w:val="auto"/>
                              </w:rPr>
                              <w:fldChar w:fldCharType="end"/>
                            </w:r>
                            <w:r>
                              <w:rPr>
                                <w:rFonts w:ascii="Verdana" w:hAnsi="Verdana"/>
                                <w:b/>
                                <w:bCs/>
                                <w:i w:val="0"/>
                                <w:iCs w:val="0"/>
                                <w:color w:val="auto"/>
                              </w:rPr>
                              <w:t xml:space="preserve"> </w:t>
                            </w:r>
                            <w:r w:rsidR="004614CB">
                              <w:rPr>
                                <w:rFonts w:ascii="Verdana" w:hAnsi="Verdana"/>
                                <w:i w:val="0"/>
                                <w:iCs w:val="0"/>
                                <w:color w:val="auto"/>
                              </w:rPr>
                              <w:t xml:space="preserve">Transcriptional </w:t>
                            </w:r>
                            <w:r w:rsidR="00515FB7">
                              <w:rPr>
                                <w:rFonts w:ascii="Verdana" w:hAnsi="Verdana"/>
                                <w:i w:val="0"/>
                                <w:iCs w:val="0"/>
                                <w:color w:val="auto"/>
                              </w:rPr>
                              <w:t>changes</w:t>
                            </w:r>
                            <w:r w:rsidR="004614CB">
                              <w:rPr>
                                <w:rFonts w:ascii="Verdana" w:hAnsi="Verdana"/>
                                <w:i w:val="0"/>
                                <w:iCs w:val="0"/>
                                <w:color w:val="auto"/>
                              </w:rPr>
                              <w:t xml:space="preserve"> in the hippocampus of </w:t>
                            </w:r>
                            <w:r w:rsidR="00A51282">
                              <w:rPr>
                                <w:rFonts w:ascii="Verdana" w:hAnsi="Verdana"/>
                                <w:i w:val="0"/>
                                <w:iCs w:val="0"/>
                                <w:color w:val="auto"/>
                              </w:rPr>
                              <w:t xml:space="preserve">middle-age </w:t>
                            </w:r>
                            <w:r w:rsidR="004614CB">
                              <w:rPr>
                                <w:rFonts w:ascii="Verdana" w:hAnsi="Verdana"/>
                                <w:i w:val="0"/>
                                <w:iCs w:val="0"/>
                                <w:color w:val="auto"/>
                              </w:rPr>
                              <w:t>HET female mice</w:t>
                            </w:r>
                            <w:r>
                              <w:rPr>
                                <w:rFonts w:ascii="Verdana" w:hAnsi="Verdana"/>
                                <w:i w:val="0"/>
                                <w:iCs w:val="0"/>
                                <w:color w:val="auto"/>
                              </w:rPr>
                              <w:t>.</w:t>
                            </w:r>
                            <w:bookmarkEnd w:id="95"/>
                          </w:p>
                          <w:p w14:paraId="2D91F001" w14:textId="356786A8" w:rsidR="00F84DAB" w:rsidRPr="00DD1471" w:rsidRDefault="004614CB" w:rsidP="00AC43BA">
                            <w:pPr>
                              <w:ind w:firstLine="0"/>
                              <w:jc w:val="both"/>
                              <w:rPr>
                                <w:rFonts w:ascii="Verdana" w:hAnsi="Verdana"/>
                                <w:sz w:val="18"/>
                                <w:szCs w:val="18"/>
                              </w:rPr>
                            </w:pPr>
                            <w:r w:rsidRPr="004614CB">
                              <w:rPr>
                                <w:rFonts w:ascii="Verdana" w:hAnsi="Verdana"/>
                                <w:b/>
                                <w:bCs/>
                                <w:sz w:val="18"/>
                                <w:szCs w:val="18"/>
                              </w:rPr>
                              <w:t>A)</w:t>
                            </w:r>
                            <w:r>
                              <w:rPr>
                                <w:rFonts w:ascii="Verdana" w:hAnsi="Verdana"/>
                                <w:sz w:val="18"/>
                                <w:szCs w:val="18"/>
                              </w:rPr>
                              <w:t xml:space="preserve"> </w:t>
                            </w:r>
                            <w:r w:rsidR="00C877DC">
                              <w:rPr>
                                <w:rFonts w:ascii="Verdana" w:hAnsi="Verdana"/>
                                <w:sz w:val="18"/>
                                <w:szCs w:val="18"/>
                              </w:rPr>
                              <w:t>Volcano plot</w:t>
                            </w:r>
                            <w:r w:rsidR="00F84DAB" w:rsidRPr="004614CB">
                              <w:rPr>
                                <w:rFonts w:ascii="Verdana" w:hAnsi="Verdana"/>
                                <w:sz w:val="18"/>
                                <w:szCs w:val="18"/>
                              </w:rPr>
                              <w:t xml:space="preserve"> showing the gene expression pattern </w:t>
                            </w:r>
                            <w:r w:rsidRPr="004614CB">
                              <w:rPr>
                                <w:rFonts w:ascii="Verdana" w:hAnsi="Verdana"/>
                                <w:sz w:val="18"/>
                                <w:szCs w:val="18"/>
                              </w:rPr>
                              <w:t>for</w:t>
                            </w:r>
                            <w:r w:rsidR="00F84DAB" w:rsidRPr="004614CB">
                              <w:rPr>
                                <w:rFonts w:ascii="Verdana" w:hAnsi="Verdana"/>
                                <w:sz w:val="18"/>
                                <w:szCs w:val="18"/>
                              </w:rPr>
                              <w:t xml:space="preserve"> the 1</w:t>
                            </w:r>
                            <w:r w:rsidRPr="004614CB">
                              <w:rPr>
                                <w:rFonts w:ascii="Verdana" w:hAnsi="Verdana"/>
                                <w:sz w:val="18"/>
                                <w:szCs w:val="18"/>
                              </w:rPr>
                              <w:t>41</w:t>
                            </w:r>
                            <w:r w:rsidR="00F84DAB" w:rsidRPr="004614CB">
                              <w:rPr>
                                <w:rFonts w:ascii="Verdana" w:hAnsi="Verdana"/>
                                <w:sz w:val="18"/>
                                <w:szCs w:val="18"/>
                              </w:rPr>
                              <w:t xml:space="preserve"> DEGs between </w:t>
                            </w:r>
                            <w:r w:rsidRPr="004614CB">
                              <w:rPr>
                                <w:rFonts w:ascii="Verdana" w:hAnsi="Verdana"/>
                                <w:sz w:val="18"/>
                                <w:szCs w:val="18"/>
                              </w:rPr>
                              <w:t>8</w:t>
                            </w:r>
                            <w:r w:rsidR="007B3908" w:rsidRPr="004614CB">
                              <w:rPr>
                                <w:rFonts w:ascii="Verdana" w:hAnsi="Verdana"/>
                                <w:sz w:val="18"/>
                                <w:szCs w:val="18"/>
                              </w:rPr>
                              <w:t xml:space="preserve">- and </w:t>
                            </w:r>
                            <w:r w:rsidRPr="004614CB">
                              <w:rPr>
                                <w:rFonts w:ascii="Verdana" w:hAnsi="Verdana"/>
                                <w:sz w:val="18"/>
                                <w:szCs w:val="18"/>
                              </w:rPr>
                              <w:t>6</w:t>
                            </w:r>
                            <w:r w:rsidR="007B3908" w:rsidRPr="004614CB">
                              <w:rPr>
                                <w:rFonts w:ascii="Verdana" w:hAnsi="Verdana"/>
                                <w:sz w:val="18"/>
                                <w:szCs w:val="18"/>
                              </w:rPr>
                              <w:t xml:space="preserve">-months old </w:t>
                            </w:r>
                            <w:r w:rsidRPr="004614CB">
                              <w:rPr>
                                <w:rFonts w:ascii="Verdana" w:hAnsi="Verdana"/>
                                <w:sz w:val="18"/>
                                <w:szCs w:val="18"/>
                              </w:rPr>
                              <w:t>HE</w:t>
                            </w:r>
                            <w:r w:rsidR="007B3908" w:rsidRPr="004614CB">
                              <w:rPr>
                                <w:rFonts w:ascii="Verdana" w:hAnsi="Verdana"/>
                                <w:sz w:val="18"/>
                                <w:szCs w:val="18"/>
                              </w:rPr>
                              <w:t>T female mice</w:t>
                            </w:r>
                            <w:r w:rsidR="00A51282">
                              <w:rPr>
                                <w:rFonts w:ascii="Verdana" w:hAnsi="Verdana"/>
                                <w:sz w:val="18"/>
                                <w:szCs w:val="18"/>
                              </w:rPr>
                              <w:t>.</w:t>
                            </w:r>
                            <w:r w:rsidR="00C877DC">
                              <w:rPr>
                                <w:rFonts w:ascii="Verdana" w:hAnsi="Verdana"/>
                                <w:sz w:val="18"/>
                                <w:szCs w:val="18"/>
                              </w:rPr>
                              <w:t xml:space="preserve"> </w:t>
                            </w:r>
                            <w:r w:rsidR="00C877DC" w:rsidRPr="00C877DC">
                              <w:rPr>
                                <w:rFonts w:ascii="Verdana" w:hAnsi="Verdana"/>
                                <w:b/>
                                <w:bCs/>
                                <w:sz w:val="18"/>
                                <w:szCs w:val="18"/>
                              </w:rPr>
                              <w:t>B)</w:t>
                            </w:r>
                            <w:r w:rsidR="00C877DC">
                              <w:rPr>
                                <w:rFonts w:ascii="Verdana" w:hAnsi="Verdana"/>
                                <w:sz w:val="18"/>
                                <w:szCs w:val="18"/>
                              </w:rPr>
                              <w:t xml:space="preserve"> Heatmap of the </w:t>
                            </w:r>
                            <w:r w:rsidR="00DD1471">
                              <w:rPr>
                                <w:rFonts w:ascii="Verdana" w:hAnsi="Verdana"/>
                                <w:sz w:val="18"/>
                                <w:szCs w:val="18"/>
                              </w:rPr>
                              <w:t xml:space="preserve">141 DEGs in 8M vs 6M HET females </w:t>
                            </w:r>
                            <w:r w:rsidR="00F84DAB" w:rsidRPr="004614CB">
                              <w:t>for both genotypes and all ag</w:t>
                            </w:r>
                            <w:r w:rsidR="007B3908" w:rsidRPr="004614CB">
                              <w:t>es</w:t>
                            </w:r>
                            <w:r w:rsidR="00F84DAB" w:rsidRPr="004614CB">
                              <w:t xml:space="preserve">. A clear pattern of gene expression can be identified </w:t>
                            </w:r>
                            <w:r w:rsidR="007B3908" w:rsidRPr="004614CB">
                              <w:t xml:space="preserve">in </w:t>
                            </w:r>
                            <w:r w:rsidR="00DD1471">
                              <w:t>8M HET</w:t>
                            </w:r>
                            <w:r w:rsidR="007B3908" w:rsidRPr="004614CB">
                              <w:t xml:space="preserve"> mice</w:t>
                            </w:r>
                            <w:r w:rsidR="00F84DAB" w:rsidRPr="004614CB">
                              <w:t>, while the expression is more variable for</w:t>
                            </w:r>
                            <w:r w:rsidR="007B3908" w:rsidRPr="004614CB">
                              <w:t xml:space="preserve"> </w:t>
                            </w:r>
                            <w:r w:rsidR="007F5962">
                              <w:t>the other groups</w:t>
                            </w:r>
                            <w:r w:rsidR="00F84DAB" w:rsidRPr="004614CB">
                              <w:t xml:space="preserve">. </w:t>
                            </w:r>
                            <w:r w:rsidR="007F5962">
                              <w:rPr>
                                <w:b/>
                                <w:bCs/>
                              </w:rPr>
                              <w:t>C</w:t>
                            </w:r>
                            <w:r w:rsidR="00F84DAB" w:rsidRPr="004614CB">
                              <w:rPr>
                                <w:b/>
                                <w:bCs/>
                              </w:rPr>
                              <w:t xml:space="preserve">) </w:t>
                            </w:r>
                            <w:r w:rsidR="00F84DAB" w:rsidRPr="004614CB">
                              <w:t xml:space="preserve">Top 10 GO terms between </w:t>
                            </w:r>
                            <w:r w:rsidR="007F5962">
                              <w:t>8</w:t>
                            </w:r>
                            <w:r w:rsidR="00F84DAB" w:rsidRPr="004614CB">
                              <w:t xml:space="preserve">- and </w:t>
                            </w:r>
                            <w:r w:rsidR="007F5962">
                              <w:t>6</w:t>
                            </w:r>
                            <w:r w:rsidR="00F84DAB" w:rsidRPr="004614CB">
                              <w:t xml:space="preserve">-months old </w:t>
                            </w:r>
                            <w:r w:rsidR="007F5962">
                              <w:t>HE</w:t>
                            </w:r>
                            <w:r w:rsidR="007B3908" w:rsidRPr="004614CB">
                              <w:t>T</w:t>
                            </w:r>
                            <w:r w:rsidR="00F84DAB" w:rsidRPr="004614CB">
                              <w:t xml:space="preserve"> mice.</w:t>
                            </w:r>
                            <w:r w:rsidR="007B3908" w:rsidRPr="004614CB">
                              <w:t xml:space="preserve"> </w:t>
                            </w:r>
                            <w:r w:rsidR="007F5962">
                              <w:rPr>
                                <w:b/>
                                <w:bCs/>
                              </w:rPr>
                              <w:t>D</w:t>
                            </w:r>
                            <w:r w:rsidR="007B3908" w:rsidRPr="004614CB">
                              <w:rPr>
                                <w:b/>
                                <w:bCs/>
                              </w:rPr>
                              <w:t>)</w:t>
                            </w:r>
                            <w:r w:rsidR="007B3908" w:rsidRPr="004614CB">
                              <w:t xml:space="preserve"> </w:t>
                            </w:r>
                            <w:r w:rsidR="00E4739B">
                              <w:rPr>
                                <w:rFonts w:ascii="Verdana" w:hAnsi="Verdana"/>
                                <w:sz w:val="18"/>
                                <w:szCs w:val="18"/>
                              </w:rPr>
                              <w:t xml:space="preserve">Top 15 deregulated pathways predicted by Ingenuity Pathway Analysis ® “Canonical Pathways”.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10002151" w14:textId="261CF01A" w:rsidR="00F84DAB" w:rsidRPr="00781AEB" w:rsidRDefault="00F84DAB" w:rsidP="00AC43BA">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AFAAC3" id="Text Box 137" o:spid="_x0000_s1044" type="#_x0000_t202" style="position:absolute;margin-left:387.6pt;margin-top:512.2pt;width:438.8pt;height:.05pt;z-index:2519050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" stroked="f">
                <v:textbox style="mso-fit-shape-to-text:t" inset="0,0,0,0">
                  <w:txbxContent>
                    <w:p w14:paraId="136F3D5E" w14:textId="0B4F1E3F" w:rsidR="00F84DAB" w:rsidRPr="00D51322" w:rsidRDefault="00F84DAB" w:rsidP="00AC43BA">
                      <w:pPr>
                        <w:pStyle w:val="Caption"/>
                        <w:ind w:firstLine="0"/>
                        <w:jc w:val="both"/>
                        <w:rPr>
                          <w:rFonts w:ascii="Verdana" w:hAnsi="Verdana"/>
                          <w:i w:val="0"/>
                          <w:iCs w:val="0"/>
                          <w:color w:val="auto"/>
                        </w:rPr>
                      </w:pPr>
                      <w:bookmarkStart w:id="96" w:name="_Toc131412758"/>
                      <w:r w:rsidRPr="00F84DAB">
                        <w:rPr>
                          <w:rFonts w:ascii="Verdana" w:hAnsi="Verdana"/>
                          <w:b/>
                          <w:bCs/>
                          <w:i w:val="0"/>
                          <w:iCs w:val="0"/>
                          <w:color w:val="auto"/>
                        </w:rPr>
                        <w:t xml:space="preserve">Figure </w:t>
                      </w:r>
                      <w:r w:rsidRPr="00F84DAB">
                        <w:rPr>
                          <w:rFonts w:ascii="Verdana" w:hAnsi="Verdana"/>
                          <w:b/>
                          <w:bCs/>
                          <w:i w:val="0"/>
                          <w:iCs w:val="0"/>
                          <w:color w:val="auto"/>
                        </w:rPr>
                        <w:fldChar w:fldCharType="begin"/>
                      </w:r>
                      <w:r w:rsidRPr="00F84DAB">
                        <w:rPr>
                          <w:rFonts w:ascii="Verdana" w:hAnsi="Verdana"/>
                          <w:b/>
                          <w:bCs/>
                          <w:i w:val="0"/>
                          <w:iCs w:val="0"/>
                          <w:color w:val="auto"/>
                        </w:rPr>
                        <w:instrText xml:space="preserve"> SEQ Figure \* ARABIC </w:instrText>
                      </w:r>
                      <w:r w:rsidRPr="00F84DAB">
                        <w:rPr>
                          <w:rFonts w:ascii="Verdana" w:hAnsi="Verdana"/>
                          <w:b/>
                          <w:bCs/>
                          <w:i w:val="0"/>
                          <w:iCs w:val="0"/>
                          <w:color w:val="auto"/>
                        </w:rPr>
                        <w:fldChar w:fldCharType="separate"/>
                      </w:r>
                      <w:r w:rsidR="001D505F">
                        <w:rPr>
                          <w:rFonts w:ascii="Verdana" w:hAnsi="Verdana"/>
                          <w:b/>
                          <w:bCs/>
                          <w:i w:val="0"/>
                          <w:iCs w:val="0"/>
                          <w:noProof/>
                          <w:color w:val="auto"/>
                        </w:rPr>
                        <w:t>16</w:t>
                      </w:r>
                      <w:r w:rsidRPr="00F84DAB">
                        <w:rPr>
                          <w:rFonts w:ascii="Verdana" w:hAnsi="Verdana"/>
                          <w:b/>
                          <w:bCs/>
                          <w:i w:val="0"/>
                          <w:iCs w:val="0"/>
                          <w:color w:val="auto"/>
                        </w:rPr>
                        <w:fldChar w:fldCharType="end"/>
                      </w:r>
                      <w:r>
                        <w:rPr>
                          <w:rFonts w:ascii="Verdana" w:hAnsi="Verdana"/>
                          <w:b/>
                          <w:bCs/>
                          <w:i w:val="0"/>
                          <w:iCs w:val="0"/>
                          <w:color w:val="auto"/>
                        </w:rPr>
                        <w:t xml:space="preserve"> </w:t>
                      </w:r>
                      <w:r w:rsidR="004614CB">
                        <w:rPr>
                          <w:rFonts w:ascii="Verdana" w:hAnsi="Verdana"/>
                          <w:i w:val="0"/>
                          <w:iCs w:val="0"/>
                          <w:color w:val="auto"/>
                        </w:rPr>
                        <w:t xml:space="preserve">Transcriptional </w:t>
                      </w:r>
                      <w:r w:rsidR="00515FB7">
                        <w:rPr>
                          <w:rFonts w:ascii="Verdana" w:hAnsi="Verdana"/>
                          <w:i w:val="0"/>
                          <w:iCs w:val="0"/>
                          <w:color w:val="auto"/>
                        </w:rPr>
                        <w:t>changes</w:t>
                      </w:r>
                      <w:r w:rsidR="004614CB">
                        <w:rPr>
                          <w:rFonts w:ascii="Verdana" w:hAnsi="Verdana"/>
                          <w:i w:val="0"/>
                          <w:iCs w:val="0"/>
                          <w:color w:val="auto"/>
                        </w:rPr>
                        <w:t xml:space="preserve"> in the hippocampus of </w:t>
                      </w:r>
                      <w:r w:rsidR="00A51282">
                        <w:rPr>
                          <w:rFonts w:ascii="Verdana" w:hAnsi="Verdana"/>
                          <w:i w:val="0"/>
                          <w:iCs w:val="0"/>
                          <w:color w:val="auto"/>
                        </w:rPr>
                        <w:t xml:space="preserve">middle-age </w:t>
                      </w:r>
                      <w:r w:rsidR="004614CB">
                        <w:rPr>
                          <w:rFonts w:ascii="Verdana" w:hAnsi="Verdana"/>
                          <w:i w:val="0"/>
                          <w:iCs w:val="0"/>
                          <w:color w:val="auto"/>
                        </w:rPr>
                        <w:t>HET female mice</w:t>
                      </w:r>
                      <w:r>
                        <w:rPr>
                          <w:rFonts w:ascii="Verdana" w:hAnsi="Verdana"/>
                          <w:i w:val="0"/>
                          <w:iCs w:val="0"/>
                          <w:color w:val="auto"/>
                        </w:rPr>
                        <w:t>.</w:t>
                      </w:r>
                      <w:bookmarkEnd w:id="96"/>
                    </w:p>
                    <w:p w14:paraId="2D91F001" w14:textId="356786A8" w:rsidR="00F84DAB" w:rsidRPr="00DD1471" w:rsidRDefault="004614CB" w:rsidP="00AC43BA">
                      <w:pPr>
                        <w:ind w:firstLine="0"/>
                        <w:jc w:val="both"/>
                        <w:rPr>
                          <w:rFonts w:ascii="Verdana" w:hAnsi="Verdana"/>
                          <w:sz w:val="18"/>
                          <w:szCs w:val="18"/>
                        </w:rPr>
                      </w:pPr>
                      <w:r w:rsidRPr="004614CB">
                        <w:rPr>
                          <w:rFonts w:ascii="Verdana" w:hAnsi="Verdana"/>
                          <w:b/>
                          <w:bCs/>
                          <w:sz w:val="18"/>
                          <w:szCs w:val="18"/>
                        </w:rPr>
                        <w:t>A)</w:t>
                      </w:r>
                      <w:r>
                        <w:rPr>
                          <w:rFonts w:ascii="Verdana" w:hAnsi="Verdana"/>
                          <w:sz w:val="18"/>
                          <w:szCs w:val="18"/>
                        </w:rPr>
                        <w:t xml:space="preserve"> </w:t>
                      </w:r>
                      <w:r w:rsidR="00C877DC">
                        <w:rPr>
                          <w:rFonts w:ascii="Verdana" w:hAnsi="Verdana"/>
                          <w:sz w:val="18"/>
                          <w:szCs w:val="18"/>
                        </w:rPr>
                        <w:t>Volcano plot</w:t>
                      </w:r>
                      <w:r w:rsidR="00F84DAB" w:rsidRPr="004614CB">
                        <w:rPr>
                          <w:rFonts w:ascii="Verdana" w:hAnsi="Verdana"/>
                          <w:sz w:val="18"/>
                          <w:szCs w:val="18"/>
                        </w:rPr>
                        <w:t xml:space="preserve"> showing the gene expression pattern </w:t>
                      </w:r>
                      <w:r w:rsidRPr="004614CB">
                        <w:rPr>
                          <w:rFonts w:ascii="Verdana" w:hAnsi="Verdana"/>
                          <w:sz w:val="18"/>
                          <w:szCs w:val="18"/>
                        </w:rPr>
                        <w:t>for</w:t>
                      </w:r>
                      <w:r w:rsidR="00F84DAB" w:rsidRPr="004614CB">
                        <w:rPr>
                          <w:rFonts w:ascii="Verdana" w:hAnsi="Verdana"/>
                          <w:sz w:val="18"/>
                          <w:szCs w:val="18"/>
                        </w:rPr>
                        <w:t xml:space="preserve"> the 1</w:t>
                      </w:r>
                      <w:r w:rsidRPr="004614CB">
                        <w:rPr>
                          <w:rFonts w:ascii="Verdana" w:hAnsi="Verdana"/>
                          <w:sz w:val="18"/>
                          <w:szCs w:val="18"/>
                        </w:rPr>
                        <w:t>41</w:t>
                      </w:r>
                      <w:r w:rsidR="00F84DAB" w:rsidRPr="004614CB">
                        <w:rPr>
                          <w:rFonts w:ascii="Verdana" w:hAnsi="Verdana"/>
                          <w:sz w:val="18"/>
                          <w:szCs w:val="18"/>
                        </w:rPr>
                        <w:t xml:space="preserve"> DEGs between </w:t>
                      </w:r>
                      <w:r w:rsidRPr="004614CB">
                        <w:rPr>
                          <w:rFonts w:ascii="Verdana" w:hAnsi="Verdana"/>
                          <w:sz w:val="18"/>
                          <w:szCs w:val="18"/>
                        </w:rPr>
                        <w:t>8</w:t>
                      </w:r>
                      <w:r w:rsidR="007B3908" w:rsidRPr="004614CB">
                        <w:rPr>
                          <w:rFonts w:ascii="Verdana" w:hAnsi="Verdana"/>
                          <w:sz w:val="18"/>
                          <w:szCs w:val="18"/>
                        </w:rPr>
                        <w:t xml:space="preserve">- and </w:t>
                      </w:r>
                      <w:r w:rsidRPr="004614CB">
                        <w:rPr>
                          <w:rFonts w:ascii="Verdana" w:hAnsi="Verdana"/>
                          <w:sz w:val="18"/>
                          <w:szCs w:val="18"/>
                        </w:rPr>
                        <w:t>6</w:t>
                      </w:r>
                      <w:r w:rsidR="007B3908" w:rsidRPr="004614CB">
                        <w:rPr>
                          <w:rFonts w:ascii="Verdana" w:hAnsi="Verdana"/>
                          <w:sz w:val="18"/>
                          <w:szCs w:val="18"/>
                        </w:rPr>
                        <w:t xml:space="preserve">-months old </w:t>
                      </w:r>
                      <w:r w:rsidRPr="004614CB">
                        <w:rPr>
                          <w:rFonts w:ascii="Verdana" w:hAnsi="Verdana"/>
                          <w:sz w:val="18"/>
                          <w:szCs w:val="18"/>
                        </w:rPr>
                        <w:t>HE</w:t>
                      </w:r>
                      <w:r w:rsidR="007B3908" w:rsidRPr="004614CB">
                        <w:rPr>
                          <w:rFonts w:ascii="Verdana" w:hAnsi="Verdana"/>
                          <w:sz w:val="18"/>
                          <w:szCs w:val="18"/>
                        </w:rPr>
                        <w:t>T female mice</w:t>
                      </w:r>
                      <w:r w:rsidR="00A51282">
                        <w:rPr>
                          <w:rFonts w:ascii="Verdana" w:hAnsi="Verdana"/>
                          <w:sz w:val="18"/>
                          <w:szCs w:val="18"/>
                        </w:rPr>
                        <w:t>.</w:t>
                      </w:r>
                      <w:r w:rsidR="00C877DC">
                        <w:rPr>
                          <w:rFonts w:ascii="Verdana" w:hAnsi="Verdana"/>
                          <w:sz w:val="18"/>
                          <w:szCs w:val="18"/>
                        </w:rPr>
                        <w:t xml:space="preserve"> </w:t>
                      </w:r>
                      <w:r w:rsidR="00C877DC" w:rsidRPr="00C877DC">
                        <w:rPr>
                          <w:rFonts w:ascii="Verdana" w:hAnsi="Verdana"/>
                          <w:b/>
                          <w:bCs/>
                          <w:sz w:val="18"/>
                          <w:szCs w:val="18"/>
                        </w:rPr>
                        <w:t>B)</w:t>
                      </w:r>
                      <w:r w:rsidR="00C877DC">
                        <w:rPr>
                          <w:rFonts w:ascii="Verdana" w:hAnsi="Verdana"/>
                          <w:sz w:val="18"/>
                          <w:szCs w:val="18"/>
                        </w:rPr>
                        <w:t xml:space="preserve"> Heatmap of the </w:t>
                      </w:r>
                      <w:r w:rsidR="00DD1471">
                        <w:rPr>
                          <w:rFonts w:ascii="Verdana" w:hAnsi="Verdana"/>
                          <w:sz w:val="18"/>
                          <w:szCs w:val="18"/>
                        </w:rPr>
                        <w:t xml:space="preserve">141 DEGs in 8M vs 6M HET females </w:t>
                      </w:r>
                      <w:r w:rsidR="00F84DAB" w:rsidRPr="004614CB">
                        <w:t>for both genotypes and all ag</w:t>
                      </w:r>
                      <w:r w:rsidR="007B3908" w:rsidRPr="004614CB">
                        <w:t>es</w:t>
                      </w:r>
                      <w:r w:rsidR="00F84DAB" w:rsidRPr="004614CB">
                        <w:t xml:space="preserve">. A clear pattern of gene expression can be identified </w:t>
                      </w:r>
                      <w:r w:rsidR="007B3908" w:rsidRPr="004614CB">
                        <w:t xml:space="preserve">in </w:t>
                      </w:r>
                      <w:r w:rsidR="00DD1471">
                        <w:t>8M HET</w:t>
                      </w:r>
                      <w:r w:rsidR="007B3908" w:rsidRPr="004614CB">
                        <w:t xml:space="preserve"> mice</w:t>
                      </w:r>
                      <w:r w:rsidR="00F84DAB" w:rsidRPr="004614CB">
                        <w:t>, while the expression is more variable for</w:t>
                      </w:r>
                      <w:r w:rsidR="007B3908" w:rsidRPr="004614CB">
                        <w:t xml:space="preserve"> </w:t>
                      </w:r>
                      <w:r w:rsidR="007F5962">
                        <w:t>the other groups</w:t>
                      </w:r>
                      <w:r w:rsidR="00F84DAB" w:rsidRPr="004614CB">
                        <w:t xml:space="preserve">. </w:t>
                      </w:r>
                      <w:r w:rsidR="007F5962">
                        <w:rPr>
                          <w:b/>
                          <w:bCs/>
                        </w:rPr>
                        <w:t>C</w:t>
                      </w:r>
                      <w:r w:rsidR="00F84DAB" w:rsidRPr="004614CB">
                        <w:rPr>
                          <w:b/>
                          <w:bCs/>
                        </w:rPr>
                        <w:t xml:space="preserve">) </w:t>
                      </w:r>
                      <w:r w:rsidR="00F84DAB" w:rsidRPr="004614CB">
                        <w:t xml:space="preserve">Top 10 GO terms between </w:t>
                      </w:r>
                      <w:r w:rsidR="007F5962">
                        <w:t>8</w:t>
                      </w:r>
                      <w:r w:rsidR="00F84DAB" w:rsidRPr="004614CB">
                        <w:t xml:space="preserve">- and </w:t>
                      </w:r>
                      <w:r w:rsidR="007F5962">
                        <w:t>6</w:t>
                      </w:r>
                      <w:r w:rsidR="00F84DAB" w:rsidRPr="004614CB">
                        <w:t xml:space="preserve">-months old </w:t>
                      </w:r>
                      <w:r w:rsidR="007F5962">
                        <w:t>HE</w:t>
                      </w:r>
                      <w:r w:rsidR="007B3908" w:rsidRPr="004614CB">
                        <w:t>T</w:t>
                      </w:r>
                      <w:r w:rsidR="00F84DAB" w:rsidRPr="004614CB">
                        <w:t xml:space="preserve"> mice.</w:t>
                      </w:r>
                      <w:r w:rsidR="007B3908" w:rsidRPr="004614CB">
                        <w:t xml:space="preserve"> </w:t>
                      </w:r>
                      <w:r w:rsidR="007F5962">
                        <w:rPr>
                          <w:b/>
                          <w:bCs/>
                        </w:rPr>
                        <w:t>D</w:t>
                      </w:r>
                      <w:r w:rsidR="007B3908" w:rsidRPr="004614CB">
                        <w:rPr>
                          <w:b/>
                          <w:bCs/>
                        </w:rPr>
                        <w:t>)</w:t>
                      </w:r>
                      <w:r w:rsidR="007B3908" w:rsidRPr="004614CB">
                        <w:t xml:space="preserve"> </w:t>
                      </w:r>
                      <w:r w:rsidR="00E4739B">
                        <w:rPr>
                          <w:rFonts w:ascii="Verdana" w:hAnsi="Verdana"/>
                          <w:sz w:val="18"/>
                          <w:szCs w:val="18"/>
                        </w:rPr>
                        <w:t xml:space="preserve">Top 15 deregulated pathways predicted by Ingenuity Pathway Analysis ® “Canonical Pathways”. </w:t>
                      </w:r>
                      <w:r w:rsidR="005166D5">
                        <w:rPr>
                          <w:rFonts w:ascii="Verdana" w:hAnsi="Verdana"/>
                          <w:sz w:val="18"/>
                          <w:szCs w:val="18"/>
                        </w:rPr>
                        <w:t>Threshold (orange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10002151" w14:textId="261CF01A" w:rsidR="00F84DAB" w:rsidRPr="00781AEB" w:rsidRDefault="00F84DAB" w:rsidP="00AC43BA">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v:textbox>
                <w10:wrap type="topAndBottom" anchorx="margin"/>
              </v:shape>
            </w:pict>
          </mc:Fallback>
        </mc:AlternateContent>
      </w:r>
      <w:r w:rsidR="00D96707">
        <w:rPr>
          <w:rFonts w:ascii="Verdana" w:hAnsi="Verdana"/>
          <w:noProof/>
          <w:lang w:val="en-GB"/>
        </w:rPr>
        <w:drawing>
          <wp:anchor distT="0" distB="0" distL="114300" distR="114300" simplePos="0" relativeHeight="252024832" behindDoc="0" locked="0" layoutInCell="1" allowOverlap="1" wp14:anchorId="7CAE7FCB" wp14:editId="1C30467C">
            <wp:simplePos x="0" y="0"/>
            <wp:positionH relativeFrom="column">
              <wp:posOffset>3810</wp:posOffset>
            </wp:positionH>
            <wp:positionV relativeFrom="paragraph">
              <wp:posOffset>0</wp:posOffset>
            </wp:positionV>
            <wp:extent cx="5580380" cy="6411595"/>
            <wp:effectExtent l="0" t="0" r="1270" b="8255"/>
            <wp:wrapTopAndBottom/>
            <wp:docPr id="70" name="Picture 7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80380" cy="6411595"/>
                    </a:xfrm>
                    <a:prstGeom prst="rect">
                      <a:avLst/>
                    </a:prstGeom>
                  </pic:spPr>
                </pic:pic>
              </a:graphicData>
            </a:graphic>
          </wp:anchor>
        </w:drawing>
      </w:r>
      <w:r w:rsidR="00F36142">
        <w:rPr>
          <w:rFonts w:ascii="Verdana" w:hAnsi="Verdana"/>
          <w:lang w:val="en-GB"/>
        </w:rPr>
        <w:br w:type="page"/>
      </w:r>
    </w:p>
    <w:p w14:paraId="3944C1DA" w14:textId="70951CEB" w:rsidR="00640B77" w:rsidRPr="001415D1" w:rsidRDefault="00305112" w:rsidP="001415D1">
      <w:pPr>
        <w:ind w:firstLine="0"/>
        <w:rPr>
          <w:rFonts w:ascii="Verdana" w:hAnsi="Verdana"/>
          <w:b/>
          <w:bCs/>
          <w:noProof/>
          <w:color w:val="000000" w:themeColor="text1"/>
          <w:lang w:val="en-GB"/>
        </w:rPr>
      </w:pPr>
      <w:r>
        <w:rPr>
          <w:noProof/>
        </w:rPr>
        <w:lastRenderedPageBreak/>
        <mc:AlternateContent>
          <mc:Choice Requires="wps">
            <w:drawing>
              <wp:anchor distT="0" distB="0" distL="114300" distR="114300" simplePos="0" relativeHeight="252011520" behindDoc="0" locked="0" layoutInCell="1" allowOverlap="1" wp14:anchorId="1CB9DA01" wp14:editId="238364ED">
                <wp:simplePos x="0" y="0"/>
                <wp:positionH relativeFrom="margin">
                  <wp:align>right</wp:align>
                </wp:positionH>
                <wp:positionV relativeFrom="paragraph">
                  <wp:posOffset>6933255</wp:posOffset>
                </wp:positionV>
                <wp:extent cx="5574593" cy="635"/>
                <wp:effectExtent l="0" t="0" r="7620" b="5080"/>
                <wp:wrapTopAndBottom/>
                <wp:docPr id="61" name="Text Box 61"/>
                <wp:cNvGraphicFramePr/>
                <a:graphic xmlns:a="http://schemas.openxmlformats.org/drawingml/2006/main">
                  <a:graphicData uri="http://schemas.microsoft.com/office/word/2010/wordprocessingShape">
                    <wps:wsp>
                      <wps:cNvSpPr txBox="1"/>
                      <wps:spPr>
                        <a:xfrm>
                          <a:off x="0" y="0"/>
                          <a:ext cx="5574593" cy="635"/>
                        </a:xfrm>
                        <a:prstGeom prst="rect">
                          <a:avLst/>
                        </a:prstGeom>
                        <a:solidFill>
                          <a:prstClr val="white"/>
                        </a:solidFill>
                        <a:ln>
                          <a:noFill/>
                        </a:ln>
                      </wps:spPr>
                      <wps:txbx>
                        <w:txbxContent>
                          <w:p w14:paraId="6E0B7761" w14:textId="33B225FB" w:rsidR="00E4739B" w:rsidRPr="00D51322" w:rsidRDefault="007F5962" w:rsidP="00E4739B">
                            <w:pPr>
                              <w:pStyle w:val="Caption"/>
                              <w:ind w:firstLine="0"/>
                              <w:jc w:val="both"/>
                              <w:rPr>
                                <w:rFonts w:ascii="Verdana" w:hAnsi="Verdana"/>
                                <w:i w:val="0"/>
                                <w:iCs w:val="0"/>
                                <w:color w:val="auto"/>
                              </w:rPr>
                            </w:pPr>
                            <w:bookmarkStart w:id="97" w:name="_Toc131412759"/>
                            <w:r w:rsidRPr="00E4739B">
                              <w:rPr>
                                <w:rFonts w:ascii="Verdana" w:hAnsi="Verdana"/>
                                <w:b/>
                                <w:bCs/>
                                <w:i w:val="0"/>
                                <w:iCs w:val="0"/>
                                <w:color w:val="000000" w:themeColor="text1"/>
                                <w:lang w:val="en-GB"/>
                              </w:rPr>
                              <w:t xml:space="preserve">Figure </w:t>
                            </w:r>
                            <w:r w:rsidRPr="00E4739B">
                              <w:rPr>
                                <w:rFonts w:ascii="Verdana" w:hAnsi="Verdana"/>
                                <w:b/>
                                <w:bCs/>
                                <w:i w:val="0"/>
                                <w:iCs w:val="0"/>
                                <w:color w:val="000000" w:themeColor="text1"/>
                                <w:lang w:val="en-GB"/>
                              </w:rPr>
                              <w:fldChar w:fldCharType="begin"/>
                            </w:r>
                            <w:r w:rsidRPr="00E4739B">
                              <w:rPr>
                                <w:rFonts w:ascii="Verdana" w:hAnsi="Verdana"/>
                                <w:b/>
                                <w:bCs/>
                                <w:i w:val="0"/>
                                <w:iCs w:val="0"/>
                                <w:color w:val="000000" w:themeColor="text1"/>
                                <w:lang w:val="en-GB"/>
                              </w:rPr>
                              <w:instrText xml:space="preserve"> SEQ Figure \* ARABIC </w:instrText>
                            </w:r>
                            <w:r w:rsidRPr="00E4739B">
                              <w:rPr>
                                <w:rFonts w:ascii="Verdana" w:hAnsi="Verdana"/>
                                <w:b/>
                                <w:bCs/>
                                <w:i w:val="0"/>
                                <w:iCs w:val="0"/>
                                <w:color w:val="000000" w:themeColor="text1"/>
                                <w:lang w:val="en-GB"/>
                              </w:rPr>
                              <w:fldChar w:fldCharType="separate"/>
                            </w:r>
                            <w:r w:rsidR="001D505F">
                              <w:rPr>
                                <w:rFonts w:ascii="Verdana" w:hAnsi="Verdana"/>
                                <w:b/>
                                <w:bCs/>
                                <w:i w:val="0"/>
                                <w:iCs w:val="0"/>
                                <w:noProof/>
                                <w:color w:val="000000" w:themeColor="text1"/>
                                <w:lang w:val="en-GB"/>
                              </w:rPr>
                              <w:t>17</w:t>
                            </w:r>
                            <w:r w:rsidRPr="00E4739B">
                              <w:rPr>
                                <w:rFonts w:ascii="Verdana" w:hAnsi="Verdana"/>
                                <w:b/>
                                <w:bCs/>
                                <w:i w:val="0"/>
                                <w:iCs w:val="0"/>
                                <w:color w:val="000000" w:themeColor="text1"/>
                                <w:lang w:val="en-GB"/>
                              </w:rPr>
                              <w:fldChar w:fldCharType="end"/>
                            </w:r>
                            <w:r w:rsidRPr="005656D7">
                              <w:rPr>
                                <w:rFonts w:ascii="Verdana" w:hAnsi="Verdana"/>
                                <w:b/>
                                <w:bCs/>
                                <w:lang w:val="en-GB"/>
                              </w:rPr>
                              <w:t xml:space="preserve"> </w:t>
                            </w:r>
                            <w:r w:rsidR="00E4739B">
                              <w:rPr>
                                <w:rFonts w:ascii="Verdana" w:hAnsi="Verdana"/>
                                <w:i w:val="0"/>
                                <w:iCs w:val="0"/>
                                <w:color w:val="auto"/>
                              </w:rPr>
                              <w:t xml:space="preserve">Transcriptional </w:t>
                            </w:r>
                            <w:r w:rsidR="00515FB7">
                              <w:rPr>
                                <w:rFonts w:ascii="Verdana" w:hAnsi="Verdana"/>
                                <w:i w:val="0"/>
                                <w:iCs w:val="0"/>
                                <w:color w:val="auto"/>
                              </w:rPr>
                              <w:t>changes</w:t>
                            </w:r>
                            <w:r w:rsidR="00E4739B">
                              <w:rPr>
                                <w:rFonts w:ascii="Verdana" w:hAnsi="Verdana"/>
                                <w:i w:val="0"/>
                                <w:iCs w:val="0"/>
                                <w:color w:val="auto"/>
                              </w:rPr>
                              <w:t xml:space="preserve"> in the hippocampus of old HET female mice.</w:t>
                            </w:r>
                            <w:bookmarkEnd w:id="97"/>
                          </w:p>
                          <w:p w14:paraId="48EFA63F" w14:textId="6430EFA4" w:rsidR="00E4739B" w:rsidRPr="00DD1471" w:rsidRDefault="00E4739B" w:rsidP="00E4739B">
                            <w:pPr>
                              <w:ind w:firstLine="0"/>
                              <w:jc w:val="both"/>
                              <w:rPr>
                                <w:rFonts w:ascii="Verdana" w:hAnsi="Verdana"/>
                                <w:sz w:val="18"/>
                                <w:szCs w:val="18"/>
                              </w:rPr>
                            </w:pPr>
                            <w:r w:rsidRPr="004614CB">
                              <w:rPr>
                                <w:rFonts w:ascii="Verdana" w:hAnsi="Verdana"/>
                                <w:b/>
                                <w:bCs/>
                                <w:sz w:val="18"/>
                                <w:szCs w:val="18"/>
                              </w:rPr>
                              <w:t>A)</w:t>
                            </w:r>
                            <w:r>
                              <w:rPr>
                                <w:rFonts w:ascii="Verdana" w:hAnsi="Verdana"/>
                                <w:sz w:val="18"/>
                                <w:szCs w:val="18"/>
                              </w:rPr>
                              <w:t xml:space="preserve"> Volcano plot</w:t>
                            </w:r>
                            <w:r w:rsidRPr="004614CB">
                              <w:rPr>
                                <w:rFonts w:ascii="Verdana" w:hAnsi="Verdana"/>
                                <w:sz w:val="18"/>
                                <w:szCs w:val="18"/>
                              </w:rPr>
                              <w:t xml:space="preserve"> showing the gene expression pattern for the </w:t>
                            </w:r>
                            <w:r>
                              <w:rPr>
                                <w:rFonts w:ascii="Verdana" w:hAnsi="Verdana"/>
                                <w:sz w:val="18"/>
                                <w:szCs w:val="18"/>
                              </w:rPr>
                              <w:t xml:space="preserve">67 DEGs between 14- and 8-months old HET female mice. </w:t>
                            </w:r>
                            <w:r w:rsidRPr="00C877DC">
                              <w:rPr>
                                <w:rFonts w:ascii="Verdana" w:hAnsi="Verdana"/>
                                <w:b/>
                                <w:bCs/>
                                <w:sz w:val="18"/>
                                <w:szCs w:val="18"/>
                              </w:rPr>
                              <w:t>B)</w:t>
                            </w:r>
                            <w:r w:rsidRPr="00E4739B">
                              <w:t xml:space="preserve"> </w:t>
                            </w:r>
                            <w:r w:rsidRPr="004614CB">
                              <w:t xml:space="preserve">Heatmap showing the gene expression pattern of the 67 DEGs between 14- and 8-months old HET female mice for both genotypes and all ages. A clear pattern of gene expression can be identified in the aged HET mice, while the expression is more variable for young mice. </w:t>
                            </w:r>
                            <w:r>
                              <w:rPr>
                                <w:b/>
                                <w:bCs/>
                              </w:rPr>
                              <w:t>C</w:t>
                            </w:r>
                            <w:r w:rsidRPr="004614CB">
                              <w:rPr>
                                <w:b/>
                                <w:bCs/>
                              </w:rPr>
                              <w:t xml:space="preserve">) </w:t>
                            </w:r>
                            <w:r w:rsidRPr="004614CB">
                              <w:t xml:space="preserve">Top 10 GO terms between 14- and 8-months old HET female mice. </w:t>
                            </w:r>
                            <w:r>
                              <w:rPr>
                                <w:b/>
                                <w:bCs/>
                              </w:rPr>
                              <w:t>D</w:t>
                            </w:r>
                            <w:r w:rsidR="00305112">
                              <w:rPr>
                                <w:b/>
                                <w:bCs/>
                              </w:rPr>
                              <w:t>)</w:t>
                            </w:r>
                            <w:r w:rsidRPr="004614CB">
                              <w:t xml:space="preserve"> </w:t>
                            </w:r>
                            <w:r>
                              <w:rPr>
                                <w:rFonts w:ascii="Verdana" w:hAnsi="Verdana"/>
                                <w:sz w:val="18"/>
                                <w:szCs w:val="18"/>
                              </w:rPr>
                              <w:t>Top 15 deregulated pathways predicted by Ingenuity Pathway Analysis ® “Canonical Pathways”.</w:t>
                            </w:r>
                            <w:r w:rsidR="00305112">
                              <w:rPr>
                                <w:rFonts w:ascii="Verdana" w:hAnsi="Verdana"/>
                                <w:sz w:val="18"/>
                                <w:szCs w:val="18"/>
                              </w:rPr>
                              <w:t xml:space="preserve"> Threshold (orange</w:t>
                            </w:r>
                            <w:r w:rsidR="005166D5">
                              <w:rPr>
                                <w:rFonts w:ascii="Verdana" w:hAnsi="Verdana"/>
                                <w:sz w:val="18"/>
                                <w:szCs w:val="18"/>
                              </w:rPr>
                              <w:t xml:space="preserv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45C392D7" w14:textId="27BF3869" w:rsidR="007F5962" w:rsidRPr="00E4739B" w:rsidRDefault="00E4739B" w:rsidP="00E4739B">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B9DA01" id="Text Box 61" o:spid="_x0000_s1045" type="#_x0000_t202" style="position:absolute;margin-left:387.75pt;margin-top:545.95pt;width:438.95pt;height:.05pt;z-index:252011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" stroked="f">
                <v:textbox style="mso-fit-shape-to-text:t" inset="0,0,0,0">
                  <w:txbxContent>
                    <w:p w14:paraId="6E0B7761" w14:textId="33B225FB" w:rsidR="00E4739B" w:rsidRPr="00D51322" w:rsidRDefault="007F5962" w:rsidP="00E4739B">
                      <w:pPr>
                        <w:pStyle w:val="Caption"/>
                        <w:ind w:firstLine="0"/>
                        <w:jc w:val="both"/>
                        <w:rPr>
                          <w:rFonts w:ascii="Verdana" w:hAnsi="Verdana"/>
                          <w:i w:val="0"/>
                          <w:iCs w:val="0"/>
                          <w:color w:val="auto"/>
                        </w:rPr>
                      </w:pPr>
                      <w:bookmarkStart w:id="98" w:name="_Toc131412759"/>
                      <w:r w:rsidRPr="00E4739B">
                        <w:rPr>
                          <w:rFonts w:ascii="Verdana" w:hAnsi="Verdana"/>
                          <w:b/>
                          <w:bCs/>
                          <w:i w:val="0"/>
                          <w:iCs w:val="0"/>
                          <w:color w:val="000000" w:themeColor="text1"/>
                          <w:lang w:val="en-GB"/>
                        </w:rPr>
                        <w:t xml:space="preserve">Figure </w:t>
                      </w:r>
                      <w:r w:rsidRPr="00E4739B">
                        <w:rPr>
                          <w:rFonts w:ascii="Verdana" w:hAnsi="Verdana"/>
                          <w:b/>
                          <w:bCs/>
                          <w:i w:val="0"/>
                          <w:iCs w:val="0"/>
                          <w:color w:val="000000" w:themeColor="text1"/>
                          <w:lang w:val="en-GB"/>
                        </w:rPr>
                        <w:fldChar w:fldCharType="begin"/>
                      </w:r>
                      <w:r w:rsidRPr="00E4739B">
                        <w:rPr>
                          <w:rFonts w:ascii="Verdana" w:hAnsi="Verdana"/>
                          <w:b/>
                          <w:bCs/>
                          <w:i w:val="0"/>
                          <w:iCs w:val="0"/>
                          <w:color w:val="000000" w:themeColor="text1"/>
                          <w:lang w:val="en-GB"/>
                        </w:rPr>
                        <w:instrText xml:space="preserve"> SEQ Figure \* ARABIC </w:instrText>
                      </w:r>
                      <w:r w:rsidRPr="00E4739B">
                        <w:rPr>
                          <w:rFonts w:ascii="Verdana" w:hAnsi="Verdana"/>
                          <w:b/>
                          <w:bCs/>
                          <w:i w:val="0"/>
                          <w:iCs w:val="0"/>
                          <w:color w:val="000000" w:themeColor="text1"/>
                          <w:lang w:val="en-GB"/>
                        </w:rPr>
                        <w:fldChar w:fldCharType="separate"/>
                      </w:r>
                      <w:r w:rsidR="001D505F">
                        <w:rPr>
                          <w:rFonts w:ascii="Verdana" w:hAnsi="Verdana"/>
                          <w:b/>
                          <w:bCs/>
                          <w:i w:val="0"/>
                          <w:iCs w:val="0"/>
                          <w:noProof/>
                          <w:color w:val="000000" w:themeColor="text1"/>
                          <w:lang w:val="en-GB"/>
                        </w:rPr>
                        <w:t>17</w:t>
                      </w:r>
                      <w:r w:rsidRPr="00E4739B">
                        <w:rPr>
                          <w:rFonts w:ascii="Verdana" w:hAnsi="Verdana"/>
                          <w:b/>
                          <w:bCs/>
                          <w:i w:val="0"/>
                          <w:iCs w:val="0"/>
                          <w:color w:val="000000" w:themeColor="text1"/>
                          <w:lang w:val="en-GB"/>
                        </w:rPr>
                        <w:fldChar w:fldCharType="end"/>
                      </w:r>
                      <w:r w:rsidRPr="005656D7">
                        <w:rPr>
                          <w:rFonts w:ascii="Verdana" w:hAnsi="Verdana"/>
                          <w:b/>
                          <w:bCs/>
                          <w:lang w:val="en-GB"/>
                        </w:rPr>
                        <w:t xml:space="preserve"> </w:t>
                      </w:r>
                      <w:r w:rsidR="00E4739B">
                        <w:rPr>
                          <w:rFonts w:ascii="Verdana" w:hAnsi="Verdana"/>
                          <w:i w:val="0"/>
                          <w:iCs w:val="0"/>
                          <w:color w:val="auto"/>
                        </w:rPr>
                        <w:t xml:space="preserve">Transcriptional </w:t>
                      </w:r>
                      <w:r w:rsidR="00515FB7">
                        <w:rPr>
                          <w:rFonts w:ascii="Verdana" w:hAnsi="Verdana"/>
                          <w:i w:val="0"/>
                          <w:iCs w:val="0"/>
                          <w:color w:val="auto"/>
                        </w:rPr>
                        <w:t>changes</w:t>
                      </w:r>
                      <w:r w:rsidR="00E4739B">
                        <w:rPr>
                          <w:rFonts w:ascii="Verdana" w:hAnsi="Verdana"/>
                          <w:i w:val="0"/>
                          <w:iCs w:val="0"/>
                          <w:color w:val="auto"/>
                        </w:rPr>
                        <w:t xml:space="preserve"> in the hippocampus of old HET female mice.</w:t>
                      </w:r>
                      <w:bookmarkEnd w:id="98"/>
                    </w:p>
                    <w:p w14:paraId="48EFA63F" w14:textId="6430EFA4" w:rsidR="00E4739B" w:rsidRPr="00DD1471" w:rsidRDefault="00E4739B" w:rsidP="00E4739B">
                      <w:pPr>
                        <w:ind w:firstLine="0"/>
                        <w:jc w:val="both"/>
                        <w:rPr>
                          <w:rFonts w:ascii="Verdana" w:hAnsi="Verdana"/>
                          <w:sz w:val="18"/>
                          <w:szCs w:val="18"/>
                        </w:rPr>
                      </w:pPr>
                      <w:r w:rsidRPr="004614CB">
                        <w:rPr>
                          <w:rFonts w:ascii="Verdana" w:hAnsi="Verdana"/>
                          <w:b/>
                          <w:bCs/>
                          <w:sz w:val="18"/>
                          <w:szCs w:val="18"/>
                        </w:rPr>
                        <w:t>A)</w:t>
                      </w:r>
                      <w:r>
                        <w:rPr>
                          <w:rFonts w:ascii="Verdana" w:hAnsi="Verdana"/>
                          <w:sz w:val="18"/>
                          <w:szCs w:val="18"/>
                        </w:rPr>
                        <w:t xml:space="preserve"> Volcano plot</w:t>
                      </w:r>
                      <w:r w:rsidRPr="004614CB">
                        <w:rPr>
                          <w:rFonts w:ascii="Verdana" w:hAnsi="Verdana"/>
                          <w:sz w:val="18"/>
                          <w:szCs w:val="18"/>
                        </w:rPr>
                        <w:t xml:space="preserve"> showing the gene expression pattern for the </w:t>
                      </w:r>
                      <w:r>
                        <w:rPr>
                          <w:rFonts w:ascii="Verdana" w:hAnsi="Verdana"/>
                          <w:sz w:val="18"/>
                          <w:szCs w:val="18"/>
                        </w:rPr>
                        <w:t xml:space="preserve">67 DEGs between 14- and 8-months old HET female mice. </w:t>
                      </w:r>
                      <w:r w:rsidRPr="00C877DC">
                        <w:rPr>
                          <w:rFonts w:ascii="Verdana" w:hAnsi="Verdana"/>
                          <w:b/>
                          <w:bCs/>
                          <w:sz w:val="18"/>
                          <w:szCs w:val="18"/>
                        </w:rPr>
                        <w:t>B)</w:t>
                      </w:r>
                      <w:r w:rsidRPr="00E4739B">
                        <w:t xml:space="preserve"> </w:t>
                      </w:r>
                      <w:r w:rsidRPr="004614CB">
                        <w:t xml:space="preserve">Heatmap showing the gene expression pattern of the 67 DEGs between 14- and 8-months old HET female mice for both genotypes and all ages. A clear pattern of gene expression can be identified in the aged HET mice, while the expression is more variable for young mice. </w:t>
                      </w:r>
                      <w:r>
                        <w:rPr>
                          <w:b/>
                          <w:bCs/>
                        </w:rPr>
                        <w:t>C</w:t>
                      </w:r>
                      <w:r w:rsidRPr="004614CB">
                        <w:rPr>
                          <w:b/>
                          <w:bCs/>
                        </w:rPr>
                        <w:t xml:space="preserve">) </w:t>
                      </w:r>
                      <w:r w:rsidRPr="004614CB">
                        <w:t xml:space="preserve">Top 10 GO terms between 14- and 8-months old HET female mice. </w:t>
                      </w:r>
                      <w:r>
                        <w:rPr>
                          <w:b/>
                          <w:bCs/>
                        </w:rPr>
                        <w:t>D</w:t>
                      </w:r>
                      <w:r w:rsidR="00305112">
                        <w:rPr>
                          <w:b/>
                          <w:bCs/>
                        </w:rPr>
                        <w:t>)</w:t>
                      </w:r>
                      <w:r w:rsidRPr="004614CB">
                        <w:t xml:space="preserve"> </w:t>
                      </w:r>
                      <w:r>
                        <w:rPr>
                          <w:rFonts w:ascii="Verdana" w:hAnsi="Verdana"/>
                          <w:sz w:val="18"/>
                          <w:szCs w:val="18"/>
                        </w:rPr>
                        <w:t>Top 15 deregulated pathways predicted by Ingenuity Pathway Analysis ® “Canonical Pathways”.</w:t>
                      </w:r>
                      <w:r w:rsidR="00305112">
                        <w:rPr>
                          <w:rFonts w:ascii="Verdana" w:hAnsi="Verdana"/>
                          <w:sz w:val="18"/>
                          <w:szCs w:val="18"/>
                        </w:rPr>
                        <w:t xml:space="preserve"> Threshold (orange</w:t>
                      </w:r>
                      <w:r w:rsidR="005166D5">
                        <w:rPr>
                          <w:rFonts w:ascii="Verdana" w:hAnsi="Verdana"/>
                          <w:sz w:val="18"/>
                          <w:szCs w:val="18"/>
                        </w:rPr>
                        <w:t xml:space="preserve"> line): -log(</w:t>
                      </w:r>
                      <w:proofErr w:type="spellStart"/>
                      <w:r w:rsidR="005166D5">
                        <w:rPr>
                          <w:rFonts w:ascii="Verdana" w:hAnsi="Verdana"/>
                          <w:sz w:val="18"/>
                          <w:szCs w:val="18"/>
                        </w:rPr>
                        <w:t>pval</w:t>
                      </w:r>
                      <w:proofErr w:type="spellEnd"/>
                      <w:r w:rsidR="005166D5">
                        <w:rPr>
                          <w:rFonts w:ascii="Verdana" w:hAnsi="Verdana"/>
                          <w:sz w:val="18"/>
                          <w:szCs w:val="18"/>
                        </w:rPr>
                        <w:t xml:space="preserve">) = 1.3 or </w:t>
                      </w:r>
                      <w:proofErr w:type="spellStart"/>
                      <w:r w:rsidR="005166D5">
                        <w:rPr>
                          <w:rFonts w:ascii="Verdana" w:hAnsi="Verdana"/>
                          <w:sz w:val="18"/>
                          <w:szCs w:val="18"/>
                        </w:rPr>
                        <w:t>pval</w:t>
                      </w:r>
                      <w:proofErr w:type="spellEnd"/>
                      <w:r w:rsidR="005166D5">
                        <w:rPr>
                          <w:rFonts w:ascii="Verdana" w:hAnsi="Verdana"/>
                          <w:sz w:val="18"/>
                          <w:szCs w:val="18"/>
                        </w:rPr>
                        <w:t xml:space="preserve"> = 0.05.</w:t>
                      </w:r>
                    </w:p>
                    <w:p w14:paraId="45C392D7" w14:textId="27BF3869" w:rsidR="007F5962" w:rsidRPr="00E4739B" w:rsidRDefault="00E4739B" w:rsidP="00E4739B">
                      <w:pPr>
                        <w:ind w:firstLine="0"/>
                        <w:jc w:val="both"/>
                        <w:rPr>
                          <w:rFonts w:ascii="Verdana" w:hAnsi="Verdana"/>
                          <w:sz w:val="18"/>
                          <w:szCs w:val="18"/>
                        </w:rPr>
                      </w:pPr>
                      <w:r>
                        <w:rPr>
                          <w:rFonts w:ascii="Verdana" w:hAnsi="Verdana"/>
                          <w:sz w:val="18"/>
                          <w:szCs w:val="18"/>
                        </w:rPr>
                        <w:t xml:space="preserve">N = 4 mice per group. </w:t>
                      </w:r>
                      <w:r w:rsidRPr="00BD5F16">
                        <w:rPr>
                          <w:rFonts w:ascii="Verdana" w:hAnsi="Verdana"/>
                          <w:sz w:val="18"/>
                          <w:szCs w:val="18"/>
                        </w:rPr>
                        <w:t xml:space="preserve">WT = </w:t>
                      </w:r>
                      <w:r>
                        <w:rPr>
                          <w:rFonts w:ascii="Verdana" w:hAnsi="Verdana"/>
                          <w:sz w:val="18"/>
                          <w:szCs w:val="18"/>
                        </w:rPr>
                        <w:t>wild-type littermates, HET = transgenic SNCA*E46K animals, 3M = 3-months old, 6M = 6-months old, 8M = 8-months old, 14M = 14-months old.</w:t>
                      </w:r>
                    </w:p>
                  </w:txbxContent>
                </v:textbox>
                <w10:wrap type="topAndBottom" anchorx="margin"/>
              </v:shape>
            </w:pict>
          </mc:Fallback>
        </mc:AlternateContent>
      </w:r>
      <w:r>
        <w:rPr>
          <w:rFonts w:ascii="Verdana" w:hAnsi="Verdana"/>
          <w:noProof/>
          <w:color w:val="000000" w:themeColor="text1"/>
          <w:lang w:val="en-GB"/>
        </w:rPr>
        <w:drawing>
          <wp:anchor distT="0" distB="0" distL="114300" distR="114300" simplePos="0" relativeHeight="252025856" behindDoc="0" locked="0" layoutInCell="1" allowOverlap="1" wp14:anchorId="7B16323F" wp14:editId="2F4AF010">
            <wp:simplePos x="0" y="0"/>
            <wp:positionH relativeFrom="margin">
              <wp:align>right</wp:align>
            </wp:positionH>
            <wp:positionV relativeFrom="paragraph">
              <wp:posOffset>325</wp:posOffset>
            </wp:positionV>
            <wp:extent cx="5580380" cy="6590665"/>
            <wp:effectExtent l="0" t="0" r="1270" b="635"/>
            <wp:wrapTopAndBottom/>
            <wp:docPr id="71" name="Picture 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80380" cy="6590665"/>
                    </a:xfrm>
                    <a:prstGeom prst="rect">
                      <a:avLst/>
                    </a:prstGeom>
                  </pic:spPr>
                </pic:pic>
              </a:graphicData>
            </a:graphic>
          </wp:anchor>
        </w:drawing>
      </w:r>
      <w:r w:rsidR="00F84DAB" w:rsidRPr="001415D1">
        <w:rPr>
          <w:rFonts w:ascii="Verdana" w:hAnsi="Verdana"/>
          <w:color w:val="000000" w:themeColor="text1"/>
          <w:lang w:val="en-GB"/>
        </w:rPr>
        <w:br w:type="page"/>
      </w:r>
    </w:p>
    <w:bookmarkStart w:id="99" w:name="_Toc130223440"/>
    <w:p w14:paraId="71330D38" w14:textId="441E5DE1" w:rsidR="00076A09" w:rsidRDefault="00076A09" w:rsidP="00913B8A">
      <w:pPr>
        <w:pStyle w:val="Heading1"/>
        <w:rPr>
          <w:lang w:val="en-GB"/>
        </w:rPr>
      </w:pPr>
      <w:r>
        <w:rPr>
          <w:noProof/>
          <w:lang w:val="en-GB"/>
        </w:rPr>
        <w:lastRenderedPageBreak/>
        <mc:AlternateContent>
          <mc:Choice Requires="wps">
            <w:drawing>
              <wp:anchor distT="0" distB="0" distL="114300" distR="114300" simplePos="0" relativeHeight="251695104" behindDoc="0" locked="0" layoutInCell="1" allowOverlap="1" wp14:anchorId="6314398A" wp14:editId="4BDB1DDF">
                <wp:simplePos x="0" y="0"/>
                <wp:positionH relativeFrom="column">
                  <wp:posOffset>852968</wp:posOffset>
                </wp:positionH>
                <wp:positionV relativeFrom="paragraph">
                  <wp:posOffset>0</wp:posOffset>
                </wp:positionV>
                <wp:extent cx="0" cy="457200"/>
                <wp:effectExtent l="19050" t="0" r="19050" b="19050"/>
                <wp:wrapNone/>
                <wp:docPr id="17" name="Straight Connector 17"/>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DB71FD" id="Straight Connector 17"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67.15pt,0" to="67.1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" strokecolor="black [3200]" strokeweight="2.25pt">
                <v:stroke joinstyle="miter"/>
              </v:line>
            </w:pict>
          </mc:Fallback>
        </mc:AlternateContent>
      </w:r>
      <w:r>
        <w:rPr>
          <w:lang w:val="en-GB"/>
        </w:rPr>
        <w:t xml:space="preserve">5   </w:t>
      </w:r>
      <w:r w:rsidR="00E96B83">
        <w:rPr>
          <w:lang w:val="en-GB"/>
        </w:rPr>
        <w:t>Age- and sex-dependent transcriptomic changes in the Park7</w:t>
      </w:r>
      <w:r w:rsidR="00E96B83" w:rsidRPr="00720306">
        <w:rPr>
          <w:vertAlign w:val="superscript"/>
          <w:lang w:val="en-GB"/>
        </w:rPr>
        <w:t>-/-</w:t>
      </w:r>
      <w:r w:rsidR="00E96B83">
        <w:rPr>
          <w:lang w:val="en-GB"/>
        </w:rPr>
        <w:t xml:space="preserve"> mouse model</w:t>
      </w:r>
      <w:r w:rsidR="00720306">
        <w:rPr>
          <w:lang w:val="en-GB"/>
        </w:rPr>
        <w:t xml:space="preserve"> of early Parkinson’s</w:t>
      </w:r>
      <w:bookmarkEnd w:id="99"/>
    </w:p>
    <w:p w14:paraId="5AF9EF4D" w14:textId="415E3490" w:rsidR="00076A09" w:rsidRDefault="00076A09" w:rsidP="00076A09">
      <w:pPr>
        <w:rPr>
          <w:lang w:val="en-GB"/>
        </w:rPr>
      </w:pPr>
    </w:p>
    <w:p w14:paraId="56135F1D" w14:textId="4034BD77" w:rsidR="00076A09" w:rsidRPr="00076A09" w:rsidRDefault="00076A09" w:rsidP="00076A09">
      <w:pPr>
        <w:rPr>
          <w:rFonts w:ascii="Verdana" w:hAnsi="Verdana"/>
          <w:lang w:val="en-GB"/>
        </w:rPr>
      </w:pPr>
    </w:p>
    <w:p w14:paraId="42556794" w14:textId="77777777" w:rsidR="00076A09" w:rsidRPr="00076A09" w:rsidRDefault="00076A09" w:rsidP="00076A09">
      <w:pPr>
        <w:rPr>
          <w:rFonts w:ascii="Verdana" w:hAnsi="Verdana"/>
          <w:lang w:val="en-GB"/>
        </w:rPr>
      </w:pPr>
    </w:p>
    <w:p w14:paraId="226D07B2" w14:textId="77777777" w:rsidR="009E1E57" w:rsidRDefault="009E1E57" w:rsidP="00720306">
      <w:pPr>
        <w:ind w:firstLine="0"/>
        <w:rPr>
          <w:rFonts w:ascii="Verdana" w:hAnsi="Verdana"/>
          <w:b/>
          <w:bCs/>
          <w:sz w:val="24"/>
          <w:szCs w:val="24"/>
          <w:lang w:val="en-GB"/>
        </w:rPr>
      </w:pPr>
    </w:p>
    <w:p w14:paraId="149879E0" w14:textId="77777777" w:rsidR="009E1E57" w:rsidRDefault="009E1E57" w:rsidP="00720306">
      <w:pPr>
        <w:ind w:firstLine="0"/>
        <w:rPr>
          <w:rFonts w:ascii="Verdana" w:hAnsi="Verdana"/>
          <w:b/>
          <w:bCs/>
          <w:sz w:val="24"/>
          <w:szCs w:val="24"/>
          <w:lang w:val="en-GB"/>
        </w:rPr>
      </w:pPr>
    </w:p>
    <w:p w14:paraId="5E93012F" w14:textId="77777777" w:rsidR="009E1E57" w:rsidRDefault="009E1E57" w:rsidP="00720306">
      <w:pPr>
        <w:ind w:firstLine="0"/>
        <w:rPr>
          <w:rFonts w:ascii="Verdana" w:hAnsi="Verdana"/>
          <w:b/>
          <w:bCs/>
          <w:sz w:val="24"/>
          <w:szCs w:val="24"/>
          <w:lang w:val="en-GB"/>
        </w:rPr>
      </w:pPr>
    </w:p>
    <w:p w14:paraId="6E2B1703" w14:textId="77777777" w:rsidR="009E1E57" w:rsidRDefault="009E1E57" w:rsidP="00720306">
      <w:pPr>
        <w:ind w:firstLine="0"/>
        <w:rPr>
          <w:rFonts w:ascii="Verdana" w:hAnsi="Verdana"/>
          <w:b/>
          <w:bCs/>
          <w:sz w:val="24"/>
          <w:szCs w:val="24"/>
          <w:lang w:val="en-GB"/>
        </w:rPr>
      </w:pPr>
    </w:p>
    <w:p w14:paraId="2C8FA2E6" w14:textId="48A146EF" w:rsidR="00720306" w:rsidRPr="009E1E57" w:rsidRDefault="00916A35" w:rsidP="00913B8A">
      <w:pPr>
        <w:pStyle w:val="Heading2"/>
        <w:rPr>
          <w:lang w:val="en-GB"/>
        </w:rPr>
      </w:pPr>
      <w:bookmarkStart w:id="100" w:name="_Toc130223441"/>
      <w:r w:rsidRPr="00720306">
        <w:rPr>
          <w:lang w:val="en-GB"/>
        </w:rPr>
        <w:t>P</w:t>
      </w:r>
      <w:r w:rsidR="00720306">
        <w:rPr>
          <w:lang w:val="en-GB"/>
        </w:rPr>
        <w:t>reface</w:t>
      </w:r>
      <w:bookmarkEnd w:id="100"/>
    </w:p>
    <w:p w14:paraId="545D00F3" w14:textId="1E574A92" w:rsidR="00380233" w:rsidRPr="00E56D0D" w:rsidRDefault="00977F2A" w:rsidP="00913B8A">
      <w:pPr>
        <w:spacing w:line="360" w:lineRule="auto"/>
        <w:jc w:val="both"/>
        <w:rPr>
          <w:rFonts w:ascii="Verdana" w:hAnsi="Verdana"/>
          <w:lang w:val="en-GB"/>
        </w:rPr>
      </w:pPr>
      <w:r w:rsidRPr="00977F2A">
        <w:rPr>
          <w:rFonts w:ascii="Verdana" w:hAnsi="Verdana"/>
          <w:lang w:val="en-GB"/>
        </w:rPr>
        <w:t xml:space="preserve">Park7 </w:t>
      </w:r>
      <w:r>
        <w:rPr>
          <w:rFonts w:ascii="Verdana" w:hAnsi="Verdana"/>
          <w:lang w:val="en-GB"/>
        </w:rPr>
        <w:t>mutations which result in the loss of function of the encoded protein DJ-1 are a known cause of familial PD.</w:t>
      </w:r>
      <w:r w:rsidR="000C3493">
        <w:rPr>
          <w:rFonts w:ascii="Verdana" w:hAnsi="Verdana"/>
          <w:lang w:val="en-GB"/>
        </w:rPr>
        <w:t xml:space="preserve"> DJ-1</w:t>
      </w:r>
      <w:r w:rsidR="005572FE">
        <w:rPr>
          <w:rFonts w:ascii="Verdana" w:hAnsi="Verdana"/>
          <w:lang w:val="en-GB"/>
        </w:rPr>
        <w:t xml:space="preserve"> functions include chaperone activity and atypical peroxiredoxin-like peroxidase, and DJ-1 has been shown to </w:t>
      </w:r>
      <w:r w:rsidR="005521D3">
        <w:rPr>
          <w:rFonts w:ascii="Verdana" w:hAnsi="Verdana"/>
          <w:lang w:val="en-GB"/>
        </w:rPr>
        <w:t xml:space="preserve">protect mitochondria from oxidative stress. Indeed, </w:t>
      </w:r>
      <w:proofErr w:type="gramStart"/>
      <w:r w:rsidR="005521D3">
        <w:rPr>
          <w:rFonts w:ascii="Verdana" w:hAnsi="Verdana"/>
          <w:lang w:val="en-GB"/>
        </w:rPr>
        <w:t>oxidative</w:t>
      </w:r>
      <w:proofErr w:type="gramEnd"/>
      <w:r w:rsidR="0031642E">
        <w:rPr>
          <w:rFonts w:ascii="Verdana" w:hAnsi="Verdana"/>
          <w:lang w:val="en-GB"/>
        </w:rPr>
        <w:t xml:space="preserve"> and mitochondrial</w:t>
      </w:r>
      <w:r w:rsidR="005521D3">
        <w:rPr>
          <w:rFonts w:ascii="Verdana" w:hAnsi="Verdana"/>
          <w:lang w:val="en-GB"/>
        </w:rPr>
        <w:t xml:space="preserve"> stress following DJ-1 loss of function </w:t>
      </w:r>
      <w:r w:rsidR="0031642E">
        <w:rPr>
          <w:rFonts w:ascii="Verdana" w:hAnsi="Verdana"/>
          <w:lang w:val="en-GB"/>
        </w:rPr>
        <w:t>are recognized as a main driver of PD pathology.</w:t>
      </w:r>
      <w:r w:rsidR="00E56D0D">
        <w:rPr>
          <w:rFonts w:ascii="Verdana" w:hAnsi="Verdana"/>
          <w:lang w:val="en-GB"/>
        </w:rPr>
        <w:t xml:space="preserve"> DJ-1 knock-out (KO) mouse models</w:t>
      </w:r>
      <w:r w:rsidR="00AA737D">
        <w:rPr>
          <w:rFonts w:ascii="Verdana" w:hAnsi="Verdana"/>
          <w:lang w:val="en-GB"/>
        </w:rPr>
        <w:t xml:space="preserve"> present dopaminergic deficits despite the lack of </w:t>
      </w:r>
      <w:r w:rsidR="001D3237">
        <w:rPr>
          <w:rFonts w:ascii="Verdana" w:hAnsi="Verdana"/>
          <w:lang w:val="en-GB"/>
        </w:rPr>
        <w:t>overt dopaminergic neurons degeneration</w:t>
      </w:r>
      <w:r w:rsidR="00F664A2">
        <w:rPr>
          <w:rFonts w:ascii="Verdana" w:hAnsi="Verdana"/>
          <w:lang w:val="en-GB"/>
        </w:rPr>
        <w:t xml:space="preserve">, which is why they represent a </w:t>
      </w:r>
      <w:r w:rsidR="002C3CFE">
        <w:rPr>
          <w:rFonts w:ascii="Verdana" w:hAnsi="Verdana"/>
          <w:lang w:val="en-GB"/>
        </w:rPr>
        <w:t>potential</w:t>
      </w:r>
      <w:r w:rsidR="00F664A2">
        <w:rPr>
          <w:rFonts w:ascii="Verdana" w:hAnsi="Verdana"/>
          <w:lang w:val="en-GB"/>
        </w:rPr>
        <w:t xml:space="preserve"> model for early pathological mechanisms in PD</w:t>
      </w:r>
      <w:r w:rsidR="002C3CFE">
        <w:rPr>
          <w:rFonts w:ascii="Verdana" w:hAnsi="Verdana"/>
          <w:lang w:val="en-GB"/>
        </w:rPr>
        <w:t>.</w:t>
      </w:r>
    </w:p>
    <w:p w14:paraId="77ED449E" w14:textId="1A2A38AE" w:rsidR="00720306" w:rsidRPr="00720306" w:rsidRDefault="00A40643" w:rsidP="00913B8A">
      <w:pPr>
        <w:spacing w:line="360" w:lineRule="auto"/>
        <w:jc w:val="both"/>
        <w:rPr>
          <w:rFonts w:ascii="Verdana" w:hAnsi="Verdana"/>
          <w:b/>
          <w:bCs/>
          <w:sz w:val="24"/>
          <w:szCs w:val="24"/>
          <w:lang w:val="en-GB"/>
        </w:rPr>
      </w:pPr>
      <w:r>
        <w:rPr>
          <w:rFonts w:ascii="Verdana" w:hAnsi="Verdana"/>
          <w:lang w:val="en-GB"/>
        </w:rPr>
        <w:t xml:space="preserve">The results shown in this chapter </w:t>
      </w:r>
      <w:r w:rsidR="00754F5A">
        <w:rPr>
          <w:rFonts w:ascii="Verdana" w:hAnsi="Verdana"/>
          <w:lang w:val="en-GB"/>
        </w:rPr>
        <w:t>represent the starting findings of</w:t>
      </w:r>
      <w:r>
        <w:rPr>
          <w:rFonts w:ascii="Verdana" w:hAnsi="Verdana"/>
          <w:lang w:val="en-GB"/>
        </w:rPr>
        <w:t xml:space="preserve"> a study </w:t>
      </w:r>
      <w:r w:rsidR="00F2586B">
        <w:rPr>
          <w:rFonts w:ascii="Verdana" w:hAnsi="Verdana"/>
          <w:lang w:val="en-GB"/>
        </w:rPr>
        <w:t xml:space="preserve">in collaboration with </w:t>
      </w:r>
      <w:r>
        <w:rPr>
          <w:rFonts w:ascii="Verdana" w:hAnsi="Verdana"/>
          <w:lang w:val="en-GB"/>
        </w:rPr>
        <w:t xml:space="preserve">Sergio </w:t>
      </w:r>
      <w:proofErr w:type="spellStart"/>
      <w:r>
        <w:rPr>
          <w:rFonts w:ascii="Verdana" w:hAnsi="Verdana"/>
          <w:lang w:val="en-GB"/>
        </w:rPr>
        <w:t>Helgueta</w:t>
      </w:r>
      <w:proofErr w:type="spellEnd"/>
      <w:r w:rsidR="00754F5A">
        <w:rPr>
          <w:rFonts w:ascii="Verdana" w:hAnsi="Verdana"/>
          <w:lang w:val="en-GB"/>
        </w:rPr>
        <w:t xml:space="preserve"> Romero,</w:t>
      </w:r>
      <w:r>
        <w:rPr>
          <w:rFonts w:ascii="Verdana" w:hAnsi="Verdana"/>
          <w:lang w:val="en-GB"/>
        </w:rPr>
        <w:t xml:space="preserve"> where we </w:t>
      </w:r>
      <w:r w:rsidR="00C14C9D">
        <w:rPr>
          <w:rFonts w:ascii="Verdana" w:hAnsi="Verdana"/>
          <w:lang w:val="en-GB"/>
        </w:rPr>
        <w:t xml:space="preserve">investigated transcriptomic changes occurring in the midbrain of 3- and 8-months </w:t>
      </w:r>
      <w:r w:rsidR="00C14C9D" w:rsidRPr="00784C1E">
        <w:rPr>
          <w:rFonts w:ascii="Verdana" w:hAnsi="Verdana"/>
          <w:lang w:val="en-GB"/>
        </w:rPr>
        <w:t>old</w:t>
      </w:r>
      <w:r w:rsidR="00784C1E" w:rsidRPr="00784C1E">
        <w:rPr>
          <w:rFonts w:ascii="Verdana" w:hAnsi="Verdana"/>
          <w:lang w:val="en-GB"/>
        </w:rPr>
        <w:t xml:space="preserve"> </w:t>
      </w:r>
      <w:r w:rsidR="00784C1E" w:rsidRPr="00784C1E">
        <w:rPr>
          <w:rFonts w:ascii="Verdana" w:hAnsi="Verdana"/>
          <w:i/>
          <w:iCs/>
          <w:lang w:val="en-GB"/>
        </w:rPr>
        <w:t>Park7</w:t>
      </w:r>
      <w:r w:rsidR="00784C1E" w:rsidRPr="00784C1E">
        <w:rPr>
          <w:rFonts w:ascii="Verdana" w:hAnsi="Verdana"/>
          <w:i/>
          <w:iCs/>
          <w:vertAlign w:val="superscript"/>
          <w:lang w:val="en-GB"/>
        </w:rPr>
        <w:t>-/-</w:t>
      </w:r>
      <w:r w:rsidR="00C14C9D">
        <w:rPr>
          <w:rFonts w:ascii="Verdana" w:hAnsi="Verdana"/>
          <w:lang w:val="en-GB"/>
        </w:rPr>
        <w:t xml:space="preserve"> mice</w:t>
      </w:r>
      <w:r w:rsidR="00970662">
        <w:rPr>
          <w:rFonts w:ascii="Verdana" w:hAnsi="Verdana"/>
          <w:lang w:val="en-GB"/>
        </w:rPr>
        <w:t xml:space="preserve">. </w:t>
      </w:r>
      <w:r w:rsidR="00034297">
        <w:rPr>
          <w:rFonts w:ascii="Verdana" w:hAnsi="Verdana"/>
          <w:lang w:val="en-GB"/>
        </w:rPr>
        <w:t xml:space="preserve">The presented results and additional ones will be presented by Sergio </w:t>
      </w:r>
      <w:proofErr w:type="spellStart"/>
      <w:r w:rsidR="00034297">
        <w:rPr>
          <w:rFonts w:ascii="Verdana" w:hAnsi="Verdana"/>
          <w:lang w:val="en-GB"/>
        </w:rPr>
        <w:t>Helgueta</w:t>
      </w:r>
      <w:proofErr w:type="spellEnd"/>
      <w:r w:rsidR="00034297">
        <w:rPr>
          <w:rFonts w:ascii="Verdana" w:hAnsi="Verdana"/>
          <w:lang w:val="en-GB"/>
        </w:rPr>
        <w:t xml:space="preserve"> as part of his doctoral thesis</w:t>
      </w:r>
      <w:r w:rsidR="00754F5A">
        <w:rPr>
          <w:rFonts w:ascii="Verdana" w:hAnsi="Verdana"/>
          <w:lang w:val="en-GB"/>
        </w:rPr>
        <w:t>, and a</w:t>
      </w:r>
      <w:r w:rsidR="00970662">
        <w:rPr>
          <w:rFonts w:ascii="Verdana" w:hAnsi="Verdana"/>
          <w:lang w:val="en-GB"/>
        </w:rPr>
        <w:t xml:space="preserve"> manuscript summarising the main findings </w:t>
      </w:r>
      <w:r w:rsidR="00034297">
        <w:rPr>
          <w:rFonts w:ascii="Verdana" w:hAnsi="Verdana"/>
          <w:lang w:val="en-GB"/>
        </w:rPr>
        <w:t>is</w:t>
      </w:r>
      <w:r w:rsidR="00754F5A">
        <w:rPr>
          <w:rFonts w:ascii="Verdana" w:hAnsi="Verdana"/>
          <w:lang w:val="en-GB"/>
        </w:rPr>
        <w:t xml:space="preserve"> currently</w:t>
      </w:r>
      <w:r w:rsidR="00034297">
        <w:rPr>
          <w:rFonts w:ascii="Verdana" w:hAnsi="Verdana"/>
          <w:lang w:val="en-GB"/>
        </w:rPr>
        <w:t xml:space="preserve"> in preparation.</w:t>
      </w:r>
      <w:r w:rsidR="00763057">
        <w:rPr>
          <w:rFonts w:ascii="Verdana" w:hAnsi="Verdana"/>
          <w:lang w:val="en-GB"/>
        </w:rPr>
        <w:t xml:space="preserve"> Regarding the work shown in this chapter, I was responsible for the DJ-1 KO mouse colony management, including genotyping</w:t>
      </w:r>
      <w:r w:rsidR="00201EAD">
        <w:rPr>
          <w:rFonts w:ascii="Verdana" w:hAnsi="Verdana"/>
          <w:lang w:val="en-GB"/>
        </w:rPr>
        <w:t xml:space="preserve"> and</w:t>
      </w:r>
      <w:r w:rsidR="00763057">
        <w:rPr>
          <w:rFonts w:ascii="Verdana" w:hAnsi="Verdana"/>
          <w:lang w:val="en-GB"/>
        </w:rPr>
        <w:t xml:space="preserve"> cohorts</w:t>
      </w:r>
      <w:r w:rsidR="00201EAD">
        <w:rPr>
          <w:rFonts w:ascii="Verdana" w:hAnsi="Verdana"/>
          <w:lang w:val="en-GB"/>
        </w:rPr>
        <w:t>’</w:t>
      </w:r>
      <w:r w:rsidR="00763057">
        <w:rPr>
          <w:rFonts w:ascii="Verdana" w:hAnsi="Verdana"/>
          <w:lang w:val="en-GB"/>
        </w:rPr>
        <w:t xml:space="preserve"> selection</w:t>
      </w:r>
      <w:r w:rsidR="00201EAD">
        <w:rPr>
          <w:rFonts w:ascii="Verdana" w:hAnsi="Verdana"/>
          <w:lang w:val="en-GB"/>
        </w:rPr>
        <w:t>, and performed the euthanasia and tissue collection.</w:t>
      </w:r>
      <w:r w:rsidR="009C5C5D">
        <w:rPr>
          <w:rFonts w:ascii="Verdana" w:hAnsi="Verdana"/>
          <w:lang w:val="en-GB"/>
        </w:rPr>
        <w:t xml:space="preserve"> </w:t>
      </w:r>
      <w:r w:rsidR="00F507B8">
        <w:rPr>
          <w:rFonts w:ascii="Verdana" w:hAnsi="Verdana"/>
          <w:lang w:val="en-GB"/>
        </w:rPr>
        <w:t xml:space="preserve">The RNA-sequencing was performed by Rashi Halder, and the </w:t>
      </w:r>
      <w:r w:rsidR="00F507B8">
        <w:rPr>
          <w:rFonts w:ascii="Verdana" w:hAnsi="Verdana"/>
          <w:lang w:val="en-GB"/>
        </w:rPr>
        <w:lastRenderedPageBreak/>
        <w:t xml:space="preserve">differential expression analysis </w:t>
      </w:r>
      <w:r w:rsidR="00643D62">
        <w:rPr>
          <w:rFonts w:ascii="Verdana" w:hAnsi="Verdana"/>
        </w:rPr>
        <w:t>as well a</w:t>
      </w:r>
      <w:r w:rsidR="00134AD4">
        <w:rPr>
          <w:rFonts w:ascii="Verdana" w:hAnsi="Verdana"/>
        </w:rPr>
        <w:t>s</w:t>
      </w:r>
      <w:r w:rsidR="00643D62">
        <w:rPr>
          <w:rFonts w:ascii="Verdana" w:hAnsi="Verdana"/>
        </w:rPr>
        <w:t xml:space="preserve"> gene expression confirmation </w:t>
      </w:r>
      <w:r w:rsidR="00134AD4">
        <w:rPr>
          <w:rFonts w:ascii="Verdana" w:hAnsi="Verdana"/>
        </w:rPr>
        <w:t xml:space="preserve">by RT-qPCR </w:t>
      </w:r>
      <w:r w:rsidR="00F507B8">
        <w:rPr>
          <w:rFonts w:ascii="Verdana" w:hAnsi="Verdana"/>
          <w:lang w:val="en-GB"/>
        </w:rPr>
        <w:t xml:space="preserve">was performed by Sergio </w:t>
      </w:r>
      <w:proofErr w:type="spellStart"/>
      <w:r w:rsidR="00F507B8">
        <w:rPr>
          <w:rFonts w:ascii="Verdana" w:hAnsi="Verdana"/>
          <w:lang w:val="en-GB"/>
        </w:rPr>
        <w:t>Helgueta</w:t>
      </w:r>
      <w:proofErr w:type="spellEnd"/>
      <w:r w:rsidR="00F507B8">
        <w:rPr>
          <w:rFonts w:ascii="Verdana" w:hAnsi="Verdana"/>
          <w:lang w:val="en-GB"/>
        </w:rPr>
        <w:t>.</w:t>
      </w:r>
      <w:r w:rsidR="001F364F">
        <w:rPr>
          <w:rFonts w:ascii="Verdana" w:hAnsi="Verdana"/>
          <w:lang w:val="en-GB"/>
        </w:rPr>
        <w:t xml:space="preserve"> I </w:t>
      </w:r>
      <w:r w:rsidR="00932B85">
        <w:rPr>
          <w:rFonts w:ascii="Verdana" w:hAnsi="Verdana"/>
          <w:lang w:val="en-GB"/>
        </w:rPr>
        <w:t>participated</w:t>
      </w:r>
      <w:r w:rsidR="001F364F">
        <w:rPr>
          <w:rFonts w:ascii="Verdana" w:hAnsi="Verdana"/>
          <w:lang w:val="en-GB"/>
        </w:rPr>
        <w:t xml:space="preserve"> in</w:t>
      </w:r>
      <w:r w:rsidR="00932B85">
        <w:rPr>
          <w:rFonts w:ascii="Verdana" w:hAnsi="Verdana"/>
          <w:lang w:val="en-GB"/>
        </w:rPr>
        <w:t xml:space="preserve"> the</w:t>
      </w:r>
      <w:r w:rsidR="001F364F">
        <w:rPr>
          <w:rFonts w:ascii="Verdana" w:hAnsi="Verdana"/>
          <w:lang w:val="en-GB"/>
        </w:rPr>
        <w:t xml:space="preserve"> interpretation of the </w:t>
      </w:r>
      <w:r w:rsidR="00A50533">
        <w:rPr>
          <w:rFonts w:ascii="Verdana" w:hAnsi="Verdana"/>
          <w:lang w:val="en-GB"/>
        </w:rPr>
        <w:t>RNA-sequencing</w:t>
      </w:r>
      <w:r w:rsidR="001F364F">
        <w:rPr>
          <w:rFonts w:ascii="Verdana" w:hAnsi="Verdana"/>
          <w:lang w:val="en-GB"/>
        </w:rPr>
        <w:t xml:space="preserve"> result</w:t>
      </w:r>
      <w:r w:rsidR="004E33B4">
        <w:rPr>
          <w:rFonts w:ascii="Verdana" w:hAnsi="Verdana"/>
          <w:lang w:val="en-GB"/>
        </w:rPr>
        <w:t>s</w:t>
      </w:r>
      <w:r w:rsidR="00C8005C">
        <w:rPr>
          <w:rFonts w:ascii="Verdana" w:hAnsi="Verdana"/>
          <w:lang w:val="en-GB"/>
        </w:rPr>
        <w:t>, and</w:t>
      </w:r>
      <w:r w:rsidR="00522CE4">
        <w:rPr>
          <w:rFonts w:ascii="Verdana" w:hAnsi="Verdana"/>
          <w:lang w:val="en-GB"/>
        </w:rPr>
        <w:t xml:space="preserve"> I</w:t>
      </w:r>
      <w:r w:rsidR="00F507B8">
        <w:rPr>
          <w:rFonts w:ascii="Verdana" w:hAnsi="Verdana"/>
          <w:lang w:val="en-GB"/>
        </w:rPr>
        <w:t xml:space="preserve"> </w:t>
      </w:r>
      <w:r w:rsidR="0013049D">
        <w:rPr>
          <w:rFonts w:ascii="Verdana" w:hAnsi="Verdana"/>
          <w:lang w:val="en-GB"/>
        </w:rPr>
        <w:t>performed the brain cutting and immunofluorescence staining.</w:t>
      </w:r>
      <w:r w:rsidR="00522CE4">
        <w:rPr>
          <w:rFonts w:ascii="Verdana" w:hAnsi="Verdana"/>
          <w:lang w:val="en-GB"/>
        </w:rPr>
        <w:t xml:space="preserve"> I generated </w:t>
      </w:r>
      <w:r w:rsidR="00F70521">
        <w:rPr>
          <w:rFonts w:ascii="Verdana" w:hAnsi="Verdana"/>
          <w:lang w:val="en-GB"/>
        </w:rPr>
        <w:t>the</w:t>
      </w:r>
      <w:r w:rsidR="00184E41">
        <w:rPr>
          <w:rFonts w:ascii="Verdana" w:hAnsi="Verdana"/>
          <w:lang w:val="en-GB"/>
        </w:rPr>
        <w:t xml:space="preserve"> Volcano</w:t>
      </w:r>
      <w:r w:rsidR="00F70521">
        <w:rPr>
          <w:rFonts w:ascii="Verdana" w:hAnsi="Verdana"/>
          <w:lang w:val="en-GB"/>
        </w:rPr>
        <w:t xml:space="preserve"> plots</w:t>
      </w:r>
      <w:r w:rsidR="00184E41">
        <w:rPr>
          <w:rFonts w:ascii="Verdana" w:hAnsi="Verdana"/>
          <w:lang w:val="en-GB"/>
        </w:rPr>
        <w:t xml:space="preserve"> in Figure 1</w:t>
      </w:r>
      <w:r w:rsidR="007D105F">
        <w:rPr>
          <w:rFonts w:ascii="Verdana" w:hAnsi="Verdana"/>
          <w:lang w:val="en-GB"/>
        </w:rPr>
        <w:t xml:space="preserve">8 and run the Ingenuity Pathway Analysis (Figure 19A) </w:t>
      </w:r>
      <w:r w:rsidR="00D07460">
        <w:rPr>
          <w:rFonts w:ascii="Verdana" w:hAnsi="Verdana"/>
          <w:lang w:val="en-GB"/>
        </w:rPr>
        <w:t xml:space="preserve">according to the gene expression </w:t>
      </w:r>
      <w:r w:rsidR="00184E41">
        <w:rPr>
          <w:rFonts w:ascii="Verdana" w:hAnsi="Verdana"/>
          <w:lang w:val="en-GB"/>
        </w:rPr>
        <w:t>lists</w:t>
      </w:r>
      <w:r w:rsidR="00D07460">
        <w:rPr>
          <w:rFonts w:ascii="Verdana" w:hAnsi="Verdana"/>
          <w:lang w:val="en-GB"/>
        </w:rPr>
        <w:t xml:space="preserve"> provided by Sergio</w:t>
      </w:r>
      <w:r w:rsidR="007D105F">
        <w:rPr>
          <w:rFonts w:ascii="Verdana" w:hAnsi="Verdana"/>
          <w:lang w:val="en-GB"/>
        </w:rPr>
        <w:t xml:space="preserve"> </w:t>
      </w:r>
      <w:proofErr w:type="spellStart"/>
      <w:r w:rsidR="007D105F">
        <w:rPr>
          <w:rFonts w:ascii="Verdana" w:hAnsi="Verdana"/>
          <w:lang w:val="en-GB"/>
        </w:rPr>
        <w:t>Helgueta</w:t>
      </w:r>
      <w:proofErr w:type="spellEnd"/>
      <w:r w:rsidR="00E1670A">
        <w:rPr>
          <w:rFonts w:ascii="Verdana" w:hAnsi="Verdana"/>
          <w:lang w:val="en-GB"/>
        </w:rPr>
        <w:t>.</w:t>
      </w:r>
      <w:r w:rsidR="00BD1461">
        <w:rPr>
          <w:rFonts w:ascii="Verdana" w:hAnsi="Verdana"/>
          <w:lang w:val="en-GB"/>
        </w:rPr>
        <w:t xml:space="preserve"> Figures 19B and C were generated by Sergio </w:t>
      </w:r>
      <w:proofErr w:type="spellStart"/>
      <w:r w:rsidR="00BD1461">
        <w:rPr>
          <w:rFonts w:ascii="Verdana" w:hAnsi="Verdana"/>
          <w:lang w:val="en-GB"/>
        </w:rPr>
        <w:t>Helgueta</w:t>
      </w:r>
      <w:proofErr w:type="spellEnd"/>
      <w:r w:rsidR="00BD1461">
        <w:rPr>
          <w:rFonts w:ascii="Verdana" w:hAnsi="Verdana"/>
          <w:lang w:val="en-GB"/>
        </w:rPr>
        <w:t>. I fully generated Figure 20.</w:t>
      </w:r>
      <w:r w:rsidR="00720306">
        <w:rPr>
          <w:rFonts w:ascii="Verdana" w:hAnsi="Verdana"/>
          <w:b/>
          <w:bCs/>
          <w:sz w:val="24"/>
          <w:szCs w:val="24"/>
          <w:lang w:val="en-GB"/>
        </w:rPr>
        <w:br w:type="page"/>
      </w:r>
    </w:p>
    <w:p w14:paraId="3641CFB9" w14:textId="63E61654" w:rsidR="00211A16" w:rsidRPr="00DC45E8" w:rsidRDefault="008206F1" w:rsidP="00913B8A">
      <w:pPr>
        <w:pStyle w:val="Heading2"/>
        <w:spacing w:line="360" w:lineRule="auto"/>
        <w:rPr>
          <w:lang w:val="en-GB"/>
        </w:rPr>
      </w:pPr>
      <w:r w:rsidRPr="0013049D">
        <w:rPr>
          <w:lang w:val="en-GB"/>
        </w:rPr>
        <w:lastRenderedPageBreak/>
        <w:t xml:space="preserve">  </w:t>
      </w:r>
      <w:bookmarkStart w:id="101" w:name="_Toc130223442"/>
      <w:r w:rsidR="009E5729">
        <w:rPr>
          <w:lang w:val="en-GB"/>
        </w:rPr>
        <w:t>5.1</w:t>
      </w:r>
      <w:r w:rsidR="00455C9A">
        <w:rPr>
          <w:lang w:val="en-GB"/>
        </w:rPr>
        <w:tab/>
      </w:r>
      <w:r w:rsidR="00001AA8">
        <w:rPr>
          <w:lang w:val="en-GB"/>
        </w:rPr>
        <w:t xml:space="preserve"> </w:t>
      </w:r>
      <w:r w:rsidR="005B6ECC" w:rsidRPr="0013049D">
        <w:rPr>
          <w:lang w:val="en-GB"/>
        </w:rPr>
        <w:t xml:space="preserve">8-months old DJ-1 KO males </w:t>
      </w:r>
      <w:r w:rsidR="009F1BCF" w:rsidRPr="0013049D">
        <w:rPr>
          <w:lang w:val="en-GB"/>
        </w:rPr>
        <w:t>show extensive</w:t>
      </w:r>
      <w:r w:rsidR="00DC45E8">
        <w:rPr>
          <w:lang w:val="en-GB"/>
        </w:rPr>
        <w:t>,</w:t>
      </w:r>
      <w:r w:rsidR="009F1BCF" w:rsidRPr="0013049D">
        <w:rPr>
          <w:lang w:val="en-GB"/>
        </w:rPr>
        <w:t xml:space="preserve"> </w:t>
      </w:r>
      <w:r w:rsidR="00DC45E8">
        <w:rPr>
          <w:lang w:val="en-GB"/>
        </w:rPr>
        <w:t xml:space="preserve">sex-dependent </w:t>
      </w:r>
      <w:r w:rsidR="009F1BCF" w:rsidRPr="0013049D">
        <w:rPr>
          <w:lang w:val="en-GB"/>
        </w:rPr>
        <w:t>deregulation in midbrain transcriptome</w:t>
      </w:r>
      <w:bookmarkEnd w:id="101"/>
    </w:p>
    <w:p w14:paraId="1C6F932F" w14:textId="25FFCD74" w:rsidR="00211A16" w:rsidRDefault="003F6B88" w:rsidP="00C81ECB">
      <w:pPr>
        <w:spacing w:line="360" w:lineRule="auto"/>
        <w:jc w:val="both"/>
        <w:rPr>
          <w:rFonts w:ascii="Verdana" w:hAnsi="Verdana"/>
          <w:lang w:val="en-GB"/>
        </w:rPr>
      </w:pPr>
      <w:r>
        <w:rPr>
          <w:rFonts w:ascii="Verdana" w:hAnsi="Verdana"/>
          <w:lang w:val="en-GB"/>
        </w:rPr>
        <w:t xml:space="preserve">We investigated gene expression changes in the midbrain of </w:t>
      </w:r>
      <w:r w:rsidR="00462637">
        <w:rPr>
          <w:rFonts w:ascii="Verdana" w:hAnsi="Verdana"/>
          <w:lang w:val="en-GB"/>
        </w:rPr>
        <w:t xml:space="preserve">3- and 8-months </w:t>
      </w:r>
      <w:r w:rsidR="009F7C86">
        <w:rPr>
          <w:rFonts w:ascii="Verdana" w:hAnsi="Verdana"/>
          <w:lang w:val="en-GB"/>
        </w:rPr>
        <w:t xml:space="preserve">old DJ-1 knock-out (KO) mice. At 3-months of age, </w:t>
      </w:r>
      <w:r w:rsidR="00D37376">
        <w:rPr>
          <w:rFonts w:ascii="Verdana" w:hAnsi="Verdana"/>
          <w:lang w:val="en-GB"/>
        </w:rPr>
        <w:t>very few DEGs were detected both in male and female mice (Figure 1</w:t>
      </w:r>
      <w:r w:rsidR="003D1440">
        <w:rPr>
          <w:rFonts w:ascii="Verdana" w:hAnsi="Verdana"/>
          <w:lang w:val="en-GB"/>
        </w:rPr>
        <w:t>8</w:t>
      </w:r>
      <w:r w:rsidR="00C81ECB">
        <w:rPr>
          <w:rFonts w:ascii="Verdana" w:hAnsi="Verdana"/>
          <w:lang w:val="en-GB"/>
        </w:rPr>
        <w:t>A</w:t>
      </w:r>
      <w:r w:rsidR="00A8134B">
        <w:rPr>
          <w:rFonts w:ascii="Verdana" w:hAnsi="Verdana"/>
          <w:lang w:val="en-GB"/>
        </w:rPr>
        <w:t>, top</w:t>
      </w:r>
      <w:r w:rsidR="00AE42DA">
        <w:rPr>
          <w:rFonts w:ascii="Verdana" w:hAnsi="Verdana"/>
          <w:lang w:val="en-GB"/>
        </w:rPr>
        <w:t xml:space="preserve">). </w:t>
      </w:r>
      <w:r w:rsidR="00B749D0">
        <w:rPr>
          <w:rFonts w:ascii="Verdana" w:hAnsi="Verdana"/>
          <w:lang w:val="en-GB"/>
        </w:rPr>
        <w:t xml:space="preserve">At 8-months of age, female showed a moderate transcriptomic deregulation, with only </w:t>
      </w:r>
      <w:r w:rsidR="00860298">
        <w:rPr>
          <w:rFonts w:ascii="Verdana" w:hAnsi="Verdana"/>
          <w:lang w:val="en-GB"/>
        </w:rPr>
        <w:t>101</w:t>
      </w:r>
      <w:r w:rsidR="00B749D0">
        <w:rPr>
          <w:rFonts w:ascii="Verdana" w:hAnsi="Verdana"/>
          <w:lang w:val="en-GB"/>
        </w:rPr>
        <w:t xml:space="preserve"> DEGs identified</w:t>
      </w:r>
      <w:r w:rsidR="00DD270F">
        <w:rPr>
          <w:rFonts w:ascii="Verdana" w:hAnsi="Verdana"/>
          <w:lang w:val="en-GB"/>
        </w:rPr>
        <w:t xml:space="preserve"> (Figure 1</w:t>
      </w:r>
      <w:r w:rsidR="003D1440">
        <w:rPr>
          <w:rFonts w:ascii="Verdana" w:hAnsi="Verdana"/>
          <w:lang w:val="en-GB"/>
        </w:rPr>
        <w:t>8</w:t>
      </w:r>
      <w:r w:rsidR="00C81ECB">
        <w:rPr>
          <w:rFonts w:ascii="Verdana" w:hAnsi="Verdana"/>
          <w:lang w:val="en-GB"/>
        </w:rPr>
        <w:t>A</w:t>
      </w:r>
      <w:r w:rsidR="00DD270F">
        <w:rPr>
          <w:rFonts w:ascii="Verdana" w:hAnsi="Verdana"/>
          <w:lang w:val="en-GB"/>
        </w:rPr>
        <w:t>, bottom right)</w:t>
      </w:r>
      <w:r w:rsidR="00B749D0">
        <w:rPr>
          <w:rFonts w:ascii="Verdana" w:hAnsi="Verdana"/>
          <w:lang w:val="en-GB"/>
        </w:rPr>
        <w:t xml:space="preserve">, while male mice presented a </w:t>
      </w:r>
      <w:r w:rsidR="00111357">
        <w:rPr>
          <w:rFonts w:ascii="Verdana" w:hAnsi="Verdana"/>
          <w:lang w:val="en-GB"/>
        </w:rPr>
        <w:t xml:space="preserve">robust age-dependent deregulation, with </w:t>
      </w:r>
      <w:r w:rsidR="00DD270F">
        <w:rPr>
          <w:rFonts w:ascii="Verdana" w:hAnsi="Verdana"/>
          <w:lang w:val="en-GB"/>
        </w:rPr>
        <w:t>746</w:t>
      </w:r>
      <w:r w:rsidR="00111357">
        <w:rPr>
          <w:rFonts w:ascii="Verdana" w:hAnsi="Verdana"/>
          <w:lang w:val="en-GB"/>
        </w:rPr>
        <w:t xml:space="preserve"> DEGs identified (Figure 1</w:t>
      </w:r>
      <w:r w:rsidR="003D1440">
        <w:rPr>
          <w:rFonts w:ascii="Verdana" w:hAnsi="Verdana"/>
          <w:lang w:val="en-GB"/>
        </w:rPr>
        <w:t>8</w:t>
      </w:r>
      <w:r w:rsidR="00C81ECB">
        <w:rPr>
          <w:rFonts w:ascii="Verdana" w:hAnsi="Verdana"/>
          <w:lang w:val="en-GB"/>
        </w:rPr>
        <w:t>A</w:t>
      </w:r>
      <w:r w:rsidR="00DD270F">
        <w:rPr>
          <w:rFonts w:ascii="Verdana" w:hAnsi="Verdana"/>
          <w:lang w:val="en-GB"/>
        </w:rPr>
        <w:t>, bottom left</w:t>
      </w:r>
      <w:r w:rsidR="00111357">
        <w:rPr>
          <w:rFonts w:ascii="Verdana" w:hAnsi="Verdana"/>
          <w:lang w:val="en-GB"/>
        </w:rPr>
        <w:t>).</w:t>
      </w:r>
      <w:r w:rsidR="005005C8">
        <w:rPr>
          <w:rFonts w:ascii="Verdana" w:hAnsi="Verdana"/>
          <w:lang w:val="en-GB"/>
        </w:rPr>
        <w:t xml:space="preserve"> </w:t>
      </w:r>
      <w:r w:rsidR="00804C0D">
        <w:rPr>
          <w:rFonts w:ascii="Verdana" w:hAnsi="Verdana"/>
          <w:lang w:val="en-GB"/>
        </w:rPr>
        <w:t xml:space="preserve">The majority of DEGs in male mice were downregulated (560/746 </w:t>
      </w:r>
      <w:r w:rsidR="00763BDE">
        <w:rPr>
          <w:rFonts w:ascii="Verdana" w:hAnsi="Verdana"/>
          <w:lang w:val="en-GB"/>
        </w:rPr>
        <w:t>or 75% down</w:t>
      </w:r>
      <w:r w:rsidR="000658CA">
        <w:rPr>
          <w:rFonts w:ascii="Verdana" w:hAnsi="Verdana"/>
          <w:lang w:val="en-GB"/>
        </w:rPr>
        <w:t>-</w:t>
      </w:r>
      <w:r w:rsidR="00763BDE">
        <w:rPr>
          <w:rFonts w:ascii="Verdana" w:hAnsi="Verdana"/>
          <w:lang w:val="en-GB"/>
        </w:rPr>
        <w:t>regulated</w:t>
      </w:r>
      <w:r w:rsidR="00C81ECB">
        <w:rPr>
          <w:rFonts w:ascii="Verdana" w:hAnsi="Verdana"/>
          <w:lang w:val="en-GB"/>
        </w:rPr>
        <w:t xml:space="preserve"> (Figure 1</w:t>
      </w:r>
      <w:r w:rsidR="003D1440">
        <w:rPr>
          <w:rFonts w:ascii="Verdana" w:hAnsi="Verdana"/>
          <w:lang w:val="en-GB"/>
        </w:rPr>
        <w:t>8</w:t>
      </w:r>
      <w:r w:rsidR="00C81ECB">
        <w:rPr>
          <w:rFonts w:ascii="Verdana" w:hAnsi="Verdana"/>
          <w:lang w:val="en-GB"/>
        </w:rPr>
        <w:t>A, bottom left, purple)</w:t>
      </w:r>
      <w:r w:rsidR="00763BDE">
        <w:rPr>
          <w:rFonts w:ascii="Verdana" w:hAnsi="Verdana"/>
          <w:lang w:val="en-GB"/>
        </w:rPr>
        <w:t xml:space="preserve">, </w:t>
      </w:r>
      <w:r w:rsidR="00C81ECB">
        <w:rPr>
          <w:rFonts w:ascii="Verdana" w:hAnsi="Verdana"/>
          <w:lang w:val="en-GB"/>
        </w:rPr>
        <w:t>186/746 or 25% up</w:t>
      </w:r>
      <w:r w:rsidR="000658CA">
        <w:rPr>
          <w:rFonts w:ascii="Verdana" w:hAnsi="Verdana"/>
          <w:lang w:val="en-GB"/>
        </w:rPr>
        <w:t>-</w:t>
      </w:r>
      <w:r w:rsidR="00C81ECB">
        <w:rPr>
          <w:rFonts w:ascii="Verdana" w:hAnsi="Verdana"/>
          <w:lang w:val="en-GB"/>
        </w:rPr>
        <w:t>regulated (Figure 1</w:t>
      </w:r>
      <w:r w:rsidR="003D1440">
        <w:rPr>
          <w:rFonts w:ascii="Verdana" w:hAnsi="Verdana"/>
          <w:lang w:val="en-GB"/>
        </w:rPr>
        <w:t>8</w:t>
      </w:r>
      <w:r w:rsidR="00C81ECB">
        <w:rPr>
          <w:rFonts w:ascii="Verdana" w:hAnsi="Verdana"/>
          <w:lang w:val="en-GB"/>
        </w:rPr>
        <w:t xml:space="preserve">A, bottom left, orange)). </w:t>
      </w:r>
      <w:r w:rsidR="00C1230D">
        <w:rPr>
          <w:rFonts w:ascii="Verdana" w:hAnsi="Verdana"/>
          <w:lang w:val="en-GB"/>
        </w:rPr>
        <w:t>Out of the identified DEGs</w:t>
      </w:r>
      <w:r w:rsidR="00C81ECB">
        <w:rPr>
          <w:rFonts w:ascii="Verdana" w:hAnsi="Verdana"/>
          <w:lang w:val="en-GB"/>
        </w:rPr>
        <w:t xml:space="preserve"> at 8-months of age</w:t>
      </w:r>
      <w:r w:rsidR="00C1230D">
        <w:rPr>
          <w:rFonts w:ascii="Verdana" w:hAnsi="Verdana"/>
          <w:lang w:val="en-GB"/>
        </w:rPr>
        <w:t xml:space="preserve">, </w:t>
      </w:r>
      <w:r w:rsidR="00860298">
        <w:rPr>
          <w:rFonts w:ascii="Verdana" w:hAnsi="Verdana"/>
          <w:lang w:val="en-GB"/>
        </w:rPr>
        <w:t>only 8 genes</w:t>
      </w:r>
      <w:r w:rsidR="00C1230D">
        <w:rPr>
          <w:rFonts w:ascii="Verdana" w:hAnsi="Verdana"/>
          <w:lang w:val="en-GB"/>
        </w:rPr>
        <w:t xml:space="preserve"> were shared between male and female mice</w:t>
      </w:r>
      <w:r w:rsidR="00DD270F">
        <w:rPr>
          <w:rFonts w:ascii="Verdana" w:hAnsi="Verdana"/>
          <w:lang w:val="en-GB"/>
        </w:rPr>
        <w:t xml:space="preserve"> (data not shown).</w:t>
      </w:r>
    </w:p>
    <w:p w14:paraId="0A8EE3D9" w14:textId="2E396C79" w:rsidR="009F7C86" w:rsidRDefault="003937B3" w:rsidP="00256DAE">
      <w:pPr>
        <w:spacing w:line="360" w:lineRule="auto"/>
        <w:jc w:val="both"/>
        <w:rPr>
          <w:rFonts w:ascii="Verdana" w:hAnsi="Verdana"/>
          <w:lang w:val="en-GB"/>
        </w:rPr>
      </w:pPr>
      <w:r>
        <w:rPr>
          <w:rFonts w:ascii="Verdana" w:hAnsi="Verdana"/>
          <w:lang w:val="en-GB"/>
        </w:rPr>
        <w:t xml:space="preserve">Given the sex differences in gene expression changes, we decided to further investigate which proportion of the </w:t>
      </w:r>
      <w:r w:rsidR="000658CA">
        <w:rPr>
          <w:rFonts w:ascii="Verdana" w:hAnsi="Verdana"/>
          <w:lang w:val="en-GB"/>
        </w:rPr>
        <w:t>746</w:t>
      </w:r>
      <w:r>
        <w:rPr>
          <w:rFonts w:ascii="Verdana" w:hAnsi="Verdana"/>
          <w:lang w:val="en-GB"/>
        </w:rPr>
        <w:t xml:space="preserve"> DEGs in males were sex dependent. To do so, we identified differentially expressed genes between male and female</w:t>
      </w:r>
      <w:r w:rsidR="000658CA">
        <w:rPr>
          <w:rFonts w:ascii="Verdana" w:hAnsi="Verdana"/>
          <w:lang w:val="en-GB"/>
        </w:rPr>
        <w:t xml:space="preserve"> 8-months old</w:t>
      </w:r>
      <w:r>
        <w:rPr>
          <w:rFonts w:ascii="Verdana" w:hAnsi="Verdana"/>
          <w:lang w:val="en-GB"/>
        </w:rPr>
        <w:t xml:space="preserve"> W</w:t>
      </w:r>
      <w:r w:rsidR="001A586E">
        <w:rPr>
          <w:rFonts w:ascii="Verdana" w:hAnsi="Verdana"/>
          <w:lang w:val="en-GB"/>
        </w:rPr>
        <w:t>T mice</w:t>
      </w:r>
      <w:r w:rsidR="000658CA">
        <w:rPr>
          <w:rFonts w:ascii="Verdana" w:hAnsi="Verdana"/>
          <w:lang w:val="en-GB"/>
        </w:rPr>
        <w:t xml:space="preserve"> (2516 DEGs, out of which 1307 down-regulated and 1209 up-regulated)</w:t>
      </w:r>
      <w:r w:rsidR="001A586E">
        <w:rPr>
          <w:rFonts w:ascii="Verdana" w:hAnsi="Verdana"/>
          <w:lang w:val="en-GB"/>
        </w:rPr>
        <w:t xml:space="preserve">, and we compared them with the genes differentially expressed between </w:t>
      </w:r>
      <w:r w:rsidR="00A9304C">
        <w:rPr>
          <w:rFonts w:ascii="Verdana" w:hAnsi="Verdana"/>
          <w:lang w:val="en-GB"/>
        </w:rPr>
        <w:t>WT and DJ-1 KO males at 8 months of age</w:t>
      </w:r>
      <w:r w:rsidR="003A3D2D">
        <w:rPr>
          <w:rFonts w:ascii="Verdana" w:hAnsi="Verdana"/>
          <w:lang w:val="en-GB"/>
        </w:rPr>
        <w:t xml:space="preserve">. </w:t>
      </w:r>
      <w:r w:rsidR="00256DAE">
        <w:rPr>
          <w:rFonts w:ascii="Verdana" w:hAnsi="Verdana"/>
          <w:lang w:val="en-GB"/>
        </w:rPr>
        <w:t>About a third of the</w:t>
      </w:r>
      <w:r w:rsidR="00F117DE">
        <w:rPr>
          <w:rFonts w:ascii="Verdana" w:hAnsi="Verdana"/>
          <w:lang w:val="en-GB"/>
        </w:rPr>
        <w:t xml:space="preserve"> </w:t>
      </w:r>
      <w:r w:rsidR="00256DAE">
        <w:rPr>
          <w:rFonts w:ascii="Verdana" w:hAnsi="Verdana"/>
          <w:lang w:val="en-GB"/>
        </w:rPr>
        <w:t xml:space="preserve">differentially expressed genes (247/746) at 8-months </w:t>
      </w:r>
      <w:r w:rsidR="00F117DE">
        <w:rPr>
          <w:rFonts w:ascii="Verdana" w:hAnsi="Verdana"/>
          <w:lang w:val="en-GB"/>
        </w:rPr>
        <w:t>were found to be sex-dependent (Figure 1</w:t>
      </w:r>
      <w:r w:rsidR="008106F4">
        <w:rPr>
          <w:rFonts w:ascii="Verdana" w:hAnsi="Verdana"/>
          <w:lang w:val="en-GB"/>
        </w:rPr>
        <w:t>8</w:t>
      </w:r>
      <w:r w:rsidR="00F117DE">
        <w:rPr>
          <w:rFonts w:ascii="Verdana" w:hAnsi="Verdana"/>
          <w:lang w:val="en-GB"/>
        </w:rPr>
        <w:t>B, left)</w:t>
      </w:r>
      <w:r w:rsidR="00256DAE">
        <w:rPr>
          <w:rFonts w:ascii="Verdana" w:hAnsi="Verdana"/>
          <w:lang w:val="en-GB"/>
        </w:rPr>
        <w:t>, indicating that sex and sex-related processes play an important role in the susceptibility to DJ-1 loss of function.</w:t>
      </w:r>
      <w:r w:rsidR="002863DF">
        <w:rPr>
          <w:rFonts w:ascii="Verdana" w:hAnsi="Verdana"/>
          <w:lang w:val="en-GB"/>
        </w:rPr>
        <w:t xml:space="preserve"> </w:t>
      </w:r>
      <w:r w:rsidR="00256DAE">
        <w:rPr>
          <w:rFonts w:ascii="Verdana" w:hAnsi="Verdana"/>
          <w:lang w:val="en-GB"/>
        </w:rPr>
        <w:t>T</w:t>
      </w:r>
      <w:r w:rsidR="002863DF">
        <w:rPr>
          <w:rFonts w:ascii="Verdana" w:hAnsi="Verdana"/>
          <w:lang w:val="en-GB"/>
        </w:rPr>
        <w:t>he majority of the sex-dependent DEGs were down-regulated (Figure 1</w:t>
      </w:r>
      <w:r w:rsidR="008106F4">
        <w:rPr>
          <w:rFonts w:ascii="Verdana" w:hAnsi="Verdana"/>
          <w:lang w:val="en-GB"/>
        </w:rPr>
        <w:t>8</w:t>
      </w:r>
      <w:r w:rsidR="002863DF">
        <w:rPr>
          <w:rFonts w:ascii="Verdana" w:hAnsi="Verdana"/>
          <w:lang w:val="en-GB"/>
        </w:rPr>
        <w:t xml:space="preserve">B, right; </w:t>
      </w:r>
      <w:r w:rsidR="00B924AD">
        <w:rPr>
          <w:rFonts w:ascii="Verdana" w:hAnsi="Verdana"/>
          <w:lang w:val="en-GB"/>
        </w:rPr>
        <w:t>211/</w:t>
      </w:r>
      <w:r w:rsidR="00C64752">
        <w:rPr>
          <w:rFonts w:ascii="Verdana" w:hAnsi="Verdana"/>
          <w:lang w:val="en-GB"/>
        </w:rPr>
        <w:t>247 or 85% down-regulated, 36/247</w:t>
      </w:r>
      <w:r w:rsidR="002426A0">
        <w:rPr>
          <w:rFonts w:ascii="Verdana" w:hAnsi="Verdana"/>
          <w:lang w:val="en-GB"/>
        </w:rPr>
        <w:t xml:space="preserve"> or 35% up-regulated).</w:t>
      </w:r>
    </w:p>
    <w:p w14:paraId="561BB5AE" w14:textId="14A365EE" w:rsidR="009F7C86" w:rsidRPr="00211A16" w:rsidRDefault="009F7C86" w:rsidP="009F1BCF">
      <w:pPr>
        <w:ind w:firstLine="0"/>
        <w:rPr>
          <w:rFonts w:ascii="Verdana" w:hAnsi="Verdana"/>
          <w:lang w:val="en-GB"/>
        </w:rPr>
      </w:pPr>
    </w:p>
    <w:p w14:paraId="1B2B996D" w14:textId="38556A5F" w:rsidR="00F06D2E" w:rsidRDefault="00F06D2E">
      <w:pPr>
        <w:ind w:firstLine="0"/>
        <w:rPr>
          <w:rFonts w:ascii="Verdana" w:hAnsi="Verdana"/>
          <w:b/>
          <w:bCs/>
          <w:noProof/>
          <w:lang w:val="en-GB"/>
        </w:rPr>
      </w:pPr>
      <w:r>
        <w:rPr>
          <w:rFonts w:ascii="Verdana" w:hAnsi="Verdana"/>
          <w:b/>
          <w:bCs/>
          <w:noProof/>
          <w:lang w:val="en-GB"/>
        </w:rPr>
        <w:br w:type="page"/>
      </w:r>
    </w:p>
    <w:p w14:paraId="3FDE96B4" w14:textId="6586760E" w:rsidR="00211A16" w:rsidRDefault="00256DAE" w:rsidP="009F1BCF">
      <w:pPr>
        <w:ind w:firstLine="0"/>
        <w:rPr>
          <w:rFonts w:ascii="Verdana" w:hAnsi="Verdana"/>
          <w:b/>
          <w:bCs/>
          <w:lang w:val="en-GB"/>
        </w:rPr>
      </w:pPr>
      <w:r>
        <w:rPr>
          <w:rFonts w:ascii="Verdana" w:hAnsi="Verdana"/>
          <w:b/>
          <w:bCs/>
          <w:noProof/>
          <w:lang w:val="en-GB"/>
        </w:rPr>
        <w:lastRenderedPageBreak/>
        <w:drawing>
          <wp:anchor distT="0" distB="0" distL="114300" distR="114300" simplePos="0" relativeHeight="252002304" behindDoc="0" locked="0" layoutInCell="1" allowOverlap="1" wp14:anchorId="726BDABD" wp14:editId="6B5D4843">
            <wp:simplePos x="0" y="0"/>
            <wp:positionH relativeFrom="margin">
              <wp:align>right</wp:align>
            </wp:positionH>
            <wp:positionV relativeFrom="paragraph">
              <wp:posOffset>552</wp:posOffset>
            </wp:positionV>
            <wp:extent cx="5580380" cy="7631430"/>
            <wp:effectExtent l="0" t="0" r="0" b="7620"/>
            <wp:wrapTopAndBottom/>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80380" cy="7631430"/>
                    </a:xfrm>
                    <a:prstGeom prst="rect">
                      <a:avLst/>
                    </a:prstGeom>
                  </pic:spPr>
                </pic:pic>
              </a:graphicData>
            </a:graphic>
          </wp:anchor>
        </w:drawing>
      </w:r>
    </w:p>
    <w:p w14:paraId="0307ABB2" w14:textId="5B113983" w:rsidR="009F1BCF" w:rsidRPr="009F1BCF" w:rsidRDefault="00C41FF3" w:rsidP="009F1BCF">
      <w:pPr>
        <w:ind w:firstLine="0"/>
        <w:rPr>
          <w:rFonts w:ascii="Verdana" w:hAnsi="Verdana"/>
          <w:b/>
          <w:bCs/>
          <w:lang w:val="en-GB"/>
        </w:rPr>
      </w:pPr>
      <w:r>
        <w:rPr>
          <w:noProof/>
        </w:rPr>
        <w:lastRenderedPageBreak/>
        <mc:AlternateContent>
          <mc:Choice Requires="wps">
            <w:drawing>
              <wp:anchor distT="0" distB="0" distL="114300" distR="114300" simplePos="0" relativeHeight="251963392" behindDoc="0" locked="0" layoutInCell="1" allowOverlap="1" wp14:anchorId="2AAA3366" wp14:editId="3014FD20">
                <wp:simplePos x="0" y="0"/>
                <wp:positionH relativeFrom="margin">
                  <wp:align>right</wp:align>
                </wp:positionH>
                <wp:positionV relativeFrom="paragraph">
                  <wp:posOffset>2757</wp:posOffset>
                </wp:positionV>
                <wp:extent cx="5578475" cy="635"/>
                <wp:effectExtent l="0" t="0" r="3175" b="0"/>
                <wp:wrapTopAndBottom/>
                <wp:docPr id="159" name="Text Box 159"/>
                <wp:cNvGraphicFramePr/>
                <a:graphic xmlns:a="http://schemas.openxmlformats.org/drawingml/2006/main">
                  <a:graphicData uri="http://schemas.microsoft.com/office/word/2010/wordprocessingShape">
                    <wps:wsp>
                      <wps:cNvSpPr txBox="1"/>
                      <wps:spPr>
                        <a:xfrm>
                          <a:off x="0" y="0"/>
                          <a:ext cx="5578998" cy="635"/>
                        </a:xfrm>
                        <a:prstGeom prst="rect">
                          <a:avLst/>
                        </a:prstGeom>
                        <a:solidFill>
                          <a:prstClr val="white"/>
                        </a:solidFill>
                        <a:ln>
                          <a:noFill/>
                        </a:ln>
                      </wps:spPr>
                      <wps:txbx>
                        <w:txbxContent>
                          <w:p w14:paraId="329BE86B" w14:textId="1047A2A7" w:rsidR="00C41FF3" w:rsidRPr="00F515DC" w:rsidRDefault="00C41FF3" w:rsidP="00F515DC">
                            <w:pPr>
                              <w:pStyle w:val="Caption"/>
                              <w:jc w:val="both"/>
                              <w:rPr>
                                <w:rFonts w:ascii="Verdana" w:hAnsi="Verdana"/>
                                <w:i w:val="0"/>
                                <w:iCs w:val="0"/>
                                <w:color w:val="auto"/>
                              </w:rPr>
                            </w:pPr>
                            <w:bookmarkStart w:id="102" w:name="_Toc131412760"/>
                            <w:r w:rsidRPr="00F515DC">
                              <w:rPr>
                                <w:rFonts w:ascii="Verdana" w:hAnsi="Verdana"/>
                                <w:b/>
                                <w:bCs/>
                                <w:i w:val="0"/>
                                <w:iCs w:val="0"/>
                                <w:color w:val="auto"/>
                              </w:rPr>
                              <w:t xml:space="preserve">Figure </w:t>
                            </w:r>
                            <w:r w:rsidRPr="00F515DC">
                              <w:rPr>
                                <w:rFonts w:ascii="Verdana" w:hAnsi="Verdana"/>
                                <w:b/>
                                <w:bCs/>
                                <w:i w:val="0"/>
                                <w:iCs w:val="0"/>
                                <w:color w:val="auto"/>
                              </w:rPr>
                              <w:fldChar w:fldCharType="begin"/>
                            </w:r>
                            <w:r w:rsidRPr="00F515DC">
                              <w:rPr>
                                <w:rFonts w:ascii="Verdana" w:hAnsi="Verdana"/>
                                <w:b/>
                                <w:bCs/>
                                <w:i w:val="0"/>
                                <w:iCs w:val="0"/>
                                <w:color w:val="auto"/>
                              </w:rPr>
                              <w:instrText xml:space="preserve"> SEQ Figure \* ARABIC </w:instrText>
                            </w:r>
                            <w:r w:rsidRPr="00F515DC">
                              <w:rPr>
                                <w:rFonts w:ascii="Verdana" w:hAnsi="Verdana"/>
                                <w:b/>
                                <w:bCs/>
                                <w:i w:val="0"/>
                                <w:iCs w:val="0"/>
                                <w:color w:val="auto"/>
                              </w:rPr>
                              <w:fldChar w:fldCharType="separate"/>
                            </w:r>
                            <w:r w:rsidR="001D505F">
                              <w:rPr>
                                <w:rFonts w:ascii="Verdana" w:hAnsi="Verdana"/>
                                <w:b/>
                                <w:bCs/>
                                <w:i w:val="0"/>
                                <w:iCs w:val="0"/>
                                <w:noProof/>
                                <w:color w:val="auto"/>
                              </w:rPr>
                              <w:t>18</w:t>
                            </w:r>
                            <w:r w:rsidRPr="00F515DC">
                              <w:rPr>
                                <w:rFonts w:ascii="Verdana" w:hAnsi="Verdana"/>
                                <w:b/>
                                <w:bCs/>
                                <w:i w:val="0"/>
                                <w:iCs w:val="0"/>
                                <w:color w:val="auto"/>
                              </w:rPr>
                              <w:fldChar w:fldCharType="end"/>
                            </w:r>
                            <w:r w:rsidRPr="00F515DC">
                              <w:rPr>
                                <w:rFonts w:ascii="Verdana" w:hAnsi="Verdana"/>
                                <w:b/>
                                <w:bCs/>
                                <w:i w:val="0"/>
                                <w:iCs w:val="0"/>
                                <w:color w:val="auto"/>
                              </w:rPr>
                              <w:t xml:space="preserve"> </w:t>
                            </w:r>
                            <w:r w:rsidR="00EF0E64" w:rsidRPr="00F515DC">
                              <w:rPr>
                                <w:rFonts w:ascii="Verdana" w:hAnsi="Verdana"/>
                                <w:i w:val="0"/>
                                <w:iCs w:val="0"/>
                                <w:color w:val="auto"/>
                              </w:rPr>
                              <w:t>Male mice show a strong sex-specific transcriptomic response to DJ-1 knock-out at 8-months of age</w:t>
                            </w:r>
                            <w:bookmarkEnd w:id="102"/>
                          </w:p>
                          <w:p w14:paraId="55ED313E" w14:textId="283CA1DE" w:rsidR="00EF0E64" w:rsidRPr="00F515DC" w:rsidRDefault="00EF0E64" w:rsidP="00F515DC">
                            <w:pPr>
                              <w:ind w:firstLine="0"/>
                              <w:jc w:val="both"/>
                              <w:rPr>
                                <w:rFonts w:ascii="Verdana" w:hAnsi="Verdana"/>
                                <w:sz w:val="18"/>
                                <w:szCs w:val="18"/>
                              </w:rPr>
                            </w:pPr>
                            <w:r w:rsidRPr="00F515DC">
                              <w:rPr>
                                <w:rFonts w:ascii="Verdana" w:hAnsi="Verdana"/>
                                <w:b/>
                                <w:bCs/>
                                <w:sz w:val="18"/>
                                <w:szCs w:val="18"/>
                              </w:rPr>
                              <w:t>A)</w:t>
                            </w:r>
                            <w:r w:rsidRPr="00F515DC">
                              <w:rPr>
                                <w:rFonts w:ascii="Verdana" w:hAnsi="Verdana"/>
                                <w:sz w:val="18"/>
                                <w:szCs w:val="18"/>
                              </w:rPr>
                              <w:t xml:space="preserve"> </w:t>
                            </w:r>
                            <w:r w:rsidR="00582D36">
                              <w:rPr>
                                <w:rFonts w:ascii="Verdana" w:hAnsi="Verdana"/>
                                <w:sz w:val="18"/>
                                <w:szCs w:val="18"/>
                              </w:rPr>
                              <w:t>Volcano</w:t>
                            </w:r>
                            <w:r w:rsidRPr="00F515DC">
                              <w:rPr>
                                <w:rFonts w:ascii="Verdana" w:hAnsi="Verdana"/>
                                <w:sz w:val="18"/>
                                <w:szCs w:val="18"/>
                              </w:rPr>
                              <w:t xml:space="preserve"> plots illustrating transcriptomic changes occurring in the midbrain at 3-months of age (top) and </w:t>
                            </w:r>
                            <w:r w:rsidR="00582D36">
                              <w:rPr>
                                <w:rFonts w:ascii="Verdana" w:hAnsi="Verdana"/>
                                <w:sz w:val="18"/>
                                <w:szCs w:val="18"/>
                              </w:rPr>
                              <w:t>8-months of age</w:t>
                            </w:r>
                            <w:r w:rsidRPr="00F515DC">
                              <w:rPr>
                                <w:rFonts w:ascii="Verdana" w:hAnsi="Verdana"/>
                                <w:sz w:val="18"/>
                                <w:szCs w:val="18"/>
                              </w:rPr>
                              <w:t xml:space="preserve"> (bottom)</w:t>
                            </w:r>
                            <w:r w:rsidR="00582D36">
                              <w:rPr>
                                <w:rFonts w:ascii="Verdana" w:hAnsi="Verdana"/>
                                <w:sz w:val="18"/>
                                <w:szCs w:val="18"/>
                              </w:rPr>
                              <w:t xml:space="preserve"> for male (left) and female (right)</w:t>
                            </w:r>
                            <w:r w:rsidRPr="00F515DC">
                              <w:rPr>
                                <w:rFonts w:ascii="Verdana" w:hAnsi="Verdana"/>
                                <w:sz w:val="18"/>
                                <w:szCs w:val="18"/>
                              </w:rPr>
                              <w:t xml:space="preserve"> DJ-1 KO mice versus wild-type littermates. </w:t>
                            </w:r>
                            <w:r w:rsidRPr="00F515DC">
                              <w:rPr>
                                <w:rFonts w:ascii="Verdana" w:hAnsi="Verdana"/>
                                <w:b/>
                                <w:bCs/>
                                <w:sz w:val="18"/>
                                <w:szCs w:val="18"/>
                              </w:rPr>
                              <w:t>B)</w:t>
                            </w:r>
                            <w:r w:rsidRPr="00F515DC">
                              <w:rPr>
                                <w:rFonts w:ascii="Verdana" w:hAnsi="Verdana"/>
                                <w:sz w:val="18"/>
                                <w:szCs w:val="18"/>
                              </w:rPr>
                              <w:t xml:space="preserve"> </w:t>
                            </w:r>
                            <w:r w:rsidR="00F515DC">
                              <w:rPr>
                                <w:rFonts w:ascii="Verdana" w:hAnsi="Verdana"/>
                                <w:sz w:val="18"/>
                                <w:szCs w:val="18"/>
                              </w:rPr>
                              <w:t>S</w:t>
                            </w:r>
                            <w:r w:rsidR="0045051A" w:rsidRPr="00F515DC">
                              <w:rPr>
                                <w:rFonts w:ascii="Verdana" w:hAnsi="Verdana"/>
                                <w:sz w:val="18"/>
                                <w:szCs w:val="18"/>
                              </w:rPr>
                              <w:t>ex-specific DEGs in</w:t>
                            </w:r>
                            <w:r w:rsidR="00E251E5" w:rsidRPr="00F515DC">
                              <w:rPr>
                                <w:rFonts w:ascii="Verdana" w:hAnsi="Verdana"/>
                                <w:sz w:val="18"/>
                                <w:szCs w:val="18"/>
                              </w:rPr>
                              <w:t xml:space="preserve"> 8-months old</w:t>
                            </w:r>
                            <w:r w:rsidR="0045051A" w:rsidRPr="00F515DC">
                              <w:rPr>
                                <w:rFonts w:ascii="Verdana" w:hAnsi="Verdana"/>
                                <w:sz w:val="18"/>
                                <w:szCs w:val="18"/>
                              </w:rPr>
                              <w:t xml:space="preserve"> </w:t>
                            </w:r>
                            <w:r w:rsidR="00E251E5" w:rsidRPr="00F515DC">
                              <w:rPr>
                                <w:rFonts w:ascii="Verdana" w:hAnsi="Verdana"/>
                                <w:sz w:val="18"/>
                                <w:szCs w:val="18"/>
                              </w:rPr>
                              <w:t>DJ-1 KO males</w:t>
                            </w:r>
                            <w:r w:rsidR="00B16082" w:rsidRPr="00F515DC">
                              <w:rPr>
                                <w:rFonts w:ascii="Verdana" w:hAnsi="Verdana"/>
                                <w:sz w:val="18"/>
                                <w:szCs w:val="18"/>
                              </w:rPr>
                              <w:t>.</w:t>
                            </w:r>
                            <w:r w:rsidR="00E251E5" w:rsidRPr="00F515DC">
                              <w:rPr>
                                <w:rFonts w:ascii="Verdana" w:hAnsi="Verdana"/>
                                <w:sz w:val="18"/>
                                <w:szCs w:val="18"/>
                              </w:rPr>
                              <w:t xml:space="preserve"> </w:t>
                            </w:r>
                            <w:r w:rsidR="00726463" w:rsidRPr="00F515DC">
                              <w:rPr>
                                <w:rFonts w:ascii="Verdana" w:hAnsi="Verdana"/>
                                <w:sz w:val="18"/>
                                <w:szCs w:val="18"/>
                              </w:rPr>
                              <w:t xml:space="preserve">Venn diagram (left) and </w:t>
                            </w:r>
                            <w:r w:rsidR="00A56777" w:rsidRPr="00F515DC">
                              <w:rPr>
                                <w:rFonts w:ascii="Verdana" w:hAnsi="Verdana"/>
                                <w:sz w:val="18"/>
                                <w:szCs w:val="18"/>
                              </w:rPr>
                              <w:t xml:space="preserve">Volcano plot (right) </w:t>
                            </w:r>
                            <w:r w:rsidR="00B16082" w:rsidRPr="00F515DC">
                              <w:rPr>
                                <w:rFonts w:ascii="Verdana" w:hAnsi="Verdana"/>
                                <w:sz w:val="18"/>
                                <w:szCs w:val="18"/>
                              </w:rPr>
                              <w:t xml:space="preserve">illustrating gene expression of the </w:t>
                            </w:r>
                            <w:r w:rsidR="00F07E25" w:rsidRPr="00F515DC">
                              <w:rPr>
                                <w:rFonts w:ascii="Verdana" w:hAnsi="Verdana"/>
                                <w:sz w:val="18"/>
                                <w:szCs w:val="18"/>
                              </w:rPr>
                              <w:t xml:space="preserve">identified </w:t>
                            </w:r>
                            <w:r w:rsidR="00DE15A7">
                              <w:rPr>
                                <w:rFonts w:ascii="Verdana" w:hAnsi="Verdana"/>
                                <w:sz w:val="18"/>
                                <w:szCs w:val="18"/>
                              </w:rPr>
                              <w:t>247</w:t>
                            </w:r>
                            <w:r w:rsidR="00F07E25" w:rsidRPr="00F515DC">
                              <w:rPr>
                                <w:rFonts w:ascii="Verdana" w:hAnsi="Verdana"/>
                                <w:sz w:val="18"/>
                                <w:szCs w:val="18"/>
                              </w:rPr>
                              <w:t xml:space="preserve"> </w:t>
                            </w:r>
                            <w:proofErr w:type="gramStart"/>
                            <w:r w:rsidR="00F07E25" w:rsidRPr="00F515DC">
                              <w:rPr>
                                <w:rFonts w:ascii="Verdana" w:hAnsi="Verdana"/>
                                <w:sz w:val="18"/>
                                <w:szCs w:val="18"/>
                              </w:rPr>
                              <w:t>sex-specific</w:t>
                            </w:r>
                            <w:proofErr w:type="gramEnd"/>
                            <w:r w:rsidR="00F07E25" w:rsidRPr="00F515DC">
                              <w:rPr>
                                <w:rFonts w:ascii="Verdana" w:hAnsi="Verdana"/>
                                <w:sz w:val="18"/>
                                <w:szCs w:val="18"/>
                              </w:rPr>
                              <w:t xml:space="preserve"> DEGs.</w:t>
                            </w:r>
                            <w:r w:rsidR="004A1931" w:rsidRPr="00F515DC">
                              <w:rPr>
                                <w:rFonts w:ascii="Verdana" w:hAnsi="Verdana"/>
                                <w:sz w:val="18"/>
                                <w:szCs w:val="18"/>
                              </w:rPr>
                              <w:t xml:space="preserve"> All DEGs were selected with a cutoff of adjusted p-value &lt; 0.05.</w:t>
                            </w:r>
                          </w:p>
                          <w:p w14:paraId="58089397" w14:textId="672AAF47" w:rsidR="004A1931" w:rsidRPr="00F515DC" w:rsidRDefault="004A1931" w:rsidP="00F515DC">
                            <w:pPr>
                              <w:ind w:firstLine="0"/>
                              <w:jc w:val="both"/>
                              <w:rPr>
                                <w:rFonts w:ascii="Verdana" w:hAnsi="Verdana"/>
                                <w:sz w:val="18"/>
                                <w:szCs w:val="18"/>
                              </w:rPr>
                            </w:pPr>
                            <w:r w:rsidRPr="00F515DC">
                              <w:rPr>
                                <w:rFonts w:ascii="Verdana" w:hAnsi="Verdana"/>
                                <w:sz w:val="18"/>
                                <w:szCs w:val="18"/>
                              </w:rPr>
                              <w:t xml:space="preserve">WT = wild-type littermates, </w:t>
                            </w:r>
                            <w:r w:rsidR="00DE15A7">
                              <w:rPr>
                                <w:rFonts w:ascii="Verdana" w:hAnsi="Verdana"/>
                                <w:sz w:val="18"/>
                                <w:szCs w:val="18"/>
                              </w:rPr>
                              <w:t>DJ1-KO</w:t>
                            </w:r>
                            <w:r w:rsidRPr="00F515DC">
                              <w:rPr>
                                <w:rFonts w:ascii="Verdana" w:hAnsi="Verdana"/>
                                <w:sz w:val="18"/>
                                <w:szCs w:val="18"/>
                              </w:rPr>
                              <w:t xml:space="preserve"> = DJ-1 knock-out animals, 3M = 3-months old, 8M = 8-months old, </w:t>
                            </w:r>
                            <w:r w:rsidR="00740D1A">
                              <w:rPr>
                                <w:rFonts w:ascii="Arial" w:hAnsi="Arial" w:cs="Arial"/>
                                <w:color w:val="202122"/>
                                <w:sz w:val="21"/>
                                <w:szCs w:val="21"/>
                                <w:shd w:val="clear" w:color="auto" w:fill="FDFDFD"/>
                              </w:rPr>
                              <w:t>♂</w:t>
                            </w:r>
                            <w:r w:rsidRPr="00F515DC">
                              <w:rPr>
                                <w:rFonts w:ascii="Verdana" w:hAnsi="Verdana"/>
                                <w:sz w:val="18"/>
                                <w:szCs w:val="18"/>
                              </w:rPr>
                              <w:t xml:space="preserve"> = male mice, </w:t>
                            </w:r>
                            <w:r w:rsidR="00FC2A23">
                              <w:rPr>
                                <w:rFonts w:ascii="Arial" w:hAnsi="Arial" w:cs="Arial"/>
                                <w:color w:val="202122"/>
                                <w:sz w:val="21"/>
                                <w:szCs w:val="21"/>
                                <w:shd w:val="clear" w:color="auto" w:fill="FDFDFD"/>
                              </w:rPr>
                              <w:t>♀</w:t>
                            </w:r>
                            <w:r w:rsidRPr="00F515DC">
                              <w:rPr>
                                <w:rFonts w:ascii="Verdana" w:hAnsi="Verdana"/>
                                <w:sz w:val="18"/>
                                <w:szCs w:val="18"/>
                              </w:rPr>
                              <w:t xml:space="preserve"> = female mice, DEGs = differentially expressed genes</w:t>
                            </w:r>
                            <w:r w:rsidR="00D05533">
                              <w:rPr>
                                <w:rFonts w:ascii="Verdana" w:hAnsi="Verdana"/>
                                <w:sz w:val="18"/>
                                <w:szCs w:val="18"/>
                              </w:rPr>
                              <w:t xml:space="preserve">, </w:t>
                            </w:r>
                            <w:proofErr w:type="spellStart"/>
                            <w:r w:rsidR="00D05533">
                              <w:rPr>
                                <w:rFonts w:ascii="Verdana" w:hAnsi="Verdana"/>
                                <w:sz w:val="18"/>
                                <w:szCs w:val="18"/>
                              </w:rPr>
                              <w:t>padj</w:t>
                            </w:r>
                            <w:proofErr w:type="spellEnd"/>
                            <w:r w:rsidR="00D05533">
                              <w:rPr>
                                <w:rFonts w:ascii="Verdana" w:hAnsi="Verdana"/>
                                <w:sz w:val="18"/>
                                <w:szCs w:val="18"/>
                              </w:rPr>
                              <w:t xml:space="preserve"> = adjusted p-value, FC = fold change</w:t>
                            </w:r>
                            <w:r w:rsidRPr="00F515DC">
                              <w:rPr>
                                <w:rFonts w:ascii="Verdana" w:hAnsi="Verdan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AA3366" id="Text Box 159" o:spid="_x0000_s1046" type="#_x0000_t202" style="position:absolute;margin-left:388.05pt;margin-top:.2pt;width:439.25pt;height:.05pt;z-index:2519633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" stroked="f">
                <v:textbox style="mso-fit-shape-to-text:t" inset="0,0,0,0">
                  <w:txbxContent>
                    <w:p w14:paraId="329BE86B" w14:textId="1047A2A7" w:rsidR="00C41FF3" w:rsidRPr="00F515DC" w:rsidRDefault="00C41FF3" w:rsidP="00F515DC">
                      <w:pPr>
                        <w:pStyle w:val="Caption"/>
                        <w:jc w:val="both"/>
                        <w:rPr>
                          <w:rFonts w:ascii="Verdana" w:hAnsi="Verdana"/>
                          <w:i w:val="0"/>
                          <w:iCs w:val="0"/>
                          <w:color w:val="auto"/>
                        </w:rPr>
                      </w:pPr>
                      <w:bookmarkStart w:id="103" w:name="_Toc131412760"/>
                      <w:r w:rsidRPr="00F515DC">
                        <w:rPr>
                          <w:rFonts w:ascii="Verdana" w:hAnsi="Verdana"/>
                          <w:b/>
                          <w:bCs/>
                          <w:i w:val="0"/>
                          <w:iCs w:val="0"/>
                          <w:color w:val="auto"/>
                        </w:rPr>
                        <w:t xml:space="preserve">Figure </w:t>
                      </w:r>
                      <w:r w:rsidRPr="00F515DC">
                        <w:rPr>
                          <w:rFonts w:ascii="Verdana" w:hAnsi="Verdana"/>
                          <w:b/>
                          <w:bCs/>
                          <w:i w:val="0"/>
                          <w:iCs w:val="0"/>
                          <w:color w:val="auto"/>
                        </w:rPr>
                        <w:fldChar w:fldCharType="begin"/>
                      </w:r>
                      <w:r w:rsidRPr="00F515DC">
                        <w:rPr>
                          <w:rFonts w:ascii="Verdana" w:hAnsi="Verdana"/>
                          <w:b/>
                          <w:bCs/>
                          <w:i w:val="0"/>
                          <w:iCs w:val="0"/>
                          <w:color w:val="auto"/>
                        </w:rPr>
                        <w:instrText xml:space="preserve"> SEQ Figure \* ARABIC </w:instrText>
                      </w:r>
                      <w:r w:rsidRPr="00F515DC">
                        <w:rPr>
                          <w:rFonts w:ascii="Verdana" w:hAnsi="Verdana"/>
                          <w:b/>
                          <w:bCs/>
                          <w:i w:val="0"/>
                          <w:iCs w:val="0"/>
                          <w:color w:val="auto"/>
                        </w:rPr>
                        <w:fldChar w:fldCharType="separate"/>
                      </w:r>
                      <w:r w:rsidR="001D505F">
                        <w:rPr>
                          <w:rFonts w:ascii="Verdana" w:hAnsi="Verdana"/>
                          <w:b/>
                          <w:bCs/>
                          <w:i w:val="0"/>
                          <w:iCs w:val="0"/>
                          <w:noProof/>
                          <w:color w:val="auto"/>
                        </w:rPr>
                        <w:t>18</w:t>
                      </w:r>
                      <w:r w:rsidRPr="00F515DC">
                        <w:rPr>
                          <w:rFonts w:ascii="Verdana" w:hAnsi="Verdana"/>
                          <w:b/>
                          <w:bCs/>
                          <w:i w:val="0"/>
                          <w:iCs w:val="0"/>
                          <w:color w:val="auto"/>
                        </w:rPr>
                        <w:fldChar w:fldCharType="end"/>
                      </w:r>
                      <w:r w:rsidRPr="00F515DC">
                        <w:rPr>
                          <w:rFonts w:ascii="Verdana" w:hAnsi="Verdana"/>
                          <w:b/>
                          <w:bCs/>
                          <w:i w:val="0"/>
                          <w:iCs w:val="0"/>
                          <w:color w:val="auto"/>
                        </w:rPr>
                        <w:t xml:space="preserve"> </w:t>
                      </w:r>
                      <w:r w:rsidR="00EF0E64" w:rsidRPr="00F515DC">
                        <w:rPr>
                          <w:rFonts w:ascii="Verdana" w:hAnsi="Verdana"/>
                          <w:i w:val="0"/>
                          <w:iCs w:val="0"/>
                          <w:color w:val="auto"/>
                        </w:rPr>
                        <w:t>Male mice show a strong sex-specific transcriptomic response to DJ-1 knock-out at 8-months of age</w:t>
                      </w:r>
                      <w:bookmarkEnd w:id="103"/>
                    </w:p>
                    <w:p w14:paraId="55ED313E" w14:textId="283CA1DE" w:rsidR="00EF0E64" w:rsidRPr="00F515DC" w:rsidRDefault="00EF0E64" w:rsidP="00F515DC">
                      <w:pPr>
                        <w:ind w:firstLine="0"/>
                        <w:jc w:val="both"/>
                        <w:rPr>
                          <w:rFonts w:ascii="Verdana" w:hAnsi="Verdana"/>
                          <w:sz w:val="18"/>
                          <w:szCs w:val="18"/>
                        </w:rPr>
                      </w:pPr>
                      <w:r w:rsidRPr="00F515DC">
                        <w:rPr>
                          <w:rFonts w:ascii="Verdana" w:hAnsi="Verdana"/>
                          <w:b/>
                          <w:bCs/>
                          <w:sz w:val="18"/>
                          <w:szCs w:val="18"/>
                        </w:rPr>
                        <w:t>A)</w:t>
                      </w:r>
                      <w:r w:rsidRPr="00F515DC">
                        <w:rPr>
                          <w:rFonts w:ascii="Verdana" w:hAnsi="Verdana"/>
                          <w:sz w:val="18"/>
                          <w:szCs w:val="18"/>
                        </w:rPr>
                        <w:t xml:space="preserve"> </w:t>
                      </w:r>
                      <w:r w:rsidR="00582D36">
                        <w:rPr>
                          <w:rFonts w:ascii="Verdana" w:hAnsi="Verdana"/>
                          <w:sz w:val="18"/>
                          <w:szCs w:val="18"/>
                        </w:rPr>
                        <w:t>Volcano</w:t>
                      </w:r>
                      <w:r w:rsidRPr="00F515DC">
                        <w:rPr>
                          <w:rFonts w:ascii="Verdana" w:hAnsi="Verdana"/>
                          <w:sz w:val="18"/>
                          <w:szCs w:val="18"/>
                        </w:rPr>
                        <w:t xml:space="preserve"> plots illustrating transcriptomic changes occurring in the midbrain at 3-months of age (top) and </w:t>
                      </w:r>
                      <w:r w:rsidR="00582D36">
                        <w:rPr>
                          <w:rFonts w:ascii="Verdana" w:hAnsi="Verdana"/>
                          <w:sz w:val="18"/>
                          <w:szCs w:val="18"/>
                        </w:rPr>
                        <w:t>8-months of age</w:t>
                      </w:r>
                      <w:r w:rsidRPr="00F515DC">
                        <w:rPr>
                          <w:rFonts w:ascii="Verdana" w:hAnsi="Verdana"/>
                          <w:sz w:val="18"/>
                          <w:szCs w:val="18"/>
                        </w:rPr>
                        <w:t xml:space="preserve"> (bottom)</w:t>
                      </w:r>
                      <w:r w:rsidR="00582D36">
                        <w:rPr>
                          <w:rFonts w:ascii="Verdana" w:hAnsi="Verdana"/>
                          <w:sz w:val="18"/>
                          <w:szCs w:val="18"/>
                        </w:rPr>
                        <w:t xml:space="preserve"> for male (left) and female (right)</w:t>
                      </w:r>
                      <w:r w:rsidRPr="00F515DC">
                        <w:rPr>
                          <w:rFonts w:ascii="Verdana" w:hAnsi="Verdana"/>
                          <w:sz w:val="18"/>
                          <w:szCs w:val="18"/>
                        </w:rPr>
                        <w:t xml:space="preserve"> DJ-1 KO mice versus wild-type littermates. </w:t>
                      </w:r>
                      <w:r w:rsidRPr="00F515DC">
                        <w:rPr>
                          <w:rFonts w:ascii="Verdana" w:hAnsi="Verdana"/>
                          <w:b/>
                          <w:bCs/>
                          <w:sz w:val="18"/>
                          <w:szCs w:val="18"/>
                        </w:rPr>
                        <w:t>B)</w:t>
                      </w:r>
                      <w:r w:rsidRPr="00F515DC">
                        <w:rPr>
                          <w:rFonts w:ascii="Verdana" w:hAnsi="Verdana"/>
                          <w:sz w:val="18"/>
                          <w:szCs w:val="18"/>
                        </w:rPr>
                        <w:t xml:space="preserve"> </w:t>
                      </w:r>
                      <w:r w:rsidR="00F515DC">
                        <w:rPr>
                          <w:rFonts w:ascii="Verdana" w:hAnsi="Verdana"/>
                          <w:sz w:val="18"/>
                          <w:szCs w:val="18"/>
                        </w:rPr>
                        <w:t>S</w:t>
                      </w:r>
                      <w:r w:rsidR="0045051A" w:rsidRPr="00F515DC">
                        <w:rPr>
                          <w:rFonts w:ascii="Verdana" w:hAnsi="Verdana"/>
                          <w:sz w:val="18"/>
                          <w:szCs w:val="18"/>
                        </w:rPr>
                        <w:t>ex-specific DEGs in</w:t>
                      </w:r>
                      <w:r w:rsidR="00E251E5" w:rsidRPr="00F515DC">
                        <w:rPr>
                          <w:rFonts w:ascii="Verdana" w:hAnsi="Verdana"/>
                          <w:sz w:val="18"/>
                          <w:szCs w:val="18"/>
                        </w:rPr>
                        <w:t xml:space="preserve"> 8-months old</w:t>
                      </w:r>
                      <w:r w:rsidR="0045051A" w:rsidRPr="00F515DC">
                        <w:rPr>
                          <w:rFonts w:ascii="Verdana" w:hAnsi="Verdana"/>
                          <w:sz w:val="18"/>
                          <w:szCs w:val="18"/>
                        </w:rPr>
                        <w:t xml:space="preserve"> </w:t>
                      </w:r>
                      <w:r w:rsidR="00E251E5" w:rsidRPr="00F515DC">
                        <w:rPr>
                          <w:rFonts w:ascii="Verdana" w:hAnsi="Verdana"/>
                          <w:sz w:val="18"/>
                          <w:szCs w:val="18"/>
                        </w:rPr>
                        <w:t>DJ-1 KO males</w:t>
                      </w:r>
                      <w:r w:rsidR="00B16082" w:rsidRPr="00F515DC">
                        <w:rPr>
                          <w:rFonts w:ascii="Verdana" w:hAnsi="Verdana"/>
                          <w:sz w:val="18"/>
                          <w:szCs w:val="18"/>
                        </w:rPr>
                        <w:t>.</w:t>
                      </w:r>
                      <w:r w:rsidR="00E251E5" w:rsidRPr="00F515DC">
                        <w:rPr>
                          <w:rFonts w:ascii="Verdana" w:hAnsi="Verdana"/>
                          <w:sz w:val="18"/>
                          <w:szCs w:val="18"/>
                        </w:rPr>
                        <w:t xml:space="preserve"> </w:t>
                      </w:r>
                      <w:r w:rsidR="00726463" w:rsidRPr="00F515DC">
                        <w:rPr>
                          <w:rFonts w:ascii="Verdana" w:hAnsi="Verdana"/>
                          <w:sz w:val="18"/>
                          <w:szCs w:val="18"/>
                        </w:rPr>
                        <w:t xml:space="preserve">Venn diagram (left) and </w:t>
                      </w:r>
                      <w:r w:rsidR="00A56777" w:rsidRPr="00F515DC">
                        <w:rPr>
                          <w:rFonts w:ascii="Verdana" w:hAnsi="Verdana"/>
                          <w:sz w:val="18"/>
                          <w:szCs w:val="18"/>
                        </w:rPr>
                        <w:t xml:space="preserve">Volcano plot (right) </w:t>
                      </w:r>
                      <w:r w:rsidR="00B16082" w:rsidRPr="00F515DC">
                        <w:rPr>
                          <w:rFonts w:ascii="Verdana" w:hAnsi="Verdana"/>
                          <w:sz w:val="18"/>
                          <w:szCs w:val="18"/>
                        </w:rPr>
                        <w:t xml:space="preserve">illustrating gene expression of the </w:t>
                      </w:r>
                      <w:r w:rsidR="00F07E25" w:rsidRPr="00F515DC">
                        <w:rPr>
                          <w:rFonts w:ascii="Verdana" w:hAnsi="Verdana"/>
                          <w:sz w:val="18"/>
                          <w:szCs w:val="18"/>
                        </w:rPr>
                        <w:t xml:space="preserve">identified </w:t>
                      </w:r>
                      <w:r w:rsidR="00DE15A7">
                        <w:rPr>
                          <w:rFonts w:ascii="Verdana" w:hAnsi="Verdana"/>
                          <w:sz w:val="18"/>
                          <w:szCs w:val="18"/>
                        </w:rPr>
                        <w:t>247</w:t>
                      </w:r>
                      <w:r w:rsidR="00F07E25" w:rsidRPr="00F515DC">
                        <w:rPr>
                          <w:rFonts w:ascii="Verdana" w:hAnsi="Verdana"/>
                          <w:sz w:val="18"/>
                          <w:szCs w:val="18"/>
                        </w:rPr>
                        <w:t xml:space="preserve"> </w:t>
                      </w:r>
                      <w:proofErr w:type="gramStart"/>
                      <w:r w:rsidR="00F07E25" w:rsidRPr="00F515DC">
                        <w:rPr>
                          <w:rFonts w:ascii="Verdana" w:hAnsi="Verdana"/>
                          <w:sz w:val="18"/>
                          <w:szCs w:val="18"/>
                        </w:rPr>
                        <w:t>sex-specific</w:t>
                      </w:r>
                      <w:proofErr w:type="gramEnd"/>
                      <w:r w:rsidR="00F07E25" w:rsidRPr="00F515DC">
                        <w:rPr>
                          <w:rFonts w:ascii="Verdana" w:hAnsi="Verdana"/>
                          <w:sz w:val="18"/>
                          <w:szCs w:val="18"/>
                        </w:rPr>
                        <w:t xml:space="preserve"> DEGs.</w:t>
                      </w:r>
                      <w:r w:rsidR="004A1931" w:rsidRPr="00F515DC">
                        <w:rPr>
                          <w:rFonts w:ascii="Verdana" w:hAnsi="Verdana"/>
                          <w:sz w:val="18"/>
                          <w:szCs w:val="18"/>
                        </w:rPr>
                        <w:t xml:space="preserve"> All DEGs were selected with a cutoff of adjusted p-value &lt; 0.05.</w:t>
                      </w:r>
                    </w:p>
                    <w:p w14:paraId="58089397" w14:textId="672AAF47" w:rsidR="004A1931" w:rsidRPr="00F515DC" w:rsidRDefault="004A1931" w:rsidP="00F515DC">
                      <w:pPr>
                        <w:ind w:firstLine="0"/>
                        <w:jc w:val="both"/>
                        <w:rPr>
                          <w:rFonts w:ascii="Verdana" w:hAnsi="Verdana"/>
                          <w:sz w:val="18"/>
                          <w:szCs w:val="18"/>
                        </w:rPr>
                      </w:pPr>
                      <w:r w:rsidRPr="00F515DC">
                        <w:rPr>
                          <w:rFonts w:ascii="Verdana" w:hAnsi="Verdana"/>
                          <w:sz w:val="18"/>
                          <w:szCs w:val="18"/>
                        </w:rPr>
                        <w:t xml:space="preserve">WT = wild-type littermates, </w:t>
                      </w:r>
                      <w:r w:rsidR="00DE15A7">
                        <w:rPr>
                          <w:rFonts w:ascii="Verdana" w:hAnsi="Verdana"/>
                          <w:sz w:val="18"/>
                          <w:szCs w:val="18"/>
                        </w:rPr>
                        <w:t>DJ1-KO</w:t>
                      </w:r>
                      <w:r w:rsidRPr="00F515DC">
                        <w:rPr>
                          <w:rFonts w:ascii="Verdana" w:hAnsi="Verdana"/>
                          <w:sz w:val="18"/>
                          <w:szCs w:val="18"/>
                        </w:rPr>
                        <w:t xml:space="preserve"> = DJ-1 knock-out animals, 3M = 3-months old, 8M = 8-months old, </w:t>
                      </w:r>
                      <w:r w:rsidR="00740D1A">
                        <w:rPr>
                          <w:rFonts w:ascii="Arial" w:hAnsi="Arial" w:cs="Arial"/>
                          <w:color w:val="202122"/>
                          <w:sz w:val="21"/>
                          <w:szCs w:val="21"/>
                          <w:shd w:val="clear" w:color="auto" w:fill="FDFDFD"/>
                        </w:rPr>
                        <w:t>♂</w:t>
                      </w:r>
                      <w:r w:rsidRPr="00F515DC">
                        <w:rPr>
                          <w:rFonts w:ascii="Verdana" w:hAnsi="Verdana"/>
                          <w:sz w:val="18"/>
                          <w:szCs w:val="18"/>
                        </w:rPr>
                        <w:t xml:space="preserve"> = male mice, </w:t>
                      </w:r>
                      <w:r w:rsidR="00FC2A23">
                        <w:rPr>
                          <w:rFonts w:ascii="Arial" w:hAnsi="Arial" w:cs="Arial"/>
                          <w:color w:val="202122"/>
                          <w:sz w:val="21"/>
                          <w:szCs w:val="21"/>
                          <w:shd w:val="clear" w:color="auto" w:fill="FDFDFD"/>
                        </w:rPr>
                        <w:t>♀</w:t>
                      </w:r>
                      <w:r w:rsidRPr="00F515DC">
                        <w:rPr>
                          <w:rFonts w:ascii="Verdana" w:hAnsi="Verdana"/>
                          <w:sz w:val="18"/>
                          <w:szCs w:val="18"/>
                        </w:rPr>
                        <w:t xml:space="preserve"> = female mice, DEGs = differentially expressed genes</w:t>
                      </w:r>
                      <w:r w:rsidR="00D05533">
                        <w:rPr>
                          <w:rFonts w:ascii="Verdana" w:hAnsi="Verdana"/>
                          <w:sz w:val="18"/>
                          <w:szCs w:val="18"/>
                        </w:rPr>
                        <w:t xml:space="preserve">, </w:t>
                      </w:r>
                      <w:proofErr w:type="spellStart"/>
                      <w:r w:rsidR="00D05533">
                        <w:rPr>
                          <w:rFonts w:ascii="Verdana" w:hAnsi="Verdana"/>
                          <w:sz w:val="18"/>
                          <w:szCs w:val="18"/>
                        </w:rPr>
                        <w:t>padj</w:t>
                      </w:r>
                      <w:proofErr w:type="spellEnd"/>
                      <w:r w:rsidR="00D05533">
                        <w:rPr>
                          <w:rFonts w:ascii="Verdana" w:hAnsi="Verdana"/>
                          <w:sz w:val="18"/>
                          <w:szCs w:val="18"/>
                        </w:rPr>
                        <w:t xml:space="preserve"> = adjusted p-value, FC = fold change</w:t>
                      </w:r>
                      <w:r w:rsidRPr="00F515DC">
                        <w:rPr>
                          <w:rFonts w:ascii="Verdana" w:hAnsi="Verdana"/>
                          <w:sz w:val="18"/>
                          <w:szCs w:val="18"/>
                        </w:rPr>
                        <w:t>.</w:t>
                      </w:r>
                    </w:p>
                  </w:txbxContent>
                </v:textbox>
                <w10:wrap type="topAndBottom" anchorx="margin"/>
              </v:shape>
            </w:pict>
          </mc:Fallback>
        </mc:AlternateContent>
      </w:r>
      <w:r w:rsidR="009F1BCF">
        <w:rPr>
          <w:rFonts w:ascii="Verdana" w:hAnsi="Verdana"/>
          <w:b/>
          <w:bCs/>
          <w:lang w:val="en-GB"/>
        </w:rPr>
        <w:br w:type="page"/>
      </w:r>
    </w:p>
    <w:p w14:paraId="026DEF1C" w14:textId="2B5CAD48" w:rsidR="009F1BCF" w:rsidRDefault="00800045" w:rsidP="00913B8A">
      <w:pPr>
        <w:pStyle w:val="Heading2"/>
        <w:rPr>
          <w:lang w:val="en-GB"/>
        </w:rPr>
      </w:pPr>
      <w:r>
        <w:rPr>
          <w:lang w:val="en-GB"/>
        </w:rPr>
        <w:lastRenderedPageBreak/>
        <w:t xml:space="preserve">  </w:t>
      </w:r>
      <w:bookmarkStart w:id="104" w:name="_Toc130223443"/>
      <w:r w:rsidR="009E5729">
        <w:rPr>
          <w:lang w:val="en-GB"/>
        </w:rPr>
        <w:t>5.2</w:t>
      </w:r>
      <w:r w:rsidR="009E5729">
        <w:rPr>
          <w:lang w:val="en-GB"/>
        </w:rPr>
        <w:tab/>
        <w:t xml:space="preserve"> </w:t>
      </w:r>
      <w:r w:rsidR="00491AC6">
        <w:rPr>
          <w:lang w:val="en-GB"/>
        </w:rPr>
        <w:t xml:space="preserve">CYP1B1 mediates </w:t>
      </w:r>
      <w:r w:rsidR="00D243EF">
        <w:rPr>
          <w:lang w:val="en-GB"/>
        </w:rPr>
        <w:t>males’ increased susceptibility to DJ-1 loss</w:t>
      </w:r>
      <w:bookmarkEnd w:id="104"/>
    </w:p>
    <w:p w14:paraId="12B6FEFF" w14:textId="5951C3F0" w:rsidR="00B56729" w:rsidRDefault="00B0386A" w:rsidP="00147849">
      <w:pPr>
        <w:spacing w:line="360" w:lineRule="auto"/>
        <w:jc w:val="both"/>
        <w:rPr>
          <w:rFonts w:ascii="Verdana" w:hAnsi="Verdana"/>
          <w:lang w:val="en-GB"/>
        </w:rPr>
      </w:pPr>
      <w:r>
        <w:rPr>
          <w:rFonts w:ascii="Verdana" w:hAnsi="Verdana"/>
          <w:lang w:val="en-GB"/>
        </w:rPr>
        <w:t>To have a better idea about the impaired processes in</w:t>
      </w:r>
      <w:r w:rsidR="00367D9D">
        <w:rPr>
          <w:rFonts w:ascii="Verdana" w:hAnsi="Verdana"/>
          <w:lang w:val="en-GB"/>
        </w:rPr>
        <w:t xml:space="preserve"> 8-months old</w:t>
      </w:r>
      <w:r>
        <w:rPr>
          <w:rFonts w:ascii="Verdana" w:hAnsi="Verdana"/>
          <w:lang w:val="en-GB"/>
        </w:rPr>
        <w:t xml:space="preserve"> DJ-1 KO mice, we run an Ingenu</w:t>
      </w:r>
      <w:r w:rsidR="009F6AAC">
        <w:rPr>
          <w:rFonts w:ascii="Verdana" w:hAnsi="Verdana"/>
          <w:lang w:val="en-GB"/>
        </w:rPr>
        <w:t>it</w:t>
      </w:r>
      <w:r>
        <w:rPr>
          <w:rFonts w:ascii="Verdana" w:hAnsi="Verdana"/>
          <w:lang w:val="en-GB"/>
        </w:rPr>
        <w:t>y</w:t>
      </w:r>
      <w:r w:rsidR="00435162">
        <w:rPr>
          <w:rFonts w:ascii="Verdana" w:hAnsi="Verdana"/>
          <w:lang w:val="en-GB"/>
        </w:rPr>
        <w:t>®</w:t>
      </w:r>
      <w:r>
        <w:rPr>
          <w:rFonts w:ascii="Verdana" w:hAnsi="Verdana"/>
          <w:lang w:val="en-GB"/>
        </w:rPr>
        <w:t xml:space="preserve"> Pathway Analysis (IPA</w:t>
      </w:r>
      <w:r w:rsidR="00435162">
        <w:rPr>
          <w:rFonts w:ascii="Verdana" w:hAnsi="Verdana"/>
          <w:lang w:val="en-GB"/>
        </w:rPr>
        <w:t>®</w:t>
      </w:r>
      <w:r w:rsidR="00E57A65">
        <w:rPr>
          <w:rFonts w:ascii="Verdana" w:hAnsi="Verdana"/>
          <w:lang w:val="en-GB"/>
        </w:rPr>
        <w:t>, Qiagen</w:t>
      </w:r>
      <w:r>
        <w:rPr>
          <w:rFonts w:ascii="Verdana" w:hAnsi="Verdana"/>
          <w:lang w:val="en-GB"/>
        </w:rPr>
        <w:t>) on the differential expression data</w:t>
      </w:r>
      <w:r w:rsidR="00B83677">
        <w:rPr>
          <w:rFonts w:ascii="Verdana" w:hAnsi="Verdana"/>
          <w:lang w:val="en-GB"/>
        </w:rPr>
        <w:t>.</w:t>
      </w:r>
      <w:r w:rsidR="002E1571">
        <w:rPr>
          <w:rFonts w:ascii="Verdana" w:hAnsi="Verdana"/>
          <w:lang w:val="en-GB"/>
        </w:rPr>
        <w:t xml:space="preserve"> </w:t>
      </w:r>
      <w:proofErr w:type="gramStart"/>
      <w:r w:rsidR="00F547FD">
        <w:rPr>
          <w:rFonts w:ascii="Verdana" w:hAnsi="Verdana"/>
          <w:lang w:val="en-GB"/>
        </w:rPr>
        <w:t>In particular, we</w:t>
      </w:r>
      <w:proofErr w:type="gramEnd"/>
      <w:r w:rsidR="00F547FD">
        <w:rPr>
          <w:rFonts w:ascii="Verdana" w:hAnsi="Verdana"/>
          <w:lang w:val="en-GB"/>
        </w:rPr>
        <w:t xml:space="preserve"> </w:t>
      </w:r>
      <w:r w:rsidR="00147849">
        <w:rPr>
          <w:rFonts w:ascii="Verdana" w:hAnsi="Verdana"/>
          <w:lang w:val="en-GB"/>
        </w:rPr>
        <w:t xml:space="preserve">focused on the predicted “Upstream Regulators” with the aim to </w:t>
      </w:r>
      <w:r w:rsidR="00150210">
        <w:rPr>
          <w:rFonts w:ascii="Verdana" w:hAnsi="Verdana"/>
          <w:lang w:val="en-GB"/>
        </w:rPr>
        <w:t xml:space="preserve">identify the main regulatory events responsible for the </w:t>
      </w:r>
      <w:r w:rsidR="00147849">
        <w:rPr>
          <w:rFonts w:ascii="Verdana" w:hAnsi="Verdana"/>
          <w:lang w:val="en-GB"/>
        </w:rPr>
        <w:t>observed transcriptional alterations</w:t>
      </w:r>
      <w:r w:rsidR="00150210">
        <w:rPr>
          <w:rFonts w:ascii="Verdana" w:hAnsi="Verdana"/>
          <w:lang w:val="en-GB"/>
        </w:rPr>
        <w:t>.</w:t>
      </w:r>
      <w:r w:rsidR="0053382B">
        <w:rPr>
          <w:rFonts w:ascii="Verdana" w:hAnsi="Verdana"/>
          <w:lang w:val="en-GB"/>
        </w:rPr>
        <w:t xml:space="preserve"> </w:t>
      </w:r>
      <w:r w:rsidR="007D1B6E">
        <w:rPr>
          <w:rFonts w:ascii="Verdana" w:hAnsi="Verdana"/>
          <w:lang w:val="en-GB"/>
        </w:rPr>
        <w:t>The top</w:t>
      </w:r>
      <w:r w:rsidR="0053382B">
        <w:rPr>
          <w:rFonts w:ascii="Verdana" w:hAnsi="Verdana"/>
          <w:lang w:val="en-GB"/>
        </w:rPr>
        <w:t xml:space="preserve"> upstream regulator was </w:t>
      </w:r>
      <w:r w:rsidR="004913D4">
        <w:rPr>
          <w:rFonts w:ascii="Verdana" w:hAnsi="Verdana"/>
          <w:lang w:val="en-GB"/>
        </w:rPr>
        <w:t>beta-o</w:t>
      </w:r>
      <w:r w:rsidR="0053382B">
        <w:rPr>
          <w:rFonts w:ascii="Verdana" w:hAnsi="Verdana"/>
          <w:lang w:val="en-GB"/>
        </w:rPr>
        <w:t>estradiol</w:t>
      </w:r>
      <w:r w:rsidR="004913D4">
        <w:rPr>
          <w:rFonts w:ascii="Verdana" w:hAnsi="Verdana"/>
          <w:lang w:val="en-GB"/>
        </w:rPr>
        <w:t>, a precursor of the female hormone</w:t>
      </w:r>
      <w:r w:rsidR="00367D9D">
        <w:rPr>
          <w:rFonts w:ascii="Verdana" w:hAnsi="Verdana"/>
          <w:lang w:val="en-GB"/>
        </w:rPr>
        <w:t xml:space="preserve"> </w:t>
      </w:r>
      <w:r w:rsidR="004913D4">
        <w:rPr>
          <w:rFonts w:ascii="Verdana" w:hAnsi="Verdana"/>
          <w:lang w:val="en-GB"/>
        </w:rPr>
        <w:t>oestrogen</w:t>
      </w:r>
      <w:r w:rsidR="00367D9D">
        <w:rPr>
          <w:rFonts w:ascii="Verdana" w:hAnsi="Verdana"/>
          <w:lang w:val="en-GB"/>
        </w:rPr>
        <w:t xml:space="preserve">, predicted to be </w:t>
      </w:r>
      <w:r w:rsidR="00147849">
        <w:rPr>
          <w:rFonts w:ascii="Verdana" w:hAnsi="Verdana"/>
          <w:lang w:val="en-GB"/>
        </w:rPr>
        <w:t>inhibited</w:t>
      </w:r>
      <w:r w:rsidR="00367D9D">
        <w:rPr>
          <w:rFonts w:ascii="Verdana" w:hAnsi="Verdana"/>
          <w:lang w:val="en-GB"/>
        </w:rPr>
        <w:t xml:space="preserve"> in DJ-1 KO males</w:t>
      </w:r>
      <w:r w:rsidR="002B740A">
        <w:rPr>
          <w:rFonts w:ascii="Verdana" w:hAnsi="Verdana"/>
          <w:lang w:val="en-GB"/>
        </w:rPr>
        <w:t xml:space="preserve"> (Figure 1</w:t>
      </w:r>
      <w:r w:rsidR="008106F4">
        <w:rPr>
          <w:rFonts w:ascii="Verdana" w:hAnsi="Verdana"/>
          <w:lang w:val="en-GB"/>
        </w:rPr>
        <w:t>9</w:t>
      </w:r>
      <w:r w:rsidR="003D0FA4">
        <w:rPr>
          <w:rFonts w:ascii="Verdana" w:hAnsi="Verdana"/>
          <w:lang w:val="en-GB"/>
        </w:rPr>
        <w:t>A</w:t>
      </w:r>
      <w:r w:rsidR="002B740A">
        <w:rPr>
          <w:rFonts w:ascii="Verdana" w:hAnsi="Verdana"/>
          <w:lang w:val="en-GB"/>
        </w:rPr>
        <w:t>)</w:t>
      </w:r>
      <w:r w:rsidR="007E09C8">
        <w:rPr>
          <w:rFonts w:ascii="Verdana" w:hAnsi="Verdana"/>
          <w:lang w:val="en-GB"/>
        </w:rPr>
        <w:t xml:space="preserve">. Oestrogens have been shown to be protective in </w:t>
      </w:r>
      <w:proofErr w:type="gramStart"/>
      <w:r w:rsidR="007E09C8">
        <w:rPr>
          <w:rFonts w:ascii="Verdana" w:hAnsi="Verdana"/>
          <w:lang w:val="en-GB"/>
        </w:rPr>
        <w:t>PD, and</w:t>
      </w:r>
      <w:proofErr w:type="gramEnd"/>
      <w:r w:rsidR="007E09C8">
        <w:rPr>
          <w:rFonts w:ascii="Verdana" w:hAnsi="Verdana"/>
          <w:lang w:val="en-GB"/>
        </w:rPr>
        <w:t xml:space="preserve"> might explain the sex differences observed in PD incidence between male and female individuals</w:t>
      </w:r>
      <w:r w:rsidR="00367D9D">
        <w:rPr>
          <w:rFonts w:ascii="Verdana" w:hAnsi="Verdana"/>
          <w:lang w:val="en-GB"/>
        </w:rPr>
        <w:t>.</w:t>
      </w:r>
      <w:r w:rsidR="00252354">
        <w:rPr>
          <w:rFonts w:ascii="Verdana" w:hAnsi="Verdana"/>
          <w:lang w:val="en-GB"/>
        </w:rPr>
        <w:t xml:space="preserve"> </w:t>
      </w:r>
      <w:r w:rsidR="002B740A">
        <w:rPr>
          <w:rFonts w:ascii="Verdana" w:hAnsi="Verdana"/>
          <w:lang w:val="en-GB"/>
        </w:rPr>
        <w:t>One of the</w:t>
      </w:r>
      <w:r w:rsidR="00252354">
        <w:rPr>
          <w:rFonts w:ascii="Verdana" w:hAnsi="Verdana"/>
          <w:lang w:val="en-GB"/>
        </w:rPr>
        <w:t xml:space="preserve"> enzyme</w:t>
      </w:r>
      <w:r w:rsidR="002B740A">
        <w:rPr>
          <w:rFonts w:ascii="Verdana" w:hAnsi="Verdana"/>
          <w:lang w:val="en-GB"/>
        </w:rPr>
        <w:t>s</w:t>
      </w:r>
      <w:r w:rsidR="00252354">
        <w:rPr>
          <w:rFonts w:ascii="Verdana" w:hAnsi="Verdana"/>
          <w:lang w:val="en-GB"/>
        </w:rPr>
        <w:t xml:space="preserve"> responsible for the</w:t>
      </w:r>
      <w:r w:rsidR="002B740A">
        <w:rPr>
          <w:rFonts w:ascii="Verdana" w:hAnsi="Verdana"/>
          <w:lang w:val="en-GB"/>
        </w:rPr>
        <w:t xml:space="preserve"> biosynthesis and metabolism of oestrogens is</w:t>
      </w:r>
      <w:r w:rsidR="00252354">
        <w:rPr>
          <w:rFonts w:ascii="Verdana" w:hAnsi="Verdana"/>
          <w:lang w:val="en-GB"/>
        </w:rPr>
        <w:t xml:space="preserve"> </w:t>
      </w:r>
      <w:r w:rsidR="002B740A" w:rsidRPr="002B740A">
        <w:rPr>
          <w:rFonts w:ascii="Verdana" w:hAnsi="Verdana"/>
          <w:lang w:val="en-GB"/>
        </w:rPr>
        <w:t>cytochrome P450 1B1</w:t>
      </w:r>
      <w:r w:rsidR="002B740A">
        <w:rPr>
          <w:rFonts w:ascii="Verdana" w:hAnsi="Verdana"/>
          <w:lang w:val="en-GB"/>
        </w:rPr>
        <w:t xml:space="preserve">, encoded by the gene CYP1B1. </w:t>
      </w:r>
      <w:r w:rsidR="00DA262A">
        <w:rPr>
          <w:rFonts w:ascii="Verdana" w:hAnsi="Verdana"/>
          <w:lang w:val="en-GB"/>
        </w:rPr>
        <w:t>The expression of CYP1B1 is regulated by the antioxidant/electrophile response element (ARE) pathway. Amongst the regulators of CYP1B1, of particular interest is the</w:t>
      </w:r>
      <w:r w:rsidR="00DA262A" w:rsidRPr="00B944BF">
        <w:rPr>
          <w:rFonts w:ascii="Verdana" w:hAnsi="Verdana"/>
          <w:lang w:val="en-GB"/>
        </w:rPr>
        <w:t xml:space="preserve"> </w:t>
      </w:r>
      <w:r w:rsidR="00DA262A">
        <w:rPr>
          <w:rFonts w:ascii="Verdana" w:hAnsi="Verdana"/>
          <w:lang w:val="en-GB"/>
        </w:rPr>
        <w:t>n</w:t>
      </w:r>
      <w:r w:rsidR="00DA262A" w:rsidRPr="001F7E64">
        <w:rPr>
          <w:rFonts w:ascii="Verdana" w:hAnsi="Verdana"/>
          <w:lang w:val="en-GB"/>
        </w:rPr>
        <w:t>uclear factor-erythroid 2 p45-related factor 2</w:t>
      </w:r>
      <w:r w:rsidR="00DA262A">
        <w:rPr>
          <w:rFonts w:ascii="Verdana" w:hAnsi="Verdana"/>
          <w:lang w:val="en-GB"/>
        </w:rPr>
        <w:t xml:space="preserve"> (Nrf2), which has been shown to be directly stabilised by DJ-1. </w:t>
      </w:r>
      <w:r w:rsidR="002B740A">
        <w:rPr>
          <w:rFonts w:ascii="Verdana" w:hAnsi="Verdana"/>
          <w:lang w:val="en-GB"/>
        </w:rPr>
        <w:t>The CYP1B1 gene was found to be downregulated in DJ-1 KO males when compared to their WT littermates, while its expression was unchanged in female mice</w:t>
      </w:r>
      <w:r w:rsidR="008B2DB6">
        <w:rPr>
          <w:rFonts w:ascii="Verdana" w:hAnsi="Verdana"/>
          <w:lang w:val="en-GB"/>
        </w:rPr>
        <w:t xml:space="preserve"> (Figure 1</w:t>
      </w:r>
      <w:r w:rsidR="008106F4">
        <w:rPr>
          <w:rFonts w:ascii="Verdana" w:hAnsi="Verdana"/>
          <w:lang w:val="en-GB"/>
        </w:rPr>
        <w:t>9</w:t>
      </w:r>
      <w:r w:rsidR="008B2DB6">
        <w:rPr>
          <w:rFonts w:ascii="Verdana" w:hAnsi="Verdana"/>
          <w:lang w:val="en-GB"/>
        </w:rPr>
        <w:t>C)</w:t>
      </w:r>
      <w:r w:rsidR="002B740A">
        <w:rPr>
          <w:rFonts w:ascii="Verdana" w:hAnsi="Verdana"/>
          <w:lang w:val="en-GB"/>
        </w:rPr>
        <w:t>.</w:t>
      </w:r>
      <w:r w:rsidR="00C46626">
        <w:rPr>
          <w:rFonts w:ascii="Verdana" w:hAnsi="Verdana"/>
          <w:lang w:val="en-GB"/>
        </w:rPr>
        <w:t xml:space="preserve"> </w:t>
      </w:r>
      <w:r w:rsidR="007D1B6E">
        <w:rPr>
          <w:rFonts w:ascii="Verdana" w:hAnsi="Verdana"/>
          <w:lang w:val="en-GB"/>
        </w:rPr>
        <w:t xml:space="preserve">Another function of CYP1B1 is </w:t>
      </w:r>
      <w:r w:rsidR="00005D11">
        <w:rPr>
          <w:rFonts w:ascii="Verdana" w:hAnsi="Verdana"/>
          <w:lang w:val="en-GB"/>
        </w:rPr>
        <w:t>catalysing</w:t>
      </w:r>
      <w:r w:rsidR="007D1B6E">
        <w:rPr>
          <w:rFonts w:ascii="Verdana" w:hAnsi="Verdana"/>
          <w:lang w:val="en-GB"/>
        </w:rPr>
        <w:t xml:space="preserve"> the conversion of retinal in retinoic acid. Interestingly, </w:t>
      </w:r>
      <w:r w:rsidR="00040569">
        <w:rPr>
          <w:rFonts w:ascii="Verdana" w:hAnsi="Verdana"/>
          <w:lang w:val="en-GB"/>
        </w:rPr>
        <w:t>retinoic acid (</w:t>
      </w:r>
      <w:r w:rsidR="00024293">
        <w:rPr>
          <w:rFonts w:ascii="Verdana" w:hAnsi="Verdana"/>
          <w:lang w:val="en-GB"/>
        </w:rPr>
        <w:t>tretinoin</w:t>
      </w:r>
      <w:r w:rsidR="00040569">
        <w:rPr>
          <w:rFonts w:ascii="Verdana" w:hAnsi="Verdana"/>
          <w:lang w:val="en-GB"/>
        </w:rPr>
        <w:t>)</w:t>
      </w:r>
      <w:r w:rsidR="007D1B6E">
        <w:rPr>
          <w:rFonts w:ascii="Verdana" w:hAnsi="Verdana"/>
          <w:lang w:val="en-GB"/>
        </w:rPr>
        <w:t xml:space="preserve"> appeared amongst the top </w:t>
      </w:r>
      <w:r w:rsidR="0004248D">
        <w:rPr>
          <w:rFonts w:ascii="Verdana" w:hAnsi="Verdana"/>
          <w:lang w:val="en-GB"/>
        </w:rPr>
        <w:t>1</w:t>
      </w:r>
      <w:r w:rsidR="003D0FA4">
        <w:rPr>
          <w:rFonts w:ascii="Verdana" w:hAnsi="Verdana"/>
          <w:lang w:val="en-GB"/>
        </w:rPr>
        <w:t>0</w:t>
      </w:r>
      <w:r w:rsidR="0004248D">
        <w:rPr>
          <w:rFonts w:ascii="Verdana" w:hAnsi="Verdana"/>
          <w:lang w:val="en-GB"/>
        </w:rPr>
        <w:t xml:space="preserve"> predicted upstream regulators of our analysis</w:t>
      </w:r>
      <w:r w:rsidR="00005D11">
        <w:rPr>
          <w:rFonts w:ascii="Verdana" w:hAnsi="Verdana"/>
          <w:lang w:val="en-GB"/>
        </w:rPr>
        <w:t xml:space="preserve"> (Figure 1</w:t>
      </w:r>
      <w:r w:rsidR="008106F4">
        <w:rPr>
          <w:rFonts w:ascii="Verdana" w:hAnsi="Verdana"/>
          <w:lang w:val="en-GB"/>
        </w:rPr>
        <w:t>9</w:t>
      </w:r>
      <w:r w:rsidR="003D0FA4">
        <w:rPr>
          <w:rFonts w:ascii="Verdana" w:hAnsi="Verdana"/>
          <w:lang w:val="en-GB"/>
        </w:rPr>
        <w:t>A</w:t>
      </w:r>
      <w:r w:rsidR="00005D11">
        <w:rPr>
          <w:rFonts w:ascii="Verdana" w:hAnsi="Verdana"/>
          <w:lang w:val="en-GB"/>
        </w:rPr>
        <w:t>)</w:t>
      </w:r>
      <w:r w:rsidR="0004248D">
        <w:rPr>
          <w:rFonts w:ascii="Verdana" w:hAnsi="Verdana"/>
          <w:lang w:val="en-GB"/>
        </w:rPr>
        <w:t xml:space="preserve">. Specifically, tretinoin was </w:t>
      </w:r>
      <w:r w:rsidR="0090407D">
        <w:rPr>
          <w:rFonts w:ascii="Verdana" w:hAnsi="Verdana"/>
          <w:lang w:val="en-GB"/>
        </w:rPr>
        <w:t xml:space="preserve">predicted to be </w:t>
      </w:r>
      <w:r w:rsidR="003D0FA4">
        <w:rPr>
          <w:rFonts w:ascii="Verdana" w:hAnsi="Verdana"/>
          <w:lang w:val="en-GB"/>
        </w:rPr>
        <w:t>inhibited</w:t>
      </w:r>
      <w:r w:rsidR="0004248D">
        <w:rPr>
          <w:rFonts w:ascii="Verdana" w:hAnsi="Verdana"/>
          <w:lang w:val="en-GB"/>
        </w:rPr>
        <w:t xml:space="preserve"> in DJ-1 KO </w:t>
      </w:r>
      <w:r w:rsidR="00DA262A">
        <w:rPr>
          <w:rFonts w:ascii="Verdana" w:hAnsi="Verdana"/>
          <w:lang w:val="en-GB"/>
        </w:rPr>
        <w:t xml:space="preserve">male </w:t>
      </w:r>
      <w:r w:rsidR="0004248D">
        <w:rPr>
          <w:rFonts w:ascii="Verdana" w:hAnsi="Verdana"/>
          <w:lang w:val="en-GB"/>
        </w:rPr>
        <w:t xml:space="preserve">mice, a finding which </w:t>
      </w:r>
      <w:proofErr w:type="gramStart"/>
      <w:r w:rsidR="0004248D">
        <w:rPr>
          <w:rFonts w:ascii="Verdana" w:hAnsi="Verdana"/>
          <w:lang w:val="en-GB"/>
        </w:rPr>
        <w:t>is in agreement</w:t>
      </w:r>
      <w:proofErr w:type="gramEnd"/>
      <w:r w:rsidR="0004248D">
        <w:rPr>
          <w:rFonts w:ascii="Verdana" w:hAnsi="Verdana"/>
          <w:lang w:val="en-GB"/>
        </w:rPr>
        <w:t xml:space="preserve"> with the </w:t>
      </w:r>
      <w:r w:rsidR="00F738BE">
        <w:rPr>
          <w:rFonts w:ascii="Verdana" w:hAnsi="Verdana"/>
          <w:lang w:val="en-GB"/>
        </w:rPr>
        <w:t xml:space="preserve">observed </w:t>
      </w:r>
      <w:r w:rsidR="0004248D">
        <w:rPr>
          <w:rFonts w:ascii="Verdana" w:hAnsi="Verdana"/>
          <w:lang w:val="en-GB"/>
        </w:rPr>
        <w:t xml:space="preserve">reduction </w:t>
      </w:r>
      <w:r w:rsidR="00F738BE">
        <w:rPr>
          <w:rFonts w:ascii="Verdana" w:hAnsi="Verdana"/>
          <w:lang w:val="en-GB"/>
        </w:rPr>
        <w:t>in</w:t>
      </w:r>
      <w:r w:rsidR="0004248D">
        <w:rPr>
          <w:rFonts w:ascii="Verdana" w:hAnsi="Verdana"/>
          <w:lang w:val="en-GB"/>
        </w:rPr>
        <w:t xml:space="preserve"> CYP1B1 levels</w:t>
      </w:r>
      <w:r w:rsidR="00005D11">
        <w:rPr>
          <w:rFonts w:ascii="Verdana" w:hAnsi="Verdana"/>
          <w:lang w:val="en-GB"/>
        </w:rPr>
        <w:t>.</w:t>
      </w:r>
      <w:r w:rsidR="007805CB">
        <w:rPr>
          <w:rFonts w:ascii="Verdana" w:hAnsi="Verdana"/>
          <w:lang w:val="en-GB"/>
        </w:rPr>
        <w:t xml:space="preserve"> These results indicate that CYP1B1 might play a central role in the</w:t>
      </w:r>
      <w:r w:rsidR="00F03732">
        <w:rPr>
          <w:rFonts w:ascii="Verdana" w:hAnsi="Verdana"/>
          <w:lang w:val="en-GB"/>
        </w:rPr>
        <w:t xml:space="preserve"> sex-dependent</w:t>
      </w:r>
      <w:r w:rsidR="0078203A">
        <w:rPr>
          <w:rFonts w:ascii="Verdana" w:hAnsi="Verdana"/>
          <w:lang w:val="en-GB"/>
        </w:rPr>
        <w:t xml:space="preserve"> dimorphic response</w:t>
      </w:r>
      <w:r w:rsidR="00F03732">
        <w:rPr>
          <w:rFonts w:ascii="Verdana" w:hAnsi="Verdana"/>
          <w:lang w:val="en-GB"/>
        </w:rPr>
        <w:t xml:space="preserve"> following</w:t>
      </w:r>
      <w:r w:rsidR="0078203A">
        <w:rPr>
          <w:rFonts w:ascii="Verdana" w:hAnsi="Verdana"/>
          <w:lang w:val="en-GB"/>
        </w:rPr>
        <w:t xml:space="preserve"> DJ-1 loss</w:t>
      </w:r>
      <w:r w:rsidR="00F03732">
        <w:rPr>
          <w:rFonts w:ascii="Verdana" w:hAnsi="Verdana"/>
          <w:lang w:val="en-GB"/>
        </w:rPr>
        <w:t>.</w:t>
      </w:r>
    </w:p>
    <w:p w14:paraId="59B32C5E" w14:textId="77777777" w:rsidR="00B56729" w:rsidRDefault="00B56729" w:rsidP="00C55C69">
      <w:pPr>
        <w:ind w:firstLine="0"/>
        <w:rPr>
          <w:rFonts w:ascii="Verdana" w:hAnsi="Verdana"/>
          <w:b/>
          <w:bCs/>
          <w:lang w:val="en-GB"/>
        </w:rPr>
      </w:pPr>
    </w:p>
    <w:p w14:paraId="7F7659DC" w14:textId="07AC429F" w:rsidR="00B56729" w:rsidRDefault="00C55D48" w:rsidP="00C55C69">
      <w:pPr>
        <w:ind w:firstLine="0"/>
        <w:rPr>
          <w:rFonts w:ascii="Verdana" w:hAnsi="Verdana"/>
          <w:b/>
          <w:bCs/>
          <w:lang w:val="en-GB"/>
        </w:rPr>
      </w:pPr>
      <w:r>
        <w:rPr>
          <w:rFonts w:ascii="Verdana" w:hAnsi="Verdana"/>
          <w:b/>
          <w:bCs/>
          <w:noProof/>
          <w:lang w:val="en-GB"/>
        </w:rPr>
        <w:lastRenderedPageBreak/>
        <w:drawing>
          <wp:anchor distT="0" distB="0" distL="114300" distR="114300" simplePos="0" relativeHeight="252003328" behindDoc="0" locked="0" layoutInCell="1" allowOverlap="1" wp14:anchorId="517345E0" wp14:editId="06ED0F1E">
            <wp:simplePos x="0" y="0"/>
            <wp:positionH relativeFrom="margin">
              <wp:align>right</wp:align>
            </wp:positionH>
            <wp:positionV relativeFrom="paragraph">
              <wp:posOffset>0</wp:posOffset>
            </wp:positionV>
            <wp:extent cx="5580380" cy="4213860"/>
            <wp:effectExtent l="0" t="0" r="1270" b="0"/>
            <wp:wrapTopAndBottom/>
            <wp:docPr id="49" name="Picture 4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of a computer&#10;&#10;Description automatically generated with medium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80380" cy="4213860"/>
                    </a:xfrm>
                    <a:prstGeom prst="rect">
                      <a:avLst/>
                    </a:prstGeom>
                  </pic:spPr>
                </pic:pic>
              </a:graphicData>
            </a:graphic>
          </wp:anchor>
        </w:drawing>
      </w:r>
      <w:r w:rsidR="00B336E4">
        <w:rPr>
          <w:noProof/>
        </w:rPr>
        <mc:AlternateContent>
          <mc:Choice Requires="wps">
            <w:drawing>
              <wp:anchor distT="0" distB="0" distL="114300" distR="114300" simplePos="0" relativeHeight="251967488" behindDoc="0" locked="0" layoutInCell="1" allowOverlap="1" wp14:anchorId="68CA30D6" wp14:editId="2C6AD005">
                <wp:simplePos x="0" y="0"/>
                <wp:positionH relativeFrom="margin">
                  <wp:align>left</wp:align>
                </wp:positionH>
                <wp:positionV relativeFrom="paragraph">
                  <wp:posOffset>4405581</wp:posOffset>
                </wp:positionV>
                <wp:extent cx="5580380" cy="635"/>
                <wp:effectExtent l="0" t="0" r="1270" b="0"/>
                <wp:wrapTopAndBottom/>
                <wp:docPr id="34" name="Text Box 34"/>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4B75D7DE" w14:textId="5B3E9881" w:rsidR="003E0E8F" w:rsidRPr="007375A9" w:rsidRDefault="003E0E8F" w:rsidP="005D6017">
                            <w:pPr>
                              <w:pStyle w:val="Caption"/>
                              <w:ind w:firstLine="0"/>
                              <w:jc w:val="both"/>
                              <w:rPr>
                                <w:rFonts w:ascii="Verdana" w:hAnsi="Verdana"/>
                                <w:b/>
                                <w:bCs/>
                                <w:i w:val="0"/>
                                <w:iCs w:val="0"/>
                                <w:color w:val="000000" w:themeColor="text1"/>
                              </w:rPr>
                            </w:pPr>
                            <w:bookmarkStart w:id="105" w:name="_Toc131412761"/>
                            <w:r w:rsidRPr="007375A9">
                              <w:rPr>
                                <w:rFonts w:ascii="Verdana" w:hAnsi="Verdana"/>
                                <w:b/>
                                <w:bCs/>
                                <w:i w:val="0"/>
                                <w:iCs w:val="0"/>
                                <w:color w:val="000000" w:themeColor="text1"/>
                              </w:rPr>
                              <w:t xml:space="preserve">Figure </w:t>
                            </w:r>
                            <w:r w:rsidRPr="007375A9">
                              <w:rPr>
                                <w:rFonts w:ascii="Verdana" w:hAnsi="Verdana"/>
                                <w:b/>
                                <w:bCs/>
                                <w:i w:val="0"/>
                                <w:iCs w:val="0"/>
                                <w:color w:val="000000" w:themeColor="text1"/>
                              </w:rPr>
                              <w:fldChar w:fldCharType="begin"/>
                            </w:r>
                            <w:r w:rsidRPr="007375A9">
                              <w:rPr>
                                <w:rFonts w:ascii="Verdana" w:hAnsi="Verdana"/>
                                <w:b/>
                                <w:bCs/>
                                <w:i w:val="0"/>
                                <w:iCs w:val="0"/>
                                <w:color w:val="000000" w:themeColor="text1"/>
                              </w:rPr>
                              <w:instrText xml:space="preserve"> SEQ Figure \* ARABIC </w:instrText>
                            </w:r>
                            <w:r w:rsidRPr="007375A9">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19</w:t>
                            </w:r>
                            <w:r w:rsidRPr="007375A9">
                              <w:rPr>
                                <w:rFonts w:ascii="Verdana" w:hAnsi="Verdana"/>
                                <w:b/>
                                <w:bCs/>
                                <w:i w:val="0"/>
                                <w:iCs w:val="0"/>
                                <w:color w:val="000000" w:themeColor="text1"/>
                              </w:rPr>
                              <w:fldChar w:fldCharType="end"/>
                            </w:r>
                            <w:r w:rsidR="00F54EEF" w:rsidRPr="007375A9">
                              <w:rPr>
                                <w:rFonts w:ascii="Verdana" w:hAnsi="Verdana"/>
                                <w:b/>
                                <w:bCs/>
                                <w:i w:val="0"/>
                                <w:iCs w:val="0"/>
                                <w:color w:val="000000" w:themeColor="text1"/>
                              </w:rPr>
                              <w:t xml:space="preserve"> </w:t>
                            </w:r>
                            <w:r w:rsidR="00491AC6" w:rsidRPr="007375A9">
                              <w:rPr>
                                <w:rFonts w:ascii="Verdana" w:hAnsi="Verdana"/>
                                <w:i w:val="0"/>
                                <w:iCs w:val="0"/>
                                <w:color w:val="000000" w:themeColor="text1"/>
                              </w:rPr>
                              <w:t xml:space="preserve">Increased susceptibility </w:t>
                            </w:r>
                            <w:r w:rsidR="006905CD" w:rsidRPr="007375A9">
                              <w:rPr>
                                <w:rFonts w:ascii="Verdana" w:hAnsi="Verdana"/>
                                <w:i w:val="0"/>
                                <w:iCs w:val="0"/>
                                <w:color w:val="000000" w:themeColor="text1"/>
                              </w:rPr>
                              <w:t>to DJ-1 loss is mediated by CYP1B1 in 8-months old male mice</w:t>
                            </w:r>
                            <w:bookmarkEnd w:id="105"/>
                          </w:p>
                          <w:p w14:paraId="43D13678" w14:textId="78DC7A0B" w:rsidR="006905CD" w:rsidRPr="00C55D48" w:rsidRDefault="00C55D48" w:rsidP="00C55D48">
                            <w:pPr>
                              <w:spacing w:line="240" w:lineRule="auto"/>
                              <w:ind w:firstLine="0"/>
                              <w:jc w:val="both"/>
                              <w:rPr>
                                <w:rFonts w:ascii="Verdana" w:hAnsi="Verdana"/>
                                <w:sz w:val="18"/>
                                <w:szCs w:val="18"/>
                              </w:rPr>
                            </w:pPr>
                            <w:r w:rsidRPr="00C55D48">
                              <w:rPr>
                                <w:rFonts w:ascii="Verdana" w:hAnsi="Verdana"/>
                                <w:b/>
                                <w:bCs/>
                                <w:sz w:val="18"/>
                                <w:szCs w:val="18"/>
                              </w:rPr>
                              <w:t>A)</w:t>
                            </w:r>
                            <w:r>
                              <w:rPr>
                                <w:rFonts w:ascii="Verdana" w:hAnsi="Verdana"/>
                                <w:sz w:val="18"/>
                                <w:szCs w:val="18"/>
                              </w:rPr>
                              <w:t xml:space="preserve"> </w:t>
                            </w:r>
                            <w:r w:rsidR="00505A3B" w:rsidRPr="00C55D48">
                              <w:rPr>
                                <w:rFonts w:ascii="Verdana" w:hAnsi="Verdana"/>
                                <w:sz w:val="18"/>
                                <w:szCs w:val="18"/>
                              </w:rPr>
                              <w:t>Top 1</w:t>
                            </w:r>
                            <w:r>
                              <w:rPr>
                                <w:rFonts w:ascii="Verdana" w:hAnsi="Verdana"/>
                                <w:sz w:val="18"/>
                                <w:szCs w:val="18"/>
                              </w:rPr>
                              <w:t>0</w:t>
                            </w:r>
                            <w:r w:rsidR="00505A3B" w:rsidRPr="00C55D48">
                              <w:rPr>
                                <w:rFonts w:ascii="Verdana" w:hAnsi="Verdana"/>
                                <w:sz w:val="18"/>
                                <w:szCs w:val="18"/>
                              </w:rPr>
                              <w:t xml:space="preserve"> Upstream Regulators </w:t>
                            </w:r>
                            <w:r w:rsidR="00430BD9" w:rsidRPr="00C55D48">
                              <w:rPr>
                                <w:rFonts w:ascii="Verdana" w:hAnsi="Verdana"/>
                                <w:sz w:val="18"/>
                                <w:szCs w:val="18"/>
                              </w:rPr>
                              <w:t>of transcriptomic changes in DJ-1 KO male mice predicted by Ingenuity® Pathway Analysis.</w:t>
                            </w:r>
                            <w:r w:rsidR="002C44DE" w:rsidRPr="00C55D48">
                              <w:rPr>
                                <w:rFonts w:ascii="Verdana" w:hAnsi="Verdana"/>
                                <w:sz w:val="18"/>
                                <w:szCs w:val="18"/>
                              </w:rPr>
                              <w:t xml:space="preserve"> </w:t>
                            </w:r>
                            <w:r>
                              <w:rPr>
                                <w:rFonts w:ascii="Verdana" w:hAnsi="Verdana"/>
                                <w:sz w:val="18"/>
                                <w:szCs w:val="18"/>
                              </w:rPr>
                              <w:t>Purple</w:t>
                            </w:r>
                            <w:r w:rsidR="002C44DE" w:rsidRPr="00C55D48">
                              <w:rPr>
                                <w:rFonts w:ascii="Verdana" w:hAnsi="Verdana"/>
                                <w:sz w:val="18"/>
                                <w:szCs w:val="18"/>
                              </w:rPr>
                              <w:t xml:space="preserve"> boxes highlight beta-estradiol and retinoic acid (tretinoin)</w:t>
                            </w:r>
                            <w:r w:rsidR="001E7D5D">
                              <w:rPr>
                                <w:rFonts w:ascii="Verdana" w:hAnsi="Verdana"/>
                                <w:sz w:val="18"/>
                                <w:szCs w:val="18"/>
                              </w:rPr>
                              <w:t xml:space="preserve">. </w:t>
                            </w:r>
                            <w:r w:rsidR="001E7D5D" w:rsidRPr="00C55D48">
                              <w:rPr>
                                <w:rFonts w:ascii="Verdana" w:hAnsi="Verdana"/>
                                <w:sz w:val="18"/>
                                <w:szCs w:val="18"/>
                              </w:rPr>
                              <w:t xml:space="preserve"> </w:t>
                            </w:r>
                            <w:r w:rsidR="001E7D5D">
                              <w:rPr>
                                <w:rFonts w:ascii="Verdana" w:hAnsi="Verdana"/>
                                <w:b/>
                                <w:bCs/>
                                <w:sz w:val="18"/>
                                <w:szCs w:val="18"/>
                              </w:rPr>
                              <w:t>B</w:t>
                            </w:r>
                            <w:r w:rsidR="001E7D5D" w:rsidRPr="00C55D48">
                              <w:rPr>
                                <w:rFonts w:ascii="Verdana" w:hAnsi="Verdana"/>
                                <w:b/>
                                <w:bCs/>
                                <w:sz w:val="18"/>
                                <w:szCs w:val="18"/>
                              </w:rPr>
                              <w:t>)</w:t>
                            </w:r>
                            <w:r w:rsidR="001E7D5D" w:rsidRPr="00C55D48">
                              <w:rPr>
                                <w:rFonts w:ascii="Verdana" w:hAnsi="Verdana"/>
                                <w:sz w:val="18"/>
                                <w:szCs w:val="18"/>
                              </w:rPr>
                              <w:t xml:space="preserve"> Schematic representation of CYP1B1 role in estrogens and retinoic acid metabolism.</w:t>
                            </w:r>
                            <w:r w:rsidR="00054720">
                              <w:rPr>
                                <w:rFonts w:ascii="Verdana" w:hAnsi="Verdana"/>
                                <w:sz w:val="18"/>
                                <w:szCs w:val="18"/>
                              </w:rPr>
                              <w:t xml:space="preserve"> </w:t>
                            </w:r>
                            <w:r w:rsidR="001C66B9">
                              <w:rPr>
                                <w:rFonts w:ascii="Verdana" w:hAnsi="Verdana"/>
                                <w:sz w:val="18"/>
                                <w:szCs w:val="18"/>
                              </w:rPr>
                              <w:t>Target genes for beta-estradiol and retinoic acid were predicted by IPA®.</w:t>
                            </w:r>
                            <w:r w:rsidR="00224E5D" w:rsidRPr="00C55D48">
                              <w:rPr>
                                <w:rFonts w:ascii="Verdana" w:hAnsi="Verdana"/>
                                <w:sz w:val="18"/>
                                <w:szCs w:val="18"/>
                              </w:rPr>
                              <w:t xml:space="preserve"> </w:t>
                            </w:r>
                            <w:r w:rsidR="00224E5D" w:rsidRPr="00C55D48">
                              <w:rPr>
                                <w:rFonts w:ascii="Verdana" w:hAnsi="Verdana"/>
                                <w:b/>
                                <w:bCs/>
                                <w:sz w:val="18"/>
                                <w:szCs w:val="18"/>
                              </w:rPr>
                              <w:t>C)</w:t>
                            </w:r>
                            <w:r w:rsidR="00224E5D" w:rsidRPr="00C55D48">
                              <w:rPr>
                                <w:rFonts w:ascii="Verdana" w:hAnsi="Verdana"/>
                                <w:sz w:val="18"/>
                                <w:szCs w:val="18"/>
                              </w:rPr>
                              <w:t xml:space="preserve"> </w:t>
                            </w:r>
                            <w:r w:rsidR="00863D07" w:rsidRPr="00C55D48">
                              <w:rPr>
                                <w:rFonts w:ascii="Verdana" w:hAnsi="Verdana"/>
                                <w:sz w:val="18"/>
                                <w:szCs w:val="18"/>
                              </w:rPr>
                              <w:t>Relative mRNA expression levels of CYP1B1 in male and female DJ-1</w:t>
                            </w:r>
                            <w:r w:rsidR="001C66B9">
                              <w:rPr>
                                <w:rFonts w:ascii="Verdana" w:hAnsi="Verdana"/>
                                <w:sz w:val="18"/>
                                <w:szCs w:val="18"/>
                              </w:rPr>
                              <w:t xml:space="preserve"> KO and WT</w:t>
                            </w:r>
                            <w:r w:rsidR="00863D07" w:rsidRPr="00C55D48">
                              <w:rPr>
                                <w:rFonts w:ascii="Verdana" w:hAnsi="Verdana"/>
                                <w:sz w:val="18"/>
                                <w:szCs w:val="18"/>
                              </w:rPr>
                              <w:t xml:space="preserve"> mice. </w:t>
                            </w:r>
                            <w:r w:rsidR="00400813" w:rsidRPr="00C55D48">
                              <w:rPr>
                                <w:rFonts w:ascii="Verdana" w:hAnsi="Verdana"/>
                                <w:sz w:val="18"/>
                                <w:szCs w:val="18"/>
                              </w:rPr>
                              <w:t xml:space="preserve">Stats: </w:t>
                            </w:r>
                            <w:r w:rsidR="00C3658B" w:rsidRPr="00C55D48">
                              <w:rPr>
                                <w:rFonts w:ascii="Verdana" w:hAnsi="Verdana"/>
                                <w:sz w:val="18"/>
                                <w:szCs w:val="18"/>
                              </w:rPr>
                              <w:t>Wilcoxon test</w:t>
                            </w:r>
                            <w:r w:rsidR="002A5A72" w:rsidRPr="00C55D48">
                              <w:rPr>
                                <w:rFonts w:ascii="Verdana" w:hAnsi="Verdana"/>
                                <w:sz w:val="18"/>
                                <w:szCs w:val="18"/>
                              </w:rPr>
                              <w:t>; * = p&lt; 0.05.</w:t>
                            </w:r>
                          </w:p>
                          <w:p w14:paraId="2AF73D10" w14:textId="2A449F2D" w:rsidR="002424BA" w:rsidRPr="007375A9" w:rsidRDefault="002424BA" w:rsidP="005D6017">
                            <w:pPr>
                              <w:spacing w:line="240" w:lineRule="auto"/>
                              <w:ind w:firstLine="0"/>
                              <w:jc w:val="both"/>
                              <w:rPr>
                                <w:rFonts w:ascii="Verdana" w:hAnsi="Verdana"/>
                                <w:sz w:val="18"/>
                                <w:szCs w:val="18"/>
                              </w:rPr>
                            </w:pPr>
                            <w:r>
                              <w:rPr>
                                <w:rFonts w:ascii="Verdana" w:hAnsi="Verdana"/>
                                <w:sz w:val="18"/>
                                <w:szCs w:val="18"/>
                              </w:rPr>
                              <w:t xml:space="preserve">WT = wild-type littermates, KO = DJ-1 knock-out animals,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CA30D6" id="Text Box 34" o:spid="_x0000_s1047" type="#_x0000_t202" style="position:absolute;margin-left:0;margin-top:346.9pt;width:439.4pt;height:.05pt;z-index:2519674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" stroked="f">
                <v:textbox style="mso-fit-shape-to-text:t" inset="0,0,0,0">
                  <w:txbxContent>
                    <w:p w14:paraId="4B75D7DE" w14:textId="5B3E9881" w:rsidR="003E0E8F" w:rsidRPr="007375A9" w:rsidRDefault="003E0E8F" w:rsidP="005D6017">
                      <w:pPr>
                        <w:pStyle w:val="Caption"/>
                        <w:ind w:firstLine="0"/>
                        <w:jc w:val="both"/>
                        <w:rPr>
                          <w:rFonts w:ascii="Verdana" w:hAnsi="Verdana"/>
                          <w:b/>
                          <w:bCs/>
                          <w:i w:val="0"/>
                          <w:iCs w:val="0"/>
                          <w:color w:val="000000" w:themeColor="text1"/>
                        </w:rPr>
                      </w:pPr>
                      <w:bookmarkStart w:id="106" w:name="_Toc131412761"/>
                      <w:r w:rsidRPr="007375A9">
                        <w:rPr>
                          <w:rFonts w:ascii="Verdana" w:hAnsi="Verdana"/>
                          <w:b/>
                          <w:bCs/>
                          <w:i w:val="0"/>
                          <w:iCs w:val="0"/>
                          <w:color w:val="000000" w:themeColor="text1"/>
                        </w:rPr>
                        <w:t xml:space="preserve">Figure </w:t>
                      </w:r>
                      <w:r w:rsidRPr="007375A9">
                        <w:rPr>
                          <w:rFonts w:ascii="Verdana" w:hAnsi="Verdana"/>
                          <w:b/>
                          <w:bCs/>
                          <w:i w:val="0"/>
                          <w:iCs w:val="0"/>
                          <w:color w:val="000000" w:themeColor="text1"/>
                        </w:rPr>
                        <w:fldChar w:fldCharType="begin"/>
                      </w:r>
                      <w:r w:rsidRPr="007375A9">
                        <w:rPr>
                          <w:rFonts w:ascii="Verdana" w:hAnsi="Verdana"/>
                          <w:b/>
                          <w:bCs/>
                          <w:i w:val="0"/>
                          <w:iCs w:val="0"/>
                          <w:color w:val="000000" w:themeColor="text1"/>
                        </w:rPr>
                        <w:instrText xml:space="preserve"> SEQ Figure \* ARABIC </w:instrText>
                      </w:r>
                      <w:r w:rsidRPr="007375A9">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19</w:t>
                      </w:r>
                      <w:r w:rsidRPr="007375A9">
                        <w:rPr>
                          <w:rFonts w:ascii="Verdana" w:hAnsi="Verdana"/>
                          <w:b/>
                          <w:bCs/>
                          <w:i w:val="0"/>
                          <w:iCs w:val="0"/>
                          <w:color w:val="000000" w:themeColor="text1"/>
                        </w:rPr>
                        <w:fldChar w:fldCharType="end"/>
                      </w:r>
                      <w:r w:rsidR="00F54EEF" w:rsidRPr="007375A9">
                        <w:rPr>
                          <w:rFonts w:ascii="Verdana" w:hAnsi="Verdana"/>
                          <w:b/>
                          <w:bCs/>
                          <w:i w:val="0"/>
                          <w:iCs w:val="0"/>
                          <w:color w:val="000000" w:themeColor="text1"/>
                        </w:rPr>
                        <w:t xml:space="preserve"> </w:t>
                      </w:r>
                      <w:r w:rsidR="00491AC6" w:rsidRPr="007375A9">
                        <w:rPr>
                          <w:rFonts w:ascii="Verdana" w:hAnsi="Verdana"/>
                          <w:i w:val="0"/>
                          <w:iCs w:val="0"/>
                          <w:color w:val="000000" w:themeColor="text1"/>
                        </w:rPr>
                        <w:t xml:space="preserve">Increased susceptibility </w:t>
                      </w:r>
                      <w:r w:rsidR="006905CD" w:rsidRPr="007375A9">
                        <w:rPr>
                          <w:rFonts w:ascii="Verdana" w:hAnsi="Verdana"/>
                          <w:i w:val="0"/>
                          <w:iCs w:val="0"/>
                          <w:color w:val="000000" w:themeColor="text1"/>
                        </w:rPr>
                        <w:t>to DJ-1 loss is mediated by CYP1B1 in 8-months old male mice</w:t>
                      </w:r>
                      <w:bookmarkEnd w:id="106"/>
                    </w:p>
                    <w:p w14:paraId="43D13678" w14:textId="78DC7A0B" w:rsidR="006905CD" w:rsidRPr="00C55D48" w:rsidRDefault="00C55D48" w:rsidP="00C55D48">
                      <w:pPr>
                        <w:spacing w:line="240" w:lineRule="auto"/>
                        <w:ind w:firstLine="0"/>
                        <w:jc w:val="both"/>
                        <w:rPr>
                          <w:rFonts w:ascii="Verdana" w:hAnsi="Verdana"/>
                          <w:sz w:val="18"/>
                          <w:szCs w:val="18"/>
                        </w:rPr>
                      </w:pPr>
                      <w:r w:rsidRPr="00C55D48">
                        <w:rPr>
                          <w:rFonts w:ascii="Verdana" w:hAnsi="Verdana"/>
                          <w:b/>
                          <w:bCs/>
                          <w:sz w:val="18"/>
                          <w:szCs w:val="18"/>
                        </w:rPr>
                        <w:t>A)</w:t>
                      </w:r>
                      <w:r>
                        <w:rPr>
                          <w:rFonts w:ascii="Verdana" w:hAnsi="Verdana"/>
                          <w:sz w:val="18"/>
                          <w:szCs w:val="18"/>
                        </w:rPr>
                        <w:t xml:space="preserve"> </w:t>
                      </w:r>
                      <w:r w:rsidR="00505A3B" w:rsidRPr="00C55D48">
                        <w:rPr>
                          <w:rFonts w:ascii="Verdana" w:hAnsi="Verdana"/>
                          <w:sz w:val="18"/>
                          <w:szCs w:val="18"/>
                        </w:rPr>
                        <w:t>Top 1</w:t>
                      </w:r>
                      <w:r>
                        <w:rPr>
                          <w:rFonts w:ascii="Verdana" w:hAnsi="Verdana"/>
                          <w:sz w:val="18"/>
                          <w:szCs w:val="18"/>
                        </w:rPr>
                        <w:t>0</w:t>
                      </w:r>
                      <w:r w:rsidR="00505A3B" w:rsidRPr="00C55D48">
                        <w:rPr>
                          <w:rFonts w:ascii="Verdana" w:hAnsi="Verdana"/>
                          <w:sz w:val="18"/>
                          <w:szCs w:val="18"/>
                        </w:rPr>
                        <w:t xml:space="preserve"> Upstream Regulators </w:t>
                      </w:r>
                      <w:r w:rsidR="00430BD9" w:rsidRPr="00C55D48">
                        <w:rPr>
                          <w:rFonts w:ascii="Verdana" w:hAnsi="Verdana"/>
                          <w:sz w:val="18"/>
                          <w:szCs w:val="18"/>
                        </w:rPr>
                        <w:t>of transcriptomic changes in DJ-1 KO male mice predicted by Ingenuity® Pathway Analysis.</w:t>
                      </w:r>
                      <w:r w:rsidR="002C44DE" w:rsidRPr="00C55D48">
                        <w:rPr>
                          <w:rFonts w:ascii="Verdana" w:hAnsi="Verdana"/>
                          <w:sz w:val="18"/>
                          <w:szCs w:val="18"/>
                        </w:rPr>
                        <w:t xml:space="preserve"> </w:t>
                      </w:r>
                      <w:r>
                        <w:rPr>
                          <w:rFonts w:ascii="Verdana" w:hAnsi="Verdana"/>
                          <w:sz w:val="18"/>
                          <w:szCs w:val="18"/>
                        </w:rPr>
                        <w:t>Purple</w:t>
                      </w:r>
                      <w:r w:rsidR="002C44DE" w:rsidRPr="00C55D48">
                        <w:rPr>
                          <w:rFonts w:ascii="Verdana" w:hAnsi="Verdana"/>
                          <w:sz w:val="18"/>
                          <w:szCs w:val="18"/>
                        </w:rPr>
                        <w:t xml:space="preserve"> boxes highlight beta-estradiol and retinoic acid (tretinoin)</w:t>
                      </w:r>
                      <w:r w:rsidR="001E7D5D">
                        <w:rPr>
                          <w:rFonts w:ascii="Verdana" w:hAnsi="Verdana"/>
                          <w:sz w:val="18"/>
                          <w:szCs w:val="18"/>
                        </w:rPr>
                        <w:t xml:space="preserve">. </w:t>
                      </w:r>
                      <w:r w:rsidR="001E7D5D" w:rsidRPr="00C55D48">
                        <w:rPr>
                          <w:rFonts w:ascii="Verdana" w:hAnsi="Verdana"/>
                          <w:sz w:val="18"/>
                          <w:szCs w:val="18"/>
                        </w:rPr>
                        <w:t xml:space="preserve"> </w:t>
                      </w:r>
                      <w:r w:rsidR="001E7D5D">
                        <w:rPr>
                          <w:rFonts w:ascii="Verdana" w:hAnsi="Verdana"/>
                          <w:b/>
                          <w:bCs/>
                          <w:sz w:val="18"/>
                          <w:szCs w:val="18"/>
                        </w:rPr>
                        <w:t>B</w:t>
                      </w:r>
                      <w:r w:rsidR="001E7D5D" w:rsidRPr="00C55D48">
                        <w:rPr>
                          <w:rFonts w:ascii="Verdana" w:hAnsi="Verdana"/>
                          <w:b/>
                          <w:bCs/>
                          <w:sz w:val="18"/>
                          <w:szCs w:val="18"/>
                        </w:rPr>
                        <w:t>)</w:t>
                      </w:r>
                      <w:r w:rsidR="001E7D5D" w:rsidRPr="00C55D48">
                        <w:rPr>
                          <w:rFonts w:ascii="Verdana" w:hAnsi="Verdana"/>
                          <w:sz w:val="18"/>
                          <w:szCs w:val="18"/>
                        </w:rPr>
                        <w:t xml:space="preserve"> Schematic representation of CYP1B1 role in estrogens and retinoic acid metabolism.</w:t>
                      </w:r>
                      <w:r w:rsidR="00054720">
                        <w:rPr>
                          <w:rFonts w:ascii="Verdana" w:hAnsi="Verdana"/>
                          <w:sz w:val="18"/>
                          <w:szCs w:val="18"/>
                        </w:rPr>
                        <w:t xml:space="preserve"> </w:t>
                      </w:r>
                      <w:r w:rsidR="001C66B9">
                        <w:rPr>
                          <w:rFonts w:ascii="Verdana" w:hAnsi="Verdana"/>
                          <w:sz w:val="18"/>
                          <w:szCs w:val="18"/>
                        </w:rPr>
                        <w:t>Target genes for beta-estradiol and retinoic acid were predicted by IPA®.</w:t>
                      </w:r>
                      <w:r w:rsidR="00224E5D" w:rsidRPr="00C55D48">
                        <w:rPr>
                          <w:rFonts w:ascii="Verdana" w:hAnsi="Verdana"/>
                          <w:sz w:val="18"/>
                          <w:szCs w:val="18"/>
                        </w:rPr>
                        <w:t xml:space="preserve"> </w:t>
                      </w:r>
                      <w:r w:rsidR="00224E5D" w:rsidRPr="00C55D48">
                        <w:rPr>
                          <w:rFonts w:ascii="Verdana" w:hAnsi="Verdana"/>
                          <w:b/>
                          <w:bCs/>
                          <w:sz w:val="18"/>
                          <w:szCs w:val="18"/>
                        </w:rPr>
                        <w:t>C)</w:t>
                      </w:r>
                      <w:r w:rsidR="00224E5D" w:rsidRPr="00C55D48">
                        <w:rPr>
                          <w:rFonts w:ascii="Verdana" w:hAnsi="Verdana"/>
                          <w:sz w:val="18"/>
                          <w:szCs w:val="18"/>
                        </w:rPr>
                        <w:t xml:space="preserve"> </w:t>
                      </w:r>
                      <w:r w:rsidR="00863D07" w:rsidRPr="00C55D48">
                        <w:rPr>
                          <w:rFonts w:ascii="Verdana" w:hAnsi="Verdana"/>
                          <w:sz w:val="18"/>
                          <w:szCs w:val="18"/>
                        </w:rPr>
                        <w:t>Relative mRNA expression levels of CYP1B1 in male and female DJ-1</w:t>
                      </w:r>
                      <w:r w:rsidR="001C66B9">
                        <w:rPr>
                          <w:rFonts w:ascii="Verdana" w:hAnsi="Verdana"/>
                          <w:sz w:val="18"/>
                          <w:szCs w:val="18"/>
                        </w:rPr>
                        <w:t xml:space="preserve"> KO and WT</w:t>
                      </w:r>
                      <w:r w:rsidR="00863D07" w:rsidRPr="00C55D48">
                        <w:rPr>
                          <w:rFonts w:ascii="Verdana" w:hAnsi="Verdana"/>
                          <w:sz w:val="18"/>
                          <w:szCs w:val="18"/>
                        </w:rPr>
                        <w:t xml:space="preserve"> mice. </w:t>
                      </w:r>
                      <w:r w:rsidR="00400813" w:rsidRPr="00C55D48">
                        <w:rPr>
                          <w:rFonts w:ascii="Verdana" w:hAnsi="Verdana"/>
                          <w:sz w:val="18"/>
                          <w:szCs w:val="18"/>
                        </w:rPr>
                        <w:t xml:space="preserve">Stats: </w:t>
                      </w:r>
                      <w:r w:rsidR="00C3658B" w:rsidRPr="00C55D48">
                        <w:rPr>
                          <w:rFonts w:ascii="Verdana" w:hAnsi="Verdana"/>
                          <w:sz w:val="18"/>
                          <w:szCs w:val="18"/>
                        </w:rPr>
                        <w:t>Wilcoxon test</w:t>
                      </w:r>
                      <w:r w:rsidR="002A5A72" w:rsidRPr="00C55D48">
                        <w:rPr>
                          <w:rFonts w:ascii="Verdana" w:hAnsi="Verdana"/>
                          <w:sz w:val="18"/>
                          <w:szCs w:val="18"/>
                        </w:rPr>
                        <w:t>; * = p&lt; 0.05.</w:t>
                      </w:r>
                    </w:p>
                    <w:p w14:paraId="2AF73D10" w14:textId="2A449F2D" w:rsidR="002424BA" w:rsidRPr="007375A9" w:rsidRDefault="002424BA" w:rsidP="005D6017">
                      <w:pPr>
                        <w:spacing w:line="240" w:lineRule="auto"/>
                        <w:ind w:firstLine="0"/>
                        <w:jc w:val="both"/>
                        <w:rPr>
                          <w:rFonts w:ascii="Verdana" w:hAnsi="Verdana"/>
                          <w:sz w:val="18"/>
                          <w:szCs w:val="18"/>
                        </w:rPr>
                      </w:pPr>
                      <w:r>
                        <w:rPr>
                          <w:rFonts w:ascii="Verdana" w:hAnsi="Verdana"/>
                          <w:sz w:val="18"/>
                          <w:szCs w:val="18"/>
                        </w:rPr>
                        <w:t xml:space="preserve">WT = wild-type littermates, KO = DJ-1 knock-out animals, </w:t>
                      </w:r>
                    </w:p>
                  </w:txbxContent>
                </v:textbox>
                <w10:wrap type="topAndBottom" anchorx="margin"/>
              </v:shape>
            </w:pict>
          </mc:Fallback>
        </mc:AlternateContent>
      </w:r>
    </w:p>
    <w:p w14:paraId="632AB30F" w14:textId="079B59EE" w:rsidR="00881978" w:rsidRDefault="00881978" w:rsidP="00C55C69">
      <w:pPr>
        <w:ind w:firstLine="0"/>
        <w:rPr>
          <w:rFonts w:ascii="Verdana" w:hAnsi="Verdana"/>
          <w:b/>
          <w:bCs/>
          <w:lang w:val="en-GB"/>
        </w:rPr>
      </w:pPr>
    </w:p>
    <w:p w14:paraId="15159B9B" w14:textId="47889BC2" w:rsidR="004677A9" w:rsidRDefault="004677A9" w:rsidP="00C55C69">
      <w:pPr>
        <w:ind w:firstLine="0"/>
        <w:rPr>
          <w:rFonts w:ascii="Verdana" w:hAnsi="Verdana"/>
          <w:b/>
          <w:bCs/>
          <w:lang w:val="en-GB"/>
        </w:rPr>
      </w:pPr>
    </w:p>
    <w:p w14:paraId="726FC0D4" w14:textId="56D338AF" w:rsidR="004677A9" w:rsidRDefault="004677A9" w:rsidP="00C55C69">
      <w:pPr>
        <w:ind w:firstLine="0"/>
        <w:rPr>
          <w:rFonts w:ascii="Verdana" w:hAnsi="Verdana"/>
          <w:b/>
          <w:bCs/>
          <w:lang w:val="en-GB"/>
        </w:rPr>
      </w:pPr>
    </w:p>
    <w:p w14:paraId="239E5033" w14:textId="1E68A402" w:rsidR="009F1BCF" w:rsidRPr="009F1BCF" w:rsidRDefault="00C55C69" w:rsidP="00C55C69">
      <w:pPr>
        <w:ind w:firstLine="0"/>
        <w:rPr>
          <w:rFonts w:ascii="Verdana" w:hAnsi="Verdana"/>
          <w:b/>
          <w:bCs/>
          <w:lang w:val="en-GB"/>
        </w:rPr>
      </w:pPr>
      <w:r>
        <w:rPr>
          <w:rFonts w:ascii="Verdana" w:hAnsi="Verdana"/>
          <w:b/>
          <w:bCs/>
          <w:lang w:val="en-GB"/>
        </w:rPr>
        <w:br w:type="page"/>
      </w:r>
    </w:p>
    <w:p w14:paraId="1031DA4A" w14:textId="0E579998" w:rsidR="00C6736C" w:rsidRPr="00C334F3" w:rsidRDefault="00F2615A" w:rsidP="000B321E">
      <w:pPr>
        <w:pStyle w:val="Heading2"/>
        <w:spacing w:line="360" w:lineRule="auto"/>
        <w:rPr>
          <w:lang w:val="en-GB"/>
        </w:rPr>
      </w:pPr>
      <w:r w:rsidRPr="00C334F3">
        <w:rPr>
          <w:lang w:val="en-GB"/>
        </w:rPr>
        <w:lastRenderedPageBreak/>
        <w:t xml:space="preserve">  </w:t>
      </w:r>
      <w:bookmarkStart w:id="107" w:name="_Toc130223444"/>
      <w:r w:rsidR="009E5729">
        <w:rPr>
          <w:lang w:val="en-GB"/>
        </w:rPr>
        <w:t>5.3</w:t>
      </w:r>
      <w:r w:rsidR="009E5729">
        <w:rPr>
          <w:lang w:val="en-GB"/>
        </w:rPr>
        <w:tab/>
        <w:t xml:space="preserve"> </w:t>
      </w:r>
      <w:r w:rsidR="00ED37E6">
        <w:rPr>
          <w:lang w:val="en-GB"/>
        </w:rPr>
        <w:t>Transcriptional response to loss of DJ-1 might be mediated by the Nrf2/CYP1B1 pathway in midbrain astrocytes</w:t>
      </w:r>
      <w:bookmarkEnd w:id="107"/>
    </w:p>
    <w:p w14:paraId="6538E37D" w14:textId="30C380AE" w:rsidR="00BB4CEE" w:rsidRDefault="00B944BF" w:rsidP="00DA262A">
      <w:pPr>
        <w:spacing w:line="360" w:lineRule="auto"/>
        <w:jc w:val="both"/>
        <w:rPr>
          <w:rFonts w:ascii="Verdana" w:hAnsi="Verdana"/>
          <w:lang w:val="en-GB"/>
        </w:rPr>
      </w:pPr>
      <w:r>
        <w:rPr>
          <w:rFonts w:ascii="Verdana" w:hAnsi="Verdana"/>
          <w:lang w:val="en-GB"/>
        </w:rPr>
        <w:t>Nrf2 has been shown to be directly stabilised by DJ-1</w:t>
      </w:r>
      <w:r w:rsidR="008078AD">
        <w:rPr>
          <w:rFonts w:ascii="Verdana" w:hAnsi="Verdana"/>
          <w:lang w:val="en-GB"/>
        </w:rPr>
        <w:t xml:space="preserve">, and to be </w:t>
      </w:r>
      <w:r w:rsidR="00AB5BB2">
        <w:rPr>
          <w:rFonts w:ascii="Verdana" w:hAnsi="Verdana"/>
          <w:lang w:val="en-GB"/>
        </w:rPr>
        <w:t>overexpressed in astrocytes.</w:t>
      </w:r>
      <w:r w:rsidR="00DA262A">
        <w:rPr>
          <w:rFonts w:ascii="Verdana" w:hAnsi="Verdana"/>
          <w:lang w:val="en-GB"/>
        </w:rPr>
        <w:t xml:space="preserve"> </w:t>
      </w:r>
      <w:r w:rsidR="00B6236D">
        <w:rPr>
          <w:rFonts w:ascii="Verdana" w:hAnsi="Verdana"/>
          <w:lang w:val="en-GB"/>
        </w:rPr>
        <w:t xml:space="preserve">Therefore, we decided to investigate </w:t>
      </w:r>
      <w:r w:rsidR="00DA1C71">
        <w:rPr>
          <w:rFonts w:ascii="Verdana" w:hAnsi="Verdana"/>
          <w:lang w:val="en-GB"/>
        </w:rPr>
        <w:t xml:space="preserve">Nrf2 expression in glial fibrillary </w:t>
      </w:r>
      <w:r w:rsidR="00837DAB">
        <w:rPr>
          <w:rFonts w:ascii="Verdana" w:hAnsi="Verdana"/>
          <w:lang w:val="en-GB"/>
        </w:rPr>
        <w:t>acidic protein (GFAP) positive cells</w:t>
      </w:r>
      <w:r w:rsidR="00680059">
        <w:rPr>
          <w:rFonts w:ascii="Verdana" w:hAnsi="Verdana"/>
          <w:lang w:val="en-GB"/>
        </w:rPr>
        <w:t xml:space="preserve"> in </w:t>
      </w:r>
      <w:r w:rsidR="00DA262A">
        <w:rPr>
          <w:rFonts w:ascii="Verdana" w:hAnsi="Verdana"/>
          <w:lang w:val="en-GB"/>
        </w:rPr>
        <w:t xml:space="preserve">the midbrain of </w:t>
      </w:r>
      <w:r w:rsidR="00680059">
        <w:rPr>
          <w:rFonts w:ascii="Verdana" w:hAnsi="Verdana"/>
          <w:lang w:val="en-GB"/>
        </w:rPr>
        <w:t xml:space="preserve">DJ-1 </w:t>
      </w:r>
      <w:r w:rsidR="0022195B">
        <w:rPr>
          <w:rFonts w:ascii="Verdana" w:hAnsi="Verdana"/>
          <w:lang w:val="en-GB"/>
        </w:rPr>
        <w:t>KO</w:t>
      </w:r>
      <w:r w:rsidR="00DA262A">
        <w:rPr>
          <w:rFonts w:ascii="Verdana" w:hAnsi="Verdana"/>
          <w:lang w:val="en-GB"/>
        </w:rPr>
        <w:t xml:space="preserve"> and WT male</w:t>
      </w:r>
      <w:r w:rsidR="0022195B">
        <w:rPr>
          <w:rFonts w:ascii="Verdana" w:hAnsi="Verdana"/>
          <w:lang w:val="en-GB"/>
        </w:rPr>
        <w:t xml:space="preserve"> mice. </w:t>
      </w:r>
      <w:r w:rsidR="00F579CC">
        <w:rPr>
          <w:rFonts w:ascii="Verdana" w:hAnsi="Verdana"/>
          <w:lang w:val="en-GB"/>
        </w:rPr>
        <w:t xml:space="preserve">Not many commercially available antibodies exist for Nrf2, and among those only few are reported to work in immunofluorescence/immunohistochemistry. Only one antibody worked for us on mouse brain free-floating immunostaining, </w:t>
      </w:r>
      <w:r w:rsidR="00A91315">
        <w:rPr>
          <w:rFonts w:ascii="Verdana" w:hAnsi="Verdana"/>
          <w:lang w:val="en-GB"/>
        </w:rPr>
        <w:t>but</w:t>
      </w:r>
      <w:r w:rsidR="00F579CC">
        <w:rPr>
          <w:rFonts w:ascii="Verdana" w:hAnsi="Verdana"/>
          <w:lang w:val="en-GB"/>
        </w:rPr>
        <w:t xml:space="preserve"> it still presented a strong background signal that was not ameliorated after antigen retrieval. Therefore, we could evaluate GFAP/Nrf2 staining only qualitatively in our samples. </w:t>
      </w:r>
      <w:r w:rsidR="007B2619">
        <w:rPr>
          <w:rFonts w:ascii="Verdana" w:hAnsi="Verdana"/>
          <w:lang w:val="en-GB"/>
        </w:rPr>
        <w:t>We</w:t>
      </w:r>
      <w:r w:rsidR="00B93500">
        <w:rPr>
          <w:rFonts w:ascii="Verdana" w:hAnsi="Verdana"/>
          <w:lang w:val="en-GB"/>
        </w:rPr>
        <w:t xml:space="preserve"> had a look at the astrocytes </w:t>
      </w:r>
      <w:r w:rsidR="003872F7">
        <w:rPr>
          <w:rFonts w:ascii="Verdana" w:hAnsi="Verdana"/>
          <w:lang w:val="en-GB"/>
        </w:rPr>
        <w:t>surrounding</w:t>
      </w:r>
      <w:r w:rsidR="00B93500">
        <w:rPr>
          <w:rFonts w:ascii="Verdana" w:hAnsi="Verdana"/>
          <w:lang w:val="en-GB"/>
        </w:rPr>
        <w:t xml:space="preserve"> the substantia nigra</w:t>
      </w:r>
      <w:r w:rsidR="00431AF7">
        <w:rPr>
          <w:rFonts w:ascii="Verdana" w:hAnsi="Verdana"/>
          <w:lang w:val="en-GB"/>
        </w:rPr>
        <w:t>, where we consistently identified overlaps between the Nrf2 signal and the GFAP+ astrocytic processes</w:t>
      </w:r>
      <w:r w:rsidR="00331CCF">
        <w:rPr>
          <w:rFonts w:ascii="Verdana" w:hAnsi="Verdana"/>
          <w:lang w:val="en-GB"/>
        </w:rPr>
        <w:t xml:space="preserve"> (Figure </w:t>
      </w:r>
      <w:r w:rsidR="00505399">
        <w:rPr>
          <w:rFonts w:ascii="Verdana" w:hAnsi="Verdana"/>
          <w:lang w:val="en-GB"/>
        </w:rPr>
        <w:t>20</w:t>
      </w:r>
      <w:r>
        <w:rPr>
          <w:rFonts w:ascii="Verdana" w:hAnsi="Verdana"/>
          <w:lang w:val="en-GB"/>
        </w:rPr>
        <w:t>, white arrows</w:t>
      </w:r>
      <w:r w:rsidR="00331CCF">
        <w:rPr>
          <w:rFonts w:ascii="Verdana" w:hAnsi="Verdana"/>
          <w:lang w:val="en-GB"/>
        </w:rPr>
        <w:t>)</w:t>
      </w:r>
      <w:r w:rsidR="00431AF7">
        <w:rPr>
          <w:rFonts w:ascii="Verdana" w:hAnsi="Verdana"/>
          <w:lang w:val="en-GB"/>
        </w:rPr>
        <w:t>. This staining pattern was equally detected in wild-type and DJ-1 knock-out mice</w:t>
      </w:r>
      <w:r w:rsidR="00331CCF">
        <w:rPr>
          <w:rFonts w:ascii="Verdana" w:hAnsi="Verdana"/>
          <w:lang w:val="en-GB"/>
        </w:rPr>
        <w:t xml:space="preserve">. </w:t>
      </w:r>
      <w:r w:rsidR="0038412E">
        <w:rPr>
          <w:rFonts w:ascii="Verdana" w:hAnsi="Verdana"/>
          <w:lang w:val="en-GB"/>
        </w:rPr>
        <w:t>Overall, we could confirm Nrf2 expression in midbrain astrocytes, supporting the hypothesis that the sex-dependent</w:t>
      </w:r>
      <w:r w:rsidR="005C2AE3">
        <w:rPr>
          <w:rFonts w:ascii="Verdana" w:hAnsi="Verdana"/>
          <w:lang w:val="en-GB"/>
        </w:rPr>
        <w:t xml:space="preserve"> transcriptomic</w:t>
      </w:r>
      <w:r w:rsidR="0038412E">
        <w:rPr>
          <w:rFonts w:ascii="Verdana" w:hAnsi="Verdana"/>
          <w:lang w:val="en-GB"/>
        </w:rPr>
        <w:t xml:space="preserve"> </w:t>
      </w:r>
      <w:r w:rsidR="005C2AE3">
        <w:rPr>
          <w:rFonts w:ascii="Verdana" w:hAnsi="Verdana"/>
          <w:lang w:val="en-GB"/>
        </w:rPr>
        <w:t>effects</w:t>
      </w:r>
      <w:r w:rsidR="00576194">
        <w:rPr>
          <w:rFonts w:ascii="Verdana" w:hAnsi="Verdana"/>
          <w:lang w:val="en-GB"/>
        </w:rPr>
        <w:t xml:space="preserve"> seen</w:t>
      </w:r>
      <w:r w:rsidR="005C2AE3">
        <w:rPr>
          <w:rFonts w:ascii="Verdana" w:hAnsi="Verdana"/>
          <w:lang w:val="en-GB"/>
        </w:rPr>
        <w:t xml:space="preserve"> on</w:t>
      </w:r>
      <w:r w:rsidR="00576194">
        <w:rPr>
          <w:rFonts w:ascii="Verdana" w:hAnsi="Verdana"/>
          <w:lang w:val="en-GB"/>
        </w:rPr>
        <w:t xml:space="preserve"> the midbrain of</w:t>
      </w:r>
      <w:r w:rsidR="005C2AE3">
        <w:rPr>
          <w:rFonts w:ascii="Verdana" w:hAnsi="Verdana"/>
          <w:lang w:val="en-GB"/>
        </w:rPr>
        <w:t xml:space="preserve"> DJ-1 KO male mice are regulated by the DJ-1/Nrf2/CYP1B1 axis.</w:t>
      </w:r>
    </w:p>
    <w:p w14:paraId="30D10029" w14:textId="5CFFFF2F" w:rsidR="0065069F" w:rsidRDefault="0065069F" w:rsidP="00662618">
      <w:pPr>
        <w:spacing w:line="360" w:lineRule="auto"/>
        <w:jc w:val="both"/>
        <w:rPr>
          <w:rFonts w:ascii="Verdana" w:hAnsi="Verdana"/>
          <w:lang w:val="en-GB"/>
        </w:rPr>
      </w:pPr>
    </w:p>
    <w:p w14:paraId="63ED8331" w14:textId="2893F209" w:rsidR="0065069F" w:rsidRDefault="0065069F" w:rsidP="00662618">
      <w:pPr>
        <w:spacing w:line="360" w:lineRule="auto"/>
        <w:jc w:val="both"/>
        <w:rPr>
          <w:rFonts w:ascii="Verdana" w:hAnsi="Verdana"/>
          <w:lang w:val="en-GB"/>
        </w:rPr>
      </w:pPr>
      <w:r>
        <w:rPr>
          <w:noProof/>
        </w:rPr>
        <w:lastRenderedPageBreak/>
        <mc:AlternateContent>
          <mc:Choice Requires="wps">
            <w:drawing>
              <wp:anchor distT="0" distB="0" distL="114300" distR="114300" simplePos="0" relativeHeight="251971584" behindDoc="0" locked="0" layoutInCell="1" allowOverlap="1" wp14:anchorId="4EB8FBFD" wp14:editId="51B5ACE7">
                <wp:simplePos x="0" y="0"/>
                <wp:positionH relativeFrom="margin">
                  <wp:align>right</wp:align>
                </wp:positionH>
                <wp:positionV relativeFrom="paragraph">
                  <wp:posOffset>5526698</wp:posOffset>
                </wp:positionV>
                <wp:extent cx="5580380" cy="635"/>
                <wp:effectExtent l="0" t="0" r="1270" b="0"/>
                <wp:wrapTopAndBottom/>
                <wp:docPr id="39" name="Text Box 39"/>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78612EB4" w14:textId="58F00F70" w:rsidR="00431AF7" w:rsidRDefault="0065069F" w:rsidP="00923FF5">
                            <w:pPr>
                              <w:pStyle w:val="Caption"/>
                              <w:ind w:firstLine="0"/>
                              <w:jc w:val="both"/>
                              <w:rPr>
                                <w:rFonts w:ascii="Verdana" w:hAnsi="Verdana"/>
                                <w:i w:val="0"/>
                                <w:iCs w:val="0"/>
                                <w:color w:val="000000" w:themeColor="text1"/>
                              </w:rPr>
                            </w:pPr>
                            <w:bookmarkStart w:id="108" w:name="_Toc131412762"/>
                            <w:r w:rsidRPr="00923FF5">
                              <w:rPr>
                                <w:rFonts w:ascii="Verdana" w:hAnsi="Verdana"/>
                                <w:b/>
                                <w:bCs/>
                                <w:i w:val="0"/>
                                <w:iCs w:val="0"/>
                                <w:color w:val="000000" w:themeColor="text1"/>
                              </w:rPr>
                              <w:t xml:space="preserve">Figure </w:t>
                            </w:r>
                            <w:r w:rsidRPr="00923FF5">
                              <w:rPr>
                                <w:rFonts w:ascii="Verdana" w:hAnsi="Verdana"/>
                                <w:b/>
                                <w:bCs/>
                                <w:i w:val="0"/>
                                <w:iCs w:val="0"/>
                                <w:color w:val="000000" w:themeColor="text1"/>
                              </w:rPr>
                              <w:fldChar w:fldCharType="begin"/>
                            </w:r>
                            <w:r w:rsidRPr="00923FF5">
                              <w:rPr>
                                <w:rFonts w:ascii="Verdana" w:hAnsi="Verdana"/>
                                <w:b/>
                                <w:bCs/>
                                <w:i w:val="0"/>
                                <w:iCs w:val="0"/>
                                <w:color w:val="000000" w:themeColor="text1"/>
                              </w:rPr>
                              <w:instrText xml:space="preserve"> SEQ Figure \* ARABIC </w:instrText>
                            </w:r>
                            <w:r w:rsidRPr="00923FF5">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20</w:t>
                            </w:r>
                            <w:r w:rsidRPr="00923FF5">
                              <w:rPr>
                                <w:rFonts w:ascii="Verdana" w:hAnsi="Verdana"/>
                                <w:b/>
                                <w:bCs/>
                                <w:i w:val="0"/>
                                <w:iCs w:val="0"/>
                                <w:color w:val="000000" w:themeColor="text1"/>
                              </w:rPr>
                              <w:fldChar w:fldCharType="end"/>
                            </w:r>
                            <w:r w:rsidRPr="00923FF5">
                              <w:rPr>
                                <w:rFonts w:ascii="Verdana" w:hAnsi="Verdana"/>
                                <w:b/>
                                <w:bCs/>
                                <w:i w:val="0"/>
                                <w:iCs w:val="0"/>
                                <w:color w:val="000000" w:themeColor="text1"/>
                              </w:rPr>
                              <w:t xml:space="preserve">  </w:t>
                            </w:r>
                            <w:r w:rsidR="004B4EB8" w:rsidRPr="00923FF5">
                              <w:rPr>
                                <w:rFonts w:ascii="Verdana" w:hAnsi="Verdana"/>
                                <w:i w:val="0"/>
                                <w:iCs w:val="0"/>
                                <w:color w:val="000000" w:themeColor="text1"/>
                              </w:rPr>
                              <w:t>Nrf2 signal colocalizes with GFAP in the midbrain of DJ-1 mice.</w:t>
                            </w:r>
                            <w:bookmarkEnd w:id="108"/>
                            <w:r w:rsidR="006A450A" w:rsidRPr="00923FF5">
                              <w:rPr>
                                <w:rFonts w:ascii="Verdana" w:hAnsi="Verdana"/>
                                <w:i w:val="0"/>
                                <w:iCs w:val="0"/>
                                <w:color w:val="000000" w:themeColor="text1"/>
                              </w:rPr>
                              <w:t xml:space="preserve"> </w:t>
                            </w:r>
                          </w:p>
                          <w:p w14:paraId="51EF216D" w14:textId="69979C97" w:rsidR="004B4EB8" w:rsidRPr="00923FF5" w:rsidRDefault="00431AF7" w:rsidP="00923FF5">
                            <w:pPr>
                              <w:pStyle w:val="Caption"/>
                              <w:ind w:firstLine="0"/>
                              <w:jc w:val="both"/>
                              <w:rPr>
                                <w:rFonts w:ascii="Verdana" w:hAnsi="Verdana"/>
                                <w:i w:val="0"/>
                                <w:iCs w:val="0"/>
                                <w:color w:val="000000" w:themeColor="text1"/>
                              </w:rPr>
                            </w:pPr>
                            <w:r>
                              <w:rPr>
                                <w:rFonts w:ascii="Verdana" w:hAnsi="Verdana"/>
                                <w:i w:val="0"/>
                                <w:iCs w:val="0"/>
                                <w:color w:val="000000" w:themeColor="text1"/>
                              </w:rPr>
                              <w:t>Representative</w:t>
                            </w:r>
                            <w:r w:rsidR="00A43C67">
                              <w:rPr>
                                <w:rFonts w:ascii="Verdana" w:hAnsi="Verdana"/>
                                <w:i w:val="0"/>
                                <w:iCs w:val="0"/>
                                <w:color w:val="000000" w:themeColor="text1"/>
                              </w:rPr>
                              <w:t xml:space="preserve"> 40X</w:t>
                            </w:r>
                            <w:r>
                              <w:rPr>
                                <w:rFonts w:ascii="Verdana" w:hAnsi="Verdana"/>
                                <w:i w:val="0"/>
                                <w:iCs w:val="0"/>
                                <w:color w:val="000000" w:themeColor="text1"/>
                              </w:rPr>
                              <w:t xml:space="preserve"> immunofluorescence images illustrating GFAP and Nrf2 staining in 8-months old </w:t>
                            </w:r>
                            <w:r w:rsidR="00A43C67">
                              <w:rPr>
                                <w:rFonts w:ascii="Verdana" w:hAnsi="Verdana"/>
                                <w:i w:val="0"/>
                                <w:iCs w:val="0"/>
                                <w:color w:val="000000" w:themeColor="text1"/>
                              </w:rPr>
                              <w:t xml:space="preserve">WT and DJ-1 KO male mice. </w:t>
                            </w:r>
                            <w:r w:rsidR="00401EB8" w:rsidRPr="00923FF5">
                              <w:rPr>
                                <w:rFonts w:ascii="Verdana" w:hAnsi="Verdana"/>
                                <w:i w:val="0"/>
                                <w:iCs w:val="0"/>
                                <w:color w:val="000000" w:themeColor="text1"/>
                              </w:rPr>
                              <w:t>GFAP</w:t>
                            </w:r>
                            <w:r w:rsidR="006A450A" w:rsidRPr="00923FF5">
                              <w:rPr>
                                <w:rFonts w:ascii="Verdana" w:hAnsi="Verdana"/>
                                <w:i w:val="0"/>
                                <w:iCs w:val="0"/>
                                <w:color w:val="000000" w:themeColor="text1"/>
                              </w:rPr>
                              <w:t xml:space="preserve">/Nrf2 double stained </w:t>
                            </w:r>
                            <w:r w:rsidR="00401EB8" w:rsidRPr="00923FF5">
                              <w:rPr>
                                <w:rFonts w:ascii="Verdana" w:hAnsi="Verdana"/>
                                <w:i w:val="0"/>
                                <w:iCs w:val="0"/>
                                <w:color w:val="000000" w:themeColor="text1"/>
                              </w:rPr>
                              <w:t>astrocytic processes are marked by white arrows</w:t>
                            </w:r>
                            <w:r>
                              <w:rPr>
                                <w:rFonts w:ascii="Verdana" w:hAnsi="Verdana"/>
                                <w:i w:val="0"/>
                                <w:iCs w:val="0"/>
                                <w:color w:val="000000" w:themeColor="text1"/>
                              </w:rPr>
                              <w:t>.</w:t>
                            </w:r>
                          </w:p>
                          <w:p w14:paraId="79D310E8" w14:textId="644B5D0B" w:rsidR="00B93500" w:rsidRPr="00923FF5" w:rsidRDefault="00401EB8" w:rsidP="00923FF5">
                            <w:pPr>
                              <w:ind w:firstLine="0"/>
                              <w:jc w:val="both"/>
                              <w:rPr>
                                <w:rFonts w:ascii="Verdana" w:hAnsi="Verdana"/>
                                <w:sz w:val="18"/>
                                <w:szCs w:val="18"/>
                              </w:rPr>
                            </w:pPr>
                            <w:r w:rsidRPr="00923FF5">
                              <w:rPr>
                                <w:rFonts w:ascii="Verdana" w:hAnsi="Verdana"/>
                                <w:sz w:val="18"/>
                                <w:szCs w:val="18"/>
                              </w:rPr>
                              <w:t xml:space="preserve">WT = wild-type littermates, DJ-1 KO = </w:t>
                            </w:r>
                            <w:r w:rsidR="00153BA5" w:rsidRPr="00923FF5">
                              <w:rPr>
                                <w:rFonts w:ascii="Verdana" w:hAnsi="Verdana"/>
                                <w:sz w:val="18"/>
                                <w:szCs w:val="18"/>
                              </w:rPr>
                              <w:t xml:space="preserve">DJ-1 knock-out animals, GFAP = glial fibrillary acidic protein, Nrf2 = nuclear factor-erythroid 2 p45-related factor 2, DAPI = </w:t>
                            </w:r>
                            <w:r w:rsidR="00923FF5" w:rsidRPr="00923FF5">
                              <w:rPr>
                                <w:rFonts w:ascii="Verdana" w:hAnsi="Verdana"/>
                                <w:sz w:val="18"/>
                                <w:szCs w:val="18"/>
                              </w:rPr>
                              <w:t>4′,6-diamidino-2-phenylindole.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B8FBFD" id="Text Box 39" o:spid="_x0000_s1048" type="#_x0000_t202" style="position:absolute;left:0;text-align:left;margin-left:388.2pt;margin-top:435.15pt;width:439.4pt;height:.05pt;z-index:2519715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" stroked="f">
                <v:textbox style="mso-fit-shape-to-text:t" inset="0,0,0,0">
                  <w:txbxContent>
                    <w:p w14:paraId="78612EB4" w14:textId="58F00F70" w:rsidR="00431AF7" w:rsidRDefault="0065069F" w:rsidP="00923FF5">
                      <w:pPr>
                        <w:pStyle w:val="Caption"/>
                        <w:ind w:firstLine="0"/>
                        <w:jc w:val="both"/>
                        <w:rPr>
                          <w:rFonts w:ascii="Verdana" w:hAnsi="Verdana"/>
                          <w:i w:val="0"/>
                          <w:iCs w:val="0"/>
                          <w:color w:val="000000" w:themeColor="text1"/>
                        </w:rPr>
                      </w:pPr>
                      <w:bookmarkStart w:id="109" w:name="_Toc131412762"/>
                      <w:r w:rsidRPr="00923FF5">
                        <w:rPr>
                          <w:rFonts w:ascii="Verdana" w:hAnsi="Verdana"/>
                          <w:b/>
                          <w:bCs/>
                          <w:i w:val="0"/>
                          <w:iCs w:val="0"/>
                          <w:color w:val="000000" w:themeColor="text1"/>
                        </w:rPr>
                        <w:t xml:space="preserve">Figure </w:t>
                      </w:r>
                      <w:r w:rsidRPr="00923FF5">
                        <w:rPr>
                          <w:rFonts w:ascii="Verdana" w:hAnsi="Verdana"/>
                          <w:b/>
                          <w:bCs/>
                          <w:i w:val="0"/>
                          <w:iCs w:val="0"/>
                          <w:color w:val="000000" w:themeColor="text1"/>
                        </w:rPr>
                        <w:fldChar w:fldCharType="begin"/>
                      </w:r>
                      <w:r w:rsidRPr="00923FF5">
                        <w:rPr>
                          <w:rFonts w:ascii="Verdana" w:hAnsi="Verdana"/>
                          <w:b/>
                          <w:bCs/>
                          <w:i w:val="0"/>
                          <w:iCs w:val="0"/>
                          <w:color w:val="000000" w:themeColor="text1"/>
                        </w:rPr>
                        <w:instrText xml:space="preserve"> SEQ Figure \* ARABIC </w:instrText>
                      </w:r>
                      <w:r w:rsidRPr="00923FF5">
                        <w:rPr>
                          <w:rFonts w:ascii="Verdana" w:hAnsi="Verdana"/>
                          <w:b/>
                          <w:bCs/>
                          <w:i w:val="0"/>
                          <w:iCs w:val="0"/>
                          <w:color w:val="000000" w:themeColor="text1"/>
                        </w:rPr>
                        <w:fldChar w:fldCharType="separate"/>
                      </w:r>
                      <w:r w:rsidR="001D505F">
                        <w:rPr>
                          <w:rFonts w:ascii="Verdana" w:hAnsi="Verdana"/>
                          <w:b/>
                          <w:bCs/>
                          <w:i w:val="0"/>
                          <w:iCs w:val="0"/>
                          <w:noProof/>
                          <w:color w:val="000000" w:themeColor="text1"/>
                        </w:rPr>
                        <w:t>20</w:t>
                      </w:r>
                      <w:r w:rsidRPr="00923FF5">
                        <w:rPr>
                          <w:rFonts w:ascii="Verdana" w:hAnsi="Verdana"/>
                          <w:b/>
                          <w:bCs/>
                          <w:i w:val="0"/>
                          <w:iCs w:val="0"/>
                          <w:color w:val="000000" w:themeColor="text1"/>
                        </w:rPr>
                        <w:fldChar w:fldCharType="end"/>
                      </w:r>
                      <w:r w:rsidRPr="00923FF5">
                        <w:rPr>
                          <w:rFonts w:ascii="Verdana" w:hAnsi="Verdana"/>
                          <w:b/>
                          <w:bCs/>
                          <w:i w:val="0"/>
                          <w:iCs w:val="0"/>
                          <w:color w:val="000000" w:themeColor="text1"/>
                        </w:rPr>
                        <w:t xml:space="preserve">  </w:t>
                      </w:r>
                      <w:r w:rsidR="004B4EB8" w:rsidRPr="00923FF5">
                        <w:rPr>
                          <w:rFonts w:ascii="Verdana" w:hAnsi="Verdana"/>
                          <w:i w:val="0"/>
                          <w:iCs w:val="0"/>
                          <w:color w:val="000000" w:themeColor="text1"/>
                        </w:rPr>
                        <w:t>Nrf2 signal colocalizes with GFAP in the midbrain of DJ-1 mice.</w:t>
                      </w:r>
                      <w:bookmarkEnd w:id="109"/>
                      <w:r w:rsidR="006A450A" w:rsidRPr="00923FF5">
                        <w:rPr>
                          <w:rFonts w:ascii="Verdana" w:hAnsi="Verdana"/>
                          <w:i w:val="0"/>
                          <w:iCs w:val="0"/>
                          <w:color w:val="000000" w:themeColor="text1"/>
                        </w:rPr>
                        <w:t xml:space="preserve"> </w:t>
                      </w:r>
                    </w:p>
                    <w:p w14:paraId="51EF216D" w14:textId="69979C97" w:rsidR="004B4EB8" w:rsidRPr="00923FF5" w:rsidRDefault="00431AF7" w:rsidP="00923FF5">
                      <w:pPr>
                        <w:pStyle w:val="Caption"/>
                        <w:ind w:firstLine="0"/>
                        <w:jc w:val="both"/>
                        <w:rPr>
                          <w:rFonts w:ascii="Verdana" w:hAnsi="Verdana"/>
                          <w:i w:val="0"/>
                          <w:iCs w:val="0"/>
                          <w:color w:val="000000" w:themeColor="text1"/>
                        </w:rPr>
                      </w:pPr>
                      <w:r>
                        <w:rPr>
                          <w:rFonts w:ascii="Verdana" w:hAnsi="Verdana"/>
                          <w:i w:val="0"/>
                          <w:iCs w:val="0"/>
                          <w:color w:val="000000" w:themeColor="text1"/>
                        </w:rPr>
                        <w:t>Representative</w:t>
                      </w:r>
                      <w:r w:rsidR="00A43C67">
                        <w:rPr>
                          <w:rFonts w:ascii="Verdana" w:hAnsi="Verdana"/>
                          <w:i w:val="0"/>
                          <w:iCs w:val="0"/>
                          <w:color w:val="000000" w:themeColor="text1"/>
                        </w:rPr>
                        <w:t xml:space="preserve"> 40X</w:t>
                      </w:r>
                      <w:r>
                        <w:rPr>
                          <w:rFonts w:ascii="Verdana" w:hAnsi="Verdana"/>
                          <w:i w:val="0"/>
                          <w:iCs w:val="0"/>
                          <w:color w:val="000000" w:themeColor="text1"/>
                        </w:rPr>
                        <w:t xml:space="preserve"> immunofluorescence images illustrating GFAP and Nrf2 staining in 8-months old </w:t>
                      </w:r>
                      <w:r w:rsidR="00A43C67">
                        <w:rPr>
                          <w:rFonts w:ascii="Verdana" w:hAnsi="Verdana"/>
                          <w:i w:val="0"/>
                          <w:iCs w:val="0"/>
                          <w:color w:val="000000" w:themeColor="text1"/>
                        </w:rPr>
                        <w:t xml:space="preserve">WT and DJ-1 KO male mice. </w:t>
                      </w:r>
                      <w:r w:rsidR="00401EB8" w:rsidRPr="00923FF5">
                        <w:rPr>
                          <w:rFonts w:ascii="Verdana" w:hAnsi="Verdana"/>
                          <w:i w:val="0"/>
                          <w:iCs w:val="0"/>
                          <w:color w:val="000000" w:themeColor="text1"/>
                        </w:rPr>
                        <w:t>GFAP</w:t>
                      </w:r>
                      <w:r w:rsidR="006A450A" w:rsidRPr="00923FF5">
                        <w:rPr>
                          <w:rFonts w:ascii="Verdana" w:hAnsi="Verdana"/>
                          <w:i w:val="0"/>
                          <w:iCs w:val="0"/>
                          <w:color w:val="000000" w:themeColor="text1"/>
                        </w:rPr>
                        <w:t xml:space="preserve">/Nrf2 double stained </w:t>
                      </w:r>
                      <w:r w:rsidR="00401EB8" w:rsidRPr="00923FF5">
                        <w:rPr>
                          <w:rFonts w:ascii="Verdana" w:hAnsi="Verdana"/>
                          <w:i w:val="0"/>
                          <w:iCs w:val="0"/>
                          <w:color w:val="000000" w:themeColor="text1"/>
                        </w:rPr>
                        <w:t>astrocytic processes are marked by white arrows</w:t>
                      </w:r>
                      <w:r>
                        <w:rPr>
                          <w:rFonts w:ascii="Verdana" w:hAnsi="Verdana"/>
                          <w:i w:val="0"/>
                          <w:iCs w:val="0"/>
                          <w:color w:val="000000" w:themeColor="text1"/>
                        </w:rPr>
                        <w:t>.</w:t>
                      </w:r>
                    </w:p>
                    <w:p w14:paraId="79D310E8" w14:textId="644B5D0B" w:rsidR="00B93500" w:rsidRPr="00923FF5" w:rsidRDefault="00401EB8" w:rsidP="00923FF5">
                      <w:pPr>
                        <w:ind w:firstLine="0"/>
                        <w:jc w:val="both"/>
                        <w:rPr>
                          <w:rFonts w:ascii="Verdana" w:hAnsi="Verdana"/>
                          <w:sz w:val="18"/>
                          <w:szCs w:val="18"/>
                        </w:rPr>
                      </w:pPr>
                      <w:r w:rsidRPr="00923FF5">
                        <w:rPr>
                          <w:rFonts w:ascii="Verdana" w:hAnsi="Verdana"/>
                          <w:sz w:val="18"/>
                          <w:szCs w:val="18"/>
                        </w:rPr>
                        <w:t xml:space="preserve">WT = wild-type littermates, DJ-1 KO = </w:t>
                      </w:r>
                      <w:r w:rsidR="00153BA5" w:rsidRPr="00923FF5">
                        <w:rPr>
                          <w:rFonts w:ascii="Verdana" w:hAnsi="Verdana"/>
                          <w:sz w:val="18"/>
                          <w:szCs w:val="18"/>
                        </w:rPr>
                        <w:t xml:space="preserve">DJ-1 knock-out animals, GFAP = glial fibrillary acidic protein, Nrf2 = nuclear factor-erythroid 2 p45-related factor 2, DAPI = </w:t>
                      </w:r>
                      <w:r w:rsidR="00923FF5" w:rsidRPr="00923FF5">
                        <w:rPr>
                          <w:rFonts w:ascii="Verdana" w:hAnsi="Verdana"/>
                          <w:sz w:val="18"/>
                          <w:szCs w:val="18"/>
                        </w:rPr>
                        <w:t>4′,6-diamidino-2-phenylindole.</w:t>
                      </w:r>
                    </w:p>
                  </w:txbxContent>
                </v:textbox>
                <w10:wrap type="topAndBottom" anchorx="margin"/>
              </v:shape>
            </w:pict>
          </mc:Fallback>
        </mc:AlternateContent>
      </w:r>
      <w:r>
        <w:rPr>
          <w:rFonts w:ascii="Verdana" w:hAnsi="Verdana"/>
          <w:noProof/>
          <w:lang w:val="en-GB"/>
        </w:rPr>
        <w:drawing>
          <wp:anchor distT="0" distB="0" distL="114300" distR="114300" simplePos="0" relativeHeight="251969536" behindDoc="0" locked="0" layoutInCell="1" allowOverlap="1" wp14:anchorId="0A15F666" wp14:editId="39B5A9FE">
            <wp:simplePos x="0" y="0"/>
            <wp:positionH relativeFrom="margin">
              <wp:align>right</wp:align>
            </wp:positionH>
            <wp:positionV relativeFrom="paragraph">
              <wp:posOffset>540</wp:posOffset>
            </wp:positionV>
            <wp:extent cx="5580380" cy="5427345"/>
            <wp:effectExtent l="0" t="0" r="0" b="190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80380" cy="5427345"/>
                    </a:xfrm>
                    <a:prstGeom prst="rect">
                      <a:avLst/>
                    </a:prstGeom>
                  </pic:spPr>
                </pic:pic>
              </a:graphicData>
            </a:graphic>
            <wp14:sizeRelH relativeFrom="margin">
              <wp14:pctWidth>0</wp14:pctWidth>
            </wp14:sizeRelH>
            <wp14:sizeRelV relativeFrom="margin">
              <wp14:pctHeight>0</wp14:pctHeight>
            </wp14:sizeRelV>
          </wp:anchor>
        </w:drawing>
      </w:r>
    </w:p>
    <w:p w14:paraId="5B0D83AC" w14:textId="77777777" w:rsidR="00505399" w:rsidRDefault="00505399">
      <w:pPr>
        <w:ind w:firstLine="0"/>
        <w:rPr>
          <w:rFonts w:ascii="Verdana" w:hAnsi="Verdana"/>
          <w:lang w:val="en-GB"/>
        </w:rPr>
      </w:pPr>
      <w:r>
        <w:rPr>
          <w:rFonts w:ascii="Verdana" w:hAnsi="Verdana"/>
          <w:lang w:val="en-GB"/>
        </w:rPr>
        <w:br w:type="page"/>
      </w:r>
    </w:p>
    <w:p w14:paraId="48B3466C" w14:textId="572C56DF" w:rsidR="0044173F" w:rsidRDefault="00546E85" w:rsidP="00C55C69">
      <w:pPr>
        <w:ind w:firstLine="0"/>
        <w:rPr>
          <w:rFonts w:ascii="Verdana" w:hAnsi="Verdana"/>
          <w:lang w:val="en-GB"/>
        </w:rPr>
      </w:pPr>
      <w:r>
        <w:rPr>
          <w:rFonts w:ascii="Verdana" w:hAnsi="Verdana"/>
          <w:lang w:val="en-GB"/>
        </w:rPr>
        <w:lastRenderedPageBreak/>
        <w:br w:type="page"/>
      </w:r>
    </w:p>
    <w:bookmarkStart w:id="110" w:name="_Toc130223445"/>
    <w:p w14:paraId="60928C35" w14:textId="0F9FAE00" w:rsidR="000C17D9" w:rsidRDefault="000C17D9" w:rsidP="00F75FE1">
      <w:pPr>
        <w:pStyle w:val="Heading1"/>
        <w:jc w:val="both"/>
        <w:rPr>
          <w:lang w:val="en-GB"/>
        </w:rPr>
      </w:pPr>
      <w:r>
        <w:rPr>
          <w:noProof/>
          <w:lang w:val="en-GB"/>
        </w:rPr>
        <w:lastRenderedPageBreak/>
        <mc:AlternateContent>
          <mc:Choice Requires="wps">
            <w:drawing>
              <wp:anchor distT="0" distB="0" distL="114300" distR="114300" simplePos="0" relativeHeight="251939840" behindDoc="0" locked="0" layoutInCell="1" allowOverlap="1" wp14:anchorId="7119AC4C" wp14:editId="33F290B7">
                <wp:simplePos x="0" y="0"/>
                <wp:positionH relativeFrom="column">
                  <wp:posOffset>854892</wp:posOffset>
                </wp:positionH>
                <wp:positionV relativeFrom="paragraph">
                  <wp:posOffset>0</wp:posOffset>
                </wp:positionV>
                <wp:extent cx="0" cy="457200"/>
                <wp:effectExtent l="19050" t="0" r="19050" b="19050"/>
                <wp:wrapNone/>
                <wp:docPr id="33" name="Straight Connector 33"/>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477A55" id="Straight Connector 33" o:spid="_x0000_s1026" style="position:absolute;z-index:251939840;visibility:visible;mso-wrap-style:square;mso-wrap-distance-left:9pt;mso-wrap-distance-top:0;mso-wrap-distance-right:9pt;mso-wrap-distance-bottom:0;mso-position-horizontal:absolute;mso-position-horizontal-relative:text;mso-position-vertical:absolute;mso-position-vertical-relative:text" from="67.3pt,0" to="67.3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" strokecolor="black [3200]" strokeweight="2.25pt">
                <v:stroke joinstyle="miter"/>
              </v:line>
            </w:pict>
          </mc:Fallback>
        </mc:AlternateContent>
      </w:r>
      <w:r>
        <w:rPr>
          <w:lang w:val="en-GB"/>
        </w:rPr>
        <w:t xml:space="preserve">6   </w:t>
      </w:r>
      <w:r w:rsidR="0072713F">
        <w:rPr>
          <w:lang w:val="en-GB"/>
        </w:rPr>
        <w:t>Characterisation of parkinsonian phenotypes in a mouse model overexpressing the human wild-type alpha-synuclein gene</w:t>
      </w:r>
      <w:bookmarkEnd w:id="110"/>
    </w:p>
    <w:p w14:paraId="0126B290" w14:textId="77777777" w:rsidR="00D635AC" w:rsidRPr="00C55C69" w:rsidRDefault="00D635AC" w:rsidP="00C55C69">
      <w:pPr>
        <w:ind w:firstLine="0"/>
        <w:rPr>
          <w:rFonts w:ascii="Verdana" w:hAnsi="Verdana"/>
          <w:lang w:val="en-GB"/>
        </w:rPr>
      </w:pPr>
    </w:p>
    <w:p w14:paraId="6E78B907" w14:textId="35021DE2" w:rsidR="0044173F" w:rsidRPr="00697B0B" w:rsidRDefault="0044173F" w:rsidP="00AC2784">
      <w:pPr>
        <w:spacing w:line="360" w:lineRule="auto"/>
        <w:jc w:val="both"/>
        <w:rPr>
          <w:rFonts w:ascii="Verdana" w:hAnsi="Verdana"/>
          <w:b/>
          <w:bCs/>
          <w:color w:val="FF0000"/>
          <w:lang w:val="en-GB"/>
        </w:rPr>
      </w:pPr>
    </w:p>
    <w:p w14:paraId="67BF9038" w14:textId="77777777" w:rsidR="00C62A0E" w:rsidRDefault="00C62A0E">
      <w:pPr>
        <w:ind w:firstLine="0"/>
        <w:rPr>
          <w:rFonts w:ascii="Verdana" w:hAnsi="Verdana"/>
          <w:lang w:val="en-GB"/>
        </w:rPr>
      </w:pPr>
    </w:p>
    <w:p w14:paraId="6DFEF87E" w14:textId="77777777" w:rsidR="00C62A0E" w:rsidRDefault="00C62A0E">
      <w:pPr>
        <w:ind w:firstLine="0"/>
        <w:rPr>
          <w:rFonts w:ascii="Verdana" w:hAnsi="Verdana"/>
          <w:lang w:val="en-GB"/>
        </w:rPr>
      </w:pPr>
    </w:p>
    <w:p w14:paraId="4EC153AE" w14:textId="77777777" w:rsidR="00C62A0E" w:rsidRDefault="00C62A0E">
      <w:pPr>
        <w:ind w:firstLine="0"/>
        <w:rPr>
          <w:rFonts w:ascii="Verdana" w:hAnsi="Verdana"/>
          <w:lang w:val="en-GB"/>
        </w:rPr>
      </w:pPr>
    </w:p>
    <w:p w14:paraId="0F727A32" w14:textId="5E670A8C" w:rsidR="00C62A0E" w:rsidRPr="00C62A0E" w:rsidRDefault="00C62A0E" w:rsidP="000B321E">
      <w:pPr>
        <w:pStyle w:val="Heading2"/>
        <w:rPr>
          <w:lang w:val="en-GB"/>
        </w:rPr>
      </w:pPr>
      <w:bookmarkStart w:id="111" w:name="_Toc130223446"/>
      <w:r w:rsidRPr="00C62A0E">
        <w:rPr>
          <w:lang w:val="en-GB"/>
        </w:rPr>
        <w:t>Preface</w:t>
      </w:r>
      <w:bookmarkEnd w:id="111"/>
    </w:p>
    <w:p w14:paraId="24EA4EEA" w14:textId="6F8F0984" w:rsidR="00C62A0E" w:rsidRDefault="003A6A5D" w:rsidP="00C62A0E">
      <w:pPr>
        <w:spacing w:line="360" w:lineRule="auto"/>
        <w:jc w:val="both"/>
        <w:rPr>
          <w:rFonts w:ascii="Verdana" w:hAnsi="Verdana" w:cs="Calibri"/>
          <w:lang w:val="en-GB"/>
        </w:rPr>
      </w:pPr>
      <w:r>
        <w:rPr>
          <w:rFonts w:ascii="Verdana" w:hAnsi="Verdana" w:cs="Calibri"/>
          <w:lang w:val="en-GB"/>
        </w:rPr>
        <w:t xml:space="preserve">The Thy1-Syn14 transgenic mouse overexpresses the human wild-type alpha-synuclein under the murine Thy1 promoter. Since transgene overexpression is </w:t>
      </w:r>
      <w:r w:rsidR="00EB0BA5">
        <w:rPr>
          <w:rFonts w:ascii="Verdana" w:hAnsi="Verdana" w:cs="Calibri"/>
          <w:lang w:val="en-GB"/>
        </w:rPr>
        <w:t>reported</w:t>
      </w:r>
      <w:r>
        <w:rPr>
          <w:rFonts w:ascii="Verdana" w:hAnsi="Verdana" w:cs="Calibri"/>
          <w:lang w:val="en-GB"/>
        </w:rPr>
        <w:t xml:space="preserve"> to be low</w:t>
      </w:r>
      <w:r w:rsidR="00702CE7">
        <w:rPr>
          <w:rFonts w:ascii="Verdana" w:hAnsi="Verdana" w:cs="Calibri"/>
          <w:lang w:val="en-GB"/>
        </w:rPr>
        <w:t xml:space="preserve"> </w:t>
      </w:r>
      <w:r w:rsidR="0087734A">
        <w:rPr>
          <w:rFonts w:ascii="Verdana" w:hAnsi="Verdana" w:cs="Calibri"/>
          <w:lang w:val="en-GB"/>
        </w:rPr>
        <w:fldChar w:fldCharType="begin"/>
      </w:r>
      <w:r w:rsidR="002433CC">
        <w:rPr>
          <w:rFonts w:ascii="Verdana" w:hAnsi="Verdana" w:cs="Calibri"/>
          <w:lang w:val="en-GB"/>
        </w:rPr>
        <w:instrText xml:space="preserve"> ADDIN ZOTERO_ITEM CSL_CITATION {"citationID":"rkIc0ufm","properties":{"formattedCitation":"(Kahle et al. n.d.)","plainCitation":"(Kahle et al. n.d.)","dontUpdate":true,"noteIndex":0},"citationItems":[{"id":2158,"uris":["http://zotero.org/users/9330673/items/2VPSELIZ"],"itemData":{"id":2158,"type":"article-journal","language":"en","source":"Zotero","title":"Subcellular Localization of Wild-Type and Parkinson’s Disease-Associated Mutant </w:instrText>
      </w:r>
      <w:r w:rsidR="002433CC">
        <w:rPr>
          <w:rFonts w:ascii="MS Gothic" w:eastAsia="MS Gothic" w:hAnsi="MS Gothic" w:cs="MS Gothic" w:hint="eastAsia"/>
          <w:lang w:val="en-GB"/>
        </w:rPr>
        <w:instrText>␣</w:instrText>
      </w:r>
      <w:r w:rsidR="002433CC">
        <w:rPr>
          <w:rFonts w:ascii="Verdana" w:hAnsi="Verdana" w:cs="Calibri"/>
          <w:lang w:val="en-GB"/>
        </w:rPr>
        <w:instrText xml:space="preserve">-Synuclein in Human and Transgenic Mouse Brain","author":[{"family":"Kahle","given":"Philipp J"},{"family":"Neumann","given":"Manuela"},{"family":"Ozmen","given":"Laurence"},{"family":"Schindzielorz","given":"Alice"},{"family":"Okochi","given":"Masayasu"},{"family":"Leimer","given":"Uwe"},{"family":"Kremmer","given":"Elisabeth"},{"family":"Kretzschmar","given":"Hans A"},{"family":"Haass","given":"Christian"}]}}],"schema":"https://github.com/citation-style-language/schema/raw/master/csl-citation.json"} </w:instrText>
      </w:r>
      <w:r w:rsidR="0087734A">
        <w:rPr>
          <w:rFonts w:ascii="Verdana" w:hAnsi="Verdana" w:cs="Calibri"/>
          <w:lang w:val="en-GB"/>
        </w:rPr>
        <w:fldChar w:fldCharType="separate"/>
      </w:r>
      <w:r w:rsidR="0087734A" w:rsidRPr="0087734A">
        <w:rPr>
          <w:rFonts w:ascii="Verdana" w:hAnsi="Verdana"/>
        </w:rPr>
        <w:t>(</w:t>
      </w:r>
      <w:r w:rsidR="00DF6645">
        <w:rPr>
          <w:rFonts w:ascii="Verdana" w:hAnsi="Verdana"/>
        </w:rPr>
        <w:t>1.3</w:t>
      </w:r>
      <w:r w:rsidR="007924A5">
        <w:rPr>
          <w:rFonts w:ascii="Verdana" w:hAnsi="Verdana"/>
        </w:rPr>
        <w:t xml:space="preserve">-fold overexpression in </w:t>
      </w:r>
      <w:r w:rsidR="00742A15">
        <w:rPr>
          <w:rFonts w:ascii="Verdana" w:hAnsi="Verdana"/>
        </w:rPr>
        <w:t xml:space="preserve">whole brain, </w:t>
      </w:r>
      <w:r w:rsidR="0087734A" w:rsidRPr="0087734A">
        <w:rPr>
          <w:rFonts w:ascii="Verdana" w:hAnsi="Verdana"/>
        </w:rPr>
        <w:t xml:space="preserve">Kahle et al. </w:t>
      </w:r>
      <w:r w:rsidR="001B712A">
        <w:rPr>
          <w:rFonts w:ascii="Verdana" w:hAnsi="Verdana"/>
        </w:rPr>
        <w:t>2001</w:t>
      </w:r>
      <w:r w:rsidR="0087734A" w:rsidRPr="0087734A">
        <w:rPr>
          <w:rFonts w:ascii="Verdana" w:hAnsi="Verdana"/>
        </w:rPr>
        <w:t>)</w:t>
      </w:r>
      <w:r w:rsidR="0087734A">
        <w:rPr>
          <w:rFonts w:ascii="Verdana" w:hAnsi="Verdana" w:cs="Calibri"/>
          <w:lang w:val="en-GB"/>
        </w:rPr>
        <w:fldChar w:fldCharType="end"/>
      </w:r>
      <w:r w:rsidR="002A1898">
        <w:rPr>
          <w:rFonts w:ascii="Verdana" w:hAnsi="Verdana" w:cs="Calibri"/>
          <w:lang w:val="en-GB"/>
        </w:rPr>
        <w:t>, we hav</w:t>
      </w:r>
      <w:r w:rsidR="006045B2">
        <w:rPr>
          <w:rFonts w:ascii="Verdana" w:hAnsi="Verdana" w:cs="Calibri"/>
          <w:lang w:val="en-GB"/>
        </w:rPr>
        <w:t>e investigated the possibility to use this model to study early idiopathic PD.</w:t>
      </w:r>
    </w:p>
    <w:p w14:paraId="69B413F9" w14:textId="47F01CB4" w:rsidR="00C62A0E" w:rsidRDefault="00C62A0E" w:rsidP="00C62A0E">
      <w:pPr>
        <w:spacing w:line="360" w:lineRule="auto"/>
        <w:jc w:val="both"/>
        <w:rPr>
          <w:rFonts w:ascii="Verdana" w:hAnsi="Verdana" w:cs="Calibri"/>
          <w:lang w:val="en-GB"/>
        </w:rPr>
      </w:pPr>
      <w:r>
        <w:rPr>
          <w:rFonts w:ascii="Verdana" w:hAnsi="Verdana" w:cs="Calibri"/>
          <w:lang w:val="en-GB"/>
        </w:rPr>
        <w:t xml:space="preserve">I was responsible for the mouse colony management and the genotyping, I performed the behavioural tests, </w:t>
      </w:r>
      <w:proofErr w:type="gramStart"/>
      <w:r>
        <w:rPr>
          <w:rFonts w:ascii="Verdana" w:hAnsi="Verdana" w:cs="Calibri"/>
          <w:lang w:val="en-GB"/>
        </w:rPr>
        <w:t>euthanasia</w:t>
      </w:r>
      <w:proofErr w:type="gramEnd"/>
      <w:r>
        <w:rPr>
          <w:rFonts w:ascii="Verdana" w:hAnsi="Verdana" w:cs="Calibri"/>
          <w:lang w:val="en-GB"/>
        </w:rPr>
        <w:t xml:space="preserve"> and tissue collection together with Kristopher J. Schmit</w:t>
      </w:r>
      <w:r w:rsidR="00975F38">
        <w:rPr>
          <w:rFonts w:ascii="Verdana" w:hAnsi="Verdana" w:cs="Calibri"/>
          <w:lang w:val="en-GB"/>
        </w:rPr>
        <w:t xml:space="preserve"> and Oihane Uriarte Huarte.</w:t>
      </w:r>
      <w:r>
        <w:rPr>
          <w:rFonts w:ascii="Verdana" w:hAnsi="Verdana" w:cs="Calibri"/>
          <w:lang w:val="en-GB"/>
        </w:rPr>
        <w:t xml:space="preserve"> I performed the brain cutting and staining, </w:t>
      </w:r>
      <w:r w:rsidR="00670110">
        <w:rPr>
          <w:rFonts w:ascii="Verdana" w:hAnsi="Verdana" w:cs="Calibri"/>
          <w:lang w:val="en-GB"/>
        </w:rPr>
        <w:t>and qua</w:t>
      </w:r>
      <w:r w:rsidR="00713A24">
        <w:rPr>
          <w:rFonts w:ascii="Verdana" w:hAnsi="Verdana" w:cs="Calibri"/>
          <w:lang w:val="en-GB"/>
        </w:rPr>
        <w:t>n</w:t>
      </w:r>
      <w:r w:rsidR="00670110">
        <w:rPr>
          <w:rFonts w:ascii="Verdana" w:hAnsi="Verdana" w:cs="Calibri"/>
          <w:lang w:val="en-GB"/>
        </w:rPr>
        <w:t>tified striatal neurodegeneration</w:t>
      </w:r>
      <w:r>
        <w:rPr>
          <w:rFonts w:ascii="Verdana" w:hAnsi="Verdana" w:cs="Calibri"/>
          <w:lang w:val="en-GB"/>
        </w:rPr>
        <w:t xml:space="preserve">. I was also responsible of the pre-processing of the samples </w:t>
      </w:r>
      <w:r w:rsidR="00584156">
        <w:rPr>
          <w:rFonts w:ascii="Verdana" w:hAnsi="Verdana" w:cs="Calibri"/>
          <w:lang w:val="en-GB"/>
        </w:rPr>
        <w:t xml:space="preserve">for RNA-sequencing analysis </w:t>
      </w:r>
      <w:r>
        <w:rPr>
          <w:rFonts w:ascii="Verdana" w:hAnsi="Verdana" w:cs="Calibri"/>
          <w:lang w:val="en-GB"/>
        </w:rPr>
        <w:t>(RNA extraction, quality control and qPCR validation)</w:t>
      </w:r>
      <w:r w:rsidR="00584156">
        <w:rPr>
          <w:rFonts w:ascii="Verdana" w:hAnsi="Verdana" w:cs="Calibri"/>
          <w:lang w:val="en-GB"/>
        </w:rPr>
        <w:t>.</w:t>
      </w:r>
      <w:r>
        <w:rPr>
          <w:rFonts w:ascii="Verdana" w:hAnsi="Verdana" w:cs="Calibri"/>
          <w:lang w:val="en-GB"/>
        </w:rPr>
        <w:t xml:space="preserve"> The RNA-sequencing was executed by Rashi Halder at the sequencing platform of the Luxembourg Centre for Systems Biomedicine, and the RNA data were analysed by Sergio </w:t>
      </w:r>
      <w:proofErr w:type="spellStart"/>
      <w:r>
        <w:rPr>
          <w:rFonts w:ascii="Verdana" w:hAnsi="Verdana" w:cs="Calibri"/>
          <w:lang w:val="en-GB"/>
        </w:rPr>
        <w:t>Helgueta</w:t>
      </w:r>
      <w:proofErr w:type="spellEnd"/>
      <w:r>
        <w:rPr>
          <w:rFonts w:ascii="Verdana" w:hAnsi="Verdana" w:cs="Calibri"/>
          <w:lang w:val="en-GB"/>
        </w:rPr>
        <w:t xml:space="preserve"> Romero.</w:t>
      </w:r>
      <w:r w:rsidR="000562C1">
        <w:rPr>
          <w:rFonts w:ascii="Verdana" w:hAnsi="Verdana" w:cs="Calibri"/>
          <w:lang w:val="en-GB"/>
        </w:rPr>
        <w:t xml:space="preserve"> I generated the Figures </w:t>
      </w:r>
      <w:r w:rsidR="00BD1461">
        <w:rPr>
          <w:rFonts w:ascii="Verdana" w:hAnsi="Verdana" w:cs="Calibri"/>
          <w:lang w:val="en-GB"/>
        </w:rPr>
        <w:t>21</w:t>
      </w:r>
      <w:r w:rsidR="000562C1">
        <w:rPr>
          <w:rFonts w:ascii="Verdana" w:hAnsi="Verdana" w:cs="Calibri"/>
          <w:lang w:val="en-GB"/>
        </w:rPr>
        <w:t xml:space="preserve"> to 2</w:t>
      </w:r>
      <w:r w:rsidR="00BD1461">
        <w:rPr>
          <w:rFonts w:ascii="Verdana" w:hAnsi="Verdana" w:cs="Calibri"/>
          <w:lang w:val="en-GB"/>
        </w:rPr>
        <w:t>4</w:t>
      </w:r>
      <w:r w:rsidR="000562C1">
        <w:rPr>
          <w:rFonts w:ascii="Verdana" w:hAnsi="Verdana" w:cs="Calibri"/>
          <w:lang w:val="en-GB"/>
        </w:rPr>
        <w:t>, while Figures 2</w:t>
      </w:r>
      <w:r w:rsidR="00BD1461">
        <w:rPr>
          <w:rFonts w:ascii="Verdana" w:hAnsi="Verdana" w:cs="Calibri"/>
          <w:lang w:val="en-GB"/>
        </w:rPr>
        <w:t>5</w:t>
      </w:r>
      <w:r w:rsidR="000562C1">
        <w:rPr>
          <w:rFonts w:ascii="Verdana" w:hAnsi="Verdana" w:cs="Calibri"/>
          <w:lang w:val="en-GB"/>
        </w:rPr>
        <w:t xml:space="preserve"> and 2</w:t>
      </w:r>
      <w:r w:rsidR="00BD1461">
        <w:rPr>
          <w:rFonts w:ascii="Verdana" w:hAnsi="Verdana" w:cs="Calibri"/>
          <w:lang w:val="en-GB"/>
        </w:rPr>
        <w:t>6</w:t>
      </w:r>
      <w:r w:rsidR="000562C1">
        <w:rPr>
          <w:rFonts w:ascii="Verdana" w:hAnsi="Verdana" w:cs="Calibri"/>
          <w:lang w:val="en-GB"/>
        </w:rPr>
        <w:t xml:space="preserve"> were generated by Sergio </w:t>
      </w:r>
      <w:proofErr w:type="spellStart"/>
      <w:r w:rsidR="000562C1">
        <w:rPr>
          <w:rFonts w:ascii="Verdana" w:hAnsi="Verdana" w:cs="Calibri"/>
          <w:lang w:val="en-GB"/>
        </w:rPr>
        <w:t>Helgueta</w:t>
      </w:r>
      <w:proofErr w:type="spellEnd"/>
      <w:r w:rsidR="000562C1">
        <w:rPr>
          <w:rFonts w:ascii="Verdana" w:hAnsi="Verdana" w:cs="Calibri"/>
          <w:lang w:val="en-GB"/>
        </w:rPr>
        <w:t xml:space="preserve"> as the final step of the differential expression analysis.</w:t>
      </w:r>
    </w:p>
    <w:p w14:paraId="06D84C82" w14:textId="77777777" w:rsidR="00C818F2" w:rsidRDefault="00C818F2">
      <w:pPr>
        <w:ind w:firstLine="0"/>
        <w:rPr>
          <w:rFonts w:ascii="Verdana" w:hAnsi="Verdana"/>
          <w:lang w:val="en-GB"/>
        </w:rPr>
      </w:pPr>
      <w:r>
        <w:rPr>
          <w:rFonts w:ascii="Verdana" w:hAnsi="Verdana"/>
          <w:lang w:val="en-GB"/>
        </w:rPr>
        <w:br w:type="page"/>
      </w:r>
    </w:p>
    <w:p w14:paraId="141527B5" w14:textId="01FC774C" w:rsidR="00F06615" w:rsidRPr="00F06615" w:rsidRDefault="00C818F2" w:rsidP="000B321E">
      <w:pPr>
        <w:pStyle w:val="Heading2"/>
        <w:spacing w:line="360" w:lineRule="auto"/>
        <w:rPr>
          <w:lang w:val="en-GB"/>
        </w:rPr>
      </w:pPr>
      <w:r>
        <w:rPr>
          <w:lang w:val="en-GB"/>
        </w:rPr>
        <w:lastRenderedPageBreak/>
        <w:t xml:space="preserve"> </w:t>
      </w:r>
      <w:bookmarkStart w:id="112" w:name="_Toc130223447"/>
      <w:r w:rsidR="009E5729">
        <w:rPr>
          <w:lang w:val="en-GB"/>
        </w:rPr>
        <w:t>6.1</w:t>
      </w:r>
      <w:r w:rsidR="009E5729">
        <w:rPr>
          <w:lang w:val="en-GB"/>
        </w:rPr>
        <w:tab/>
      </w:r>
      <w:r>
        <w:rPr>
          <w:lang w:val="en-GB"/>
        </w:rPr>
        <w:t xml:space="preserve"> </w:t>
      </w:r>
      <w:r w:rsidR="00C11AE5">
        <w:rPr>
          <w:lang w:val="en-GB"/>
        </w:rPr>
        <w:t>Transgenic alpha-synuclein is widely expressed in the brain of Thy1-Syn14 mice</w:t>
      </w:r>
      <w:bookmarkEnd w:id="112"/>
    </w:p>
    <w:p w14:paraId="342B5091" w14:textId="0B6B5F11" w:rsidR="009A7209" w:rsidRDefault="009A7209" w:rsidP="00111CEA">
      <w:pPr>
        <w:spacing w:line="360" w:lineRule="auto"/>
        <w:jc w:val="both"/>
        <w:rPr>
          <w:rFonts w:ascii="Verdana" w:hAnsi="Verdana"/>
          <w:lang w:val="en-GB"/>
        </w:rPr>
      </w:pPr>
      <w:r>
        <w:rPr>
          <w:rFonts w:ascii="Verdana" w:hAnsi="Verdana"/>
          <w:lang w:val="en-GB"/>
        </w:rPr>
        <w:t xml:space="preserve">We quantified endogenous and transgenic alpha-synuclein expression in the midbrain of female mice at 3-months of age. </w:t>
      </w:r>
      <w:r w:rsidR="00955441">
        <w:rPr>
          <w:rFonts w:ascii="Verdana" w:hAnsi="Verdana"/>
          <w:lang w:val="en-GB"/>
        </w:rPr>
        <w:t>Murine endogenous alpha-synuclein is expressed at the same levels in wild-type (WT) and transgenic (TG) mice,</w:t>
      </w:r>
      <w:r w:rsidR="00AF0A93">
        <w:rPr>
          <w:rFonts w:ascii="Verdana" w:hAnsi="Verdana"/>
          <w:lang w:val="en-GB"/>
        </w:rPr>
        <w:t xml:space="preserve"> with some intra-group variability which is more pronounced in TG animals (Figure </w:t>
      </w:r>
      <w:r w:rsidR="00BD1461">
        <w:rPr>
          <w:rFonts w:ascii="Verdana" w:hAnsi="Verdana"/>
          <w:lang w:val="en-GB"/>
        </w:rPr>
        <w:t>21</w:t>
      </w:r>
      <w:r w:rsidR="00AF0A93">
        <w:rPr>
          <w:rFonts w:ascii="Verdana" w:hAnsi="Verdana"/>
          <w:lang w:val="en-GB"/>
        </w:rPr>
        <w:t>A, left). Human alpha-synuclein is expressed only by TG animals</w:t>
      </w:r>
      <w:r w:rsidR="00111CEA">
        <w:rPr>
          <w:rFonts w:ascii="Verdana" w:hAnsi="Verdana"/>
          <w:lang w:val="en-GB"/>
        </w:rPr>
        <w:t xml:space="preserve"> (Figure </w:t>
      </w:r>
      <w:r w:rsidR="00BD1461">
        <w:rPr>
          <w:rFonts w:ascii="Verdana" w:hAnsi="Verdana"/>
          <w:lang w:val="en-GB"/>
        </w:rPr>
        <w:t>21</w:t>
      </w:r>
      <w:r w:rsidR="00111CEA">
        <w:rPr>
          <w:rFonts w:ascii="Verdana" w:hAnsi="Verdana"/>
          <w:lang w:val="en-GB"/>
        </w:rPr>
        <w:t>A, right</w:t>
      </w:r>
      <w:r w:rsidR="006A5EDE">
        <w:rPr>
          <w:rFonts w:ascii="Verdana" w:hAnsi="Verdana"/>
          <w:lang w:val="en-GB"/>
        </w:rPr>
        <w:t>; p = 0.043</w:t>
      </w:r>
      <w:r w:rsidR="00111CEA">
        <w:rPr>
          <w:rFonts w:ascii="Verdana" w:hAnsi="Verdana"/>
          <w:lang w:val="en-GB"/>
        </w:rPr>
        <w:t>).</w:t>
      </w:r>
    </w:p>
    <w:p w14:paraId="7F2486FF" w14:textId="6E5BB42C" w:rsidR="000025E8" w:rsidRDefault="005F5EA0" w:rsidP="009A7209">
      <w:pPr>
        <w:spacing w:line="360" w:lineRule="auto"/>
        <w:jc w:val="both"/>
        <w:rPr>
          <w:rFonts w:ascii="Verdana" w:hAnsi="Verdana"/>
          <w:lang w:val="en-GB"/>
        </w:rPr>
      </w:pPr>
      <w:r>
        <w:rPr>
          <w:rFonts w:ascii="Verdana" w:hAnsi="Verdana"/>
          <w:lang w:val="en-GB"/>
        </w:rPr>
        <w:t xml:space="preserve">The expression profile of </w:t>
      </w:r>
      <w:r w:rsidR="00DA72D7">
        <w:rPr>
          <w:rFonts w:ascii="Verdana" w:hAnsi="Verdana"/>
          <w:lang w:val="en-GB"/>
        </w:rPr>
        <w:t>alpha-synuclein was investigated</w:t>
      </w:r>
      <w:r w:rsidR="00033FC9">
        <w:rPr>
          <w:rFonts w:ascii="Verdana" w:hAnsi="Verdana"/>
          <w:lang w:val="en-GB"/>
        </w:rPr>
        <w:t xml:space="preserve"> by immunohistochemistry</w:t>
      </w:r>
      <w:r w:rsidR="00DA72D7">
        <w:rPr>
          <w:rFonts w:ascii="Verdana" w:hAnsi="Verdana"/>
          <w:lang w:val="en-GB"/>
        </w:rPr>
        <w:t xml:space="preserve"> in 6-months old mice</w:t>
      </w:r>
      <w:r w:rsidR="0084267E">
        <w:rPr>
          <w:rFonts w:ascii="Verdana" w:hAnsi="Verdana"/>
          <w:lang w:val="en-GB"/>
        </w:rPr>
        <w:t xml:space="preserve">. Human </w:t>
      </w:r>
      <w:r w:rsidR="0084267E" w:rsidRPr="00B00157">
        <w:rPr>
          <w:rFonts w:ascii="Verdana" w:hAnsi="Verdana"/>
          <w:i/>
          <w:iCs/>
          <w:lang w:val="en-GB"/>
        </w:rPr>
        <w:t>SNCA</w:t>
      </w:r>
      <w:r w:rsidR="0084267E">
        <w:rPr>
          <w:rFonts w:ascii="Verdana" w:hAnsi="Verdana"/>
          <w:lang w:val="en-GB"/>
        </w:rPr>
        <w:t xml:space="preserve"> is</w:t>
      </w:r>
      <w:r w:rsidR="000C2446">
        <w:rPr>
          <w:rFonts w:ascii="Verdana" w:hAnsi="Verdana"/>
          <w:lang w:val="en-GB"/>
        </w:rPr>
        <w:t xml:space="preserve"> expressed in transgenic (TG) mice only</w:t>
      </w:r>
      <w:r w:rsidR="0042326A">
        <w:rPr>
          <w:rFonts w:ascii="Verdana" w:hAnsi="Verdana"/>
          <w:lang w:val="en-GB"/>
        </w:rPr>
        <w:t xml:space="preserve"> (Figure </w:t>
      </w:r>
      <w:r w:rsidR="00BD1461">
        <w:rPr>
          <w:rFonts w:ascii="Verdana" w:hAnsi="Verdana"/>
          <w:lang w:val="en-GB"/>
        </w:rPr>
        <w:t>21</w:t>
      </w:r>
      <w:r w:rsidR="00033FC9">
        <w:rPr>
          <w:rFonts w:ascii="Verdana" w:hAnsi="Verdana"/>
          <w:lang w:val="en-GB"/>
        </w:rPr>
        <w:t>B</w:t>
      </w:r>
      <w:r w:rsidR="0042326A">
        <w:rPr>
          <w:rFonts w:ascii="Verdana" w:hAnsi="Verdana"/>
          <w:lang w:val="en-GB"/>
        </w:rPr>
        <w:t>)</w:t>
      </w:r>
      <w:r w:rsidR="000C2446">
        <w:rPr>
          <w:rFonts w:ascii="Verdana" w:hAnsi="Verdana"/>
          <w:lang w:val="en-GB"/>
        </w:rPr>
        <w:t xml:space="preserve">. </w:t>
      </w:r>
      <w:r w:rsidR="00BC3C7D">
        <w:rPr>
          <w:rFonts w:ascii="Verdana" w:hAnsi="Verdana"/>
          <w:lang w:val="en-GB"/>
        </w:rPr>
        <w:t>The expression is detectable in the whole brain with some regional differences</w:t>
      </w:r>
      <w:r w:rsidR="00BF4AD0">
        <w:rPr>
          <w:rFonts w:ascii="Verdana" w:hAnsi="Verdana"/>
          <w:lang w:val="en-GB"/>
        </w:rPr>
        <w:t xml:space="preserve">. </w:t>
      </w:r>
      <w:r w:rsidR="00FD3485">
        <w:rPr>
          <w:rFonts w:ascii="Verdana" w:hAnsi="Verdana"/>
          <w:lang w:val="en-GB"/>
        </w:rPr>
        <w:t xml:space="preserve">Since transgenic synuclein expression is detected in both </w:t>
      </w:r>
      <w:r w:rsidR="00372250">
        <w:rPr>
          <w:rFonts w:ascii="Verdana" w:hAnsi="Verdana"/>
          <w:lang w:val="en-GB"/>
        </w:rPr>
        <w:t>Substantia Nigra and Striatum</w:t>
      </w:r>
      <w:r w:rsidR="0042326A">
        <w:rPr>
          <w:rFonts w:ascii="Verdana" w:hAnsi="Verdana"/>
          <w:lang w:val="en-GB"/>
        </w:rPr>
        <w:t xml:space="preserve"> (Figure </w:t>
      </w:r>
      <w:r w:rsidR="00BD1461">
        <w:rPr>
          <w:rFonts w:ascii="Verdana" w:hAnsi="Verdana"/>
          <w:lang w:val="en-GB"/>
        </w:rPr>
        <w:t>21</w:t>
      </w:r>
      <w:r w:rsidR="00537BF3">
        <w:rPr>
          <w:rFonts w:ascii="Verdana" w:hAnsi="Verdana"/>
          <w:lang w:val="en-GB"/>
        </w:rPr>
        <w:t>D</w:t>
      </w:r>
      <w:r w:rsidR="0042326A">
        <w:rPr>
          <w:rFonts w:ascii="Verdana" w:hAnsi="Verdana"/>
          <w:lang w:val="en-GB"/>
        </w:rPr>
        <w:t>)</w:t>
      </w:r>
      <w:r w:rsidR="00372250">
        <w:rPr>
          <w:rFonts w:ascii="Verdana" w:hAnsi="Verdana"/>
          <w:lang w:val="en-GB"/>
        </w:rPr>
        <w:t xml:space="preserve">, the two canonical brain regions degenerated in PD, </w:t>
      </w:r>
      <w:r w:rsidR="008A701A">
        <w:rPr>
          <w:rFonts w:ascii="Verdana" w:hAnsi="Verdana"/>
          <w:lang w:val="en-GB"/>
        </w:rPr>
        <w:t>this mouse model looked suitable for investigating PD like pathology.</w:t>
      </w:r>
      <w:r w:rsidR="009A7209">
        <w:rPr>
          <w:rFonts w:ascii="Verdana" w:hAnsi="Verdana"/>
          <w:lang w:val="en-GB"/>
        </w:rPr>
        <w:t xml:space="preserve"> </w:t>
      </w:r>
      <w:r w:rsidR="000025E8">
        <w:rPr>
          <w:rFonts w:ascii="Verdana" w:hAnsi="Verdana"/>
          <w:lang w:val="en-GB"/>
        </w:rPr>
        <w:t>We also investigated the expression of phosphorylated alpha-</w:t>
      </w:r>
      <w:proofErr w:type="gramStart"/>
      <w:r w:rsidR="000025E8">
        <w:rPr>
          <w:rFonts w:ascii="Verdana" w:hAnsi="Verdana"/>
          <w:lang w:val="en-GB"/>
        </w:rPr>
        <w:t>synuclein, since</w:t>
      </w:r>
      <w:proofErr w:type="gramEnd"/>
      <w:r w:rsidR="000025E8">
        <w:rPr>
          <w:rFonts w:ascii="Verdana" w:hAnsi="Verdana"/>
          <w:lang w:val="en-GB"/>
        </w:rPr>
        <w:t xml:space="preserve"> </w:t>
      </w:r>
      <w:r w:rsidR="00EA4EAD">
        <w:rPr>
          <w:rFonts w:ascii="Verdana" w:hAnsi="Verdana"/>
          <w:lang w:val="en-GB"/>
        </w:rPr>
        <w:t xml:space="preserve">phosphorylation at Serine 129 has been shown to be enriched in alpha-synuclein aggregates. </w:t>
      </w:r>
      <w:r w:rsidR="00482E3F">
        <w:rPr>
          <w:rFonts w:ascii="Verdana" w:hAnsi="Verdana"/>
          <w:lang w:val="en-GB"/>
        </w:rPr>
        <w:t xml:space="preserve">Phospho-alpha-synuclein is detected in both WT and TG mice, </w:t>
      </w:r>
      <w:r w:rsidR="0042326A">
        <w:rPr>
          <w:rFonts w:ascii="Verdana" w:hAnsi="Verdana"/>
          <w:lang w:val="en-GB"/>
        </w:rPr>
        <w:t xml:space="preserve">but TG animals show higher levels of expression (Figure </w:t>
      </w:r>
      <w:r w:rsidR="00BD1461">
        <w:rPr>
          <w:rFonts w:ascii="Verdana" w:hAnsi="Verdana"/>
          <w:lang w:val="en-GB"/>
        </w:rPr>
        <w:t>21</w:t>
      </w:r>
      <w:r w:rsidR="00537BF3">
        <w:rPr>
          <w:rFonts w:ascii="Verdana" w:hAnsi="Verdana"/>
          <w:lang w:val="en-GB"/>
        </w:rPr>
        <w:t>C</w:t>
      </w:r>
      <w:r w:rsidR="0042326A">
        <w:rPr>
          <w:rFonts w:ascii="Verdana" w:hAnsi="Verdana"/>
          <w:lang w:val="en-GB"/>
        </w:rPr>
        <w:t xml:space="preserve">). Furthermore, compared to WT mice where the staining appears mostly synaptic, TG mice show a nuclear staining pattern in all the imaged brain regions, and this </w:t>
      </w:r>
      <w:r w:rsidR="002D34A9">
        <w:rPr>
          <w:rFonts w:ascii="Verdana" w:hAnsi="Verdana"/>
          <w:lang w:val="en-GB"/>
        </w:rPr>
        <w:t>wa</w:t>
      </w:r>
      <w:r w:rsidR="0042326A">
        <w:rPr>
          <w:rFonts w:ascii="Verdana" w:hAnsi="Verdana"/>
          <w:lang w:val="en-GB"/>
        </w:rPr>
        <w:t xml:space="preserve">s particularly evident in cortex and hippocampus (Figure </w:t>
      </w:r>
      <w:r w:rsidR="00BD1461">
        <w:rPr>
          <w:rFonts w:ascii="Verdana" w:hAnsi="Verdana"/>
          <w:lang w:val="en-GB"/>
        </w:rPr>
        <w:t>21</w:t>
      </w:r>
      <w:r w:rsidR="00537BF3">
        <w:rPr>
          <w:rFonts w:ascii="Verdana" w:hAnsi="Verdana"/>
          <w:lang w:val="en-GB"/>
        </w:rPr>
        <w:t>E</w:t>
      </w:r>
      <w:r w:rsidR="0042326A">
        <w:rPr>
          <w:rFonts w:ascii="Verdana" w:hAnsi="Verdana"/>
          <w:lang w:val="en-GB"/>
        </w:rPr>
        <w:t>).</w:t>
      </w:r>
    </w:p>
    <w:p w14:paraId="7DB38D50" w14:textId="139DF1C6" w:rsidR="00F21A48" w:rsidRDefault="00F21A48" w:rsidP="004F4E0D">
      <w:pPr>
        <w:spacing w:line="360" w:lineRule="auto"/>
        <w:jc w:val="both"/>
        <w:rPr>
          <w:rFonts w:ascii="Verdana" w:hAnsi="Verdana"/>
          <w:lang w:val="en-GB"/>
        </w:rPr>
      </w:pPr>
    </w:p>
    <w:p w14:paraId="4FEEDEAF" w14:textId="5BD13D0D" w:rsidR="00F016B4" w:rsidRDefault="00F016B4" w:rsidP="00202A98">
      <w:pPr>
        <w:spacing w:line="360" w:lineRule="auto"/>
        <w:rPr>
          <w:rFonts w:ascii="Verdana" w:hAnsi="Verdana"/>
          <w:lang w:val="en-GB"/>
        </w:rPr>
      </w:pPr>
    </w:p>
    <w:p w14:paraId="0725000F" w14:textId="2CC3BEE2" w:rsidR="00F016B4" w:rsidRDefault="00F016B4" w:rsidP="00202A98">
      <w:pPr>
        <w:spacing w:line="360" w:lineRule="auto"/>
        <w:rPr>
          <w:rFonts w:ascii="Verdana" w:hAnsi="Verdana"/>
          <w:lang w:val="en-GB"/>
        </w:rPr>
      </w:pPr>
    </w:p>
    <w:p w14:paraId="1A81DD4C" w14:textId="70133671" w:rsidR="00202A98" w:rsidRDefault="00202A98" w:rsidP="00202A98">
      <w:pPr>
        <w:spacing w:line="360" w:lineRule="auto"/>
        <w:rPr>
          <w:rFonts w:ascii="Verdana" w:hAnsi="Verdana"/>
          <w:lang w:val="en-GB"/>
        </w:rPr>
      </w:pPr>
    </w:p>
    <w:p w14:paraId="4DC6640C" w14:textId="77777777" w:rsidR="00175AF0" w:rsidRDefault="00175AF0">
      <w:pPr>
        <w:ind w:firstLine="0"/>
        <w:rPr>
          <w:rFonts w:ascii="Verdana" w:hAnsi="Verdana"/>
          <w:lang w:val="en-GB"/>
        </w:rPr>
      </w:pPr>
    </w:p>
    <w:p w14:paraId="3F4497FA" w14:textId="77777777" w:rsidR="00175AF0" w:rsidRDefault="00175AF0">
      <w:pPr>
        <w:ind w:firstLine="0"/>
        <w:rPr>
          <w:rFonts w:ascii="Verdana" w:hAnsi="Verdana"/>
          <w:lang w:val="en-GB"/>
        </w:rPr>
      </w:pPr>
    </w:p>
    <w:p w14:paraId="6E2CBDDB" w14:textId="77777777" w:rsidR="00175AF0" w:rsidRDefault="00175AF0">
      <w:pPr>
        <w:ind w:firstLine="0"/>
        <w:rPr>
          <w:rFonts w:ascii="Verdana" w:hAnsi="Verdana"/>
          <w:lang w:val="en-GB"/>
        </w:rPr>
      </w:pPr>
    </w:p>
    <w:p w14:paraId="528727B5" w14:textId="58358C29" w:rsidR="00175AF0" w:rsidRDefault="00111CEA">
      <w:pPr>
        <w:ind w:firstLine="0"/>
        <w:rPr>
          <w:rFonts w:ascii="Verdana" w:hAnsi="Verdana"/>
          <w:lang w:val="en-GB"/>
        </w:rPr>
      </w:pPr>
      <w:r>
        <w:rPr>
          <w:noProof/>
        </w:rPr>
        <w:lastRenderedPageBreak/>
        <mc:AlternateContent>
          <mc:Choice Requires="wps">
            <w:drawing>
              <wp:anchor distT="0" distB="0" distL="114300" distR="114300" simplePos="0" relativeHeight="251942912" behindDoc="0" locked="0" layoutInCell="1" allowOverlap="1" wp14:anchorId="75083B06" wp14:editId="194EF64F">
                <wp:simplePos x="0" y="0"/>
                <wp:positionH relativeFrom="margin">
                  <wp:align>right</wp:align>
                </wp:positionH>
                <wp:positionV relativeFrom="paragraph">
                  <wp:posOffset>5536419</wp:posOffset>
                </wp:positionV>
                <wp:extent cx="5580380" cy="266065"/>
                <wp:effectExtent l="0" t="0" r="1270" b="1270"/>
                <wp:wrapTopAndBottom/>
                <wp:docPr id="107" name="Text Box 107"/>
                <wp:cNvGraphicFramePr/>
                <a:graphic xmlns:a="http://schemas.openxmlformats.org/drawingml/2006/main">
                  <a:graphicData uri="http://schemas.microsoft.com/office/word/2010/wordprocessingShape">
                    <wps:wsp>
                      <wps:cNvSpPr txBox="1"/>
                      <wps:spPr>
                        <a:xfrm>
                          <a:off x="0" y="0"/>
                          <a:ext cx="5580380" cy="266065"/>
                        </a:xfrm>
                        <a:prstGeom prst="rect">
                          <a:avLst/>
                        </a:prstGeom>
                        <a:solidFill>
                          <a:prstClr val="white"/>
                        </a:solidFill>
                        <a:ln>
                          <a:noFill/>
                        </a:ln>
                      </wps:spPr>
                      <wps:txbx>
                        <w:txbxContent>
                          <w:p w14:paraId="44FE09FD" w14:textId="457764F4" w:rsidR="00CA3E9A" w:rsidRPr="00865679" w:rsidRDefault="00CA3E9A" w:rsidP="00865679">
                            <w:pPr>
                              <w:pStyle w:val="Caption"/>
                              <w:ind w:firstLine="0"/>
                              <w:jc w:val="both"/>
                              <w:rPr>
                                <w:rFonts w:ascii="Verdana" w:hAnsi="Verdana"/>
                                <w:i w:val="0"/>
                                <w:iCs w:val="0"/>
                                <w:color w:val="auto"/>
                                <w:lang w:val="en-GB"/>
                              </w:rPr>
                            </w:pPr>
                            <w:bookmarkStart w:id="113" w:name="_Toc131412763"/>
                            <w:r w:rsidRPr="00865679">
                              <w:rPr>
                                <w:rFonts w:ascii="Verdana" w:hAnsi="Verdana"/>
                                <w:b/>
                                <w:bCs/>
                                <w:i w:val="0"/>
                                <w:iCs w:val="0"/>
                                <w:color w:val="auto"/>
                                <w:lang w:val="en-GB"/>
                              </w:rPr>
                              <w:t xml:space="preserve">Figure </w:t>
                            </w:r>
                            <w:r w:rsidRPr="00865679">
                              <w:rPr>
                                <w:rFonts w:ascii="Verdana" w:hAnsi="Verdana"/>
                                <w:b/>
                                <w:bCs/>
                                <w:i w:val="0"/>
                                <w:iCs w:val="0"/>
                                <w:color w:val="auto"/>
                                <w:lang w:val="en-GB"/>
                              </w:rPr>
                              <w:fldChar w:fldCharType="begin"/>
                            </w:r>
                            <w:r w:rsidRPr="00865679">
                              <w:rPr>
                                <w:rFonts w:ascii="Verdana" w:hAnsi="Verdana"/>
                                <w:b/>
                                <w:bCs/>
                                <w:i w:val="0"/>
                                <w:iCs w:val="0"/>
                                <w:color w:val="auto"/>
                                <w:lang w:val="en-GB"/>
                              </w:rPr>
                              <w:instrText xml:space="preserve"> SEQ Figure \* ARABIC </w:instrText>
                            </w:r>
                            <w:r w:rsidRPr="00865679">
                              <w:rPr>
                                <w:rFonts w:ascii="Verdana" w:hAnsi="Verdana"/>
                                <w:b/>
                                <w:bCs/>
                                <w:i w:val="0"/>
                                <w:iCs w:val="0"/>
                                <w:color w:val="auto"/>
                                <w:lang w:val="en-GB"/>
                              </w:rPr>
                              <w:fldChar w:fldCharType="separate"/>
                            </w:r>
                            <w:r w:rsidR="001D505F">
                              <w:rPr>
                                <w:rFonts w:ascii="Verdana" w:hAnsi="Verdana"/>
                                <w:b/>
                                <w:bCs/>
                                <w:i w:val="0"/>
                                <w:iCs w:val="0"/>
                                <w:noProof/>
                                <w:color w:val="auto"/>
                                <w:lang w:val="en-GB"/>
                              </w:rPr>
                              <w:t>21</w:t>
                            </w:r>
                            <w:r w:rsidRPr="00865679">
                              <w:rPr>
                                <w:rFonts w:ascii="Verdana" w:hAnsi="Verdana"/>
                                <w:b/>
                                <w:bCs/>
                                <w:i w:val="0"/>
                                <w:iCs w:val="0"/>
                                <w:color w:val="auto"/>
                                <w:lang w:val="en-GB"/>
                              </w:rPr>
                              <w:fldChar w:fldCharType="end"/>
                            </w:r>
                            <w:r w:rsidR="0053146B" w:rsidRPr="00865679">
                              <w:rPr>
                                <w:rFonts w:ascii="Verdana" w:hAnsi="Verdana"/>
                                <w:b/>
                                <w:bCs/>
                                <w:i w:val="0"/>
                                <w:iCs w:val="0"/>
                                <w:color w:val="auto"/>
                                <w:lang w:val="en-GB"/>
                              </w:rPr>
                              <w:t xml:space="preserve"> </w:t>
                            </w:r>
                            <w:r w:rsidR="00675D11" w:rsidRPr="00865679">
                              <w:rPr>
                                <w:rFonts w:ascii="Verdana" w:hAnsi="Verdana"/>
                                <w:i w:val="0"/>
                                <w:iCs w:val="0"/>
                                <w:color w:val="auto"/>
                                <w:lang w:val="en-GB"/>
                              </w:rPr>
                              <w:t>Phosphorylated alpha-synuclein</w:t>
                            </w:r>
                            <w:r w:rsidR="00B534C3" w:rsidRPr="00865679">
                              <w:rPr>
                                <w:rFonts w:ascii="Verdana" w:hAnsi="Verdana"/>
                                <w:i w:val="0"/>
                                <w:iCs w:val="0"/>
                                <w:color w:val="auto"/>
                                <w:lang w:val="en-GB"/>
                              </w:rPr>
                              <w:t xml:space="preserve"> staining</w:t>
                            </w:r>
                            <w:r w:rsidR="00675D11" w:rsidRPr="00865679">
                              <w:rPr>
                                <w:rFonts w:ascii="Verdana" w:hAnsi="Verdana"/>
                                <w:i w:val="0"/>
                                <w:iCs w:val="0"/>
                                <w:color w:val="auto"/>
                                <w:lang w:val="en-GB"/>
                              </w:rPr>
                              <w:t xml:space="preserve"> shows </w:t>
                            </w:r>
                            <w:r w:rsidR="00B534C3" w:rsidRPr="00865679">
                              <w:rPr>
                                <w:rFonts w:ascii="Verdana" w:hAnsi="Verdana"/>
                                <w:i w:val="0"/>
                                <w:iCs w:val="0"/>
                                <w:color w:val="auto"/>
                                <w:lang w:val="en-GB"/>
                              </w:rPr>
                              <w:t>nuclear localisation in the brain of transgenic Thy1-Syn14 mice</w:t>
                            </w:r>
                            <w:bookmarkEnd w:id="113"/>
                          </w:p>
                          <w:p w14:paraId="1FD5CEFE" w14:textId="320610F5" w:rsidR="00B534C3" w:rsidRPr="00C3062B" w:rsidRDefault="00C3062B" w:rsidP="00C3062B">
                            <w:pPr>
                              <w:ind w:firstLine="0"/>
                              <w:jc w:val="both"/>
                              <w:rPr>
                                <w:rFonts w:ascii="Verdana" w:hAnsi="Verdana"/>
                                <w:sz w:val="18"/>
                                <w:szCs w:val="18"/>
                                <w:lang w:val="en-GB"/>
                              </w:rPr>
                            </w:pPr>
                            <w:r w:rsidRPr="00C3062B">
                              <w:rPr>
                                <w:rFonts w:ascii="Verdana" w:hAnsi="Verdana"/>
                                <w:b/>
                                <w:bCs/>
                                <w:sz w:val="18"/>
                                <w:szCs w:val="18"/>
                                <w:lang w:val="en-GB"/>
                              </w:rPr>
                              <w:t>A)</w:t>
                            </w:r>
                            <w:r>
                              <w:rPr>
                                <w:rFonts w:ascii="Verdana" w:hAnsi="Verdana"/>
                                <w:b/>
                                <w:bCs/>
                                <w:sz w:val="18"/>
                                <w:szCs w:val="18"/>
                                <w:lang w:val="en-GB"/>
                              </w:rPr>
                              <w:t xml:space="preserve"> </w:t>
                            </w:r>
                            <w:r w:rsidRPr="00C3062B">
                              <w:rPr>
                                <w:rFonts w:ascii="Verdana" w:hAnsi="Verdana"/>
                                <w:sz w:val="18"/>
                                <w:szCs w:val="18"/>
                                <w:lang w:val="en-GB"/>
                              </w:rPr>
                              <w:t>Relative mRNA expression levels of murine and human alpha-synuclein in the midbrain of TG (purple) and WT (grey)</w:t>
                            </w:r>
                            <w:r w:rsidR="003125DF" w:rsidRPr="003125DF">
                              <w:rPr>
                                <w:rFonts w:ascii="Verdana" w:hAnsi="Verdana"/>
                                <w:sz w:val="18"/>
                                <w:szCs w:val="18"/>
                                <w:lang w:val="en-GB"/>
                              </w:rPr>
                              <w:t xml:space="preserve"> 3</w:t>
                            </w:r>
                            <w:r w:rsidR="003125DF">
                              <w:rPr>
                                <w:rFonts w:ascii="Verdana" w:hAnsi="Verdana"/>
                                <w:sz w:val="18"/>
                                <w:szCs w:val="18"/>
                                <w:lang w:val="en-GB"/>
                              </w:rPr>
                              <w:t>-months old female mice. Stats:</w:t>
                            </w:r>
                            <w:r w:rsidR="00C62C96">
                              <w:rPr>
                                <w:rFonts w:ascii="Verdana" w:hAnsi="Verdana"/>
                                <w:sz w:val="18"/>
                                <w:szCs w:val="18"/>
                                <w:lang w:val="en-GB"/>
                              </w:rPr>
                              <w:t xml:space="preserve"> Wilcoxon test</w:t>
                            </w:r>
                            <w:r w:rsidR="003125DF">
                              <w:rPr>
                                <w:rFonts w:ascii="Verdana" w:hAnsi="Verdana"/>
                                <w:sz w:val="18"/>
                                <w:szCs w:val="18"/>
                                <w:lang w:val="en-GB"/>
                              </w:rPr>
                              <w:t>. ns = non-significant, * = p&lt; 0.05.</w:t>
                            </w:r>
                            <w:r w:rsidR="003125DF">
                              <w:rPr>
                                <w:rFonts w:ascii="Verdana" w:hAnsi="Verdana"/>
                                <w:b/>
                                <w:bCs/>
                                <w:sz w:val="18"/>
                                <w:szCs w:val="18"/>
                                <w:lang w:val="en-GB"/>
                              </w:rPr>
                              <w:t xml:space="preserve"> </w:t>
                            </w:r>
                            <w:r>
                              <w:rPr>
                                <w:rFonts w:ascii="Verdana" w:hAnsi="Verdana"/>
                                <w:b/>
                                <w:bCs/>
                                <w:sz w:val="18"/>
                                <w:szCs w:val="18"/>
                                <w:lang w:val="en-GB"/>
                              </w:rPr>
                              <w:t xml:space="preserve"> </w:t>
                            </w:r>
                            <w:r w:rsidR="00001AA8" w:rsidRPr="00C3062B">
                              <w:rPr>
                                <w:rFonts w:ascii="Verdana" w:hAnsi="Verdana"/>
                                <w:b/>
                                <w:bCs/>
                                <w:sz w:val="18"/>
                                <w:szCs w:val="18"/>
                                <w:lang w:val="en-GB"/>
                              </w:rPr>
                              <w:t>B</w:t>
                            </w:r>
                            <w:r w:rsidR="00A93E11" w:rsidRPr="00C3062B">
                              <w:rPr>
                                <w:rFonts w:ascii="Verdana" w:hAnsi="Verdana"/>
                                <w:b/>
                                <w:bCs/>
                                <w:sz w:val="18"/>
                                <w:szCs w:val="18"/>
                                <w:lang w:val="en-GB"/>
                              </w:rPr>
                              <w:t>)</w:t>
                            </w:r>
                            <w:r w:rsidR="00A93E11" w:rsidRPr="00C3062B">
                              <w:rPr>
                                <w:rFonts w:ascii="Verdana" w:hAnsi="Verdana"/>
                                <w:sz w:val="18"/>
                                <w:szCs w:val="18"/>
                                <w:lang w:val="en-GB"/>
                              </w:rPr>
                              <w:t xml:space="preserve"> Representative immunohistochemistry images for human synuclein </w:t>
                            </w:r>
                            <w:r w:rsidR="00325079" w:rsidRPr="00C3062B">
                              <w:rPr>
                                <w:rFonts w:ascii="Verdana" w:hAnsi="Verdana"/>
                                <w:sz w:val="18"/>
                                <w:szCs w:val="18"/>
                                <w:lang w:val="en-GB"/>
                              </w:rPr>
                              <w:t xml:space="preserve">in WT (top) and TG (bottom) animals in different brain regions. </w:t>
                            </w:r>
                            <w:r w:rsidR="00001AA8" w:rsidRPr="00C3062B">
                              <w:rPr>
                                <w:rFonts w:ascii="Verdana" w:hAnsi="Verdana"/>
                                <w:b/>
                                <w:bCs/>
                                <w:sz w:val="18"/>
                                <w:szCs w:val="18"/>
                                <w:lang w:val="en-GB"/>
                              </w:rPr>
                              <w:t>C</w:t>
                            </w:r>
                            <w:r w:rsidR="00325079" w:rsidRPr="00C3062B">
                              <w:rPr>
                                <w:rFonts w:ascii="Verdana" w:hAnsi="Verdana"/>
                                <w:b/>
                                <w:bCs/>
                                <w:sz w:val="18"/>
                                <w:szCs w:val="18"/>
                                <w:lang w:val="en-GB"/>
                              </w:rPr>
                              <w:t>)</w:t>
                            </w:r>
                            <w:r w:rsidR="00325079" w:rsidRPr="00C3062B">
                              <w:rPr>
                                <w:rFonts w:ascii="Verdana" w:hAnsi="Verdana"/>
                                <w:sz w:val="18"/>
                                <w:szCs w:val="18"/>
                                <w:lang w:val="en-GB"/>
                              </w:rPr>
                              <w:t xml:space="preserve"> Representative immunohistochemistry images for </w:t>
                            </w:r>
                            <w:r w:rsidR="007B27F5" w:rsidRPr="00C3062B">
                              <w:rPr>
                                <w:rFonts w:ascii="Verdana" w:hAnsi="Verdana"/>
                                <w:sz w:val="18"/>
                                <w:szCs w:val="18"/>
                                <w:lang w:val="en-GB"/>
                              </w:rPr>
                              <w:t xml:space="preserve">phosphorylated alpha-synuclein staining in WT (top) and TG (bottom) mice. </w:t>
                            </w:r>
                            <w:r w:rsidRPr="00C3062B">
                              <w:rPr>
                                <w:rFonts w:ascii="Verdana" w:hAnsi="Verdana"/>
                                <w:b/>
                                <w:bCs/>
                                <w:sz w:val="18"/>
                                <w:szCs w:val="18"/>
                                <w:lang w:val="en-GB"/>
                              </w:rPr>
                              <w:t>D</w:t>
                            </w:r>
                            <w:r w:rsidR="007B27F5" w:rsidRPr="00C3062B">
                              <w:rPr>
                                <w:rFonts w:ascii="Verdana" w:hAnsi="Verdana"/>
                                <w:b/>
                                <w:bCs/>
                                <w:sz w:val="18"/>
                                <w:szCs w:val="18"/>
                                <w:lang w:val="en-GB"/>
                              </w:rPr>
                              <w:t>)</w:t>
                            </w:r>
                            <w:r w:rsidR="007B27F5" w:rsidRPr="00C3062B">
                              <w:rPr>
                                <w:rFonts w:ascii="Verdana" w:hAnsi="Verdana"/>
                                <w:sz w:val="18"/>
                                <w:szCs w:val="18"/>
                                <w:lang w:val="en-GB"/>
                              </w:rPr>
                              <w:t xml:space="preserve"> Magnifications of human synuclein staining in striatum and midbrain of TG mice. </w:t>
                            </w:r>
                            <w:r w:rsidRPr="00C3062B">
                              <w:rPr>
                                <w:rFonts w:ascii="Verdana" w:hAnsi="Verdana"/>
                                <w:b/>
                                <w:bCs/>
                                <w:sz w:val="18"/>
                                <w:szCs w:val="18"/>
                                <w:lang w:val="en-GB"/>
                              </w:rPr>
                              <w:t>E</w:t>
                            </w:r>
                            <w:r w:rsidR="00EE2284" w:rsidRPr="00C3062B">
                              <w:rPr>
                                <w:rFonts w:ascii="Verdana" w:hAnsi="Verdana"/>
                                <w:b/>
                                <w:bCs/>
                                <w:sz w:val="18"/>
                                <w:szCs w:val="18"/>
                                <w:lang w:val="en-GB"/>
                              </w:rPr>
                              <w:t>)</w:t>
                            </w:r>
                            <w:r w:rsidR="00EE2284" w:rsidRPr="00C3062B">
                              <w:rPr>
                                <w:rFonts w:ascii="Verdana" w:hAnsi="Verdana"/>
                                <w:sz w:val="18"/>
                                <w:szCs w:val="18"/>
                                <w:lang w:val="en-GB"/>
                              </w:rPr>
                              <w:t xml:space="preserve"> Magnifications of phosphorylated alpha-synuclein staining</w:t>
                            </w:r>
                            <w:r w:rsidR="00865679" w:rsidRPr="00C3062B">
                              <w:rPr>
                                <w:rFonts w:ascii="Verdana" w:hAnsi="Verdana"/>
                                <w:sz w:val="18"/>
                                <w:szCs w:val="18"/>
                                <w:lang w:val="en-GB"/>
                              </w:rPr>
                              <w:t xml:space="preserve"> in the cortex and hippocampus of TG mice.</w:t>
                            </w:r>
                          </w:p>
                          <w:p w14:paraId="4BF8C3EB" w14:textId="69FB28B0" w:rsidR="00325079" w:rsidRDefault="00325079" w:rsidP="00865679">
                            <w:pPr>
                              <w:ind w:firstLine="0"/>
                              <w:jc w:val="both"/>
                              <w:rPr>
                                <w:rFonts w:ascii="Verdana" w:hAnsi="Verdana"/>
                                <w:sz w:val="18"/>
                                <w:szCs w:val="18"/>
                                <w:lang w:val="en-GB"/>
                              </w:rPr>
                            </w:pPr>
                            <w:r w:rsidRPr="00865679">
                              <w:rPr>
                                <w:rFonts w:ascii="Verdana" w:hAnsi="Verdana"/>
                                <w:sz w:val="18"/>
                                <w:szCs w:val="18"/>
                                <w:lang w:val="en-GB"/>
                              </w:rPr>
                              <w:t>10X magnification, scale bar: 200</w:t>
                            </w:r>
                            <w:r w:rsidRPr="00865679">
                              <w:rPr>
                                <w:rFonts w:ascii="Verdana" w:hAnsi="Verdana" w:cstheme="minorHAnsi"/>
                                <w:sz w:val="18"/>
                                <w:szCs w:val="18"/>
                                <w:lang w:val="en-GB"/>
                              </w:rPr>
                              <w:t>µ</w:t>
                            </w:r>
                            <w:r w:rsidRPr="00865679">
                              <w:rPr>
                                <w:rFonts w:ascii="Verdana" w:hAnsi="Verdana"/>
                                <w:sz w:val="18"/>
                                <w:szCs w:val="18"/>
                                <w:lang w:val="en-GB"/>
                              </w:rPr>
                              <w:t>m</w:t>
                            </w:r>
                          </w:p>
                          <w:p w14:paraId="6354E9C9" w14:textId="616EDA86" w:rsidR="00F23E33" w:rsidRPr="00865679" w:rsidRDefault="00F23E33" w:rsidP="00865679">
                            <w:pPr>
                              <w:ind w:firstLine="0"/>
                              <w:jc w:val="both"/>
                              <w:rPr>
                                <w:rFonts w:ascii="Verdana" w:hAnsi="Verdana"/>
                                <w:sz w:val="18"/>
                                <w:szCs w:val="18"/>
                                <w:lang w:val="en-GB"/>
                              </w:rPr>
                            </w:pPr>
                            <w:r>
                              <w:rPr>
                                <w:rFonts w:ascii="Verdana" w:hAnsi="Verdana"/>
                                <w:sz w:val="18"/>
                                <w:szCs w:val="18"/>
                                <w:lang w:val="en-GB"/>
                              </w:rPr>
                              <w:t xml:space="preserve">WT = wild-type littermates, TG = transgenic Thy1-Syn14 mice, CTX = cortex, STR = striatum, CC = corpus callosum, CA1 = </w:t>
                            </w:r>
                            <w:proofErr w:type="spellStart"/>
                            <w:r>
                              <w:rPr>
                                <w:rFonts w:ascii="Verdana" w:hAnsi="Verdana"/>
                                <w:sz w:val="18"/>
                                <w:szCs w:val="18"/>
                                <w:lang w:val="en-GB"/>
                              </w:rPr>
                              <w:t>cornu</w:t>
                            </w:r>
                            <w:proofErr w:type="spellEnd"/>
                            <w:r>
                              <w:rPr>
                                <w:rFonts w:ascii="Verdana" w:hAnsi="Verdana"/>
                                <w:sz w:val="18"/>
                                <w:szCs w:val="18"/>
                                <w:lang w:val="en-GB"/>
                              </w:rPr>
                              <w:t xml:space="preserve"> </w:t>
                            </w:r>
                            <w:proofErr w:type="spellStart"/>
                            <w:r w:rsidR="004E2673">
                              <w:rPr>
                                <w:rFonts w:ascii="Verdana" w:hAnsi="Verdana"/>
                                <w:sz w:val="18"/>
                                <w:szCs w:val="18"/>
                                <w:lang w:val="en-GB"/>
                              </w:rPr>
                              <w:t>A</w:t>
                            </w:r>
                            <w:r>
                              <w:rPr>
                                <w:rFonts w:ascii="Verdana" w:hAnsi="Verdana"/>
                                <w:sz w:val="18"/>
                                <w:szCs w:val="18"/>
                                <w:lang w:val="en-GB"/>
                              </w:rPr>
                              <w:t>mmonis</w:t>
                            </w:r>
                            <w:proofErr w:type="spellEnd"/>
                            <w:r>
                              <w:rPr>
                                <w:rFonts w:ascii="Verdana" w:hAnsi="Verdana"/>
                                <w:sz w:val="18"/>
                                <w:szCs w:val="18"/>
                                <w:lang w:val="en-GB"/>
                              </w:rPr>
                              <w:t xml:space="preserve"> 1</w:t>
                            </w:r>
                            <w:r w:rsidR="009669E2">
                              <w:rPr>
                                <w:rFonts w:ascii="Verdana" w:hAnsi="Verdana"/>
                                <w:sz w:val="18"/>
                                <w:szCs w:val="18"/>
                                <w:lang w:val="en-GB"/>
                              </w:rPr>
                              <w:t xml:space="preserve"> of the hippocampus, CA3 = </w:t>
                            </w:r>
                            <w:proofErr w:type="spellStart"/>
                            <w:r w:rsidR="009669E2">
                              <w:rPr>
                                <w:rFonts w:ascii="Verdana" w:hAnsi="Verdana"/>
                                <w:sz w:val="18"/>
                                <w:szCs w:val="18"/>
                                <w:lang w:val="en-GB"/>
                              </w:rPr>
                              <w:t>cornu</w:t>
                            </w:r>
                            <w:proofErr w:type="spellEnd"/>
                            <w:r w:rsidR="009669E2">
                              <w:rPr>
                                <w:rFonts w:ascii="Verdana" w:hAnsi="Verdana"/>
                                <w:sz w:val="18"/>
                                <w:szCs w:val="18"/>
                                <w:lang w:val="en-GB"/>
                              </w:rPr>
                              <w:t xml:space="preserve"> </w:t>
                            </w:r>
                            <w:proofErr w:type="spellStart"/>
                            <w:r w:rsidR="009669E2">
                              <w:rPr>
                                <w:rFonts w:ascii="Verdana" w:hAnsi="Verdana"/>
                                <w:sz w:val="18"/>
                                <w:szCs w:val="18"/>
                                <w:lang w:val="en-GB"/>
                              </w:rPr>
                              <w:t>Ammonis</w:t>
                            </w:r>
                            <w:proofErr w:type="spellEnd"/>
                            <w:r w:rsidR="009669E2">
                              <w:rPr>
                                <w:rFonts w:ascii="Verdana" w:hAnsi="Verdana"/>
                                <w:sz w:val="18"/>
                                <w:szCs w:val="18"/>
                                <w:lang w:val="en-GB"/>
                              </w:rPr>
                              <w:t xml:space="preserve"> 3 of the hippocampus, DG = dentate gyrus, MB = midbrain, BS = brainstem, h-Syn = human alpha-synuclein, </w:t>
                            </w:r>
                            <w:proofErr w:type="spellStart"/>
                            <w:r w:rsidR="009669E2">
                              <w:rPr>
                                <w:rFonts w:ascii="Verdana" w:hAnsi="Verdana"/>
                                <w:sz w:val="18"/>
                                <w:szCs w:val="18"/>
                                <w:lang w:val="en-GB"/>
                              </w:rPr>
                              <w:t>pSyn</w:t>
                            </w:r>
                            <w:proofErr w:type="spellEnd"/>
                            <w:r w:rsidR="009669E2">
                              <w:rPr>
                                <w:rFonts w:ascii="Verdana" w:hAnsi="Verdana"/>
                                <w:sz w:val="18"/>
                                <w:szCs w:val="18"/>
                                <w:lang w:val="en-GB"/>
                              </w:rPr>
                              <w:t xml:space="preserve"> = phosphorylated alpha-synuclein.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083B06" id="Text Box 107" o:spid="_x0000_s1049" type="#_x0000_t202" style="position:absolute;margin-left:388.2pt;margin-top:435.95pt;width:439.4pt;height:20.95pt;z-index:2519429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" stroked="f">
                <v:textbox style="mso-fit-shape-to-text:t" inset="0,0,0,0">
                  <w:txbxContent>
                    <w:p w14:paraId="44FE09FD" w14:textId="457764F4" w:rsidR="00CA3E9A" w:rsidRPr="00865679" w:rsidRDefault="00CA3E9A" w:rsidP="00865679">
                      <w:pPr>
                        <w:pStyle w:val="Caption"/>
                        <w:ind w:firstLine="0"/>
                        <w:jc w:val="both"/>
                        <w:rPr>
                          <w:rFonts w:ascii="Verdana" w:hAnsi="Verdana"/>
                          <w:i w:val="0"/>
                          <w:iCs w:val="0"/>
                          <w:color w:val="auto"/>
                          <w:lang w:val="en-GB"/>
                        </w:rPr>
                      </w:pPr>
                      <w:bookmarkStart w:id="114" w:name="_Toc131412763"/>
                      <w:r w:rsidRPr="00865679">
                        <w:rPr>
                          <w:rFonts w:ascii="Verdana" w:hAnsi="Verdana"/>
                          <w:b/>
                          <w:bCs/>
                          <w:i w:val="0"/>
                          <w:iCs w:val="0"/>
                          <w:color w:val="auto"/>
                          <w:lang w:val="en-GB"/>
                        </w:rPr>
                        <w:t xml:space="preserve">Figure </w:t>
                      </w:r>
                      <w:r w:rsidRPr="00865679">
                        <w:rPr>
                          <w:rFonts w:ascii="Verdana" w:hAnsi="Verdana"/>
                          <w:b/>
                          <w:bCs/>
                          <w:i w:val="0"/>
                          <w:iCs w:val="0"/>
                          <w:color w:val="auto"/>
                          <w:lang w:val="en-GB"/>
                        </w:rPr>
                        <w:fldChar w:fldCharType="begin"/>
                      </w:r>
                      <w:r w:rsidRPr="00865679">
                        <w:rPr>
                          <w:rFonts w:ascii="Verdana" w:hAnsi="Verdana"/>
                          <w:b/>
                          <w:bCs/>
                          <w:i w:val="0"/>
                          <w:iCs w:val="0"/>
                          <w:color w:val="auto"/>
                          <w:lang w:val="en-GB"/>
                        </w:rPr>
                        <w:instrText xml:space="preserve"> SEQ Figure \* ARABIC </w:instrText>
                      </w:r>
                      <w:r w:rsidRPr="00865679">
                        <w:rPr>
                          <w:rFonts w:ascii="Verdana" w:hAnsi="Verdana"/>
                          <w:b/>
                          <w:bCs/>
                          <w:i w:val="0"/>
                          <w:iCs w:val="0"/>
                          <w:color w:val="auto"/>
                          <w:lang w:val="en-GB"/>
                        </w:rPr>
                        <w:fldChar w:fldCharType="separate"/>
                      </w:r>
                      <w:r w:rsidR="001D505F">
                        <w:rPr>
                          <w:rFonts w:ascii="Verdana" w:hAnsi="Verdana"/>
                          <w:b/>
                          <w:bCs/>
                          <w:i w:val="0"/>
                          <w:iCs w:val="0"/>
                          <w:noProof/>
                          <w:color w:val="auto"/>
                          <w:lang w:val="en-GB"/>
                        </w:rPr>
                        <w:t>21</w:t>
                      </w:r>
                      <w:r w:rsidRPr="00865679">
                        <w:rPr>
                          <w:rFonts w:ascii="Verdana" w:hAnsi="Verdana"/>
                          <w:b/>
                          <w:bCs/>
                          <w:i w:val="0"/>
                          <w:iCs w:val="0"/>
                          <w:color w:val="auto"/>
                          <w:lang w:val="en-GB"/>
                        </w:rPr>
                        <w:fldChar w:fldCharType="end"/>
                      </w:r>
                      <w:r w:rsidR="0053146B" w:rsidRPr="00865679">
                        <w:rPr>
                          <w:rFonts w:ascii="Verdana" w:hAnsi="Verdana"/>
                          <w:b/>
                          <w:bCs/>
                          <w:i w:val="0"/>
                          <w:iCs w:val="0"/>
                          <w:color w:val="auto"/>
                          <w:lang w:val="en-GB"/>
                        </w:rPr>
                        <w:t xml:space="preserve"> </w:t>
                      </w:r>
                      <w:r w:rsidR="00675D11" w:rsidRPr="00865679">
                        <w:rPr>
                          <w:rFonts w:ascii="Verdana" w:hAnsi="Verdana"/>
                          <w:i w:val="0"/>
                          <w:iCs w:val="0"/>
                          <w:color w:val="auto"/>
                          <w:lang w:val="en-GB"/>
                        </w:rPr>
                        <w:t>Phosphorylated alpha-synuclein</w:t>
                      </w:r>
                      <w:r w:rsidR="00B534C3" w:rsidRPr="00865679">
                        <w:rPr>
                          <w:rFonts w:ascii="Verdana" w:hAnsi="Verdana"/>
                          <w:i w:val="0"/>
                          <w:iCs w:val="0"/>
                          <w:color w:val="auto"/>
                          <w:lang w:val="en-GB"/>
                        </w:rPr>
                        <w:t xml:space="preserve"> staining</w:t>
                      </w:r>
                      <w:r w:rsidR="00675D11" w:rsidRPr="00865679">
                        <w:rPr>
                          <w:rFonts w:ascii="Verdana" w:hAnsi="Verdana"/>
                          <w:i w:val="0"/>
                          <w:iCs w:val="0"/>
                          <w:color w:val="auto"/>
                          <w:lang w:val="en-GB"/>
                        </w:rPr>
                        <w:t xml:space="preserve"> shows </w:t>
                      </w:r>
                      <w:r w:rsidR="00B534C3" w:rsidRPr="00865679">
                        <w:rPr>
                          <w:rFonts w:ascii="Verdana" w:hAnsi="Verdana"/>
                          <w:i w:val="0"/>
                          <w:iCs w:val="0"/>
                          <w:color w:val="auto"/>
                          <w:lang w:val="en-GB"/>
                        </w:rPr>
                        <w:t>nuclear localisation in the brain of transgenic Thy1-Syn14 mice</w:t>
                      </w:r>
                      <w:bookmarkEnd w:id="114"/>
                    </w:p>
                    <w:p w14:paraId="1FD5CEFE" w14:textId="320610F5" w:rsidR="00B534C3" w:rsidRPr="00C3062B" w:rsidRDefault="00C3062B" w:rsidP="00C3062B">
                      <w:pPr>
                        <w:ind w:firstLine="0"/>
                        <w:jc w:val="both"/>
                        <w:rPr>
                          <w:rFonts w:ascii="Verdana" w:hAnsi="Verdana"/>
                          <w:sz w:val="18"/>
                          <w:szCs w:val="18"/>
                          <w:lang w:val="en-GB"/>
                        </w:rPr>
                      </w:pPr>
                      <w:r w:rsidRPr="00C3062B">
                        <w:rPr>
                          <w:rFonts w:ascii="Verdana" w:hAnsi="Verdana"/>
                          <w:b/>
                          <w:bCs/>
                          <w:sz w:val="18"/>
                          <w:szCs w:val="18"/>
                          <w:lang w:val="en-GB"/>
                        </w:rPr>
                        <w:t>A)</w:t>
                      </w:r>
                      <w:r>
                        <w:rPr>
                          <w:rFonts w:ascii="Verdana" w:hAnsi="Verdana"/>
                          <w:b/>
                          <w:bCs/>
                          <w:sz w:val="18"/>
                          <w:szCs w:val="18"/>
                          <w:lang w:val="en-GB"/>
                        </w:rPr>
                        <w:t xml:space="preserve"> </w:t>
                      </w:r>
                      <w:r w:rsidRPr="00C3062B">
                        <w:rPr>
                          <w:rFonts w:ascii="Verdana" w:hAnsi="Verdana"/>
                          <w:sz w:val="18"/>
                          <w:szCs w:val="18"/>
                          <w:lang w:val="en-GB"/>
                        </w:rPr>
                        <w:t>Relative mRNA expression levels of murine and human alpha-synuclein in the midbrain of TG (purple) and WT (grey)</w:t>
                      </w:r>
                      <w:r w:rsidR="003125DF" w:rsidRPr="003125DF">
                        <w:rPr>
                          <w:rFonts w:ascii="Verdana" w:hAnsi="Verdana"/>
                          <w:sz w:val="18"/>
                          <w:szCs w:val="18"/>
                          <w:lang w:val="en-GB"/>
                        </w:rPr>
                        <w:t xml:space="preserve"> 3</w:t>
                      </w:r>
                      <w:r w:rsidR="003125DF">
                        <w:rPr>
                          <w:rFonts w:ascii="Verdana" w:hAnsi="Verdana"/>
                          <w:sz w:val="18"/>
                          <w:szCs w:val="18"/>
                          <w:lang w:val="en-GB"/>
                        </w:rPr>
                        <w:t>-months old female mice. Stats:</w:t>
                      </w:r>
                      <w:r w:rsidR="00C62C96">
                        <w:rPr>
                          <w:rFonts w:ascii="Verdana" w:hAnsi="Verdana"/>
                          <w:sz w:val="18"/>
                          <w:szCs w:val="18"/>
                          <w:lang w:val="en-GB"/>
                        </w:rPr>
                        <w:t xml:space="preserve"> Wilcoxon test</w:t>
                      </w:r>
                      <w:r w:rsidR="003125DF">
                        <w:rPr>
                          <w:rFonts w:ascii="Verdana" w:hAnsi="Verdana"/>
                          <w:sz w:val="18"/>
                          <w:szCs w:val="18"/>
                          <w:lang w:val="en-GB"/>
                        </w:rPr>
                        <w:t>. ns = non-significant, * = p&lt; 0.05.</w:t>
                      </w:r>
                      <w:r w:rsidR="003125DF">
                        <w:rPr>
                          <w:rFonts w:ascii="Verdana" w:hAnsi="Verdana"/>
                          <w:b/>
                          <w:bCs/>
                          <w:sz w:val="18"/>
                          <w:szCs w:val="18"/>
                          <w:lang w:val="en-GB"/>
                        </w:rPr>
                        <w:t xml:space="preserve"> </w:t>
                      </w:r>
                      <w:r>
                        <w:rPr>
                          <w:rFonts w:ascii="Verdana" w:hAnsi="Verdana"/>
                          <w:b/>
                          <w:bCs/>
                          <w:sz w:val="18"/>
                          <w:szCs w:val="18"/>
                          <w:lang w:val="en-GB"/>
                        </w:rPr>
                        <w:t xml:space="preserve"> </w:t>
                      </w:r>
                      <w:r w:rsidR="00001AA8" w:rsidRPr="00C3062B">
                        <w:rPr>
                          <w:rFonts w:ascii="Verdana" w:hAnsi="Verdana"/>
                          <w:b/>
                          <w:bCs/>
                          <w:sz w:val="18"/>
                          <w:szCs w:val="18"/>
                          <w:lang w:val="en-GB"/>
                        </w:rPr>
                        <w:t>B</w:t>
                      </w:r>
                      <w:r w:rsidR="00A93E11" w:rsidRPr="00C3062B">
                        <w:rPr>
                          <w:rFonts w:ascii="Verdana" w:hAnsi="Verdana"/>
                          <w:b/>
                          <w:bCs/>
                          <w:sz w:val="18"/>
                          <w:szCs w:val="18"/>
                          <w:lang w:val="en-GB"/>
                        </w:rPr>
                        <w:t>)</w:t>
                      </w:r>
                      <w:r w:rsidR="00A93E11" w:rsidRPr="00C3062B">
                        <w:rPr>
                          <w:rFonts w:ascii="Verdana" w:hAnsi="Verdana"/>
                          <w:sz w:val="18"/>
                          <w:szCs w:val="18"/>
                          <w:lang w:val="en-GB"/>
                        </w:rPr>
                        <w:t xml:space="preserve"> Representative immunohistochemistry images for human synuclein </w:t>
                      </w:r>
                      <w:r w:rsidR="00325079" w:rsidRPr="00C3062B">
                        <w:rPr>
                          <w:rFonts w:ascii="Verdana" w:hAnsi="Verdana"/>
                          <w:sz w:val="18"/>
                          <w:szCs w:val="18"/>
                          <w:lang w:val="en-GB"/>
                        </w:rPr>
                        <w:t xml:space="preserve">in WT (top) and TG (bottom) animals in different brain regions. </w:t>
                      </w:r>
                      <w:r w:rsidR="00001AA8" w:rsidRPr="00C3062B">
                        <w:rPr>
                          <w:rFonts w:ascii="Verdana" w:hAnsi="Verdana"/>
                          <w:b/>
                          <w:bCs/>
                          <w:sz w:val="18"/>
                          <w:szCs w:val="18"/>
                          <w:lang w:val="en-GB"/>
                        </w:rPr>
                        <w:t>C</w:t>
                      </w:r>
                      <w:r w:rsidR="00325079" w:rsidRPr="00C3062B">
                        <w:rPr>
                          <w:rFonts w:ascii="Verdana" w:hAnsi="Verdana"/>
                          <w:b/>
                          <w:bCs/>
                          <w:sz w:val="18"/>
                          <w:szCs w:val="18"/>
                          <w:lang w:val="en-GB"/>
                        </w:rPr>
                        <w:t>)</w:t>
                      </w:r>
                      <w:r w:rsidR="00325079" w:rsidRPr="00C3062B">
                        <w:rPr>
                          <w:rFonts w:ascii="Verdana" w:hAnsi="Verdana"/>
                          <w:sz w:val="18"/>
                          <w:szCs w:val="18"/>
                          <w:lang w:val="en-GB"/>
                        </w:rPr>
                        <w:t xml:space="preserve"> Representative immunohistochemistry images for </w:t>
                      </w:r>
                      <w:r w:rsidR="007B27F5" w:rsidRPr="00C3062B">
                        <w:rPr>
                          <w:rFonts w:ascii="Verdana" w:hAnsi="Verdana"/>
                          <w:sz w:val="18"/>
                          <w:szCs w:val="18"/>
                          <w:lang w:val="en-GB"/>
                        </w:rPr>
                        <w:t xml:space="preserve">phosphorylated alpha-synuclein staining in WT (top) and TG (bottom) mice. </w:t>
                      </w:r>
                      <w:r w:rsidRPr="00C3062B">
                        <w:rPr>
                          <w:rFonts w:ascii="Verdana" w:hAnsi="Verdana"/>
                          <w:b/>
                          <w:bCs/>
                          <w:sz w:val="18"/>
                          <w:szCs w:val="18"/>
                          <w:lang w:val="en-GB"/>
                        </w:rPr>
                        <w:t>D</w:t>
                      </w:r>
                      <w:r w:rsidR="007B27F5" w:rsidRPr="00C3062B">
                        <w:rPr>
                          <w:rFonts w:ascii="Verdana" w:hAnsi="Verdana"/>
                          <w:b/>
                          <w:bCs/>
                          <w:sz w:val="18"/>
                          <w:szCs w:val="18"/>
                          <w:lang w:val="en-GB"/>
                        </w:rPr>
                        <w:t>)</w:t>
                      </w:r>
                      <w:r w:rsidR="007B27F5" w:rsidRPr="00C3062B">
                        <w:rPr>
                          <w:rFonts w:ascii="Verdana" w:hAnsi="Verdana"/>
                          <w:sz w:val="18"/>
                          <w:szCs w:val="18"/>
                          <w:lang w:val="en-GB"/>
                        </w:rPr>
                        <w:t xml:space="preserve"> Magnifications of human synuclein staining in striatum and midbrain of TG mice. </w:t>
                      </w:r>
                      <w:r w:rsidRPr="00C3062B">
                        <w:rPr>
                          <w:rFonts w:ascii="Verdana" w:hAnsi="Verdana"/>
                          <w:b/>
                          <w:bCs/>
                          <w:sz w:val="18"/>
                          <w:szCs w:val="18"/>
                          <w:lang w:val="en-GB"/>
                        </w:rPr>
                        <w:t>E</w:t>
                      </w:r>
                      <w:r w:rsidR="00EE2284" w:rsidRPr="00C3062B">
                        <w:rPr>
                          <w:rFonts w:ascii="Verdana" w:hAnsi="Verdana"/>
                          <w:b/>
                          <w:bCs/>
                          <w:sz w:val="18"/>
                          <w:szCs w:val="18"/>
                          <w:lang w:val="en-GB"/>
                        </w:rPr>
                        <w:t>)</w:t>
                      </w:r>
                      <w:r w:rsidR="00EE2284" w:rsidRPr="00C3062B">
                        <w:rPr>
                          <w:rFonts w:ascii="Verdana" w:hAnsi="Verdana"/>
                          <w:sz w:val="18"/>
                          <w:szCs w:val="18"/>
                          <w:lang w:val="en-GB"/>
                        </w:rPr>
                        <w:t xml:space="preserve"> Magnifications of phosphorylated alpha-synuclein staining</w:t>
                      </w:r>
                      <w:r w:rsidR="00865679" w:rsidRPr="00C3062B">
                        <w:rPr>
                          <w:rFonts w:ascii="Verdana" w:hAnsi="Verdana"/>
                          <w:sz w:val="18"/>
                          <w:szCs w:val="18"/>
                          <w:lang w:val="en-GB"/>
                        </w:rPr>
                        <w:t xml:space="preserve"> in the cortex and hippocampus of TG mice.</w:t>
                      </w:r>
                    </w:p>
                    <w:p w14:paraId="4BF8C3EB" w14:textId="69FB28B0" w:rsidR="00325079" w:rsidRDefault="00325079" w:rsidP="00865679">
                      <w:pPr>
                        <w:ind w:firstLine="0"/>
                        <w:jc w:val="both"/>
                        <w:rPr>
                          <w:rFonts w:ascii="Verdana" w:hAnsi="Verdana"/>
                          <w:sz w:val="18"/>
                          <w:szCs w:val="18"/>
                          <w:lang w:val="en-GB"/>
                        </w:rPr>
                      </w:pPr>
                      <w:r w:rsidRPr="00865679">
                        <w:rPr>
                          <w:rFonts w:ascii="Verdana" w:hAnsi="Verdana"/>
                          <w:sz w:val="18"/>
                          <w:szCs w:val="18"/>
                          <w:lang w:val="en-GB"/>
                        </w:rPr>
                        <w:t>10X magnification, scale bar: 200</w:t>
                      </w:r>
                      <w:r w:rsidRPr="00865679">
                        <w:rPr>
                          <w:rFonts w:ascii="Verdana" w:hAnsi="Verdana" w:cstheme="minorHAnsi"/>
                          <w:sz w:val="18"/>
                          <w:szCs w:val="18"/>
                          <w:lang w:val="en-GB"/>
                        </w:rPr>
                        <w:t>µ</w:t>
                      </w:r>
                      <w:r w:rsidRPr="00865679">
                        <w:rPr>
                          <w:rFonts w:ascii="Verdana" w:hAnsi="Verdana"/>
                          <w:sz w:val="18"/>
                          <w:szCs w:val="18"/>
                          <w:lang w:val="en-GB"/>
                        </w:rPr>
                        <w:t>m</w:t>
                      </w:r>
                    </w:p>
                    <w:p w14:paraId="6354E9C9" w14:textId="616EDA86" w:rsidR="00F23E33" w:rsidRPr="00865679" w:rsidRDefault="00F23E33" w:rsidP="00865679">
                      <w:pPr>
                        <w:ind w:firstLine="0"/>
                        <w:jc w:val="both"/>
                        <w:rPr>
                          <w:rFonts w:ascii="Verdana" w:hAnsi="Verdana"/>
                          <w:sz w:val="18"/>
                          <w:szCs w:val="18"/>
                          <w:lang w:val="en-GB"/>
                        </w:rPr>
                      </w:pPr>
                      <w:r>
                        <w:rPr>
                          <w:rFonts w:ascii="Verdana" w:hAnsi="Verdana"/>
                          <w:sz w:val="18"/>
                          <w:szCs w:val="18"/>
                          <w:lang w:val="en-GB"/>
                        </w:rPr>
                        <w:t xml:space="preserve">WT = wild-type littermates, TG = transgenic Thy1-Syn14 mice, CTX = cortex, STR = striatum, CC = corpus callosum, CA1 = </w:t>
                      </w:r>
                      <w:proofErr w:type="spellStart"/>
                      <w:r>
                        <w:rPr>
                          <w:rFonts w:ascii="Verdana" w:hAnsi="Verdana"/>
                          <w:sz w:val="18"/>
                          <w:szCs w:val="18"/>
                          <w:lang w:val="en-GB"/>
                        </w:rPr>
                        <w:t>cornu</w:t>
                      </w:r>
                      <w:proofErr w:type="spellEnd"/>
                      <w:r>
                        <w:rPr>
                          <w:rFonts w:ascii="Verdana" w:hAnsi="Verdana"/>
                          <w:sz w:val="18"/>
                          <w:szCs w:val="18"/>
                          <w:lang w:val="en-GB"/>
                        </w:rPr>
                        <w:t xml:space="preserve"> </w:t>
                      </w:r>
                      <w:proofErr w:type="spellStart"/>
                      <w:r w:rsidR="004E2673">
                        <w:rPr>
                          <w:rFonts w:ascii="Verdana" w:hAnsi="Verdana"/>
                          <w:sz w:val="18"/>
                          <w:szCs w:val="18"/>
                          <w:lang w:val="en-GB"/>
                        </w:rPr>
                        <w:t>A</w:t>
                      </w:r>
                      <w:r>
                        <w:rPr>
                          <w:rFonts w:ascii="Verdana" w:hAnsi="Verdana"/>
                          <w:sz w:val="18"/>
                          <w:szCs w:val="18"/>
                          <w:lang w:val="en-GB"/>
                        </w:rPr>
                        <w:t>mmonis</w:t>
                      </w:r>
                      <w:proofErr w:type="spellEnd"/>
                      <w:r>
                        <w:rPr>
                          <w:rFonts w:ascii="Verdana" w:hAnsi="Verdana"/>
                          <w:sz w:val="18"/>
                          <w:szCs w:val="18"/>
                          <w:lang w:val="en-GB"/>
                        </w:rPr>
                        <w:t xml:space="preserve"> 1</w:t>
                      </w:r>
                      <w:r w:rsidR="009669E2">
                        <w:rPr>
                          <w:rFonts w:ascii="Verdana" w:hAnsi="Verdana"/>
                          <w:sz w:val="18"/>
                          <w:szCs w:val="18"/>
                          <w:lang w:val="en-GB"/>
                        </w:rPr>
                        <w:t xml:space="preserve"> of the hippocampus, CA3 = </w:t>
                      </w:r>
                      <w:proofErr w:type="spellStart"/>
                      <w:r w:rsidR="009669E2">
                        <w:rPr>
                          <w:rFonts w:ascii="Verdana" w:hAnsi="Verdana"/>
                          <w:sz w:val="18"/>
                          <w:szCs w:val="18"/>
                          <w:lang w:val="en-GB"/>
                        </w:rPr>
                        <w:t>cornu</w:t>
                      </w:r>
                      <w:proofErr w:type="spellEnd"/>
                      <w:r w:rsidR="009669E2">
                        <w:rPr>
                          <w:rFonts w:ascii="Verdana" w:hAnsi="Verdana"/>
                          <w:sz w:val="18"/>
                          <w:szCs w:val="18"/>
                          <w:lang w:val="en-GB"/>
                        </w:rPr>
                        <w:t xml:space="preserve"> </w:t>
                      </w:r>
                      <w:proofErr w:type="spellStart"/>
                      <w:r w:rsidR="009669E2">
                        <w:rPr>
                          <w:rFonts w:ascii="Verdana" w:hAnsi="Verdana"/>
                          <w:sz w:val="18"/>
                          <w:szCs w:val="18"/>
                          <w:lang w:val="en-GB"/>
                        </w:rPr>
                        <w:t>Ammonis</w:t>
                      </w:r>
                      <w:proofErr w:type="spellEnd"/>
                      <w:r w:rsidR="009669E2">
                        <w:rPr>
                          <w:rFonts w:ascii="Verdana" w:hAnsi="Verdana"/>
                          <w:sz w:val="18"/>
                          <w:szCs w:val="18"/>
                          <w:lang w:val="en-GB"/>
                        </w:rPr>
                        <w:t xml:space="preserve"> 3 of the hippocampus, DG = dentate gyrus, MB = midbrain, BS = brainstem, h-Syn = human alpha-synuclein, </w:t>
                      </w:r>
                      <w:proofErr w:type="spellStart"/>
                      <w:r w:rsidR="009669E2">
                        <w:rPr>
                          <w:rFonts w:ascii="Verdana" w:hAnsi="Verdana"/>
                          <w:sz w:val="18"/>
                          <w:szCs w:val="18"/>
                          <w:lang w:val="en-GB"/>
                        </w:rPr>
                        <w:t>pSyn</w:t>
                      </w:r>
                      <w:proofErr w:type="spellEnd"/>
                      <w:r w:rsidR="009669E2">
                        <w:rPr>
                          <w:rFonts w:ascii="Verdana" w:hAnsi="Verdana"/>
                          <w:sz w:val="18"/>
                          <w:szCs w:val="18"/>
                          <w:lang w:val="en-GB"/>
                        </w:rPr>
                        <w:t xml:space="preserve"> = phosphorylated alpha-synuclein.</w:t>
                      </w:r>
                    </w:p>
                  </w:txbxContent>
                </v:textbox>
                <w10:wrap type="topAndBottom" anchorx="margin"/>
              </v:shape>
            </w:pict>
          </mc:Fallback>
        </mc:AlternateContent>
      </w:r>
      <w:r>
        <w:rPr>
          <w:rFonts w:ascii="Verdana" w:hAnsi="Verdana"/>
          <w:noProof/>
          <w:lang w:val="en-GB"/>
        </w:rPr>
        <w:drawing>
          <wp:anchor distT="0" distB="0" distL="114300" distR="114300" simplePos="0" relativeHeight="251960320" behindDoc="0" locked="0" layoutInCell="1" allowOverlap="1" wp14:anchorId="7AFA7B71" wp14:editId="57F08327">
            <wp:simplePos x="0" y="0"/>
            <wp:positionH relativeFrom="column">
              <wp:posOffset>4386</wp:posOffset>
            </wp:positionH>
            <wp:positionV relativeFrom="paragraph">
              <wp:posOffset>0</wp:posOffset>
            </wp:positionV>
            <wp:extent cx="5580380" cy="5229225"/>
            <wp:effectExtent l="0" t="0" r="1270" b="9525"/>
            <wp:wrapTopAndBottom/>
            <wp:docPr id="152" name="Picture 15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screenshot of a computer&#10;&#10;Description automatically generated with low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80380" cy="5229225"/>
                    </a:xfrm>
                    <a:prstGeom prst="rect">
                      <a:avLst/>
                    </a:prstGeom>
                  </pic:spPr>
                </pic:pic>
              </a:graphicData>
            </a:graphic>
          </wp:anchor>
        </w:drawing>
      </w:r>
    </w:p>
    <w:p w14:paraId="60970D7F" w14:textId="7F1B5FC2" w:rsidR="00202A98" w:rsidRDefault="00F016B4" w:rsidP="00382652">
      <w:pPr>
        <w:ind w:firstLine="0"/>
        <w:rPr>
          <w:rFonts w:ascii="Verdana" w:hAnsi="Verdana"/>
          <w:lang w:val="en-GB"/>
        </w:rPr>
      </w:pPr>
      <w:r>
        <w:rPr>
          <w:rFonts w:ascii="Verdana" w:hAnsi="Verdana"/>
          <w:lang w:val="en-GB"/>
        </w:rPr>
        <w:br w:type="page"/>
      </w:r>
    </w:p>
    <w:p w14:paraId="57374BE0" w14:textId="7B2C7D7B" w:rsidR="006A717F" w:rsidRPr="006A717F" w:rsidRDefault="009E5729" w:rsidP="000B321E">
      <w:pPr>
        <w:pStyle w:val="Heading2"/>
        <w:spacing w:line="360" w:lineRule="auto"/>
        <w:rPr>
          <w:lang w:val="en-GB"/>
        </w:rPr>
      </w:pPr>
      <w:bookmarkStart w:id="115" w:name="_Toc130223448"/>
      <w:r>
        <w:rPr>
          <w:lang w:val="en-GB"/>
        </w:rPr>
        <w:lastRenderedPageBreak/>
        <w:t>6.2</w:t>
      </w:r>
      <w:r>
        <w:rPr>
          <w:lang w:val="en-GB"/>
        </w:rPr>
        <w:tab/>
      </w:r>
      <w:r w:rsidR="006A717F">
        <w:rPr>
          <w:lang w:val="en-GB"/>
        </w:rPr>
        <w:t xml:space="preserve"> </w:t>
      </w:r>
      <w:r w:rsidR="006A717F" w:rsidRPr="006A717F">
        <w:rPr>
          <w:lang w:val="en-GB"/>
        </w:rPr>
        <w:t>Transgenic Thy1-Sy</w:t>
      </w:r>
      <w:r w:rsidR="006A717F" w:rsidRPr="009F1B27">
        <w:rPr>
          <w:lang w:val="en-GB"/>
        </w:rPr>
        <w:t>n14 mice show</w:t>
      </w:r>
      <w:r w:rsidR="006A717F">
        <w:rPr>
          <w:lang w:val="en-GB"/>
        </w:rPr>
        <w:t xml:space="preserve"> pronounced motor impairments</w:t>
      </w:r>
      <w:bookmarkEnd w:id="115"/>
    </w:p>
    <w:p w14:paraId="2CAB6C11" w14:textId="42B1EF07" w:rsidR="006A717F" w:rsidRPr="006A717F" w:rsidRDefault="006A717F" w:rsidP="00041E01">
      <w:pPr>
        <w:spacing w:line="360" w:lineRule="auto"/>
        <w:ind w:firstLine="0"/>
        <w:jc w:val="both"/>
        <w:rPr>
          <w:rFonts w:ascii="Verdana" w:hAnsi="Verdana"/>
          <w:lang w:val="en-GB"/>
        </w:rPr>
      </w:pPr>
      <w:r w:rsidRPr="006A717F">
        <w:rPr>
          <w:rFonts w:ascii="Verdana" w:hAnsi="Verdana"/>
          <w:lang w:val="en-GB"/>
        </w:rPr>
        <w:t xml:space="preserve">The motor performance of Thy1-Syn14 </w:t>
      </w:r>
      <w:r w:rsidR="008E03A4">
        <w:rPr>
          <w:rFonts w:ascii="Verdana" w:hAnsi="Verdana"/>
          <w:lang w:val="en-GB"/>
        </w:rPr>
        <w:t xml:space="preserve">female </w:t>
      </w:r>
      <w:r w:rsidRPr="006A717F">
        <w:rPr>
          <w:rFonts w:ascii="Verdana" w:hAnsi="Verdana"/>
          <w:lang w:val="en-GB"/>
        </w:rPr>
        <w:t>mice was evaluated at the age of 6-months. The hindlimb clasping has been shown to be an indicator of lesions in the motor pathway in mouse models of neurodegeneration.</w:t>
      </w:r>
      <w:r w:rsidR="008E03A4">
        <w:rPr>
          <w:rFonts w:ascii="Verdana" w:hAnsi="Verdana"/>
          <w:lang w:val="en-GB"/>
        </w:rPr>
        <w:t xml:space="preserve"> Female Thy1-Syn14 transgenic mice did not show any impairment in hindlimb clasping, receiving all </w:t>
      </w:r>
      <w:r w:rsidR="005854E0">
        <w:rPr>
          <w:rFonts w:ascii="Verdana" w:hAnsi="Verdana"/>
          <w:lang w:val="en-GB"/>
        </w:rPr>
        <w:t>a score of “0”</w:t>
      </w:r>
      <w:r w:rsidRPr="006A717F">
        <w:rPr>
          <w:rFonts w:ascii="Verdana" w:hAnsi="Verdana"/>
          <w:lang w:val="en-GB"/>
        </w:rPr>
        <w:t xml:space="preserve"> </w:t>
      </w:r>
      <w:r w:rsidR="0091692A">
        <w:rPr>
          <w:rFonts w:ascii="Verdana" w:hAnsi="Verdana"/>
          <w:lang w:val="en-GB"/>
        </w:rPr>
        <w:t xml:space="preserve">(Figure </w:t>
      </w:r>
      <w:r w:rsidR="00BD1461">
        <w:rPr>
          <w:rFonts w:ascii="Verdana" w:hAnsi="Verdana"/>
          <w:lang w:val="en-GB"/>
        </w:rPr>
        <w:t>22</w:t>
      </w:r>
      <w:r w:rsidR="0091692A">
        <w:rPr>
          <w:rFonts w:ascii="Verdana" w:hAnsi="Verdana"/>
          <w:lang w:val="en-GB"/>
        </w:rPr>
        <w:t>A)</w:t>
      </w:r>
      <w:r w:rsidRPr="006A717F">
        <w:rPr>
          <w:rFonts w:ascii="Verdana" w:hAnsi="Verdana"/>
          <w:lang w:val="en-GB"/>
        </w:rPr>
        <w:t>. The inverted grid test allows for the meas</w:t>
      </w:r>
      <w:r w:rsidR="003454D5">
        <w:rPr>
          <w:rFonts w:ascii="Verdana" w:hAnsi="Verdana"/>
          <w:lang w:val="en-GB"/>
        </w:rPr>
        <w:t>urement of the grip strength of the 4 paws simultaneously</w:t>
      </w:r>
      <w:r w:rsidR="004D752A">
        <w:rPr>
          <w:rFonts w:ascii="Verdana" w:hAnsi="Verdana"/>
          <w:lang w:val="en-GB"/>
        </w:rPr>
        <w:t>.</w:t>
      </w:r>
      <w:r w:rsidR="003454D5">
        <w:rPr>
          <w:rFonts w:ascii="Verdana" w:hAnsi="Verdana"/>
          <w:lang w:val="en-GB"/>
        </w:rPr>
        <w:t xml:space="preserve"> </w:t>
      </w:r>
      <w:r w:rsidR="004D752A">
        <w:rPr>
          <w:rFonts w:ascii="Verdana" w:hAnsi="Verdana"/>
          <w:lang w:val="en-GB"/>
        </w:rPr>
        <w:t>F</w:t>
      </w:r>
      <w:r w:rsidR="003454D5">
        <w:rPr>
          <w:rFonts w:ascii="Verdana" w:hAnsi="Verdana"/>
          <w:lang w:val="en-GB"/>
        </w:rPr>
        <w:t>emale TG mice showed a significant reduction in hanging time compared to their WT littermates</w:t>
      </w:r>
      <w:r w:rsidR="00EC19DA">
        <w:rPr>
          <w:rFonts w:ascii="Verdana" w:hAnsi="Verdana"/>
          <w:lang w:val="en-GB"/>
        </w:rPr>
        <w:t xml:space="preserve"> </w:t>
      </w:r>
      <w:r w:rsidR="0091692A" w:rsidRPr="00FF24CE">
        <w:rPr>
          <w:rFonts w:ascii="Verdana" w:hAnsi="Verdana"/>
          <w:lang w:val="en-GB"/>
        </w:rPr>
        <w:t>(</w:t>
      </w:r>
      <w:r w:rsidR="00FF24CE" w:rsidRPr="00FF24CE">
        <w:rPr>
          <w:rFonts w:ascii="Verdana" w:hAnsi="Verdana"/>
          <w:lang w:val="en-GB"/>
        </w:rPr>
        <w:t xml:space="preserve">p = </w:t>
      </w:r>
      <w:r w:rsidR="00FF24CE">
        <w:rPr>
          <w:rFonts w:ascii="Verdana" w:hAnsi="Verdana"/>
          <w:lang w:val="en-GB"/>
        </w:rPr>
        <w:t>0.00</w:t>
      </w:r>
      <w:r w:rsidR="00FF24CE" w:rsidRPr="00FF24CE">
        <w:rPr>
          <w:rFonts w:ascii="Verdana" w:hAnsi="Verdana"/>
          <w:lang w:val="en-GB"/>
        </w:rPr>
        <w:t>28</w:t>
      </w:r>
      <w:r w:rsidR="00FF24CE">
        <w:rPr>
          <w:rFonts w:ascii="Verdana" w:hAnsi="Verdana"/>
          <w:lang w:val="en-GB"/>
        </w:rPr>
        <w:t xml:space="preserve">, </w:t>
      </w:r>
      <w:r w:rsidR="0091692A">
        <w:rPr>
          <w:rFonts w:ascii="Verdana" w:hAnsi="Verdana"/>
          <w:lang w:val="en-GB"/>
        </w:rPr>
        <w:t xml:space="preserve">Figure </w:t>
      </w:r>
      <w:r w:rsidR="00BD1461">
        <w:rPr>
          <w:rFonts w:ascii="Verdana" w:hAnsi="Verdana"/>
          <w:lang w:val="en-GB"/>
        </w:rPr>
        <w:t>22</w:t>
      </w:r>
      <w:r w:rsidR="0091692A">
        <w:rPr>
          <w:rFonts w:ascii="Verdana" w:hAnsi="Verdana"/>
          <w:lang w:val="en-GB"/>
        </w:rPr>
        <w:t>B)</w:t>
      </w:r>
      <w:r w:rsidR="00EC19DA">
        <w:rPr>
          <w:rFonts w:ascii="Verdana" w:hAnsi="Verdana"/>
          <w:lang w:val="en-GB"/>
        </w:rPr>
        <w:t xml:space="preserve">. The adhesive removal test is a sensory-motor test based on the ability of the mice to detect and remove an adhesive tape </w:t>
      </w:r>
      <w:r w:rsidR="00B527BF">
        <w:rPr>
          <w:rFonts w:ascii="Verdana" w:hAnsi="Verdana"/>
          <w:lang w:val="en-GB"/>
        </w:rPr>
        <w:t xml:space="preserve">placed at the bottom of the front paw. </w:t>
      </w:r>
      <w:r w:rsidR="004A26FC">
        <w:rPr>
          <w:rFonts w:ascii="Verdana" w:hAnsi="Verdana"/>
          <w:lang w:val="en-GB"/>
        </w:rPr>
        <w:t>TG</w:t>
      </w:r>
      <w:r w:rsidR="00B527BF">
        <w:rPr>
          <w:rFonts w:ascii="Verdana" w:hAnsi="Verdana"/>
          <w:lang w:val="en-GB"/>
        </w:rPr>
        <w:t xml:space="preserve"> mice showed </w:t>
      </w:r>
      <w:r w:rsidR="00CB0076">
        <w:rPr>
          <w:rFonts w:ascii="Verdana" w:hAnsi="Verdana"/>
          <w:lang w:val="en-GB"/>
        </w:rPr>
        <w:t xml:space="preserve">increased </w:t>
      </w:r>
      <w:r w:rsidR="00B527BF">
        <w:rPr>
          <w:rFonts w:ascii="Verdana" w:hAnsi="Verdana"/>
          <w:lang w:val="en-GB"/>
        </w:rPr>
        <w:t>delays in both detection (First Touch</w:t>
      </w:r>
      <w:r w:rsidR="004A26FC">
        <w:rPr>
          <w:rFonts w:ascii="Verdana" w:hAnsi="Verdana"/>
          <w:lang w:val="en-GB"/>
        </w:rPr>
        <w:t xml:space="preserve">, p = </w:t>
      </w:r>
      <w:r w:rsidR="00AC2292">
        <w:rPr>
          <w:rFonts w:ascii="Verdana" w:hAnsi="Verdana"/>
          <w:lang w:val="en-GB"/>
        </w:rPr>
        <w:t>0.012</w:t>
      </w:r>
      <w:r w:rsidR="00B527BF">
        <w:rPr>
          <w:rFonts w:ascii="Verdana" w:hAnsi="Verdana"/>
          <w:lang w:val="en-GB"/>
        </w:rPr>
        <w:t>) and removal (</w:t>
      </w:r>
      <w:r w:rsidR="00CB0076">
        <w:rPr>
          <w:rFonts w:ascii="Verdana" w:hAnsi="Verdana"/>
          <w:lang w:val="en-GB"/>
        </w:rPr>
        <w:t>Removal</w:t>
      </w:r>
      <w:r w:rsidR="00AC2292">
        <w:rPr>
          <w:rFonts w:ascii="Verdana" w:hAnsi="Verdana"/>
          <w:lang w:val="en-GB"/>
        </w:rPr>
        <w:t>, p = 0.012</w:t>
      </w:r>
      <w:r w:rsidR="00CB0076">
        <w:rPr>
          <w:rFonts w:ascii="Verdana" w:hAnsi="Verdana"/>
          <w:lang w:val="en-GB"/>
        </w:rPr>
        <w:t>) times compared to their WT littermates</w:t>
      </w:r>
      <w:r w:rsidR="004A26FC">
        <w:rPr>
          <w:rFonts w:ascii="Verdana" w:hAnsi="Verdana"/>
          <w:lang w:val="en-GB"/>
        </w:rPr>
        <w:t xml:space="preserve"> (Figure </w:t>
      </w:r>
      <w:r w:rsidR="00BD1461">
        <w:rPr>
          <w:rFonts w:ascii="Verdana" w:hAnsi="Verdana"/>
          <w:lang w:val="en-GB"/>
        </w:rPr>
        <w:t>22</w:t>
      </w:r>
      <w:r w:rsidR="004A26FC">
        <w:rPr>
          <w:rFonts w:ascii="Verdana" w:hAnsi="Verdana"/>
          <w:lang w:val="en-GB"/>
        </w:rPr>
        <w:t>C</w:t>
      </w:r>
      <w:r w:rsidR="00CB0076">
        <w:rPr>
          <w:rFonts w:ascii="Verdana" w:hAnsi="Verdana"/>
          <w:lang w:val="en-GB"/>
        </w:rPr>
        <w:t>,</w:t>
      </w:r>
      <w:r w:rsidR="00AC2292">
        <w:rPr>
          <w:rFonts w:ascii="Verdana" w:hAnsi="Verdana"/>
          <w:lang w:val="en-GB"/>
        </w:rPr>
        <w:t xml:space="preserve"> left and middle),</w:t>
      </w:r>
      <w:r w:rsidR="00CB0076">
        <w:rPr>
          <w:rFonts w:ascii="Verdana" w:hAnsi="Verdana"/>
          <w:lang w:val="en-GB"/>
        </w:rPr>
        <w:t xml:space="preserve"> but </w:t>
      </w:r>
      <w:r w:rsidR="00AC2292">
        <w:rPr>
          <w:rFonts w:ascii="Verdana" w:hAnsi="Verdana"/>
          <w:lang w:val="en-GB"/>
        </w:rPr>
        <w:t xml:space="preserve">no significant differences in </w:t>
      </w:r>
      <w:r w:rsidR="00D60C0E">
        <w:rPr>
          <w:rFonts w:ascii="Verdana" w:hAnsi="Verdana"/>
          <w:lang w:val="en-GB"/>
        </w:rPr>
        <w:t xml:space="preserve">total removal time (Figure </w:t>
      </w:r>
      <w:r w:rsidR="00BD1461">
        <w:rPr>
          <w:rFonts w:ascii="Verdana" w:hAnsi="Verdana"/>
          <w:lang w:val="en-GB"/>
        </w:rPr>
        <w:t>22</w:t>
      </w:r>
      <w:r w:rsidR="00D60C0E">
        <w:rPr>
          <w:rFonts w:ascii="Verdana" w:hAnsi="Verdana"/>
          <w:lang w:val="en-GB"/>
        </w:rPr>
        <w:t>C, right) indicating TG mice present a deficit in sensing but not in motor function.</w:t>
      </w:r>
    </w:p>
    <w:p w14:paraId="29F14EA8" w14:textId="35D58B12" w:rsidR="00DC6228" w:rsidRDefault="00DC6228">
      <w:pPr>
        <w:ind w:firstLine="0"/>
        <w:rPr>
          <w:rFonts w:ascii="Verdana" w:hAnsi="Verdana"/>
          <w:lang w:val="en-GB"/>
        </w:rPr>
      </w:pPr>
      <w:r>
        <w:rPr>
          <w:rFonts w:ascii="Verdana" w:hAnsi="Verdana"/>
          <w:lang w:val="en-GB"/>
        </w:rPr>
        <w:br w:type="page"/>
      </w:r>
    </w:p>
    <w:p w14:paraId="07C545D8" w14:textId="1EFD91C6" w:rsidR="002C580D" w:rsidRPr="00A40ACF" w:rsidRDefault="00A723ED" w:rsidP="00A40ACF">
      <w:pPr>
        <w:ind w:firstLine="0"/>
        <w:rPr>
          <w:rFonts w:ascii="Verdana" w:hAnsi="Verdana"/>
          <w:lang w:val="en-GB"/>
        </w:rPr>
      </w:pPr>
      <w:r>
        <w:rPr>
          <w:noProof/>
        </w:rPr>
        <w:lastRenderedPageBreak/>
        <mc:AlternateContent>
          <mc:Choice Requires="wps">
            <w:drawing>
              <wp:anchor distT="0" distB="0" distL="114300" distR="114300" simplePos="0" relativeHeight="251951104" behindDoc="0" locked="0" layoutInCell="1" allowOverlap="1" wp14:anchorId="6A659E4F" wp14:editId="00CE0A76">
                <wp:simplePos x="0" y="0"/>
                <wp:positionH relativeFrom="margin">
                  <wp:posOffset>-1270</wp:posOffset>
                </wp:positionH>
                <wp:positionV relativeFrom="paragraph">
                  <wp:posOffset>4450080</wp:posOffset>
                </wp:positionV>
                <wp:extent cx="5580380" cy="1609090"/>
                <wp:effectExtent l="0" t="0" r="1270" b="0"/>
                <wp:wrapTopAndBottom/>
                <wp:docPr id="146" name="Text Box 146"/>
                <wp:cNvGraphicFramePr/>
                <a:graphic xmlns:a="http://schemas.openxmlformats.org/drawingml/2006/main">
                  <a:graphicData uri="http://schemas.microsoft.com/office/word/2010/wordprocessingShape">
                    <wps:wsp>
                      <wps:cNvSpPr txBox="1"/>
                      <wps:spPr>
                        <a:xfrm>
                          <a:off x="0" y="0"/>
                          <a:ext cx="5580380" cy="1609090"/>
                        </a:xfrm>
                        <a:prstGeom prst="rect">
                          <a:avLst/>
                        </a:prstGeom>
                        <a:solidFill>
                          <a:prstClr val="white"/>
                        </a:solidFill>
                        <a:ln>
                          <a:noFill/>
                        </a:ln>
                      </wps:spPr>
                      <wps:txbx>
                        <w:txbxContent>
                          <w:p w14:paraId="702FD016" w14:textId="570B3E2D" w:rsidR="00F62EDF" w:rsidRPr="002C580D" w:rsidRDefault="00F62EDF" w:rsidP="002C580D">
                            <w:pPr>
                              <w:pStyle w:val="Caption"/>
                              <w:ind w:firstLine="0"/>
                              <w:jc w:val="both"/>
                              <w:rPr>
                                <w:rFonts w:ascii="Verdana" w:hAnsi="Verdana"/>
                                <w:i w:val="0"/>
                                <w:iCs w:val="0"/>
                                <w:color w:val="auto"/>
                              </w:rPr>
                            </w:pPr>
                            <w:bookmarkStart w:id="116" w:name="_Toc131412764"/>
                            <w:r w:rsidRPr="002C580D">
                              <w:rPr>
                                <w:rFonts w:ascii="Verdana" w:hAnsi="Verdana"/>
                                <w:b/>
                                <w:bCs/>
                                <w:i w:val="0"/>
                                <w:iCs w:val="0"/>
                                <w:color w:val="auto"/>
                              </w:rPr>
                              <w:t xml:space="preserve">Figure </w:t>
                            </w:r>
                            <w:r w:rsidRPr="002C580D">
                              <w:rPr>
                                <w:rFonts w:ascii="Verdana" w:hAnsi="Verdana"/>
                                <w:b/>
                                <w:bCs/>
                                <w:i w:val="0"/>
                                <w:iCs w:val="0"/>
                                <w:color w:val="auto"/>
                              </w:rPr>
                              <w:fldChar w:fldCharType="begin"/>
                            </w:r>
                            <w:r w:rsidRPr="002C580D">
                              <w:rPr>
                                <w:rFonts w:ascii="Verdana" w:hAnsi="Verdana"/>
                                <w:b/>
                                <w:bCs/>
                                <w:i w:val="0"/>
                                <w:iCs w:val="0"/>
                                <w:color w:val="auto"/>
                              </w:rPr>
                              <w:instrText xml:space="preserve"> SEQ Figure \* ARABIC </w:instrText>
                            </w:r>
                            <w:r w:rsidRPr="002C580D">
                              <w:rPr>
                                <w:rFonts w:ascii="Verdana" w:hAnsi="Verdana"/>
                                <w:b/>
                                <w:bCs/>
                                <w:i w:val="0"/>
                                <w:iCs w:val="0"/>
                                <w:color w:val="auto"/>
                              </w:rPr>
                              <w:fldChar w:fldCharType="separate"/>
                            </w:r>
                            <w:r w:rsidR="001D505F">
                              <w:rPr>
                                <w:rFonts w:ascii="Verdana" w:hAnsi="Verdana"/>
                                <w:b/>
                                <w:bCs/>
                                <w:i w:val="0"/>
                                <w:iCs w:val="0"/>
                                <w:noProof/>
                                <w:color w:val="auto"/>
                              </w:rPr>
                              <w:t>22</w:t>
                            </w:r>
                            <w:r w:rsidRPr="002C580D">
                              <w:rPr>
                                <w:rFonts w:ascii="Verdana" w:hAnsi="Verdana"/>
                                <w:b/>
                                <w:bCs/>
                                <w:i w:val="0"/>
                                <w:iCs w:val="0"/>
                                <w:color w:val="auto"/>
                              </w:rPr>
                              <w:fldChar w:fldCharType="end"/>
                            </w:r>
                            <w:r w:rsidRPr="002C580D">
                              <w:rPr>
                                <w:rFonts w:ascii="Verdana" w:hAnsi="Verdana"/>
                                <w:b/>
                                <w:bCs/>
                                <w:i w:val="0"/>
                                <w:iCs w:val="0"/>
                                <w:color w:val="auto"/>
                              </w:rPr>
                              <w:t xml:space="preserve"> </w:t>
                            </w:r>
                            <w:r w:rsidRPr="002C580D">
                              <w:rPr>
                                <w:rFonts w:ascii="Verdana" w:hAnsi="Verdana"/>
                                <w:i w:val="0"/>
                                <w:iCs w:val="0"/>
                                <w:color w:val="auto"/>
                              </w:rPr>
                              <w:t xml:space="preserve">6-months old Thy1-Syn14 transgenic mice display </w:t>
                            </w:r>
                            <w:r w:rsidR="000C4944" w:rsidRPr="002C580D">
                              <w:rPr>
                                <w:rFonts w:ascii="Verdana" w:hAnsi="Verdana"/>
                                <w:i w:val="0"/>
                                <w:iCs w:val="0"/>
                                <w:color w:val="auto"/>
                              </w:rPr>
                              <w:t>alpha-synuclein driven motor deficits</w:t>
                            </w:r>
                            <w:bookmarkEnd w:id="116"/>
                          </w:p>
                          <w:p w14:paraId="306186F3" w14:textId="13C09407" w:rsidR="000C4944" w:rsidRPr="002C580D" w:rsidRDefault="000C4944" w:rsidP="002C580D">
                            <w:pPr>
                              <w:ind w:firstLine="0"/>
                              <w:jc w:val="both"/>
                              <w:rPr>
                                <w:rFonts w:ascii="Verdana" w:hAnsi="Verdana"/>
                                <w:sz w:val="18"/>
                                <w:szCs w:val="18"/>
                              </w:rPr>
                            </w:pPr>
                            <w:r w:rsidRPr="002C580D">
                              <w:rPr>
                                <w:rFonts w:ascii="Verdana" w:hAnsi="Verdana"/>
                                <w:b/>
                                <w:bCs/>
                                <w:sz w:val="18"/>
                                <w:szCs w:val="18"/>
                              </w:rPr>
                              <w:t>A)</w:t>
                            </w:r>
                            <w:r w:rsidRPr="002C580D">
                              <w:rPr>
                                <w:rFonts w:ascii="Verdana" w:hAnsi="Verdana"/>
                                <w:sz w:val="18"/>
                                <w:szCs w:val="18"/>
                              </w:rPr>
                              <w:t xml:space="preserve"> Stacked bar</w:t>
                            </w:r>
                            <w:r w:rsidR="0001745A">
                              <w:rPr>
                                <w:rFonts w:ascii="Verdana" w:hAnsi="Verdana"/>
                                <w:sz w:val="18"/>
                                <w:szCs w:val="18"/>
                              </w:rPr>
                              <w:t xml:space="preserve"> </w:t>
                            </w:r>
                            <w:r w:rsidRPr="002C580D">
                              <w:rPr>
                                <w:rFonts w:ascii="Verdana" w:hAnsi="Verdana"/>
                                <w:sz w:val="18"/>
                                <w:szCs w:val="18"/>
                              </w:rPr>
                              <w:t xml:space="preserve">plot illustrating hindlimb clasping scores for </w:t>
                            </w:r>
                            <w:r w:rsidR="00A723ED">
                              <w:rPr>
                                <w:rFonts w:ascii="Verdana" w:hAnsi="Verdana"/>
                                <w:sz w:val="18"/>
                                <w:szCs w:val="18"/>
                              </w:rPr>
                              <w:t>WT</w:t>
                            </w:r>
                            <w:r w:rsidRPr="002C580D">
                              <w:rPr>
                                <w:rFonts w:ascii="Verdana" w:hAnsi="Verdana"/>
                                <w:sz w:val="18"/>
                                <w:szCs w:val="18"/>
                              </w:rPr>
                              <w:t xml:space="preserve"> (left) and </w:t>
                            </w:r>
                            <w:r w:rsidR="00A723ED">
                              <w:rPr>
                                <w:rFonts w:ascii="Verdana" w:hAnsi="Verdana"/>
                                <w:sz w:val="18"/>
                                <w:szCs w:val="18"/>
                              </w:rPr>
                              <w:t>transgenic</w:t>
                            </w:r>
                            <w:r w:rsidRPr="002C580D">
                              <w:rPr>
                                <w:rFonts w:ascii="Verdana" w:hAnsi="Verdana"/>
                                <w:sz w:val="18"/>
                                <w:szCs w:val="18"/>
                              </w:rPr>
                              <w:t xml:space="preserve"> (right) mice. The numbers inside the bars indicate the number of mice. </w:t>
                            </w:r>
                            <w:r w:rsidRPr="002C580D">
                              <w:rPr>
                                <w:rFonts w:ascii="Verdana" w:hAnsi="Verdana"/>
                                <w:b/>
                                <w:bCs/>
                                <w:sz w:val="18"/>
                                <w:szCs w:val="18"/>
                              </w:rPr>
                              <w:t>B)</w:t>
                            </w:r>
                            <w:r w:rsidRPr="002C580D">
                              <w:rPr>
                                <w:rFonts w:ascii="Verdana" w:hAnsi="Verdana"/>
                                <w:sz w:val="18"/>
                                <w:szCs w:val="18"/>
                              </w:rPr>
                              <w:t xml:space="preserve"> </w:t>
                            </w:r>
                            <w:r w:rsidR="00F80205" w:rsidRPr="002C580D">
                              <w:rPr>
                                <w:rFonts w:ascii="Verdana" w:hAnsi="Verdana"/>
                                <w:sz w:val="18"/>
                                <w:szCs w:val="18"/>
                              </w:rPr>
                              <w:t xml:space="preserve">Boxplot illustrating performance in the inverted grid test for </w:t>
                            </w:r>
                            <w:r w:rsidR="00A723ED">
                              <w:rPr>
                                <w:rFonts w:ascii="Verdana" w:hAnsi="Verdana"/>
                                <w:sz w:val="18"/>
                                <w:szCs w:val="18"/>
                              </w:rPr>
                              <w:t>WT</w:t>
                            </w:r>
                            <w:r w:rsidR="00F80205" w:rsidRPr="002C580D">
                              <w:rPr>
                                <w:rFonts w:ascii="Verdana" w:hAnsi="Verdana"/>
                                <w:sz w:val="18"/>
                                <w:szCs w:val="18"/>
                              </w:rPr>
                              <w:t xml:space="preserve"> (left) and </w:t>
                            </w:r>
                            <w:r w:rsidR="00A723ED">
                              <w:rPr>
                                <w:rFonts w:ascii="Verdana" w:hAnsi="Verdana"/>
                                <w:sz w:val="18"/>
                                <w:szCs w:val="18"/>
                              </w:rPr>
                              <w:t>transgenic</w:t>
                            </w:r>
                            <w:r w:rsidR="00F80205" w:rsidRPr="002C580D">
                              <w:rPr>
                                <w:rFonts w:ascii="Verdana" w:hAnsi="Verdana"/>
                                <w:sz w:val="18"/>
                                <w:szCs w:val="18"/>
                              </w:rPr>
                              <w:t xml:space="preserve"> (right) </w:t>
                            </w:r>
                            <w:r w:rsidR="00A723ED">
                              <w:rPr>
                                <w:rFonts w:ascii="Verdana" w:hAnsi="Verdana"/>
                                <w:sz w:val="18"/>
                                <w:szCs w:val="18"/>
                              </w:rPr>
                              <w:t xml:space="preserve">Thy1-Syn14 </w:t>
                            </w:r>
                            <w:r w:rsidR="00F80205" w:rsidRPr="002C580D">
                              <w:rPr>
                                <w:rFonts w:ascii="Verdana" w:hAnsi="Verdana"/>
                                <w:sz w:val="18"/>
                                <w:szCs w:val="18"/>
                              </w:rPr>
                              <w:t xml:space="preserve">mice. </w:t>
                            </w:r>
                            <w:r w:rsidR="00F80205" w:rsidRPr="002C580D">
                              <w:rPr>
                                <w:rFonts w:ascii="Verdana" w:hAnsi="Verdana"/>
                                <w:b/>
                                <w:bCs/>
                                <w:sz w:val="18"/>
                                <w:szCs w:val="18"/>
                              </w:rPr>
                              <w:t>C)</w:t>
                            </w:r>
                            <w:r w:rsidR="00F80205" w:rsidRPr="002C580D">
                              <w:rPr>
                                <w:rFonts w:ascii="Verdana" w:hAnsi="Verdana"/>
                                <w:sz w:val="18"/>
                                <w:szCs w:val="18"/>
                              </w:rPr>
                              <w:t xml:space="preserve"> </w:t>
                            </w:r>
                            <w:r w:rsidR="001A67BE" w:rsidRPr="002C580D">
                              <w:rPr>
                                <w:rFonts w:ascii="Verdana" w:hAnsi="Verdana"/>
                                <w:sz w:val="18"/>
                                <w:szCs w:val="18"/>
                              </w:rPr>
                              <w:t>Adhesive removal test results</w:t>
                            </w:r>
                            <w:r w:rsidR="00052AB9" w:rsidRPr="002C580D">
                              <w:rPr>
                                <w:rFonts w:ascii="Verdana" w:hAnsi="Verdana"/>
                                <w:sz w:val="18"/>
                                <w:szCs w:val="18"/>
                              </w:rPr>
                              <w:t>. The “Time to Remove” is calculated as “Removal” – “First Touch”.</w:t>
                            </w:r>
                          </w:p>
                          <w:p w14:paraId="77562935" w14:textId="21D66E5D" w:rsidR="00052AB9" w:rsidRPr="002C580D" w:rsidRDefault="00052AB9" w:rsidP="002C580D">
                            <w:pPr>
                              <w:ind w:firstLine="0"/>
                              <w:jc w:val="both"/>
                              <w:rPr>
                                <w:rFonts w:ascii="Verdana" w:hAnsi="Verdana"/>
                                <w:sz w:val="18"/>
                                <w:szCs w:val="18"/>
                              </w:rPr>
                            </w:pPr>
                            <w:r w:rsidRPr="002C580D">
                              <w:rPr>
                                <w:rFonts w:ascii="Verdana" w:hAnsi="Verdana"/>
                                <w:sz w:val="18"/>
                                <w:szCs w:val="18"/>
                              </w:rPr>
                              <w:t>Stats: Wilcoxon</w:t>
                            </w:r>
                            <w:r w:rsidR="00A72F6A" w:rsidRPr="002C580D">
                              <w:rPr>
                                <w:rFonts w:ascii="Verdana" w:hAnsi="Verdana"/>
                                <w:sz w:val="18"/>
                                <w:szCs w:val="18"/>
                              </w:rPr>
                              <w:t xml:space="preserve"> test; ns = non-significant, * = p&lt; 0.05, ** = p&lt; 0.01</w:t>
                            </w:r>
                          </w:p>
                          <w:p w14:paraId="3A549CDC" w14:textId="196D54EB" w:rsidR="00A72F6A" w:rsidRPr="002C580D" w:rsidRDefault="00A72F6A" w:rsidP="002C580D">
                            <w:pPr>
                              <w:ind w:firstLine="0"/>
                              <w:jc w:val="both"/>
                              <w:rPr>
                                <w:rFonts w:ascii="Verdana" w:hAnsi="Verdana"/>
                                <w:sz w:val="18"/>
                                <w:szCs w:val="18"/>
                              </w:rPr>
                            </w:pPr>
                            <w:r w:rsidRPr="002C580D">
                              <w:rPr>
                                <w:rFonts w:ascii="Verdana" w:hAnsi="Verdana"/>
                                <w:sz w:val="18"/>
                                <w:szCs w:val="18"/>
                              </w:rPr>
                              <w:t>WT = wild-type littermates, TG = transgenic Thy1-Syn14 animals</w:t>
                            </w:r>
                            <w:r w:rsidR="002C580D" w:rsidRPr="002C580D">
                              <w:rPr>
                                <w:rFonts w:ascii="Verdana" w:hAnsi="Verdan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659E4F" id="Text Box 146" o:spid="_x0000_s1050" type="#_x0000_t202" style="position:absolute;margin-left:-.1pt;margin-top:350.4pt;width:439.4pt;height:126.7pt;z-index:251951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" stroked="f">
                <v:textbox style="mso-fit-shape-to-text:t" inset="0,0,0,0">
                  <w:txbxContent>
                    <w:p w14:paraId="702FD016" w14:textId="570B3E2D" w:rsidR="00F62EDF" w:rsidRPr="002C580D" w:rsidRDefault="00F62EDF" w:rsidP="002C580D">
                      <w:pPr>
                        <w:pStyle w:val="Caption"/>
                        <w:ind w:firstLine="0"/>
                        <w:jc w:val="both"/>
                        <w:rPr>
                          <w:rFonts w:ascii="Verdana" w:hAnsi="Verdana"/>
                          <w:i w:val="0"/>
                          <w:iCs w:val="0"/>
                          <w:color w:val="auto"/>
                        </w:rPr>
                      </w:pPr>
                      <w:bookmarkStart w:id="117" w:name="_Toc131412764"/>
                      <w:r w:rsidRPr="002C580D">
                        <w:rPr>
                          <w:rFonts w:ascii="Verdana" w:hAnsi="Verdana"/>
                          <w:b/>
                          <w:bCs/>
                          <w:i w:val="0"/>
                          <w:iCs w:val="0"/>
                          <w:color w:val="auto"/>
                        </w:rPr>
                        <w:t xml:space="preserve">Figure </w:t>
                      </w:r>
                      <w:r w:rsidRPr="002C580D">
                        <w:rPr>
                          <w:rFonts w:ascii="Verdana" w:hAnsi="Verdana"/>
                          <w:b/>
                          <w:bCs/>
                          <w:i w:val="0"/>
                          <w:iCs w:val="0"/>
                          <w:color w:val="auto"/>
                        </w:rPr>
                        <w:fldChar w:fldCharType="begin"/>
                      </w:r>
                      <w:r w:rsidRPr="002C580D">
                        <w:rPr>
                          <w:rFonts w:ascii="Verdana" w:hAnsi="Verdana"/>
                          <w:b/>
                          <w:bCs/>
                          <w:i w:val="0"/>
                          <w:iCs w:val="0"/>
                          <w:color w:val="auto"/>
                        </w:rPr>
                        <w:instrText xml:space="preserve"> SEQ Figure \* ARABIC </w:instrText>
                      </w:r>
                      <w:r w:rsidRPr="002C580D">
                        <w:rPr>
                          <w:rFonts w:ascii="Verdana" w:hAnsi="Verdana"/>
                          <w:b/>
                          <w:bCs/>
                          <w:i w:val="0"/>
                          <w:iCs w:val="0"/>
                          <w:color w:val="auto"/>
                        </w:rPr>
                        <w:fldChar w:fldCharType="separate"/>
                      </w:r>
                      <w:r w:rsidR="001D505F">
                        <w:rPr>
                          <w:rFonts w:ascii="Verdana" w:hAnsi="Verdana"/>
                          <w:b/>
                          <w:bCs/>
                          <w:i w:val="0"/>
                          <w:iCs w:val="0"/>
                          <w:noProof/>
                          <w:color w:val="auto"/>
                        </w:rPr>
                        <w:t>22</w:t>
                      </w:r>
                      <w:r w:rsidRPr="002C580D">
                        <w:rPr>
                          <w:rFonts w:ascii="Verdana" w:hAnsi="Verdana"/>
                          <w:b/>
                          <w:bCs/>
                          <w:i w:val="0"/>
                          <w:iCs w:val="0"/>
                          <w:color w:val="auto"/>
                        </w:rPr>
                        <w:fldChar w:fldCharType="end"/>
                      </w:r>
                      <w:r w:rsidRPr="002C580D">
                        <w:rPr>
                          <w:rFonts w:ascii="Verdana" w:hAnsi="Verdana"/>
                          <w:b/>
                          <w:bCs/>
                          <w:i w:val="0"/>
                          <w:iCs w:val="0"/>
                          <w:color w:val="auto"/>
                        </w:rPr>
                        <w:t xml:space="preserve"> </w:t>
                      </w:r>
                      <w:r w:rsidRPr="002C580D">
                        <w:rPr>
                          <w:rFonts w:ascii="Verdana" w:hAnsi="Verdana"/>
                          <w:i w:val="0"/>
                          <w:iCs w:val="0"/>
                          <w:color w:val="auto"/>
                        </w:rPr>
                        <w:t xml:space="preserve">6-months old Thy1-Syn14 transgenic mice display </w:t>
                      </w:r>
                      <w:r w:rsidR="000C4944" w:rsidRPr="002C580D">
                        <w:rPr>
                          <w:rFonts w:ascii="Verdana" w:hAnsi="Verdana"/>
                          <w:i w:val="0"/>
                          <w:iCs w:val="0"/>
                          <w:color w:val="auto"/>
                        </w:rPr>
                        <w:t>alpha-synuclein driven motor deficits</w:t>
                      </w:r>
                      <w:bookmarkEnd w:id="117"/>
                    </w:p>
                    <w:p w14:paraId="306186F3" w14:textId="13C09407" w:rsidR="000C4944" w:rsidRPr="002C580D" w:rsidRDefault="000C4944" w:rsidP="002C580D">
                      <w:pPr>
                        <w:ind w:firstLine="0"/>
                        <w:jc w:val="both"/>
                        <w:rPr>
                          <w:rFonts w:ascii="Verdana" w:hAnsi="Verdana"/>
                          <w:sz w:val="18"/>
                          <w:szCs w:val="18"/>
                        </w:rPr>
                      </w:pPr>
                      <w:r w:rsidRPr="002C580D">
                        <w:rPr>
                          <w:rFonts w:ascii="Verdana" w:hAnsi="Verdana"/>
                          <w:b/>
                          <w:bCs/>
                          <w:sz w:val="18"/>
                          <w:szCs w:val="18"/>
                        </w:rPr>
                        <w:t>A)</w:t>
                      </w:r>
                      <w:r w:rsidRPr="002C580D">
                        <w:rPr>
                          <w:rFonts w:ascii="Verdana" w:hAnsi="Verdana"/>
                          <w:sz w:val="18"/>
                          <w:szCs w:val="18"/>
                        </w:rPr>
                        <w:t xml:space="preserve"> Stacked bar</w:t>
                      </w:r>
                      <w:r w:rsidR="0001745A">
                        <w:rPr>
                          <w:rFonts w:ascii="Verdana" w:hAnsi="Verdana"/>
                          <w:sz w:val="18"/>
                          <w:szCs w:val="18"/>
                        </w:rPr>
                        <w:t xml:space="preserve"> </w:t>
                      </w:r>
                      <w:r w:rsidRPr="002C580D">
                        <w:rPr>
                          <w:rFonts w:ascii="Verdana" w:hAnsi="Verdana"/>
                          <w:sz w:val="18"/>
                          <w:szCs w:val="18"/>
                        </w:rPr>
                        <w:t xml:space="preserve">plot illustrating hindlimb clasping scores for </w:t>
                      </w:r>
                      <w:r w:rsidR="00A723ED">
                        <w:rPr>
                          <w:rFonts w:ascii="Verdana" w:hAnsi="Verdana"/>
                          <w:sz w:val="18"/>
                          <w:szCs w:val="18"/>
                        </w:rPr>
                        <w:t>WT</w:t>
                      </w:r>
                      <w:r w:rsidRPr="002C580D">
                        <w:rPr>
                          <w:rFonts w:ascii="Verdana" w:hAnsi="Verdana"/>
                          <w:sz w:val="18"/>
                          <w:szCs w:val="18"/>
                        </w:rPr>
                        <w:t xml:space="preserve"> (left) and </w:t>
                      </w:r>
                      <w:r w:rsidR="00A723ED">
                        <w:rPr>
                          <w:rFonts w:ascii="Verdana" w:hAnsi="Verdana"/>
                          <w:sz w:val="18"/>
                          <w:szCs w:val="18"/>
                        </w:rPr>
                        <w:t>transgenic</w:t>
                      </w:r>
                      <w:r w:rsidRPr="002C580D">
                        <w:rPr>
                          <w:rFonts w:ascii="Verdana" w:hAnsi="Verdana"/>
                          <w:sz w:val="18"/>
                          <w:szCs w:val="18"/>
                        </w:rPr>
                        <w:t xml:space="preserve"> (right) mice. The numbers inside the bars indicate the number of mice. </w:t>
                      </w:r>
                      <w:r w:rsidRPr="002C580D">
                        <w:rPr>
                          <w:rFonts w:ascii="Verdana" w:hAnsi="Verdana"/>
                          <w:b/>
                          <w:bCs/>
                          <w:sz w:val="18"/>
                          <w:szCs w:val="18"/>
                        </w:rPr>
                        <w:t>B)</w:t>
                      </w:r>
                      <w:r w:rsidRPr="002C580D">
                        <w:rPr>
                          <w:rFonts w:ascii="Verdana" w:hAnsi="Verdana"/>
                          <w:sz w:val="18"/>
                          <w:szCs w:val="18"/>
                        </w:rPr>
                        <w:t xml:space="preserve"> </w:t>
                      </w:r>
                      <w:r w:rsidR="00F80205" w:rsidRPr="002C580D">
                        <w:rPr>
                          <w:rFonts w:ascii="Verdana" w:hAnsi="Verdana"/>
                          <w:sz w:val="18"/>
                          <w:szCs w:val="18"/>
                        </w:rPr>
                        <w:t xml:space="preserve">Boxplot illustrating performance in the inverted grid test for </w:t>
                      </w:r>
                      <w:r w:rsidR="00A723ED">
                        <w:rPr>
                          <w:rFonts w:ascii="Verdana" w:hAnsi="Verdana"/>
                          <w:sz w:val="18"/>
                          <w:szCs w:val="18"/>
                        </w:rPr>
                        <w:t>WT</w:t>
                      </w:r>
                      <w:r w:rsidR="00F80205" w:rsidRPr="002C580D">
                        <w:rPr>
                          <w:rFonts w:ascii="Verdana" w:hAnsi="Verdana"/>
                          <w:sz w:val="18"/>
                          <w:szCs w:val="18"/>
                        </w:rPr>
                        <w:t xml:space="preserve"> (left) and </w:t>
                      </w:r>
                      <w:r w:rsidR="00A723ED">
                        <w:rPr>
                          <w:rFonts w:ascii="Verdana" w:hAnsi="Verdana"/>
                          <w:sz w:val="18"/>
                          <w:szCs w:val="18"/>
                        </w:rPr>
                        <w:t>transgenic</w:t>
                      </w:r>
                      <w:r w:rsidR="00F80205" w:rsidRPr="002C580D">
                        <w:rPr>
                          <w:rFonts w:ascii="Verdana" w:hAnsi="Verdana"/>
                          <w:sz w:val="18"/>
                          <w:szCs w:val="18"/>
                        </w:rPr>
                        <w:t xml:space="preserve"> (right) </w:t>
                      </w:r>
                      <w:r w:rsidR="00A723ED">
                        <w:rPr>
                          <w:rFonts w:ascii="Verdana" w:hAnsi="Verdana"/>
                          <w:sz w:val="18"/>
                          <w:szCs w:val="18"/>
                        </w:rPr>
                        <w:t xml:space="preserve">Thy1-Syn14 </w:t>
                      </w:r>
                      <w:r w:rsidR="00F80205" w:rsidRPr="002C580D">
                        <w:rPr>
                          <w:rFonts w:ascii="Verdana" w:hAnsi="Verdana"/>
                          <w:sz w:val="18"/>
                          <w:szCs w:val="18"/>
                        </w:rPr>
                        <w:t xml:space="preserve">mice. </w:t>
                      </w:r>
                      <w:r w:rsidR="00F80205" w:rsidRPr="002C580D">
                        <w:rPr>
                          <w:rFonts w:ascii="Verdana" w:hAnsi="Verdana"/>
                          <w:b/>
                          <w:bCs/>
                          <w:sz w:val="18"/>
                          <w:szCs w:val="18"/>
                        </w:rPr>
                        <w:t>C)</w:t>
                      </w:r>
                      <w:r w:rsidR="00F80205" w:rsidRPr="002C580D">
                        <w:rPr>
                          <w:rFonts w:ascii="Verdana" w:hAnsi="Verdana"/>
                          <w:sz w:val="18"/>
                          <w:szCs w:val="18"/>
                        </w:rPr>
                        <w:t xml:space="preserve"> </w:t>
                      </w:r>
                      <w:r w:rsidR="001A67BE" w:rsidRPr="002C580D">
                        <w:rPr>
                          <w:rFonts w:ascii="Verdana" w:hAnsi="Verdana"/>
                          <w:sz w:val="18"/>
                          <w:szCs w:val="18"/>
                        </w:rPr>
                        <w:t>Adhesive removal test results</w:t>
                      </w:r>
                      <w:r w:rsidR="00052AB9" w:rsidRPr="002C580D">
                        <w:rPr>
                          <w:rFonts w:ascii="Verdana" w:hAnsi="Verdana"/>
                          <w:sz w:val="18"/>
                          <w:szCs w:val="18"/>
                        </w:rPr>
                        <w:t>. The “Time to Remove” is calculated as “Removal” – “First Touch”.</w:t>
                      </w:r>
                    </w:p>
                    <w:p w14:paraId="77562935" w14:textId="21D66E5D" w:rsidR="00052AB9" w:rsidRPr="002C580D" w:rsidRDefault="00052AB9" w:rsidP="002C580D">
                      <w:pPr>
                        <w:ind w:firstLine="0"/>
                        <w:jc w:val="both"/>
                        <w:rPr>
                          <w:rFonts w:ascii="Verdana" w:hAnsi="Verdana"/>
                          <w:sz w:val="18"/>
                          <w:szCs w:val="18"/>
                        </w:rPr>
                      </w:pPr>
                      <w:r w:rsidRPr="002C580D">
                        <w:rPr>
                          <w:rFonts w:ascii="Verdana" w:hAnsi="Verdana"/>
                          <w:sz w:val="18"/>
                          <w:szCs w:val="18"/>
                        </w:rPr>
                        <w:t>Stats: Wilcoxon</w:t>
                      </w:r>
                      <w:r w:rsidR="00A72F6A" w:rsidRPr="002C580D">
                        <w:rPr>
                          <w:rFonts w:ascii="Verdana" w:hAnsi="Verdana"/>
                          <w:sz w:val="18"/>
                          <w:szCs w:val="18"/>
                        </w:rPr>
                        <w:t xml:space="preserve"> test; ns = non-significant, * = p&lt; 0.05, ** = p&lt; 0.01</w:t>
                      </w:r>
                    </w:p>
                    <w:p w14:paraId="3A549CDC" w14:textId="196D54EB" w:rsidR="00A72F6A" w:rsidRPr="002C580D" w:rsidRDefault="00A72F6A" w:rsidP="002C580D">
                      <w:pPr>
                        <w:ind w:firstLine="0"/>
                        <w:jc w:val="both"/>
                        <w:rPr>
                          <w:rFonts w:ascii="Verdana" w:hAnsi="Verdana"/>
                          <w:sz w:val="18"/>
                          <w:szCs w:val="18"/>
                        </w:rPr>
                      </w:pPr>
                      <w:r w:rsidRPr="002C580D">
                        <w:rPr>
                          <w:rFonts w:ascii="Verdana" w:hAnsi="Verdana"/>
                          <w:sz w:val="18"/>
                          <w:szCs w:val="18"/>
                        </w:rPr>
                        <w:t>WT = wild-type littermates, TG = transgenic Thy1-Syn14 animals</w:t>
                      </w:r>
                      <w:r w:rsidR="002C580D" w:rsidRPr="002C580D">
                        <w:rPr>
                          <w:rFonts w:ascii="Verdana" w:hAnsi="Verdana"/>
                          <w:sz w:val="18"/>
                          <w:szCs w:val="18"/>
                        </w:rPr>
                        <w:t>.</w:t>
                      </w:r>
                    </w:p>
                  </w:txbxContent>
                </v:textbox>
                <w10:wrap type="topAndBottom" anchorx="margin"/>
              </v:shape>
            </w:pict>
          </mc:Fallback>
        </mc:AlternateContent>
      </w:r>
      <w:r>
        <w:rPr>
          <w:rFonts w:ascii="Verdana" w:hAnsi="Verdana"/>
          <w:noProof/>
          <w:lang w:val="en-GB"/>
        </w:rPr>
        <w:drawing>
          <wp:anchor distT="0" distB="0" distL="114300" distR="114300" simplePos="0" relativeHeight="251986944" behindDoc="0" locked="0" layoutInCell="1" allowOverlap="1" wp14:anchorId="693319DF" wp14:editId="0F53BC43">
            <wp:simplePos x="0" y="0"/>
            <wp:positionH relativeFrom="margin">
              <wp:align>left</wp:align>
            </wp:positionH>
            <wp:positionV relativeFrom="paragraph">
              <wp:posOffset>0</wp:posOffset>
            </wp:positionV>
            <wp:extent cx="5580380" cy="4331970"/>
            <wp:effectExtent l="0" t="0" r="1270" b="0"/>
            <wp:wrapTopAndBottom/>
            <wp:docPr id="35" name="Picture 3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with medium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80380" cy="4331970"/>
                    </a:xfrm>
                    <a:prstGeom prst="rect">
                      <a:avLst/>
                    </a:prstGeom>
                  </pic:spPr>
                </pic:pic>
              </a:graphicData>
            </a:graphic>
          </wp:anchor>
        </w:drawing>
      </w:r>
      <w:r w:rsidR="00A40ACF">
        <w:rPr>
          <w:rFonts w:ascii="Verdana" w:hAnsi="Verdana"/>
          <w:lang w:val="en-GB"/>
        </w:rPr>
        <w:br w:type="page"/>
      </w:r>
    </w:p>
    <w:p w14:paraId="59282DA2" w14:textId="7ACDAA81" w:rsidR="00716E5E" w:rsidRDefault="00123D51" w:rsidP="000B321E">
      <w:pPr>
        <w:pStyle w:val="Heading2"/>
        <w:spacing w:line="360" w:lineRule="auto"/>
        <w:rPr>
          <w:lang w:val="en-GB"/>
        </w:rPr>
      </w:pPr>
      <w:r>
        <w:rPr>
          <w:lang w:val="en-GB"/>
        </w:rPr>
        <w:lastRenderedPageBreak/>
        <w:t xml:space="preserve">  </w:t>
      </w:r>
      <w:bookmarkStart w:id="118" w:name="_Toc130223449"/>
      <w:r w:rsidR="009E5729">
        <w:rPr>
          <w:lang w:val="en-GB"/>
        </w:rPr>
        <w:t>6.3</w:t>
      </w:r>
      <w:r w:rsidR="009E5729">
        <w:rPr>
          <w:lang w:val="en-GB"/>
        </w:rPr>
        <w:tab/>
        <w:t xml:space="preserve"> </w:t>
      </w:r>
      <w:r w:rsidR="00716E5E">
        <w:rPr>
          <w:lang w:val="en-GB"/>
        </w:rPr>
        <w:t xml:space="preserve">Thy1-Syn14 transgenic mice do not show </w:t>
      </w:r>
      <w:r w:rsidR="00977047">
        <w:rPr>
          <w:lang w:val="en-GB"/>
        </w:rPr>
        <w:t>nigrostriatal</w:t>
      </w:r>
      <w:r w:rsidR="00716E5E">
        <w:rPr>
          <w:lang w:val="en-GB"/>
        </w:rPr>
        <w:t xml:space="preserve"> degeneration</w:t>
      </w:r>
      <w:bookmarkEnd w:id="118"/>
    </w:p>
    <w:p w14:paraId="248A4F9E" w14:textId="7CDBD7E9" w:rsidR="00716E5E" w:rsidRPr="002C4F0D" w:rsidRDefault="002C4F0D" w:rsidP="002C4F0D">
      <w:pPr>
        <w:pStyle w:val="ListParagraph"/>
        <w:spacing w:line="360" w:lineRule="auto"/>
        <w:ind w:left="0"/>
        <w:jc w:val="both"/>
        <w:rPr>
          <w:rFonts w:ascii="Verdana" w:hAnsi="Verdana"/>
          <w:lang w:val="en-GB"/>
        </w:rPr>
      </w:pPr>
      <w:r w:rsidRPr="002C4F0D">
        <w:rPr>
          <w:rFonts w:ascii="Verdana" w:hAnsi="Verdana"/>
          <w:lang w:val="en-GB"/>
        </w:rPr>
        <w:t>Degeneration</w:t>
      </w:r>
      <w:r>
        <w:rPr>
          <w:rFonts w:ascii="Verdana" w:hAnsi="Verdana"/>
          <w:lang w:val="en-GB"/>
        </w:rPr>
        <w:t xml:space="preserve"> of the dorsal striatum was investigated in 1-, 3- and 14-months old female mice through quantification </w:t>
      </w:r>
      <w:r w:rsidR="00B90891">
        <w:rPr>
          <w:rFonts w:ascii="Verdana" w:hAnsi="Verdana"/>
          <w:lang w:val="en-GB"/>
        </w:rPr>
        <w:t xml:space="preserve">of tyrosine hydroxylase (TH) and dopamine transporter (DAT) occupied area in </w:t>
      </w:r>
      <w:r>
        <w:rPr>
          <w:rFonts w:ascii="Verdana" w:hAnsi="Verdana"/>
          <w:lang w:val="en-GB"/>
        </w:rPr>
        <w:t>double immuno</w:t>
      </w:r>
      <w:r w:rsidR="00B90891">
        <w:rPr>
          <w:rFonts w:ascii="Verdana" w:hAnsi="Verdana"/>
          <w:lang w:val="en-GB"/>
        </w:rPr>
        <w:t>-</w:t>
      </w:r>
      <w:r>
        <w:rPr>
          <w:rFonts w:ascii="Verdana" w:hAnsi="Verdana"/>
          <w:lang w:val="en-GB"/>
        </w:rPr>
        <w:t>stai</w:t>
      </w:r>
      <w:r w:rsidR="00B90891">
        <w:rPr>
          <w:rFonts w:ascii="Verdana" w:hAnsi="Verdana"/>
          <w:lang w:val="en-GB"/>
        </w:rPr>
        <w:t>ned</w:t>
      </w:r>
      <w:r>
        <w:rPr>
          <w:rFonts w:ascii="Verdana" w:hAnsi="Verdana"/>
          <w:lang w:val="en-GB"/>
        </w:rPr>
        <w:t xml:space="preserve"> </w:t>
      </w:r>
      <w:r w:rsidR="00B90891">
        <w:rPr>
          <w:rFonts w:ascii="Verdana" w:hAnsi="Verdana"/>
          <w:lang w:val="en-GB"/>
        </w:rPr>
        <w:t>sections. Transgenic mice did not show a</w:t>
      </w:r>
      <w:r w:rsidR="008264B5">
        <w:rPr>
          <w:rFonts w:ascii="Verdana" w:hAnsi="Verdana"/>
          <w:lang w:val="en-GB"/>
        </w:rPr>
        <w:t xml:space="preserve"> significant difference in both TH (Figure 2</w:t>
      </w:r>
      <w:r w:rsidR="00BD1461">
        <w:rPr>
          <w:rFonts w:ascii="Verdana" w:hAnsi="Verdana"/>
          <w:lang w:val="en-GB"/>
        </w:rPr>
        <w:t>3</w:t>
      </w:r>
      <w:r w:rsidR="008264B5">
        <w:rPr>
          <w:rFonts w:ascii="Verdana" w:hAnsi="Verdana"/>
          <w:lang w:val="en-GB"/>
        </w:rPr>
        <w:t>A) and DAT (Figure 2</w:t>
      </w:r>
      <w:r w:rsidR="00BD1461">
        <w:rPr>
          <w:rFonts w:ascii="Verdana" w:hAnsi="Verdana"/>
          <w:lang w:val="en-GB"/>
        </w:rPr>
        <w:t>3</w:t>
      </w:r>
      <w:r w:rsidR="008264B5">
        <w:rPr>
          <w:rFonts w:ascii="Verdana" w:hAnsi="Verdana"/>
          <w:lang w:val="en-GB"/>
        </w:rPr>
        <w:t>B) occupied area percentage compared to their wild-type littermates, at any of the investigated time points.</w:t>
      </w:r>
      <w:r w:rsidR="00326CC7">
        <w:rPr>
          <w:rFonts w:ascii="Verdana" w:hAnsi="Verdana"/>
          <w:lang w:val="en-GB"/>
        </w:rPr>
        <w:t xml:space="preserve"> Therefore, alpha-synuclein overexpression does not seem to cause dopaminergic neurodegeneration in </w:t>
      </w:r>
      <w:r w:rsidR="00082284">
        <w:rPr>
          <w:rFonts w:ascii="Verdana" w:hAnsi="Verdana"/>
          <w:lang w:val="en-GB"/>
        </w:rPr>
        <w:t>this model.</w:t>
      </w:r>
      <w:r w:rsidR="008264B5">
        <w:rPr>
          <w:rFonts w:ascii="Verdana" w:hAnsi="Verdana"/>
          <w:lang w:val="en-GB"/>
        </w:rPr>
        <w:t xml:space="preserve"> This finding might be explained 1)</w:t>
      </w:r>
      <w:r w:rsidR="00B02166">
        <w:rPr>
          <w:rFonts w:ascii="Verdana" w:hAnsi="Verdana"/>
          <w:lang w:val="en-GB"/>
        </w:rPr>
        <w:t xml:space="preserve"> by</w:t>
      </w:r>
      <w:r w:rsidR="008264B5">
        <w:rPr>
          <w:rFonts w:ascii="Verdana" w:hAnsi="Verdana"/>
          <w:lang w:val="en-GB"/>
        </w:rPr>
        <w:t xml:space="preserve"> an adaptation </w:t>
      </w:r>
      <w:r w:rsidR="00326CC7">
        <w:rPr>
          <w:rFonts w:ascii="Verdana" w:hAnsi="Verdana"/>
          <w:lang w:val="en-GB"/>
        </w:rPr>
        <w:t>to the high alpha-</w:t>
      </w:r>
      <w:r w:rsidR="00082284">
        <w:rPr>
          <w:rFonts w:ascii="Verdana" w:hAnsi="Verdana"/>
          <w:lang w:val="en-GB"/>
        </w:rPr>
        <w:t>synuclein overexpression levels already since a young age</w:t>
      </w:r>
      <w:r w:rsidR="005E71B6">
        <w:rPr>
          <w:rFonts w:ascii="Verdana" w:hAnsi="Verdana"/>
          <w:lang w:val="en-GB"/>
        </w:rPr>
        <w:t>,</w:t>
      </w:r>
      <w:r w:rsidR="00082284">
        <w:rPr>
          <w:rFonts w:ascii="Verdana" w:hAnsi="Verdana"/>
          <w:lang w:val="en-GB"/>
        </w:rPr>
        <w:t xml:space="preserve"> or 2) by the fact that alpha-</w:t>
      </w:r>
      <w:r w:rsidR="005E71B6">
        <w:rPr>
          <w:rFonts w:ascii="Verdana" w:hAnsi="Verdana"/>
          <w:lang w:val="en-GB"/>
        </w:rPr>
        <w:t xml:space="preserve">synuclein overexpression levels are not the strongest in the midbrain, thus potentially impacting the </w:t>
      </w:r>
      <w:r w:rsidR="00977047">
        <w:rPr>
          <w:rFonts w:ascii="Verdana" w:hAnsi="Verdana"/>
          <w:lang w:val="en-GB"/>
        </w:rPr>
        <w:t>nigrostriatal</w:t>
      </w:r>
      <w:r w:rsidR="005E71B6">
        <w:rPr>
          <w:rFonts w:ascii="Verdana" w:hAnsi="Verdana"/>
          <w:lang w:val="en-GB"/>
        </w:rPr>
        <w:t xml:space="preserve"> pathway less than other neuronal pathways in the brain of Thy1-Syn14 mice.</w:t>
      </w:r>
    </w:p>
    <w:p w14:paraId="38561F65" w14:textId="0DC5CA1B" w:rsidR="00716E5E" w:rsidRDefault="00B0047D">
      <w:pPr>
        <w:ind w:firstLine="0"/>
        <w:rPr>
          <w:rFonts w:ascii="Verdana" w:hAnsi="Verdana"/>
          <w:b/>
          <w:bCs/>
          <w:sz w:val="24"/>
          <w:szCs w:val="24"/>
          <w:lang w:val="en-GB"/>
        </w:rPr>
      </w:pPr>
      <w:r>
        <w:rPr>
          <w:rFonts w:ascii="Verdana" w:hAnsi="Verdana"/>
          <w:b/>
          <w:bCs/>
          <w:noProof/>
          <w:sz w:val="24"/>
          <w:szCs w:val="24"/>
          <w:lang w:val="en-GB"/>
        </w:rPr>
        <w:drawing>
          <wp:anchor distT="0" distB="0" distL="114300" distR="114300" simplePos="0" relativeHeight="251987968" behindDoc="0" locked="0" layoutInCell="1" allowOverlap="1" wp14:anchorId="3C05AE64" wp14:editId="77E72B82">
            <wp:simplePos x="0" y="0"/>
            <wp:positionH relativeFrom="margin">
              <wp:align>right</wp:align>
            </wp:positionH>
            <wp:positionV relativeFrom="paragraph">
              <wp:posOffset>517994</wp:posOffset>
            </wp:positionV>
            <wp:extent cx="5580380" cy="2212340"/>
            <wp:effectExtent l="0" t="0" r="0" b="0"/>
            <wp:wrapTopAndBottom/>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80380" cy="2212340"/>
                    </a:xfrm>
                    <a:prstGeom prst="rect">
                      <a:avLst/>
                    </a:prstGeom>
                  </pic:spPr>
                </pic:pic>
              </a:graphicData>
            </a:graphic>
          </wp:anchor>
        </w:drawing>
      </w:r>
      <w:r>
        <w:rPr>
          <w:noProof/>
        </w:rPr>
        <mc:AlternateContent>
          <mc:Choice Requires="wps">
            <w:drawing>
              <wp:anchor distT="0" distB="0" distL="114300" distR="114300" simplePos="0" relativeHeight="251990016" behindDoc="0" locked="0" layoutInCell="1" allowOverlap="1" wp14:anchorId="78413E49" wp14:editId="4707DD3C">
                <wp:simplePos x="0" y="0"/>
                <wp:positionH relativeFrom="margin">
                  <wp:align>right</wp:align>
                </wp:positionH>
                <wp:positionV relativeFrom="paragraph">
                  <wp:posOffset>2911144</wp:posOffset>
                </wp:positionV>
                <wp:extent cx="5580380" cy="635"/>
                <wp:effectExtent l="0" t="0" r="1270" b="8890"/>
                <wp:wrapTopAndBottom/>
                <wp:docPr id="48" name="Text Box 48"/>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17D833F8" w14:textId="31F919E0" w:rsidR="008264B5" w:rsidRPr="00B0047D" w:rsidRDefault="008264B5" w:rsidP="00B0047D">
                            <w:pPr>
                              <w:pStyle w:val="Caption"/>
                              <w:ind w:firstLine="0"/>
                              <w:jc w:val="both"/>
                              <w:rPr>
                                <w:rFonts w:ascii="Verdana" w:hAnsi="Verdana"/>
                                <w:i w:val="0"/>
                                <w:iCs w:val="0"/>
                                <w:color w:val="auto"/>
                              </w:rPr>
                            </w:pPr>
                            <w:bookmarkStart w:id="119" w:name="_Toc131412765"/>
                            <w:r w:rsidRPr="00B0047D">
                              <w:rPr>
                                <w:rFonts w:ascii="Verdana" w:hAnsi="Verdana"/>
                                <w:b/>
                                <w:bCs/>
                                <w:i w:val="0"/>
                                <w:iCs w:val="0"/>
                                <w:color w:val="auto"/>
                              </w:rPr>
                              <w:t xml:space="preserve">Figure </w:t>
                            </w:r>
                            <w:r w:rsidRPr="00B0047D">
                              <w:rPr>
                                <w:rFonts w:ascii="Verdana" w:hAnsi="Verdana"/>
                                <w:b/>
                                <w:bCs/>
                                <w:i w:val="0"/>
                                <w:iCs w:val="0"/>
                                <w:color w:val="auto"/>
                              </w:rPr>
                              <w:fldChar w:fldCharType="begin"/>
                            </w:r>
                            <w:r w:rsidRPr="00B0047D">
                              <w:rPr>
                                <w:rFonts w:ascii="Verdana" w:hAnsi="Verdana"/>
                                <w:b/>
                                <w:bCs/>
                                <w:i w:val="0"/>
                                <w:iCs w:val="0"/>
                                <w:color w:val="auto"/>
                              </w:rPr>
                              <w:instrText xml:space="preserve"> SEQ Figure \* ARABIC </w:instrText>
                            </w:r>
                            <w:r w:rsidRPr="00B0047D">
                              <w:rPr>
                                <w:rFonts w:ascii="Verdana" w:hAnsi="Verdana"/>
                                <w:b/>
                                <w:bCs/>
                                <w:i w:val="0"/>
                                <w:iCs w:val="0"/>
                                <w:color w:val="auto"/>
                              </w:rPr>
                              <w:fldChar w:fldCharType="separate"/>
                            </w:r>
                            <w:r w:rsidR="001D505F">
                              <w:rPr>
                                <w:rFonts w:ascii="Verdana" w:hAnsi="Verdana"/>
                                <w:b/>
                                <w:bCs/>
                                <w:i w:val="0"/>
                                <w:iCs w:val="0"/>
                                <w:noProof/>
                                <w:color w:val="auto"/>
                              </w:rPr>
                              <w:t>23</w:t>
                            </w:r>
                            <w:r w:rsidRPr="00B0047D">
                              <w:rPr>
                                <w:rFonts w:ascii="Verdana" w:hAnsi="Verdana"/>
                                <w:b/>
                                <w:bCs/>
                                <w:i w:val="0"/>
                                <w:iCs w:val="0"/>
                                <w:color w:val="auto"/>
                              </w:rPr>
                              <w:fldChar w:fldCharType="end"/>
                            </w:r>
                            <w:r w:rsidRPr="00B0047D">
                              <w:rPr>
                                <w:rFonts w:ascii="Verdana" w:hAnsi="Verdana"/>
                                <w:i w:val="0"/>
                                <w:iCs w:val="0"/>
                                <w:color w:val="auto"/>
                              </w:rPr>
                              <w:t xml:space="preserve"> Transgenic Thy1-Syn14 mice do not present striatal degeneration</w:t>
                            </w:r>
                            <w:bookmarkEnd w:id="119"/>
                          </w:p>
                          <w:p w14:paraId="05D8B35B" w14:textId="0CE54C41" w:rsidR="004C0970" w:rsidRPr="00B0047D" w:rsidRDefault="004C0970" w:rsidP="00B0047D">
                            <w:pPr>
                              <w:ind w:firstLine="0"/>
                              <w:jc w:val="both"/>
                              <w:rPr>
                                <w:rFonts w:ascii="Verdana" w:hAnsi="Verdana"/>
                                <w:sz w:val="18"/>
                                <w:szCs w:val="18"/>
                              </w:rPr>
                            </w:pPr>
                            <w:r w:rsidRPr="00B0047D">
                              <w:rPr>
                                <w:rFonts w:ascii="Verdana" w:hAnsi="Verdana"/>
                                <w:sz w:val="18"/>
                                <w:szCs w:val="18"/>
                              </w:rPr>
                              <w:t>A) Quantification of tyrosine hydroxylase o</w:t>
                            </w:r>
                            <w:r w:rsidR="00842A54" w:rsidRPr="00B0047D">
                              <w:rPr>
                                <w:rFonts w:ascii="Verdana" w:hAnsi="Verdana"/>
                                <w:sz w:val="18"/>
                                <w:szCs w:val="18"/>
                              </w:rPr>
                              <w:t xml:space="preserve">ccupied area in the dorsal striatum of Thy1-Syn14 transgenic female mice (purple) and their wild-type littermates (grey) at 1-, 3- and 14-months of age. </w:t>
                            </w:r>
                            <w:r w:rsidR="002C5930" w:rsidRPr="00B0047D">
                              <w:rPr>
                                <w:rFonts w:ascii="Verdana" w:hAnsi="Verdana"/>
                                <w:sz w:val="18"/>
                                <w:szCs w:val="18"/>
                              </w:rPr>
                              <w:t>2-3 section per mouse were quantified, and each dot represents the median percentage area occupied value for a mouse. B) Quantification of Dopamine transporter occupied area in the dorsal striatum of Thy1-Syn14 transgenic female mice (purple) and their wild-type littermates (grey) at 1-, 3- and 14-months of age. 2-3 section per mouse were quantified, and each dot represents the median percentage area occupied value for a mouse.</w:t>
                            </w:r>
                          </w:p>
                          <w:p w14:paraId="53AB03A6" w14:textId="304D6CD0" w:rsidR="002C5930" w:rsidRPr="00B0047D" w:rsidRDefault="002C5930" w:rsidP="00B0047D">
                            <w:pPr>
                              <w:ind w:firstLine="0"/>
                              <w:jc w:val="both"/>
                              <w:rPr>
                                <w:rFonts w:ascii="Verdana" w:hAnsi="Verdana"/>
                                <w:sz w:val="18"/>
                                <w:szCs w:val="18"/>
                              </w:rPr>
                            </w:pPr>
                            <w:r w:rsidRPr="00B0047D">
                              <w:rPr>
                                <w:rFonts w:ascii="Verdana" w:hAnsi="Verdana"/>
                                <w:sz w:val="18"/>
                                <w:szCs w:val="18"/>
                              </w:rPr>
                              <w:t>Stats: Wilcoxon test; all comparisons were non-significant.</w:t>
                            </w:r>
                          </w:p>
                          <w:p w14:paraId="2B3F07DF" w14:textId="7ACF165B" w:rsidR="008264B5" w:rsidRPr="00B0047D" w:rsidRDefault="002C5930" w:rsidP="00B0047D">
                            <w:pPr>
                              <w:ind w:firstLine="0"/>
                              <w:jc w:val="both"/>
                              <w:rPr>
                                <w:rFonts w:ascii="Verdana" w:hAnsi="Verdana"/>
                                <w:sz w:val="18"/>
                                <w:szCs w:val="18"/>
                              </w:rPr>
                            </w:pPr>
                            <w:r w:rsidRPr="00B0047D">
                              <w:rPr>
                                <w:rFonts w:ascii="Verdana" w:hAnsi="Verdana"/>
                                <w:sz w:val="18"/>
                                <w:szCs w:val="18"/>
                              </w:rPr>
                              <w:t>WT = wild-type littermates, TG = transgenic Thy1-Syn14 animals, 1M = 1-month old, 3M = 3-months old, 14M = 14-months old</w:t>
                            </w:r>
                            <w:r w:rsidR="00B0047D" w:rsidRPr="00B0047D">
                              <w:rPr>
                                <w:rFonts w:ascii="Verdana" w:hAnsi="Verdana"/>
                                <w:sz w:val="18"/>
                                <w:szCs w:val="18"/>
                              </w:rPr>
                              <w:t>. All mice were females. TH = tyrosine hydroxylase, DAT = dopamine transporter.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413E49" id="Text Box 48" o:spid="_x0000_s1051" type="#_x0000_t202" style="position:absolute;margin-left:388.2pt;margin-top:229.2pt;width:439.4pt;height:.05pt;z-index:2519900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" stroked="f">
                <v:textbox style="mso-fit-shape-to-text:t" inset="0,0,0,0">
                  <w:txbxContent>
                    <w:p w14:paraId="17D833F8" w14:textId="31F919E0" w:rsidR="008264B5" w:rsidRPr="00B0047D" w:rsidRDefault="008264B5" w:rsidP="00B0047D">
                      <w:pPr>
                        <w:pStyle w:val="Caption"/>
                        <w:ind w:firstLine="0"/>
                        <w:jc w:val="both"/>
                        <w:rPr>
                          <w:rFonts w:ascii="Verdana" w:hAnsi="Verdana"/>
                          <w:i w:val="0"/>
                          <w:iCs w:val="0"/>
                          <w:color w:val="auto"/>
                        </w:rPr>
                      </w:pPr>
                      <w:bookmarkStart w:id="120" w:name="_Toc131412765"/>
                      <w:r w:rsidRPr="00B0047D">
                        <w:rPr>
                          <w:rFonts w:ascii="Verdana" w:hAnsi="Verdana"/>
                          <w:b/>
                          <w:bCs/>
                          <w:i w:val="0"/>
                          <w:iCs w:val="0"/>
                          <w:color w:val="auto"/>
                        </w:rPr>
                        <w:t xml:space="preserve">Figure </w:t>
                      </w:r>
                      <w:r w:rsidRPr="00B0047D">
                        <w:rPr>
                          <w:rFonts w:ascii="Verdana" w:hAnsi="Verdana"/>
                          <w:b/>
                          <w:bCs/>
                          <w:i w:val="0"/>
                          <w:iCs w:val="0"/>
                          <w:color w:val="auto"/>
                        </w:rPr>
                        <w:fldChar w:fldCharType="begin"/>
                      </w:r>
                      <w:r w:rsidRPr="00B0047D">
                        <w:rPr>
                          <w:rFonts w:ascii="Verdana" w:hAnsi="Verdana"/>
                          <w:b/>
                          <w:bCs/>
                          <w:i w:val="0"/>
                          <w:iCs w:val="0"/>
                          <w:color w:val="auto"/>
                        </w:rPr>
                        <w:instrText xml:space="preserve"> SEQ Figure \* ARABIC </w:instrText>
                      </w:r>
                      <w:r w:rsidRPr="00B0047D">
                        <w:rPr>
                          <w:rFonts w:ascii="Verdana" w:hAnsi="Verdana"/>
                          <w:b/>
                          <w:bCs/>
                          <w:i w:val="0"/>
                          <w:iCs w:val="0"/>
                          <w:color w:val="auto"/>
                        </w:rPr>
                        <w:fldChar w:fldCharType="separate"/>
                      </w:r>
                      <w:r w:rsidR="001D505F">
                        <w:rPr>
                          <w:rFonts w:ascii="Verdana" w:hAnsi="Verdana"/>
                          <w:b/>
                          <w:bCs/>
                          <w:i w:val="0"/>
                          <w:iCs w:val="0"/>
                          <w:noProof/>
                          <w:color w:val="auto"/>
                        </w:rPr>
                        <w:t>23</w:t>
                      </w:r>
                      <w:r w:rsidRPr="00B0047D">
                        <w:rPr>
                          <w:rFonts w:ascii="Verdana" w:hAnsi="Verdana"/>
                          <w:b/>
                          <w:bCs/>
                          <w:i w:val="0"/>
                          <w:iCs w:val="0"/>
                          <w:color w:val="auto"/>
                        </w:rPr>
                        <w:fldChar w:fldCharType="end"/>
                      </w:r>
                      <w:r w:rsidRPr="00B0047D">
                        <w:rPr>
                          <w:rFonts w:ascii="Verdana" w:hAnsi="Verdana"/>
                          <w:i w:val="0"/>
                          <w:iCs w:val="0"/>
                          <w:color w:val="auto"/>
                        </w:rPr>
                        <w:t xml:space="preserve"> Transgenic Thy1-Syn14 mice do not present striatal degeneration</w:t>
                      </w:r>
                      <w:bookmarkEnd w:id="120"/>
                    </w:p>
                    <w:p w14:paraId="05D8B35B" w14:textId="0CE54C41" w:rsidR="004C0970" w:rsidRPr="00B0047D" w:rsidRDefault="004C0970" w:rsidP="00B0047D">
                      <w:pPr>
                        <w:ind w:firstLine="0"/>
                        <w:jc w:val="both"/>
                        <w:rPr>
                          <w:rFonts w:ascii="Verdana" w:hAnsi="Verdana"/>
                          <w:sz w:val="18"/>
                          <w:szCs w:val="18"/>
                        </w:rPr>
                      </w:pPr>
                      <w:r w:rsidRPr="00B0047D">
                        <w:rPr>
                          <w:rFonts w:ascii="Verdana" w:hAnsi="Verdana"/>
                          <w:sz w:val="18"/>
                          <w:szCs w:val="18"/>
                        </w:rPr>
                        <w:t>A) Quantification of tyrosine hydroxylase o</w:t>
                      </w:r>
                      <w:r w:rsidR="00842A54" w:rsidRPr="00B0047D">
                        <w:rPr>
                          <w:rFonts w:ascii="Verdana" w:hAnsi="Verdana"/>
                          <w:sz w:val="18"/>
                          <w:szCs w:val="18"/>
                        </w:rPr>
                        <w:t xml:space="preserve">ccupied area in the dorsal striatum of Thy1-Syn14 transgenic female mice (purple) and their wild-type littermates (grey) at 1-, 3- and 14-months of age. </w:t>
                      </w:r>
                      <w:r w:rsidR="002C5930" w:rsidRPr="00B0047D">
                        <w:rPr>
                          <w:rFonts w:ascii="Verdana" w:hAnsi="Verdana"/>
                          <w:sz w:val="18"/>
                          <w:szCs w:val="18"/>
                        </w:rPr>
                        <w:t>2-3 section per mouse were quantified, and each dot represents the median percentage area occupied value for a mouse. B) Quantification of Dopamine transporter occupied area in the dorsal striatum of Thy1-Syn14 transgenic female mice (purple) and their wild-type littermates (grey) at 1-, 3- and 14-months of age. 2-3 section per mouse were quantified, and each dot represents the median percentage area occupied value for a mouse.</w:t>
                      </w:r>
                    </w:p>
                    <w:p w14:paraId="53AB03A6" w14:textId="304D6CD0" w:rsidR="002C5930" w:rsidRPr="00B0047D" w:rsidRDefault="002C5930" w:rsidP="00B0047D">
                      <w:pPr>
                        <w:ind w:firstLine="0"/>
                        <w:jc w:val="both"/>
                        <w:rPr>
                          <w:rFonts w:ascii="Verdana" w:hAnsi="Verdana"/>
                          <w:sz w:val="18"/>
                          <w:szCs w:val="18"/>
                        </w:rPr>
                      </w:pPr>
                      <w:r w:rsidRPr="00B0047D">
                        <w:rPr>
                          <w:rFonts w:ascii="Verdana" w:hAnsi="Verdana"/>
                          <w:sz w:val="18"/>
                          <w:szCs w:val="18"/>
                        </w:rPr>
                        <w:t>Stats: Wilcoxon test; all comparisons were non-significant.</w:t>
                      </w:r>
                    </w:p>
                    <w:p w14:paraId="2B3F07DF" w14:textId="7ACF165B" w:rsidR="008264B5" w:rsidRPr="00B0047D" w:rsidRDefault="002C5930" w:rsidP="00B0047D">
                      <w:pPr>
                        <w:ind w:firstLine="0"/>
                        <w:jc w:val="both"/>
                        <w:rPr>
                          <w:rFonts w:ascii="Verdana" w:hAnsi="Verdana"/>
                          <w:sz w:val="18"/>
                          <w:szCs w:val="18"/>
                        </w:rPr>
                      </w:pPr>
                      <w:r w:rsidRPr="00B0047D">
                        <w:rPr>
                          <w:rFonts w:ascii="Verdana" w:hAnsi="Verdana"/>
                          <w:sz w:val="18"/>
                          <w:szCs w:val="18"/>
                        </w:rPr>
                        <w:t>WT = wild-type littermates, TG = transgenic Thy1-Syn14 animals, 1M = 1-month old, 3M = 3-months old, 14M = 14-months old</w:t>
                      </w:r>
                      <w:r w:rsidR="00B0047D" w:rsidRPr="00B0047D">
                        <w:rPr>
                          <w:rFonts w:ascii="Verdana" w:hAnsi="Verdana"/>
                          <w:sz w:val="18"/>
                          <w:szCs w:val="18"/>
                        </w:rPr>
                        <w:t>. All mice were females. TH = tyrosine hydroxylase, DAT = dopamine transporter.</w:t>
                      </w:r>
                    </w:p>
                  </w:txbxContent>
                </v:textbox>
                <w10:wrap type="topAndBottom" anchorx="margin"/>
              </v:shape>
            </w:pict>
          </mc:Fallback>
        </mc:AlternateContent>
      </w:r>
      <w:r w:rsidR="00716E5E">
        <w:rPr>
          <w:rFonts w:ascii="Verdana" w:hAnsi="Verdana"/>
          <w:b/>
          <w:bCs/>
          <w:sz w:val="24"/>
          <w:szCs w:val="24"/>
          <w:lang w:val="en-GB"/>
        </w:rPr>
        <w:br w:type="page"/>
      </w:r>
    </w:p>
    <w:p w14:paraId="39D495B4" w14:textId="47936E70" w:rsidR="00202A98" w:rsidRPr="00F06615" w:rsidRDefault="00716E5E" w:rsidP="000B321E">
      <w:pPr>
        <w:pStyle w:val="Heading2"/>
        <w:spacing w:line="360" w:lineRule="auto"/>
        <w:rPr>
          <w:lang w:val="en-GB"/>
        </w:rPr>
      </w:pPr>
      <w:r>
        <w:rPr>
          <w:lang w:val="en-GB"/>
        </w:rPr>
        <w:lastRenderedPageBreak/>
        <w:t xml:space="preserve"> </w:t>
      </w:r>
      <w:bookmarkStart w:id="121" w:name="_Toc130223450"/>
      <w:r w:rsidR="009E5729">
        <w:rPr>
          <w:lang w:val="en-GB"/>
        </w:rPr>
        <w:t>6.4</w:t>
      </w:r>
      <w:r w:rsidR="009E5729">
        <w:rPr>
          <w:lang w:val="en-GB"/>
        </w:rPr>
        <w:tab/>
      </w:r>
      <w:r>
        <w:rPr>
          <w:lang w:val="en-GB"/>
        </w:rPr>
        <w:t xml:space="preserve"> </w:t>
      </w:r>
      <w:r w:rsidR="00382652">
        <w:rPr>
          <w:lang w:val="en-GB"/>
        </w:rPr>
        <w:t>Transgenic Thy1-Syn14</w:t>
      </w:r>
      <w:r w:rsidR="00690FEF">
        <w:rPr>
          <w:lang w:val="en-GB"/>
        </w:rPr>
        <w:t xml:space="preserve"> female mice do not</w:t>
      </w:r>
      <w:r w:rsidR="00382652">
        <w:rPr>
          <w:lang w:val="en-GB"/>
        </w:rPr>
        <w:t xml:space="preserve"> show obvious microglial response to alpha-synuclein overexpression</w:t>
      </w:r>
      <w:bookmarkEnd w:id="121"/>
    </w:p>
    <w:p w14:paraId="6432F669" w14:textId="69F9EC59" w:rsidR="00A60594" w:rsidRDefault="00155E73" w:rsidP="00A60594">
      <w:pPr>
        <w:spacing w:line="360" w:lineRule="auto"/>
        <w:jc w:val="both"/>
        <w:rPr>
          <w:rFonts w:ascii="Verdana" w:hAnsi="Verdana"/>
          <w:lang w:val="en-GB"/>
        </w:rPr>
      </w:pPr>
      <w:r>
        <w:rPr>
          <w:rFonts w:ascii="Verdana" w:hAnsi="Verdana"/>
          <w:lang w:val="en-GB"/>
        </w:rPr>
        <w:t xml:space="preserve">Growing research has shown that </w:t>
      </w:r>
      <w:r w:rsidR="007A4B48">
        <w:rPr>
          <w:rFonts w:ascii="Verdana" w:hAnsi="Verdana"/>
          <w:lang w:val="en-GB"/>
        </w:rPr>
        <w:t xml:space="preserve">PD pathology </w:t>
      </w:r>
      <w:r w:rsidR="0048178D">
        <w:rPr>
          <w:rFonts w:ascii="Verdana" w:hAnsi="Verdana"/>
          <w:lang w:val="en-GB"/>
        </w:rPr>
        <w:t xml:space="preserve">is </w:t>
      </w:r>
      <w:r w:rsidR="000177DC">
        <w:rPr>
          <w:rFonts w:ascii="Verdana" w:hAnsi="Verdana"/>
          <w:lang w:val="en-GB"/>
        </w:rPr>
        <w:t>perpetrated</w:t>
      </w:r>
      <w:r w:rsidR="0048178D">
        <w:rPr>
          <w:rFonts w:ascii="Verdana" w:hAnsi="Verdana"/>
          <w:lang w:val="en-GB"/>
        </w:rPr>
        <w:t xml:space="preserve"> by a neuroinflammatory response </w:t>
      </w:r>
      <w:r w:rsidR="002B159A">
        <w:rPr>
          <w:rFonts w:ascii="Verdana" w:hAnsi="Verdana"/>
          <w:lang w:val="en-GB"/>
        </w:rPr>
        <w:t>characterised by the activation of resident microglia</w:t>
      </w:r>
      <w:r w:rsidR="00BC184B">
        <w:rPr>
          <w:rFonts w:ascii="Verdana" w:hAnsi="Verdana"/>
          <w:lang w:val="en-GB"/>
        </w:rPr>
        <w:t xml:space="preserve"> (Garcia et al., 2022)</w:t>
      </w:r>
      <w:r w:rsidR="002B159A">
        <w:rPr>
          <w:rFonts w:ascii="Verdana" w:hAnsi="Verdana"/>
          <w:lang w:val="en-GB"/>
        </w:rPr>
        <w:t>.</w:t>
      </w:r>
      <w:r w:rsidR="000177DC">
        <w:rPr>
          <w:rFonts w:ascii="Verdana" w:hAnsi="Verdana"/>
          <w:lang w:val="en-GB"/>
        </w:rPr>
        <w:t xml:space="preserve"> </w:t>
      </w:r>
      <w:r w:rsidR="00642C22">
        <w:rPr>
          <w:rFonts w:ascii="Verdana" w:hAnsi="Verdana"/>
          <w:lang w:val="en-GB"/>
        </w:rPr>
        <w:t>Microglial response can be activated by several factors, including oligomeric or fibrillar forms of alpha-synuclein</w:t>
      </w:r>
      <w:r w:rsidR="00F91DFD">
        <w:rPr>
          <w:rFonts w:ascii="Verdana" w:hAnsi="Verdana"/>
          <w:lang w:val="en-GB"/>
        </w:rPr>
        <w:t xml:space="preserve"> (</w:t>
      </w:r>
      <w:proofErr w:type="spellStart"/>
      <w:r w:rsidR="00F91DFD">
        <w:rPr>
          <w:rFonts w:ascii="Verdana" w:hAnsi="Verdana"/>
          <w:lang w:val="en-GB"/>
        </w:rPr>
        <w:t>Su</w:t>
      </w:r>
      <w:proofErr w:type="spellEnd"/>
      <w:r w:rsidR="00F91DFD">
        <w:rPr>
          <w:rFonts w:ascii="Verdana" w:hAnsi="Verdana"/>
          <w:lang w:val="en-GB"/>
        </w:rPr>
        <w:t xml:space="preserve"> et al., 2007; </w:t>
      </w:r>
      <w:r w:rsidR="00301575">
        <w:rPr>
          <w:rFonts w:ascii="Verdana" w:hAnsi="Verdana"/>
          <w:lang w:val="en-GB"/>
        </w:rPr>
        <w:t>Zhang et al., 2005).</w:t>
      </w:r>
      <w:r w:rsidR="000177DC">
        <w:rPr>
          <w:rFonts w:ascii="Verdana" w:hAnsi="Verdana"/>
          <w:lang w:val="en-GB"/>
        </w:rPr>
        <w:t xml:space="preserve"> </w:t>
      </w:r>
      <w:r w:rsidR="00BC184B">
        <w:rPr>
          <w:rFonts w:ascii="Verdana" w:hAnsi="Verdana"/>
          <w:lang w:val="en-GB"/>
        </w:rPr>
        <w:t xml:space="preserve">To test </w:t>
      </w:r>
      <w:r w:rsidR="006E144F">
        <w:rPr>
          <w:rFonts w:ascii="Verdana" w:hAnsi="Verdana"/>
          <w:lang w:val="en-GB"/>
        </w:rPr>
        <w:t xml:space="preserve">if neuroinflammation was present in transgenic Thy1-Syn14 mice in response to alpha-synuclein overexpression, we performed a double staining </w:t>
      </w:r>
      <w:r w:rsidR="00351531">
        <w:rPr>
          <w:rFonts w:ascii="Verdana" w:hAnsi="Verdana"/>
          <w:lang w:val="en-GB"/>
        </w:rPr>
        <w:t>for phospho-synuclein and</w:t>
      </w:r>
      <w:r w:rsidR="00BA637B">
        <w:rPr>
          <w:rFonts w:ascii="Verdana" w:hAnsi="Verdana"/>
          <w:lang w:val="en-GB"/>
        </w:rPr>
        <w:t xml:space="preserve"> for</w:t>
      </w:r>
      <w:r w:rsidR="006F0990">
        <w:rPr>
          <w:rFonts w:ascii="Verdana" w:hAnsi="Verdana"/>
          <w:lang w:val="en-GB"/>
        </w:rPr>
        <w:t xml:space="preserve"> </w:t>
      </w:r>
      <w:r w:rsidR="00C25303">
        <w:rPr>
          <w:rFonts w:ascii="Verdana" w:hAnsi="Verdana"/>
          <w:lang w:val="en-GB"/>
        </w:rPr>
        <w:t>i</w:t>
      </w:r>
      <w:r w:rsidR="006F0990" w:rsidRPr="006F0990">
        <w:rPr>
          <w:rFonts w:ascii="Verdana" w:hAnsi="Verdana"/>
          <w:lang w:val="en-GB"/>
        </w:rPr>
        <w:t>onized calcium</w:t>
      </w:r>
      <w:r w:rsidR="00BA637B">
        <w:rPr>
          <w:rFonts w:ascii="Verdana" w:hAnsi="Verdana"/>
          <w:lang w:val="en-GB"/>
        </w:rPr>
        <w:t>-</w:t>
      </w:r>
      <w:r w:rsidR="006F0990" w:rsidRPr="006F0990">
        <w:rPr>
          <w:rFonts w:ascii="Verdana" w:hAnsi="Verdana"/>
          <w:lang w:val="en-GB"/>
        </w:rPr>
        <w:t>binding adaptor molecule 1 (I</w:t>
      </w:r>
      <w:r w:rsidR="00BA637B">
        <w:rPr>
          <w:rFonts w:ascii="Verdana" w:hAnsi="Verdana"/>
          <w:lang w:val="en-GB"/>
        </w:rPr>
        <w:t>ba</w:t>
      </w:r>
      <w:r w:rsidR="006F0990" w:rsidRPr="006F0990">
        <w:rPr>
          <w:rFonts w:ascii="Verdana" w:hAnsi="Verdana"/>
          <w:lang w:val="en-GB"/>
        </w:rPr>
        <w:t>1)</w:t>
      </w:r>
      <w:r w:rsidR="00BA637B">
        <w:rPr>
          <w:rFonts w:ascii="Verdana" w:hAnsi="Verdana"/>
          <w:lang w:val="en-GB"/>
        </w:rPr>
        <w:t xml:space="preserve">, </w:t>
      </w:r>
      <w:r w:rsidR="00A61B00">
        <w:rPr>
          <w:rFonts w:ascii="Verdana" w:hAnsi="Verdana"/>
          <w:lang w:val="en-GB"/>
        </w:rPr>
        <w:t>which shows</w:t>
      </w:r>
      <w:r w:rsidR="00A60594">
        <w:rPr>
          <w:rFonts w:ascii="Verdana" w:hAnsi="Verdana"/>
          <w:lang w:val="en-GB"/>
        </w:rPr>
        <w:t xml:space="preserve"> an increased expression in activated microglia.</w:t>
      </w:r>
      <w:r w:rsidR="000D60CB">
        <w:rPr>
          <w:rFonts w:ascii="Verdana" w:hAnsi="Verdana"/>
          <w:lang w:val="en-GB"/>
        </w:rPr>
        <w:t xml:space="preserve"> Representative figures of the immunofluorescence staining are shown in Figure 2</w:t>
      </w:r>
      <w:r w:rsidR="00BD1461">
        <w:rPr>
          <w:rFonts w:ascii="Verdana" w:hAnsi="Verdana"/>
          <w:lang w:val="en-GB"/>
        </w:rPr>
        <w:t>4</w:t>
      </w:r>
      <w:r w:rsidR="000D60CB">
        <w:rPr>
          <w:rFonts w:ascii="Verdana" w:hAnsi="Verdana"/>
          <w:lang w:val="en-GB"/>
        </w:rPr>
        <w:t xml:space="preserve">A. </w:t>
      </w:r>
      <w:r w:rsidR="00A177FB">
        <w:rPr>
          <w:rFonts w:ascii="Verdana" w:hAnsi="Verdana"/>
          <w:lang w:val="en-GB"/>
        </w:rPr>
        <w:t>At a first glance,</w:t>
      </w:r>
      <w:r w:rsidR="00690FEF">
        <w:rPr>
          <w:rFonts w:ascii="Verdana" w:hAnsi="Verdana"/>
          <w:lang w:val="en-GB"/>
        </w:rPr>
        <w:t xml:space="preserve"> </w:t>
      </w:r>
      <w:r w:rsidR="00A177FB">
        <w:rPr>
          <w:rFonts w:ascii="Verdana" w:hAnsi="Verdana"/>
          <w:lang w:val="en-GB"/>
        </w:rPr>
        <w:t>Iba1 expression d</w:t>
      </w:r>
      <w:r w:rsidR="00F90123">
        <w:rPr>
          <w:rFonts w:ascii="Verdana" w:hAnsi="Verdana"/>
          <w:lang w:val="en-GB"/>
        </w:rPr>
        <w:t>id</w:t>
      </w:r>
      <w:r w:rsidR="00A177FB">
        <w:rPr>
          <w:rFonts w:ascii="Verdana" w:hAnsi="Verdana"/>
          <w:lang w:val="en-GB"/>
        </w:rPr>
        <w:t xml:space="preserve"> not appear to be different between WT ang TG mice</w:t>
      </w:r>
      <w:r w:rsidR="00690FEF">
        <w:rPr>
          <w:rFonts w:ascii="Verdana" w:hAnsi="Verdana"/>
          <w:lang w:val="en-GB"/>
        </w:rPr>
        <w:t xml:space="preserve"> both at 3- and 14-months of age</w:t>
      </w:r>
      <w:r w:rsidR="00A177FB">
        <w:rPr>
          <w:rFonts w:ascii="Verdana" w:hAnsi="Verdana"/>
          <w:lang w:val="en-GB"/>
        </w:rPr>
        <w:t xml:space="preserve">, while as shown already by immunohistochemistry in Figure </w:t>
      </w:r>
      <w:r w:rsidR="00BD1461">
        <w:rPr>
          <w:rFonts w:ascii="Verdana" w:hAnsi="Verdana"/>
          <w:lang w:val="en-GB"/>
        </w:rPr>
        <w:t>21</w:t>
      </w:r>
      <w:r w:rsidR="00A177FB">
        <w:rPr>
          <w:rFonts w:ascii="Verdana" w:hAnsi="Verdana"/>
          <w:lang w:val="en-GB"/>
        </w:rPr>
        <w:t xml:space="preserve">B, phospho-synuclein is expressed at higher levels in TG animals, </w:t>
      </w:r>
      <w:r w:rsidR="00F10BAD">
        <w:rPr>
          <w:rFonts w:ascii="Verdana" w:hAnsi="Verdana"/>
          <w:lang w:val="en-GB"/>
        </w:rPr>
        <w:t>with differences already detectable by eye in cortex and hippocampus.</w:t>
      </w:r>
      <w:r w:rsidR="004D2176">
        <w:rPr>
          <w:rFonts w:ascii="Verdana" w:hAnsi="Verdana"/>
          <w:lang w:val="en-GB"/>
        </w:rPr>
        <w:t xml:space="preserve"> Staining for alpha-synuclein is mostly detected in the nuclei in the cortex and in the CA1 region of the hippocampus. </w:t>
      </w:r>
      <w:r w:rsidR="00C61135">
        <w:rPr>
          <w:rFonts w:ascii="Verdana" w:hAnsi="Verdana"/>
          <w:lang w:val="en-GB"/>
        </w:rPr>
        <w:t>In the same areas, microglia cells are also detected, but they do not seem to interact with the alpha-synuclein overexpressing neurons (Figure 2</w:t>
      </w:r>
      <w:r w:rsidR="00BD1461">
        <w:rPr>
          <w:rFonts w:ascii="Verdana" w:hAnsi="Verdana"/>
          <w:lang w:val="en-GB"/>
        </w:rPr>
        <w:t>4</w:t>
      </w:r>
      <w:r w:rsidR="00C61135">
        <w:rPr>
          <w:rFonts w:ascii="Verdana" w:hAnsi="Verdana"/>
          <w:lang w:val="en-GB"/>
        </w:rPr>
        <w:t>B</w:t>
      </w:r>
      <w:r w:rsidR="00A34179">
        <w:rPr>
          <w:rFonts w:ascii="Verdana" w:hAnsi="Verdana"/>
          <w:lang w:val="en-GB"/>
        </w:rPr>
        <w:t xml:space="preserve"> left and middle</w:t>
      </w:r>
      <w:r w:rsidR="00C61135">
        <w:rPr>
          <w:rFonts w:ascii="Verdana" w:hAnsi="Verdana"/>
          <w:lang w:val="en-GB"/>
        </w:rPr>
        <w:t>)</w:t>
      </w:r>
      <w:r w:rsidR="003146B4">
        <w:rPr>
          <w:rFonts w:ascii="Verdana" w:hAnsi="Verdana"/>
          <w:lang w:val="en-GB"/>
        </w:rPr>
        <w:t xml:space="preserve">. </w:t>
      </w:r>
      <w:r w:rsidR="00110553">
        <w:rPr>
          <w:rFonts w:ascii="Verdana" w:hAnsi="Verdana"/>
          <w:lang w:val="en-GB"/>
        </w:rPr>
        <w:t xml:space="preserve">Furthermore, microglial </w:t>
      </w:r>
      <w:r w:rsidR="00D90296">
        <w:rPr>
          <w:rFonts w:ascii="Verdana" w:hAnsi="Verdana"/>
          <w:lang w:val="en-GB"/>
        </w:rPr>
        <w:t>activation has been linked with a more amoeboid shape, while in our samples microglial cells appear ramified, indicating a resting st</w:t>
      </w:r>
      <w:r w:rsidR="00FF4585">
        <w:rPr>
          <w:rFonts w:ascii="Verdana" w:hAnsi="Verdana"/>
          <w:lang w:val="en-GB"/>
        </w:rPr>
        <w:t>a</w:t>
      </w:r>
      <w:r w:rsidR="00D90296">
        <w:rPr>
          <w:rFonts w:ascii="Verdana" w:hAnsi="Verdana"/>
          <w:lang w:val="en-GB"/>
        </w:rPr>
        <w:t>te</w:t>
      </w:r>
      <w:r w:rsidR="00FB6B96">
        <w:rPr>
          <w:rFonts w:ascii="Verdana" w:hAnsi="Verdana"/>
          <w:lang w:val="en-GB"/>
        </w:rPr>
        <w:t xml:space="preserve"> </w:t>
      </w:r>
      <w:r w:rsidR="00AA73D7">
        <w:rPr>
          <w:rFonts w:ascii="Verdana" w:hAnsi="Verdana"/>
          <w:lang w:val="en-GB"/>
        </w:rPr>
        <w:fldChar w:fldCharType="begin"/>
      </w:r>
      <w:r w:rsidR="00AA73D7">
        <w:rPr>
          <w:rFonts w:ascii="Verdana" w:hAnsi="Verdana"/>
          <w:lang w:val="en-GB"/>
        </w:rPr>
        <w:instrText xml:space="preserve"> ADDIN ZOTERO_ITEM CSL_CITATION {"citationID":"uqrrJH0M","properties":{"formattedCitation":"(Stence, Waite, and Dailey 2001)","plainCitation":"(Stence, Waite, and Dailey 2001)","noteIndex":0},"citationItems":[{"id":2100,"uris":["http://zotero.org/users/9330673/items/R8KQ5HKS"],"itemData":{"id":2100,"type":"article-journal","abstract":"The dynamics of microglial cell activation was studied in freshly prepared rat brain tissue slices. Microglia became activated in the tissue slices, as evidenced by their conversion from a ramiﬁed to amoeboid form within several hours in vitro. To deﬁne better the cytoarchitectural dynamics underlying microglial activation, we performed direct three-dimensional time-lapse confocal imaging of microglial cells in live brain slices. Microglia in tissue slices were stained with a ﬂuorescent lectin conjugate, FITC-IB4, and stacks of confocal optical sections through the tissue were collected repeatedly at intervals of 2–5 min for several hours at a time. Morphometric analysis of cells from time-lapse sequences revealed that ramiﬁed microglia progress to amoeboid macrophages through a stereotypical sequence of steps. First, in the withdrawal stage, the existing ramiﬁed branches of activating microglia do not actively extend or engulf other cells, but instead retract back (mean rate, 0.5–1.5 </w:instrText>
      </w:r>
      <w:r w:rsidR="00AA73D7">
        <w:rPr>
          <w:rFonts w:ascii="Verdana" w:hAnsi="Verdana" w:cs="Verdana"/>
          <w:lang w:val="en-GB"/>
        </w:rPr>
        <w:instrText>␮</w:instrText>
      </w:r>
      <w:r w:rsidR="00AA73D7">
        <w:rPr>
          <w:rFonts w:ascii="Verdana" w:hAnsi="Verdana"/>
          <w:lang w:val="en-GB"/>
        </w:rPr>
        <w:instrText xml:space="preserve">m/min) and are completely resorbed into the cell body. Second, in the motility stage, a new set of dynamic protrusions, which can exhibit cycles of rapid extension and retraction (both up to 4 </w:instrText>
      </w:r>
      <w:r w:rsidR="00AA73D7">
        <w:rPr>
          <w:rFonts w:ascii="Verdana" w:hAnsi="Verdana" w:cs="Verdana"/>
          <w:lang w:val="en-GB"/>
        </w:rPr>
        <w:instrText>␮</w:instrText>
      </w:r>
      <w:r w:rsidR="00AA73D7">
        <w:rPr>
          <w:rFonts w:ascii="Verdana" w:hAnsi="Verdana"/>
          <w:lang w:val="en-GB"/>
        </w:rPr>
        <w:instrText xml:space="preserve">m/min), abruptly emerges. Sometimes new processes begin to emerge even before the old branches are completely withdrawn. Third, in the locomotory stage, microglia begin translocating within the tissue (up to 118 </w:instrText>
      </w:r>
      <w:r w:rsidR="00AA73D7">
        <w:rPr>
          <w:rFonts w:ascii="Verdana" w:hAnsi="Verdana" w:cs="Verdana"/>
          <w:lang w:val="en-GB"/>
        </w:rPr>
        <w:instrText>␮</w:instrText>
      </w:r>
      <w:r w:rsidR="00AA73D7">
        <w:rPr>
          <w:rFonts w:ascii="Verdana" w:hAnsi="Verdana"/>
          <w:lang w:val="en-GB"/>
        </w:rPr>
        <w:instrText xml:space="preserve">m/h) only after the new protrusions emerge. We conclude that the rapid conversion of resting ramiﬁed microglia to active amoeboid macrophages is accomplished not by converting quiescent branches to dynamic ones, but rather by replacing existing branches with an entirely new set of highly motile protrusions. This suggests that the ramiﬁed branches of resting microglia are normally incapable of rapid morphological dynamics necessary for activated microglial function. More generally, our time-lapse observations identify changes in the dynamic behavior of activating microglia and thereby help deﬁne distinct temporal and functional stages of activation for further investigation. GLIA 33:256 –266, 2001. © 2001 Wiley-Liss, Inc.","container-title":"Glia","DOI":"10.1002/1098-1136(200103)33:3&lt;256::AID-GLIA1024&gt;3.0.CO;2-J","ISSN":"0894-1491, 1098-1136","issue":"3","journalAbbreviation":"Glia","language":"en","page":"256-266","source":"DOI.org (Crossref)","title":"Dynamics of microglial activation: A confocal time-lapse analysis in hippocampal slices","title-short":"Dynamics of microglial activation","volume":"33","author":[{"family":"Stence","given":"Nick"},{"family":"Waite","given":"Marc"},{"family":"Dailey","given":"Michael E."}],"issued":{"date-parts":[["2001",3]]}}}],"schema":"https://github.com/citation-style-language/schema/raw/master/csl-citation.json"} </w:instrText>
      </w:r>
      <w:r w:rsidR="00AA73D7">
        <w:rPr>
          <w:rFonts w:ascii="Verdana" w:hAnsi="Verdana"/>
          <w:lang w:val="en-GB"/>
        </w:rPr>
        <w:fldChar w:fldCharType="separate"/>
      </w:r>
      <w:r w:rsidR="00AA73D7" w:rsidRPr="00AA73D7">
        <w:rPr>
          <w:rFonts w:ascii="Verdana" w:hAnsi="Verdana"/>
        </w:rPr>
        <w:t>(Stence, Waite, and Dailey 2001)</w:t>
      </w:r>
      <w:r w:rsidR="00AA73D7">
        <w:rPr>
          <w:rFonts w:ascii="Verdana" w:hAnsi="Verdana"/>
          <w:lang w:val="en-GB"/>
        </w:rPr>
        <w:fldChar w:fldCharType="end"/>
      </w:r>
      <w:r w:rsidR="00D90296">
        <w:rPr>
          <w:rFonts w:ascii="Verdana" w:hAnsi="Verdana"/>
          <w:lang w:val="en-GB"/>
        </w:rPr>
        <w:t>.</w:t>
      </w:r>
      <w:r w:rsidR="00110553">
        <w:rPr>
          <w:rFonts w:ascii="Verdana" w:hAnsi="Verdana"/>
          <w:lang w:val="en-GB"/>
        </w:rPr>
        <w:t xml:space="preserve"> </w:t>
      </w:r>
      <w:r w:rsidR="003146B4">
        <w:rPr>
          <w:rFonts w:ascii="Verdana" w:hAnsi="Verdana"/>
          <w:lang w:val="en-GB"/>
        </w:rPr>
        <w:t>Similar results were found in the su</w:t>
      </w:r>
      <w:r w:rsidR="00F46ED1">
        <w:rPr>
          <w:rFonts w:ascii="Verdana" w:hAnsi="Verdana"/>
          <w:lang w:val="en-GB"/>
        </w:rPr>
        <w:t>b</w:t>
      </w:r>
      <w:r w:rsidR="003146B4">
        <w:rPr>
          <w:rFonts w:ascii="Verdana" w:hAnsi="Verdana"/>
          <w:lang w:val="en-GB"/>
        </w:rPr>
        <w:t>stantia nigra (Figure 2</w:t>
      </w:r>
      <w:r w:rsidR="00BD1461">
        <w:rPr>
          <w:rFonts w:ascii="Verdana" w:hAnsi="Verdana"/>
          <w:lang w:val="en-GB"/>
        </w:rPr>
        <w:t>4</w:t>
      </w:r>
      <w:r w:rsidR="00A34179">
        <w:rPr>
          <w:rFonts w:ascii="Verdana" w:hAnsi="Verdana"/>
          <w:lang w:val="en-GB"/>
        </w:rPr>
        <w:t>B, right</w:t>
      </w:r>
      <w:r w:rsidR="003146B4">
        <w:rPr>
          <w:rFonts w:ascii="Verdana" w:hAnsi="Verdana"/>
          <w:lang w:val="en-GB"/>
        </w:rPr>
        <w:t>)</w:t>
      </w:r>
      <w:r w:rsidR="0018414E">
        <w:rPr>
          <w:rFonts w:ascii="Verdana" w:hAnsi="Verdana"/>
          <w:lang w:val="en-GB"/>
        </w:rPr>
        <w:t xml:space="preserve">. Overall, no differences were observed between mice at 3- and 14-months of age, nor </w:t>
      </w:r>
      <w:r w:rsidR="00C20C5A">
        <w:rPr>
          <w:rFonts w:ascii="Verdana" w:hAnsi="Verdana"/>
          <w:lang w:val="en-GB"/>
        </w:rPr>
        <w:t>between WT and TG mice. Taken together, these data suggest that the overexpression of alpha-synuclein in Thy1-Syn14 mice does not cause a direct microglia response</w:t>
      </w:r>
      <w:r w:rsidR="00F24D6B">
        <w:rPr>
          <w:rFonts w:ascii="Verdana" w:hAnsi="Verdana"/>
          <w:lang w:val="en-GB"/>
        </w:rPr>
        <w:t>. Furthermore, the alpha-synuclein load does not seem to di</w:t>
      </w:r>
      <w:r w:rsidR="00BC58FA">
        <w:rPr>
          <w:rFonts w:ascii="Verdana" w:hAnsi="Verdana"/>
          <w:lang w:val="en-GB"/>
        </w:rPr>
        <w:t>ffer much at young versus old ages</w:t>
      </w:r>
      <w:r w:rsidR="00147F4C">
        <w:rPr>
          <w:rFonts w:ascii="Verdana" w:hAnsi="Verdana"/>
          <w:lang w:val="en-GB"/>
        </w:rPr>
        <w:t xml:space="preserve">. This might induce the activation of compensatory mechanisms to alpha-synuclein overexpression </w:t>
      </w:r>
      <w:r w:rsidR="007D7D58">
        <w:rPr>
          <w:rFonts w:ascii="Verdana" w:hAnsi="Verdana"/>
          <w:lang w:val="en-GB"/>
        </w:rPr>
        <w:t>already at early point</w:t>
      </w:r>
      <w:r w:rsidR="00B168F1">
        <w:rPr>
          <w:rFonts w:ascii="Verdana" w:hAnsi="Verdana"/>
          <w:lang w:val="en-GB"/>
        </w:rPr>
        <w:t>s</w:t>
      </w:r>
      <w:r w:rsidR="007D7D58">
        <w:rPr>
          <w:rFonts w:ascii="Verdana" w:hAnsi="Verdana"/>
          <w:lang w:val="en-GB"/>
        </w:rPr>
        <w:t xml:space="preserve"> in life, potentially explaining why transgenic mice do not show </w:t>
      </w:r>
      <w:r w:rsidR="008572D1">
        <w:rPr>
          <w:rFonts w:ascii="Verdana" w:hAnsi="Verdana"/>
          <w:lang w:val="en-GB"/>
        </w:rPr>
        <w:t xml:space="preserve">increased microglial response despite </w:t>
      </w:r>
      <w:r w:rsidR="00A92FDC">
        <w:rPr>
          <w:rFonts w:ascii="Verdana" w:hAnsi="Verdana"/>
          <w:lang w:val="en-GB"/>
        </w:rPr>
        <w:t>consistent levels of alpha-synuclein overexpression.</w:t>
      </w:r>
    </w:p>
    <w:p w14:paraId="349366E1" w14:textId="77777777" w:rsidR="00A60594" w:rsidRDefault="00A60594" w:rsidP="00E83563">
      <w:pPr>
        <w:spacing w:line="360" w:lineRule="auto"/>
        <w:ind w:firstLine="0"/>
        <w:jc w:val="both"/>
        <w:rPr>
          <w:rFonts w:ascii="Verdana" w:hAnsi="Verdana"/>
          <w:lang w:val="en-GB"/>
        </w:rPr>
      </w:pPr>
    </w:p>
    <w:p w14:paraId="35229773" w14:textId="39ADB109" w:rsidR="00BB13CC" w:rsidRDefault="00FB0E0A" w:rsidP="00B8356F">
      <w:pPr>
        <w:spacing w:line="360" w:lineRule="auto"/>
        <w:ind w:firstLine="0"/>
        <w:jc w:val="both"/>
        <w:rPr>
          <w:rFonts w:ascii="Verdana" w:hAnsi="Verdana"/>
          <w:lang w:val="en-GB"/>
        </w:rPr>
      </w:pPr>
      <w:r>
        <w:rPr>
          <w:noProof/>
        </w:rPr>
        <w:lastRenderedPageBreak/>
        <mc:AlternateContent>
          <mc:Choice Requires="wps">
            <w:drawing>
              <wp:anchor distT="0" distB="0" distL="114300" distR="114300" simplePos="0" relativeHeight="251945984" behindDoc="0" locked="0" layoutInCell="1" allowOverlap="1" wp14:anchorId="0E2DDA8A" wp14:editId="0BF7D23A">
                <wp:simplePos x="0" y="0"/>
                <wp:positionH relativeFrom="margin">
                  <wp:align>left</wp:align>
                </wp:positionH>
                <wp:positionV relativeFrom="paragraph">
                  <wp:posOffset>6731635</wp:posOffset>
                </wp:positionV>
                <wp:extent cx="5580380" cy="1021080"/>
                <wp:effectExtent l="0" t="0" r="1270" b="8255"/>
                <wp:wrapTopAndBottom/>
                <wp:docPr id="138" name="Text Box 138"/>
                <wp:cNvGraphicFramePr/>
                <a:graphic xmlns:a="http://schemas.openxmlformats.org/drawingml/2006/main">
                  <a:graphicData uri="http://schemas.microsoft.com/office/word/2010/wordprocessingShape">
                    <wps:wsp>
                      <wps:cNvSpPr txBox="1"/>
                      <wps:spPr>
                        <a:xfrm>
                          <a:off x="0" y="0"/>
                          <a:ext cx="5580380" cy="1021080"/>
                        </a:xfrm>
                        <a:prstGeom prst="rect">
                          <a:avLst/>
                        </a:prstGeom>
                        <a:solidFill>
                          <a:prstClr val="white"/>
                        </a:solidFill>
                        <a:ln>
                          <a:noFill/>
                        </a:ln>
                      </wps:spPr>
                      <wps:txbx>
                        <w:txbxContent>
                          <w:p w14:paraId="15A15520" w14:textId="10C5826E" w:rsidR="004154DA" w:rsidRDefault="004154DA" w:rsidP="006D581D">
                            <w:pPr>
                              <w:pStyle w:val="Caption"/>
                              <w:ind w:firstLine="0"/>
                              <w:jc w:val="both"/>
                              <w:rPr>
                                <w:rFonts w:ascii="Verdana" w:hAnsi="Verdana"/>
                                <w:i w:val="0"/>
                                <w:iCs w:val="0"/>
                                <w:color w:val="auto"/>
                              </w:rPr>
                            </w:pPr>
                            <w:bookmarkStart w:id="122" w:name="_Toc131412766"/>
                            <w:r w:rsidRPr="004154DA">
                              <w:rPr>
                                <w:rFonts w:ascii="Verdana" w:hAnsi="Verdana"/>
                                <w:b/>
                                <w:bCs/>
                                <w:i w:val="0"/>
                                <w:iCs w:val="0"/>
                                <w:color w:val="auto"/>
                              </w:rPr>
                              <w:t xml:space="preserve">Figure </w:t>
                            </w:r>
                            <w:r w:rsidRPr="004154DA">
                              <w:rPr>
                                <w:rFonts w:ascii="Verdana" w:hAnsi="Verdana"/>
                                <w:b/>
                                <w:bCs/>
                                <w:i w:val="0"/>
                                <w:iCs w:val="0"/>
                                <w:color w:val="auto"/>
                              </w:rPr>
                              <w:fldChar w:fldCharType="begin"/>
                            </w:r>
                            <w:r w:rsidRPr="004154DA">
                              <w:rPr>
                                <w:rFonts w:ascii="Verdana" w:hAnsi="Verdana"/>
                                <w:b/>
                                <w:bCs/>
                                <w:i w:val="0"/>
                                <w:iCs w:val="0"/>
                                <w:color w:val="auto"/>
                              </w:rPr>
                              <w:instrText xml:space="preserve"> SEQ Figure \* ARABIC </w:instrText>
                            </w:r>
                            <w:r w:rsidRPr="004154DA">
                              <w:rPr>
                                <w:rFonts w:ascii="Verdana" w:hAnsi="Verdana"/>
                                <w:b/>
                                <w:bCs/>
                                <w:i w:val="0"/>
                                <w:iCs w:val="0"/>
                                <w:color w:val="auto"/>
                              </w:rPr>
                              <w:fldChar w:fldCharType="separate"/>
                            </w:r>
                            <w:r w:rsidR="001D505F">
                              <w:rPr>
                                <w:rFonts w:ascii="Verdana" w:hAnsi="Verdana"/>
                                <w:b/>
                                <w:bCs/>
                                <w:i w:val="0"/>
                                <w:iCs w:val="0"/>
                                <w:noProof/>
                                <w:color w:val="auto"/>
                              </w:rPr>
                              <w:t>24</w:t>
                            </w:r>
                            <w:r w:rsidRPr="004154DA">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Microglia does not interact with alpha-synuclein inclusions</w:t>
                            </w:r>
                            <w:r w:rsidR="00487D3B">
                              <w:rPr>
                                <w:rFonts w:ascii="Verdana" w:hAnsi="Verdana"/>
                                <w:i w:val="0"/>
                                <w:iCs w:val="0"/>
                                <w:color w:val="auto"/>
                              </w:rPr>
                              <w:t xml:space="preserve"> in the Thy1-</w:t>
                            </w:r>
                            <w:r w:rsidR="00C35FF0">
                              <w:rPr>
                                <w:rFonts w:ascii="Verdana" w:hAnsi="Verdana"/>
                                <w:i w:val="0"/>
                                <w:iCs w:val="0"/>
                                <w:color w:val="auto"/>
                              </w:rPr>
                              <w:t>Syn14</w:t>
                            </w:r>
                            <w:r w:rsidR="003517D5">
                              <w:rPr>
                                <w:rFonts w:ascii="Verdana" w:hAnsi="Verdana"/>
                                <w:i w:val="0"/>
                                <w:iCs w:val="0"/>
                                <w:color w:val="auto"/>
                              </w:rPr>
                              <w:t xml:space="preserve"> mouse model</w:t>
                            </w:r>
                            <w:bookmarkEnd w:id="122"/>
                          </w:p>
                          <w:p w14:paraId="15B9D6DD" w14:textId="01C6F2E4" w:rsidR="004154DA" w:rsidRDefault="00ED40A8" w:rsidP="006D581D">
                            <w:pPr>
                              <w:ind w:firstLine="0"/>
                              <w:jc w:val="both"/>
                            </w:pPr>
                            <w:r>
                              <w:t xml:space="preserve">A) </w:t>
                            </w:r>
                            <w:r w:rsidR="006F482E">
                              <w:t>Representative immunof</w:t>
                            </w:r>
                            <w:r w:rsidR="005011F8">
                              <w:t>luorescence</w:t>
                            </w:r>
                            <w:r w:rsidR="006F482E">
                              <w:t xml:space="preserve"> pictures</w:t>
                            </w:r>
                            <w:r w:rsidR="00FB0E0A">
                              <w:t xml:space="preserve"> of</w:t>
                            </w:r>
                            <w:r w:rsidR="00225D36">
                              <w:t xml:space="preserve"> a sagittal section of the whole brain</w:t>
                            </w:r>
                            <w:r w:rsidR="005011F8">
                              <w:t xml:space="preserve"> for </w:t>
                            </w:r>
                            <w:r w:rsidR="008A5564">
                              <w:t>phosphorylated alpha-synuclein (top) and Iba1 (middle) for WT and TG female mice at 3 and 14 months of age.</w:t>
                            </w:r>
                            <w:r w:rsidR="00FB0E0A">
                              <w:t xml:space="preserve"> B)</w:t>
                            </w:r>
                            <w:r w:rsidR="001A12C8">
                              <w:t xml:space="preserve"> Top:</w:t>
                            </w:r>
                            <w:r w:rsidR="00FB0E0A">
                              <w:t xml:space="preserve"> </w:t>
                            </w:r>
                            <w:r w:rsidR="006F482E">
                              <w:t>Representative immunofluorescence pictures</w:t>
                            </w:r>
                            <w:r w:rsidR="00225D36">
                              <w:t xml:space="preserve"> for phosphorylated alpha-synuclein and Iba1 </w:t>
                            </w:r>
                            <w:r w:rsidR="001A12C8">
                              <w:t xml:space="preserve">in cortex (left), hippocampus (middle) and substantia nigra (right) for WT and TG female mice at 14 months of age; Bottom: Magnifications of </w:t>
                            </w:r>
                            <w:r w:rsidR="006F482E">
                              <w:t>the “merge” channel for TG mice for each brain region.</w:t>
                            </w:r>
                            <w:r w:rsidR="006D581D">
                              <w:t xml:space="preserve"> 40X magnification, scale</w:t>
                            </w:r>
                            <w:r w:rsidR="00E00B94">
                              <w:t xml:space="preserve"> bar</w:t>
                            </w:r>
                            <w:r w:rsidR="006D581D">
                              <w:t xml:space="preserve"> = 50</w:t>
                            </w:r>
                            <w:r w:rsidR="006D581D">
                              <w:rPr>
                                <w:rFonts w:cstheme="minorHAnsi"/>
                              </w:rPr>
                              <w:t>µ</w:t>
                            </w:r>
                            <w:r w:rsidR="006D581D">
                              <w:t>m.</w:t>
                            </w:r>
                          </w:p>
                          <w:p w14:paraId="2DABC48D" w14:textId="4D51CF48" w:rsidR="006D581D" w:rsidRPr="004154DA" w:rsidRDefault="006D581D" w:rsidP="006D581D">
                            <w:pPr>
                              <w:ind w:firstLine="0"/>
                              <w:jc w:val="both"/>
                            </w:pPr>
                            <w:r>
                              <w:t xml:space="preserve">WT = </w:t>
                            </w:r>
                            <w:r w:rsidR="00001DAF">
                              <w:t>wild-type littermates, TG = transgenic Thy</w:t>
                            </w:r>
                            <w:r w:rsidR="003517D5">
                              <w:t>1</w:t>
                            </w:r>
                            <w:r w:rsidR="00001DAF">
                              <w:t xml:space="preserve">-Syn14 animals, 3M = 3-months old, 14M = 14-months old, </w:t>
                            </w:r>
                            <w:r w:rsidR="00C25303">
                              <w:t xml:space="preserve">CTX = cortex, CA1 = </w:t>
                            </w:r>
                            <w:proofErr w:type="spellStart"/>
                            <w:r w:rsidR="00C25303">
                              <w:t>cornu</w:t>
                            </w:r>
                            <w:proofErr w:type="spellEnd"/>
                            <w:r w:rsidR="00C25303">
                              <w:t xml:space="preserve"> </w:t>
                            </w:r>
                            <w:proofErr w:type="spellStart"/>
                            <w:r w:rsidR="00C25303">
                              <w:t>Ammonis</w:t>
                            </w:r>
                            <w:proofErr w:type="spellEnd"/>
                            <w:r w:rsidR="00C25303">
                              <w:t xml:space="preserve"> 1 of the hippocampus, SN = substantia nigra, </w:t>
                            </w:r>
                            <w:proofErr w:type="spellStart"/>
                            <w:r w:rsidR="00C25303">
                              <w:t>pSyn</w:t>
                            </w:r>
                            <w:proofErr w:type="spellEnd"/>
                            <w:r w:rsidR="00C25303">
                              <w:t xml:space="preserve"> = phosphorylated alpha-synuclein, Iba1 = </w:t>
                            </w:r>
                            <w:r w:rsidR="00C25303" w:rsidRPr="00C25303">
                              <w:t>ionized calcium-binding adaptor molecule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2DDA8A" id="Text Box 138" o:spid="_x0000_s1052" type="#_x0000_t202" style="position:absolute;left:0;text-align:left;margin-left:0;margin-top:530.05pt;width:439.4pt;height:80.4pt;z-index:2519459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" stroked="f">
                <v:textbox style="mso-fit-shape-to-text:t" inset="0,0,0,0">
                  <w:txbxContent>
                    <w:p w14:paraId="15A15520" w14:textId="10C5826E" w:rsidR="004154DA" w:rsidRDefault="004154DA" w:rsidP="006D581D">
                      <w:pPr>
                        <w:pStyle w:val="Caption"/>
                        <w:ind w:firstLine="0"/>
                        <w:jc w:val="both"/>
                        <w:rPr>
                          <w:rFonts w:ascii="Verdana" w:hAnsi="Verdana"/>
                          <w:i w:val="0"/>
                          <w:iCs w:val="0"/>
                          <w:color w:val="auto"/>
                        </w:rPr>
                      </w:pPr>
                      <w:bookmarkStart w:id="123" w:name="_Toc131412766"/>
                      <w:r w:rsidRPr="004154DA">
                        <w:rPr>
                          <w:rFonts w:ascii="Verdana" w:hAnsi="Verdana"/>
                          <w:b/>
                          <w:bCs/>
                          <w:i w:val="0"/>
                          <w:iCs w:val="0"/>
                          <w:color w:val="auto"/>
                        </w:rPr>
                        <w:t xml:space="preserve">Figure </w:t>
                      </w:r>
                      <w:r w:rsidRPr="004154DA">
                        <w:rPr>
                          <w:rFonts w:ascii="Verdana" w:hAnsi="Verdana"/>
                          <w:b/>
                          <w:bCs/>
                          <w:i w:val="0"/>
                          <w:iCs w:val="0"/>
                          <w:color w:val="auto"/>
                        </w:rPr>
                        <w:fldChar w:fldCharType="begin"/>
                      </w:r>
                      <w:r w:rsidRPr="004154DA">
                        <w:rPr>
                          <w:rFonts w:ascii="Verdana" w:hAnsi="Verdana"/>
                          <w:b/>
                          <w:bCs/>
                          <w:i w:val="0"/>
                          <w:iCs w:val="0"/>
                          <w:color w:val="auto"/>
                        </w:rPr>
                        <w:instrText xml:space="preserve"> SEQ Figure \* ARABIC </w:instrText>
                      </w:r>
                      <w:r w:rsidRPr="004154DA">
                        <w:rPr>
                          <w:rFonts w:ascii="Verdana" w:hAnsi="Verdana"/>
                          <w:b/>
                          <w:bCs/>
                          <w:i w:val="0"/>
                          <w:iCs w:val="0"/>
                          <w:color w:val="auto"/>
                        </w:rPr>
                        <w:fldChar w:fldCharType="separate"/>
                      </w:r>
                      <w:r w:rsidR="001D505F">
                        <w:rPr>
                          <w:rFonts w:ascii="Verdana" w:hAnsi="Verdana"/>
                          <w:b/>
                          <w:bCs/>
                          <w:i w:val="0"/>
                          <w:iCs w:val="0"/>
                          <w:noProof/>
                          <w:color w:val="auto"/>
                        </w:rPr>
                        <w:t>24</w:t>
                      </w:r>
                      <w:r w:rsidRPr="004154DA">
                        <w:rPr>
                          <w:rFonts w:ascii="Verdana" w:hAnsi="Verdana"/>
                          <w:b/>
                          <w:bCs/>
                          <w:i w:val="0"/>
                          <w:iCs w:val="0"/>
                          <w:color w:val="auto"/>
                        </w:rPr>
                        <w:fldChar w:fldCharType="end"/>
                      </w:r>
                      <w:r>
                        <w:rPr>
                          <w:rFonts w:ascii="Verdana" w:hAnsi="Verdana"/>
                          <w:b/>
                          <w:bCs/>
                          <w:i w:val="0"/>
                          <w:iCs w:val="0"/>
                          <w:color w:val="auto"/>
                        </w:rPr>
                        <w:t xml:space="preserve"> </w:t>
                      </w:r>
                      <w:r>
                        <w:rPr>
                          <w:rFonts w:ascii="Verdana" w:hAnsi="Verdana"/>
                          <w:i w:val="0"/>
                          <w:iCs w:val="0"/>
                          <w:color w:val="auto"/>
                        </w:rPr>
                        <w:t>Microglia does not interact with alpha-synuclein inclusions</w:t>
                      </w:r>
                      <w:r w:rsidR="00487D3B">
                        <w:rPr>
                          <w:rFonts w:ascii="Verdana" w:hAnsi="Verdana"/>
                          <w:i w:val="0"/>
                          <w:iCs w:val="0"/>
                          <w:color w:val="auto"/>
                        </w:rPr>
                        <w:t xml:space="preserve"> in the Thy1-</w:t>
                      </w:r>
                      <w:r w:rsidR="00C35FF0">
                        <w:rPr>
                          <w:rFonts w:ascii="Verdana" w:hAnsi="Verdana"/>
                          <w:i w:val="0"/>
                          <w:iCs w:val="0"/>
                          <w:color w:val="auto"/>
                        </w:rPr>
                        <w:t>Syn14</w:t>
                      </w:r>
                      <w:r w:rsidR="003517D5">
                        <w:rPr>
                          <w:rFonts w:ascii="Verdana" w:hAnsi="Verdana"/>
                          <w:i w:val="0"/>
                          <w:iCs w:val="0"/>
                          <w:color w:val="auto"/>
                        </w:rPr>
                        <w:t xml:space="preserve"> mouse model</w:t>
                      </w:r>
                      <w:bookmarkEnd w:id="123"/>
                    </w:p>
                    <w:p w14:paraId="15B9D6DD" w14:textId="01C6F2E4" w:rsidR="004154DA" w:rsidRDefault="00ED40A8" w:rsidP="006D581D">
                      <w:pPr>
                        <w:ind w:firstLine="0"/>
                        <w:jc w:val="both"/>
                      </w:pPr>
                      <w:r>
                        <w:t xml:space="preserve">A) </w:t>
                      </w:r>
                      <w:r w:rsidR="006F482E">
                        <w:t>Representative immunof</w:t>
                      </w:r>
                      <w:r w:rsidR="005011F8">
                        <w:t>luorescence</w:t>
                      </w:r>
                      <w:r w:rsidR="006F482E">
                        <w:t xml:space="preserve"> pictures</w:t>
                      </w:r>
                      <w:r w:rsidR="00FB0E0A">
                        <w:t xml:space="preserve"> of</w:t>
                      </w:r>
                      <w:r w:rsidR="00225D36">
                        <w:t xml:space="preserve"> a sagittal section of the whole brain</w:t>
                      </w:r>
                      <w:r w:rsidR="005011F8">
                        <w:t xml:space="preserve"> for </w:t>
                      </w:r>
                      <w:r w:rsidR="008A5564">
                        <w:t>phosphorylated alpha-synuclein (top) and Iba1 (middle) for WT and TG female mice at 3 and 14 months of age.</w:t>
                      </w:r>
                      <w:r w:rsidR="00FB0E0A">
                        <w:t xml:space="preserve"> B)</w:t>
                      </w:r>
                      <w:r w:rsidR="001A12C8">
                        <w:t xml:space="preserve"> Top:</w:t>
                      </w:r>
                      <w:r w:rsidR="00FB0E0A">
                        <w:t xml:space="preserve"> </w:t>
                      </w:r>
                      <w:r w:rsidR="006F482E">
                        <w:t>Representative immunofluorescence pictures</w:t>
                      </w:r>
                      <w:r w:rsidR="00225D36">
                        <w:t xml:space="preserve"> for phosphorylated alpha-synuclein and Iba1 </w:t>
                      </w:r>
                      <w:r w:rsidR="001A12C8">
                        <w:t xml:space="preserve">in cortex (left), hippocampus (middle) and substantia nigra (right) for WT and TG female mice at 14 months of age; Bottom: Magnifications of </w:t>
                      </w:r>
                      <w:r w:rsidR="006F482E">
                        <w:t>the “merge” channel for TG mice for each brain region.</w:t>
                      </w:r>
                      <w:r w:rsidR="006D581D">
                        <w:t xml:space="preserve"> 40X magnification, scale</w:t>
                      </w:r>
                      <w:r w:rsidR="00E00B94">
                        <w:t xml:space="preserve"> bar</w:t>
                      </w:r>
                      <w:r w:rsidR="006D581D">
                        <w:t xml:space="preserve"> = 50</w:t>
                      </w:r>
                      <w:r w:rsidR="006D581D">
                        <w:rPr>
                          <w:rFonts w:cstheme="minorHAnsi"/>
                        </w:rPr>
                        <w:t>µ</w:t>
                      </w:r>
                      <w:r w:rsidR="006D581D">
                        <w:t>m.</w:t>
                      </w:r>
                    </w:p>
                    <w:p w14:paraId="2DABC48D" w14:textId="4D51CF48" w:rsidR="006D581D" w:rsidRPr="004154DA" w:rsidRDefault="006D581D" w:rsidP="006D581D">
                      <w:pPr>
                        <w:ind w:firstLine="0"/>
                        <w:jc w:val="both"/>
                      </w:pPr>
                      <w:r>
                        <w:t xml:space="preserve">WT = </w:t>
                      </w:r>
                      <w:r w:rsidR="00001DAF">
                        <w:t>wild-type littermates, TG = transgenic Thy</w:t>
                      </w:r>
                      <w:r w:rsidR="003517D5">
                        <w:t>1</w:t>
                      </w:r>
                      <w:r w:rsidR="00001DAF">
                        <w:t xml:space="preserve">-Syn14 animals, 3M = 3-months old, 14M = 14-months old, </w:t>
                      </w:r>
                      <w:r w:rsidR="00C25303">
                        <w:t xml:space="preserve">CTX = cortex, CA1 = </w:t>
                      </w:r>
                      <w:proofErr w:type="spellStart"/>
                      <w:r w:rsidR="00C25303">
                        <w:t>cornu</w:t>
                      </w:r>
                      <w:proofErr w:type="spellEnd"/>
                      <w:r w:rsidR="00C25303">
                        <w:t xml:space="preserve"> </w:t>
                      </w:r>
                      <w:proofErr w:type="spellStart"/>
                      <w:r w:rsidR="00C25303">
                        <w:t>Ammonis</w:t>
                      </w:r>
                      <w:proofErr w:type="spellEnd"/>
                      <w:r w:rsidR="00C25303">
                        <w:t xml:space="preserve"> 1 of the hippocampus, SN = substantia nigra, </w:t>
                      </w:r>
                      <w:proofErr w:type="spellStart"/>
                      <w:r w:rsidR="00C25303">
                        <w:t>pSyn</w:t>
                      </w:r>
                      <w:proofErr w:type="spellEnd"/>
                      <w:r w:rsidR="00C25303">
                        <w:t xml:space="preserve"> = phosphorylated alpha-synuclein, Iba1 = </w:t>
                      </w:r>
                      <w:r w:rsidR="00C25303" w:rsidRPr="00C25303">
                        <w:t>ionized calcium-binding adaptor molecule 1</w:t>
                      </w:r>
                    </w:p>
                  </w:txbxContent>
                </v:textbox>
                <w10:wrap type="topAndBottom" anchorx="margin"/>
              </v:shape>
            </w:pict>
          </mc:Fallback>
        </mc:AlternateContent>
      </w:r>
      <w:r>
        <w:rPr>
          <w:rFonts w:ascii="Verdana" w:hAnsi="Verdana"/>
          <w:noProof/>
          <w:lang w:val="en-GB"/>
        </w:rPr>
        <w:drawing>
          <wp:anchor distT="0" distB="0" distL="114300" distR="114300" simplePos="0" relativeHeight="251947008" behindDoc="0" locked="0" layoutInCell="1" allowOverlap="1" wp14:anchorId="45033178" wp14:editId="72B69D87">
            <wp:simplePos x="0" y="0"/>
            <wp:positionH relativeFrom="margin">
              <wp:align>right</wp:align>
            </wp:positionH>
            <wp:positionV relativeFrom="paragraph">
              <wp:posOffset>488</wp:posOffset>
            </wp:positionV>
            <wp:extent cx="5580380" cy="6423025"/>
            <wp:effectExtent l="0" t="0" r="1270" b="0"/>
            <wp:wrapTopAndBottom/>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80380" cy="6423025"/>
                    </a:xfrm>
                    <a:prstGeom prst="rect">
                      <a:avLst/>
                    </a:prstGeom>
                  </pic:spPr>
                </pic:pic>
              </a:graphicData>
            </a:graphic>
          </wp:anchor>
        </w:drawing>
      </w:r>
      <w:r w:rsidR="00C920BA">
        <w:rPr>
          <w:rFonts w:ascii="Verdana" w:hAnsi="Verdana"/>
          <w:lang w:val="en-GB"/>
        </w:rPr>
        <w:br w:type="page"/>
      </w:r>
    </w:p>
    <w:p w14:paraId="6C46D950" w14:textId="4F082CAA" w:rsidR="00BB13CC" w:rsidRPr="00F06615" w:rsidRDefault="009E5729" w:rsidP="000B321E">
      <w:pPr>
        <w:pStyle w:val="Heading2"/>
        <w:spacing w:line="360" w:lineRule="auto"/>
        <w:rPr>
          <w:lang w:val="en-GB"/>
        </w:rPr>
      </w:pPr>
      <w:bookmarkStart w:id="124" w:name="_Toc130223451"/>
      <w:r>
        <w:rPr>
          <w:lang w:val="en-GB"/>
        </w:rPr>
        <w:lastRenderedPageBreak/>
        <w:t>6.5</w:t>
      </w:r>
      <w:r>
        <w:rPr>
          <w:lang w:val="en-GB"/>
        </w:rPr>
        <w:tab/>
      </w:r>
      <w:r w:rsidR="00BB13CC">
        <w:rPr>
          <w:lang w:val="en-GB"/>
        </w:rPr>
        <w:t xml:space="preserve"> </w:t>
      </w:r>
      <w:r w:rsidR="002265C3">
        <w:rPr>
          <w:lang w:val="en-GB"/>
        </w:rPr>
        <w:t>Transgenic Thy1-Syn14 mice do not show midbrain transcriptional alterations</w:t>
      </w:r>
      <w:bookmarkEnd w:id="124"/>
    </w:p>
    <w:p w14:paraId="4E4258EC" w14:textId="62E9C9F0" w:rsidR="00B8356F" w:rsidRDefault="00E72DDE" w:rsidP="002265C3">
      <w:pPr>
        <w:spacing w:line="360" w:lineRule="auto"/>
        <w:jc w:val="both"/>
        <w:rPr>
          <w:rFonts w:ascii="Verdana" w:hAnsi="Verdana"/>
          <w:lang w:val="en-GB"/>
        </w:rPr>
      </w:pPr>
      <w:r>
        <w:rPr>
          <w:rFonts w:ascii="Verdana" w:hAnsi="Verdana"/>
          <w:lang w:val="en-GB"/>
        </w:rPr>
        <w:t>To investigate whether the parkinsonian-like motor phenotype was accompanied by transcriptional changes</w:t>
      </w:r>
      <w:r w:rsidR="002265C3">
        <w:rPr>
          <w:rFonts w:ascii="Verdana" w:hAnsi="Verdana"/>
          <w:lang w:val="en-GB"/>
        </w:rPr>
        <w:t>, we performed bulk RNA-sequencing on the ventral midbrain of 3- and 14-months old female mice.</w:t>
      </w:r>
      <w:r w:rsidR="00CC05F4">
        <w:rPr>
          <w:rFonts w:ascii="Verdana" w:hAnsi="Verdana"/>
          <w:lang w:val="en-GB"/>
        </w:rPr>
        <w:t xml:space="preserve"> At both timepoints, transgenic mice did not show DEGs when compared to their WT littermates</w:t>
      </w:r>
      <w:r w:rsidR="00AC4F96">
        <w:rPr>
          <w:rFonts w:ascii="Verdana" w:hAnsi="Verdana"/>
          <w:lang w:val="en-GB"/>
        </w:rPr>
        <w:t xml:space="preserve"> (Figure 2</w:t>
      </w:r>
      <w:r w:rsidR="00F51BCC">
        <w:rPr>
          <w:rFonts w:ascii="Verdana" w:hAnsi="Verdana"/>
          <w:lang w:val="en-GB"/>
        </w:rPr>
        <w:t>5</w:t>
      </w:r>
      <w:r w:rsidR="00AC4F96">
        <w:rPr>
          <w:rFonts w:ascii="Verdana" w:hAnsi="Verdana"/>
          <w:lang w:val="en-GB"/>
        </w:rPr>
        <w:t xml:space="preserve">A). A differential expression was detected only for </w:t>
      </w:r>
      <w:r w:rsidR="00AC4F96" w:rsidRPr="000466A6">
        <w:rPr>
          <w:rFonts w:ascii="Verdana" w:hAnsi="Verdana"/>
          <w:i/>
          <w:iCs/>
          <w:lang w:val="en-GB"/>
        </w:rPr>
        <w:t>SNCA</w:t>
      </w:r>
      <w:r w:rsidR="00AC4F96">
        <w:rPr>
          <w:rFonts w:ascii="Verdana" w:hAnsi="Verdana"/>
          <w:lang w:val="en-GB"/>
        </w:rPr>
        <w:t xml:space="preserve"> and </w:t>
      </w:r>
      <w:r w:rsidR="00AC4F96" w:rsidRPr="00F874CC">
        <w:rPr>
          <w:rFonts w:ascii="Verdana" w:hAnsi="Verdana"/>
          <w:i/>
          <w:iCs/>
          <w:lang w:val="en-GB"/>
        </w:rPr>
        <w:t>Thy1</w:t>
      </w:r>
      <w:r w:rsidR="00AC4F96">
        <w:rPr>
          <w:rFonts w:ascii="Verdana" w:hAnsi="Verdana"/>
          <w:lang w:val="en-GB"/>
        </w:rPr>
        <w:t>, reflecting the overexpression of the transgene in TG mice</w:t>
      </w:r>
      <w:r w:rsidR="00195783">
        <w:rPr>
          <w:rFonts w:ascii="Verdana" w:hAnsi="Verdana"/>
          <w:lang w:val="en-GB"/>
        </w:rPr>
        <w:t xml:space="preserve"> (Figure 2</w:t>
      </w:r>
      <w:r w:rsidR="00F51BCC">
        <w:rPr>
          <w:rFonts w:ascii="Verdana" w:hAnsi="Verdana"/>
          <w:lang w:val="en-GB"/>
        </w:rPr>
        <w:t>5</w:t>
      </w:r>
      <w:r w:rsidR="00195783">
        <w:rPr>
          <w:rFonts w:ascii="Verdana" w:hAnsi="Verdana"/>
          <w:lang w:val="en-GB"/>
        </w:rPr>
        <w:t>B)</w:t>
      </w:r>
      <w:r w:rsidR="00AC4F96">
        <w:rPr>
          <w:rFonts w:ascii="Verdana" w:hAnsi="Verdana"/>
          <w:lang w:val="en-GB"/>
        </w:rPr>
        <w:t>.</w:t>
      </w:r>
      <w:r w:rsidR="00200E5C">
        <w:rPr>
          <w:rFonts w:ascii="Verdana" w:hAnsi="Verdana"/>
          <w:lang w:val="en-GB"/>
        </w:rPr>
        <w:t xml:space="preserve"> The lack of DEGs could be attributed to compensatory mechanisms to the transgene overexpression,</w:t>
      </w:r>
      <w:r w:rsidR="00E964AF">
        <w:rPr>
          <w:rFonts w:ascii="Verdana" w:hAnsi="Verdana"/>
          <w:lang w:val="en-GB"/>
        </w:rPr>
        <w:t xml:space="preserve"> which is already established at birth. Alternatively,</w:t>
      </w:r>
      <w:r w:rsidR="00200E5C">
        <w:rPr>
          <w:rFonts w:ascii="Verdana" w:hAnsi="Verdana"/>
          <w:lang w:val="en-GB"/>
        </w:rPr>
        <w:t xml:space="preserve"> </w:t>
      </w:r>
      <w:r w:rsidR="00961FAA">
        <w:rPr>
          <w:rFonts w:ascii="Verdana" w:hAnsi="Verdana"/>
          <w:lang w:val="en-GB"/>
        </w:rPr>
        <w:t xml:space="preserve">transcriptional changes might be occurring </w:t>
      </w:r>
      <w:r w:rsidR="00F619FC">
        <w:rPr>
          <w:rFonts w:ascii="Verdana" w:hAnsi="Verdana"/>
          <w:lang w:val="en-GB"/>
        </w:rPr>
        <w:t>at a timepoint that was not investigated</w:t>
      </w:r>
      <w:r w:rsidR="00E964AF">
        <w:rPr>
          <w:rFonts w:ascii="Verdana" w:hAnsi="Verdana"/>
          <w:lang w:val="en-GB"/>
        </w:rPr>
        <w:t xml:space="preserve">, for example during midlife. </w:t>
      </w:r>
      <w:r w:rsidR="00C639B7">
        <w:rPr>
          <w:rFonts w:ascii="Verdana" w:hAnsi="Verdana"/>
          <w:lang w:val="en-GB"/>
        </w:rPr>
        <w:t>Markers specific for dopaminergic neurons (Figure 2</w:t>
      </w:r>
      <w:r w:rsidR="00F51BCC">
        <w:rPr>
          <w:rFonts w:ascii="Verdana" w:hAnsi="Verdana"/>
          <w:lang w:val="en-GB"/>
        </w:rPr>
        <w:t>6</w:t>
      </w:r>
      <w:r w:rsidR="00B96CB6">
        <w:rPr>
          <w:rFonts w:ascii="Verdana" w:hAnsi="Verdana"/>
          <w:lang w:val="en-GB"/>
        </w:rPr>
        <w:t>A</w:t>
      </w:r>
      <w:r w:rsidR="00195783">
        <w:rPr>
          <w:rFonts w:ascii="Verdana" w:hAnsi="Verdana"/>
          <w:lang w:val="en-GB"/>
        </w:rPr>
        <w:t>), microglia (Figure 2</w:t>
      </w:r>
      <w:r w:rsidR="00F51BCC">
        <w:rPr>
          <w:rFonts w:ascii="Verdana" w:hAnsi="Verdana"/>
          <w:lang w:val="en-GB"/>
        </w:rPr>
        <w:t>6</w:t>
      </w:r>
      <w:r w:rsidR="00B96CB6">
        <w:rPr>
          <w:rFonts w:ascii="Verdana" w:hAnsi="Verdana"/>
          <w:lang w:val="en-GB"/>
        </w:rPr>
        <w:t>B</w:t>
      </w:r>
      <w:r w:rsidR="00195783">
        <w:rPr>
          <w:rFonts w:ascii="Verdana" w:hAnsi="Verdana"/>
          <w:lang w:val="en-GB"/>
        </w:rPr>
        <w:t>) and astrocytes (Figure 2</w:t>
      </w:r>
      <w:r w:rsidR="00F51BCC">
        <w:rPr>
          <w:rFonts w:ascii="Verdana" w:hAnsi="Verdana"/>
          <w:lang w:val="en-GB"/>
        </w:rPr>
        <w:t>6</w:t>
      </w:r>
      <w:r w:rsidR="00B96CB6">
        <w:rPr>
          <w:rFonts w:ascii="Verdana" w:hAnsi="Verdana"/>
          <w:lang w:val="en-GB"/>
        </w:rPr>
        <w:t>C</w:t>
      </w:r>
      <w:r w:rsidR="00195783">
        <w:rPr>
          <w:rFonts w:ascii="Verdana" w:hAnsi="Verdana"/>
          <w:lang w:val="en-GB"/>
        </w:rPr>
        <w:t>) were also unchanged</w:t>
      </w:r>
      <w:r w:rsidR="00200E5C">
        <w:rPr>
          <w:rFonts w:ascii="Verdana" w:hAnsi="Verdana"/>
          <w:lang w:val="en-GB"/>
        </w:rPr>
        <w:t>, suggesting an equal representation of these cell types across all samples.</w:t>
      </w:r>
    </w:p>
    <w:p w14:paraId="6B3FC9D9" w14:textId="43FF4DF2" w:rsidR="00B6298B" w:rsidRDefault="00E77E2F" w:rsidP="00195783">
      <w:pPr>
        <w:spacing w:line="360" w:lineRule="auto"/>
        <w:ind w:firstLine="0"/>
        <w:rPr>
          <w:rFonts w:ascii="Verdana" w:hAnsi="Verdana"/>
          <w:lang w:val="en-GB"/>
        </w:rPr>
      </w:pPr>
      <w:r>
        <w:rPr>
          <w:rFonts w:ascii="Verdana" w:hAnsi="Verdana"/>
          <w:noProof/>
          <w:lang w:val="en-GB"/>
        </w:rPr>
        <w:drawing>
          <wp:anchor distT="0" distB="0" distL="114300" distR="114300" simplePos="0" relativeHeight="251954176" behindDoc="0" locked="0" layoutInCell="1" allowOverlap="1" wp14:anchorId="2BC1B6AB" wp14:editId="0C3BFBC4">
            <wp:simplePos x="0" y="0"/>
            <wp:positionH relativeFrom="margin">
              <wp:posOffset>-1270</wp:posOffset>
            </wp:positionH>
            <wp:positionV relativeFrom="paragraph">
              <wp:posOffset>497205</wp:posOffset>
            </wp:positionV>
            <wp:extent cx="5580380" cy="2660650"/>
            <wp:effectExtent l="0" t="0" r="1270" b="6350"/>
            <wp:wrapTopAndBottom/>
            <wp:docPr id="148" name="Picture 148" descr="Graphical user interface, application, 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application, table, calendar&#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80380" cy="2660650"/>
                    </a:xfrm>
                    <a:prstGeom prst="rect">
                      <a:avLst/>
                    </a:prstGeom>
                  </pic:spPr>
                </pic:pic>
              </a:graphicData>
            </a:graphic>
          </wp:anchor>
        </w:drawing>
      </w:r>
    </w:p>
    <w:p w14:paraId="7AB99C26" w14:textId="08296038" w:rsidR="00305689" w:rsidRDefault="00ED221A" w:rsidP="00397909">
      <w:pPr>
        <w:spacing w:line="360" w:lineRule="auto"/>
        <w:rPr>
          <w:rFonts w:ascii="Verdana" w:hAnsi="Verdana"/>
          <w:lang w:val="en-GB"/>
        </w:rPr>
      </w:pPr>
      <w:r>
        <w:rPr>
          <w:noProof/>
        </w:rPr>
        <mc:AlternateContent>
          <mc:Choice Requires="wps">
            <w:drawing>
              <wp:anchor distT="0" distB="0" distL="114300" distR="114300" simplePos="0" relativeHeight="251956224" behindDoc="0" locked="0" layoutInCell="1" allowOverlap="1" wp14:anchorId="347BC86A" wp14:editId="1B4ABCE1">
                <wp:simplePos x="0" y="0"/>
                <wp:positionH relativeFrom="margin">
                  <wp:align>right</wp:align>
                </wp:positionH>
                <wp:positionV relativeFrom="paragraph">
                  <wp:posOffset>3098800</wp:posOffset>
                </wp:positionV>
                <wp:extent cx="5580380" cy="635"/>
                <wp:effectExtent l="0" t="0" r="1270" b="0"/>
                <wp:wrapTopAndBottom/>
                <wp:docPr id="150" name="Text Box 150"/>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287210F4" w14:textId="412B803E" w:rsidR="00E77E2F" w:rsidRPr="005852F5" w:rsidRDefault="00E77E2F" w:rsidP="005852F5">
                            <w:pPr>
                              <w:pStyle w:val="Caption"/>
                              <w:ind w:firstLine="0"/>
                              <w:jc w:val="both"/>
                              <w:rPr>
                                <w:rFonts w:ascii="Verdana" w:hAnsi="Verdana"/>
                                <w:i w:val="0"/>
                                <w:iCs w:val="0"/>
                                <w:color w:val="auto"/>
                              </w:rPr>
                            </w:pPr>
                            <w:bookmarkStart w:id="125" w:name="_Toc131412767"/>
                            <w:r w:rsidRPr="005852F5">
                              <w:rPr>
                                <w:rFonts w:ascii="Verdana" w:hAnsi="Verdana"/>
                                <w:b/>
                                <w:bCs/>
                                <w:i w:val="0"/>
                                <w:iCs w:val="0"/>
                                <w:color w:val="auto"/>
                              </w:rPr>
                              <w:t xml:space="preserve">Figure </w:t>
                            </w:r>
                            <w:r w:rsidRPr="005852F5">
                              <w:rPr>
                                <w:rFonts w:ascii="Verdana" w:hAnsi="Verdana"/>
                                <w:b/>
                                <w:bCs/>
                                <w:i w:val="0"/>
                                <w:iCs w:val="0"/>
                                <w:color w:val="auto"/>
                              </w:rPr>
                              <w:fldChar w:fldCharType="begin"/>
                            </w:r>
                            <w:r w:rsidRPr="005852F5">
                              <w:rPr>
                                <w:rFonts w:ascii="Verdana" w:hAnsi="Verdana"/>
                                <w:b/>
                                <w:bCs/>
                                <w:i w:val="0"/>
                                <w:iCs w:val="0"/>
                                <w:color w:val="auto"/>
                              </w:rPr>
                              <w:instrText xml:space="preserve"> SEQ Figure \* ARABIC </w:instrText>
                            </w:r>
                            <w:r w:rsidRPr="005852F5">
                              <w:rPr>
                                <w:rFonts w:ascii="Verdana" w:hAnsi="Verdana"/>
                                <w:b/>
                                <w:bCs/>
                                <w:i w:val="0"/>
                                <w:iCs w:val="0"/>
                                <w:color w:val="auto"/>
                              </w:rPr>
                              <w:fldChar w:fldCharType="separate"/>
                            </w:r>
                            <w:r w:rsidR="001D505F">
                              <w:rPr>
                                <w:rFonts w:ascii="Verdana" w:hAnsi="Verdana"/>
                                <w:b/>
                                <w:bCs/>
                                <w:i w:val="0"/>
                                <w:iCs w:val="0"/>
                                <w:noProof/>
                                <w:color w:val="auto"/>
                              </w:rPr>
                              <w:t>25</w:t>
                            </w:r>
                            <w:r w:rsidRPr="005852F5">
                              <w:rPr>
                                <w:rFonts w:ascii="Verdana" w:hAnsi="Verdana"/>
                                <w:b/>
                                <w:bCs/>
                                <w:i w:val="0"/>
                                <w:iCs w:val="0"/>
                                <w:color w:val="auto"/>
                              </w:rPr>
                              <w:fldChar w:fldCharType="end"/>
                            </w:r>
                            <w:r w:rsidRPr="005852F5">
                              <w:rPr>
                                <w:rFonts w:ascii="Verdana" w:hAnsi="Verdana"/>
                                <w:b/>
                                <w:bCs/>
                                <w:i w:val="0"/>
                                <w:iCs w:val="0"/>
                                <w:color w:val="auto"/>
                              </w:rPr>
                              <w:t xml:space="preserve"> </w:t>
                            </w:r>
                            <w:r w:rsidR="001A5031" w:rsidRPr="005852F5">
                              <w:rPr>
                                <w:rFonts w:ascii="Verdana" w:hAnsi="Verdana"/>
                                <w:i w:val="0"/>
                                <w:iCs w:val="0"/>
                                <w:color w:val="auto"/>
                              </w:rPr>
                              <w:t xml:space="preserve">Transgenic Thy1-Syn14 mice do not show differential expression </w:t>
                            </w:r>
                            <w:r w:rsidR="006675C5" w:rsidRPr="005852F5">
                              <w:rPr>
                                <w:rFonts w:ascii="Verdana" w:hAnsi="Verdana"/>
                                <w:i w:val="0"/>
                                <w:iCs w:val="0"/>
                                <w:color w:val="auto"/>
                              </w:rPr>
                              <w:t>from WT littermates in the midbrain</w:t>
                            </w:r>
                            <w:bookmarkEnd w:id="125"/>
                          </w:p>
                          <w:p w14:paraId="51A508BF" w14:textId="734B82A1" w:rsidR="006675C5" w:rsidRPr="005852F5" w:rsidRDefault="006675C5" w:rsidP="005852F5">
                            <w:pPr>
                              <w:ind w:firstLine="0"/>
                              <w:jc w:val="both"/>
                              <w:rPr>
                                <w:rFonts w:ascii="Verdana" w:hAnsi="Verdana"/>
                                <w:sz w:val="18"/>
                                <w:szCs w:val="18"/>
                              </w:rPr>
                            </w:pPr>
                            <w:r w:rsidRPr="005852F5">
                              <w:rPr>
                                <w:rFonts w:ascii="Verdana" w:hAnsi="Verdana"/>
                                <w:sz w:val="18"/>
                                <w:szCs w:val="18"/>
                              </w:rPr>
                              <w:t>A) MA plots</w:t>
                            </w:r>
                            <w:r w:rsidR="00124C9B" w:rsidRPr="005852F5">
                              <w:rPr>
                                <w:rFonts w:ascii="Verdana" w:hAnsi="Verdana"/>
                                <w:sz w:val="18"/>
                                <w:szCs w:val="18"/>
                              </w:rPr>
                              <w:t xml:space="preserve"> displaying the results of the differential expression analysis for 3- and 14-months old TG vs WT mice. </w:t>
                            </w:r>
                            <w:r w:rsidR="005B14E0" w:rsidRPr="005852F5">
                              <w:rPr>
                                <w:rFonts w:ascii="Verdana" w:hAnsi="Verdana"/>
                                <w:sz w:val="18"/>
                                <w:szCs w:val="18"/>
                              </w:rPr>
                              <w:t>B) Differential expression of SNCA and Thy1 in 3-months old (top) and 14-months old (bottom) Thy1-Syn14 mice.</w:t>
                            </w:r>
                          </w:p>
                          <w:p w14:paraId="32DF628F" w14:textId="07039A28" w:rsidR="00981C28" w:rsidRPr="005852F5" w:rsidRDefault="00981C28" w:rsidP="005852F5">
                            <w:pPr>
                              <w:ind w:firstLine="0"/>
                              <w:jc w:val="both"/>
                              <w:rPr>
                                <w:rFonts w:ascii="Verdana" w:hAnsi="Verdana"/>
                                <w:sz w:val="18"/>
                                <w:szCs w:val="18"/>
                              </w:rPr>
                            </w:pPr>
                            <w:r w:rsidRPr="005852F5">
                              <w:rPr>
                                <w:rFonts w:ascii="Verdana" w:hAnsi="Verdana"/>
                                <w:sz w:val="18"/>
                                <w:szCs w:val="18"/>
                              </w:rPr>
                              <w:t xml:space="preserve">WT = wild-type littermates, TG = transgenic Thy1-Syn14 animals, 3M = 3-months old, 14M = 14-months old. </w:t>
                            </w:r>
                            <w:r w:rsidR="00F73F96" w:rsidRPr="005852F5">
                              <w:rPr>
                                <w:rFonts w:ascii="Verdana" w:hAnsi="Verdana"/>
                                <w:sz w:val="18"/>
                                <w:szCs w:val="18"/>
                              </w:rPr>
                              <w:t>n (3M)</w:t>
                            </w:r>
                            <w:r w:rsidRPr="005852F5">
                              <w:rPr>
                                <w:rFonts w:ascii="Verdana" w:hAnsi="Verdana"/>
                                <w:sz w:val="18"/>
                                <w:szCs w:val="18"/>
                              </w:rPr>
                              <w:t xml:space="preserve"> =</w:t>
                            </w:r>
                            <w:r w:rsidR="00F73F96" w:rsidRPr="005852F5">
                              <w:rPr>
                                <w:rFonts w:ascii="Verdana" w:hAnsi="Verdana"/>
                                <w:sz w:val="18"/>
                                <w:szCs w:val="18"/>
                              </w:rPr>
                              <w:t xml:space="preserve"> 5 mice per group, n (14M) = 6 mice per group. All mice were female.</w:t>
                            </w:r>
                            <w:r w:rsidRPr="005852F5">
                              <w:rPr>
                                <w:rFonts w:ascii="Verdana" w:hAnsi="Verdana"/>
                                <w:sz w:val="18"/>
                                <w:szCs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7BC86A" id="Text Box 150" o:spid="_x0000_s1053" type="#_x0000_t202" style="position:absolute;left:0;text-align:left;margin-left:388.2pt;margin-top:244pt;width:439.4pt;height:.05pt;z-index:2519562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" stroked="f">
                <v:textbox style="mso-fit-shape-to-text:t" inset="0,0,0,0">
                  <w:txbxContent>
                    <w:p w14:paraId="287210F4" w14:textId="412B803E" w:rsidR="00E77E2F" w:rsidRPr="005852F5" w:rsidRDefault="00E77E2F" w:rsidP="005852F5">
                      <w:pPr>
                        <w:pStyle w:val="Caption"/>
                        <w:ind w:firstLine="0"/>
                        <w:jc w:val="both"/>
                        <w:rPr>
                          <w:rFonts w:ascii="Verdana" w:hAnsi="Verdana"/>
                          <w:i w:val="0"/>
                          <w:iCs w:val="0"/>
                          <w:color w:val="auto"/>
                        </w:rPr>
                      </w:pPr>
                      <w:bookmarkStart w:id="126" w:name="_Toc131412767"/>
                      <w:r w:rsidRPr="005852F5">
                        <w:rPr>
                          <w:rFonts w:ascii="Verdana" w:hAnsi="Verdana"/>
                          <w:b/>
                          <w:bCs/>
                          <w:i w:val="0"/>
                          <w:iCs w:val="0"/>
                          <w:color w:val="auto"/>
                        </w:rPr>
                        <w:t xml:space="preserve">Figure </w:t>
                      </w:r>
                      <w:r w:rsidRPr="005852F5">
                        <w:rPr>
                          <w:rFonts w:ascii="Verdana" w:hAnsi="Verdana"/>
                          <w:b/>
                          <w:bCs/>
                          <w:i w:val="0"/>
                          <w:iCs w:val="0"/>
                          <w:color w:val="auto"/>
                        </w:rPr>
                        <w:fldChar w:fldCharType="begin"/>
                      </w:r>
                      <w:r w:rsidRPr="005852F5">
                        <w:rPr>
                          <w:rFonts w:ascii="Verdana" w:hAnsi="Verdana"/>
                          <w:b/>
                          <w:bCs/>
                          <w:i w:val="0"/>
                          <w:iCs w:val="0"/>
                          <w:color w:val="auto"/>
                        </w:rPr>
                        <w:instrText xml:space="preserve"> SEQ Figure \* ARABIC </w:instrText>
                      </w:r>
                      <w:r w:rsidRPr="005852F5">
                        <w:rPr>
                          <w:rFonts w:ascii="Verdana" w:hAnsi="Verdana"/>
                          <w:b/>
                          <w:bCs/>
                          <w:i w:val="0"/>
                          <w:iCs w:val="0"/>
                          <w:color w:val="auto"/>
                        </w:rPr>
                        <w:fldChar w:fldCharType="separate"/>
                      </w:r>
                      <w:r w:rsidR="001D505F">
                        <w:rPr>
                          <w:rFonts w:ascii="Verdana" w:hAnsi="Verdana"/>
                          <w:b/>
                          <w:bCs/>
                          <w:i w:val="0"/>
                          <w:iCs w:val="0"/>
                          <w:noProof/>
                          <w:color w:val="auto"/>
                        </w:rPr>
                        <w:t>25</w:t>
                      </w:r>
                      <w:r w:rsidRPr="005852F5">
                        <w:rPr>
                          <w:rFonts w:ascii="Verdana" w:hAnsi="Verdana"/>
                          <w:b/>
                          <w:bCs/>
                          <w:i w:val="0"/>
                          <w:iCs w:val="0"/>
                          <w:color w:val="auto"/>
                        </w:rPr>
                        <w:fldChar w:fldCharType="end"/>
                      </w:r>
                      <w:r w:rsidRPr="005852F5">
                        <w:rPr>
                          <w:rFonts w:ascii="Verdana" w:hAnsi="Verdana"/>
                          <w:b/>
                          <w:bCs/>
                          <w:i w:val="0"/>
                          <w:iCs w:val="0"/>
                          <w:color w:val="auto"/>
                        </w:rPr>
                        <w:t xml:space="preserve"> </w:t>
                      </w:r>
                      <w:r w:rsidR="001A5031" w:rsidRPr="005852F5">
                        <w:rPr>
                          <w:rFonts w:ascii="Verdana" w:hAnsi="Verdana"/>
                          <w:i w:val="0"/>
                          <w:iCs w:val="0"/>
                          <w:color w:val="auto"/>
                        </w:rPr>
                        <w:t xml:space="preserve">Transgenic Thy1-Syn14 mice do not show differential expression </w:t>
                      </w:r>
                      <w:r w:rsidR="006675C5" w:rsidRPr="005852F5">
                        <w:rPr>
                          <w:rFonts w:ascii="Verdana" w:hAnsi="Verdana"/>
                          <w:i w:val="0"/>
                          <w:iCs w:val="0"/>
                          <w:color w:val="auto"/>
                        </w:rPr>
                        <w:t>from WT littermates in the midbrain</w:t>
                      </w:r>
                      <w:bookmarkEnd w:id="126"/>
                    </w:p>
                    <w:p w14:paraId="51A508BF" w14:textId="734B82A1" w:rsidR="006675C5" w:rsidRPr="005852F5" w:rsidRDefault="006675C5" w:rsidP="005852F5">
                      <w:pPr>
                        <w:ind w:firstLine="0"/>
                        <w:jc w:val="both"/>
                        <w:rPr>
                          <w:rFonts w:ascii="Verdana" w:hAnsi="Verdana"/>
                          <w:sz w:val="18"/>
                          <w:szCs w:val="18"/>
                        </w:rPr>
                      </w:pPr>
                      <w:r w:rsidRPr="005852F5">
                        <w:rPr>
                          <w:rFonts w:ascii="Verdana" w:hAnsi="Verdana"/>
                          <w:sz w:val="18"/>
                          <w:szCs w:val="18"/>
                        </w:rPr>
                        <w:t>A) MA plots</w:t>
                      </w:r>
                      <w:r w:rsidR="00124C9B" w:rsidRPr="005852F5">
                        <w:rPr>
                          <w:rFonts w:ascii="Verdana" w:hAnsi="Verdana"/>
                          <w:sz w:val="18"/>
                          <w:szCs w:val="18"/>
                        </w:rPr>
                        <w:t xml:space="preserve"> displaying the results of the differential expression analysis for 3- and 14-months old TG vs WT mice. </w:t>
                      </w:r>
                      <w:r w:rsidR="005B14E0" w:rsidRPr="005852F5">
                        <w:rPr>
                          <w:rFonts w:ascii="Verdana" w:hAnsi="Verdana"/>
                          <w:sz w:val="18"/>
                          <w:szCs w:val="18"/>
                        </w:rPr>
                        <w:t>B) Differential expression of SNCA and Thy1 in 3-months old (top) and 14-months old (bottom) Thy1-Syn14 mice.</w:t>
                      </w:r>
                    </w:p>
                    <w:p w14:paraId="32DF628F" w14:textId="07039A28" w:rsidR="00981C28" w:rsidRPr="005852F5" w:rsidRDefault="00981C28" w:rsidP="005852F5">
                      <w:pPr>
                        <w:ind w:firstLine="0"/>
                        <w:jc w:val="both"/>
                        <w:rPr>
                          <w:rFonts w:ascii="Verdana" w:hAnsi="Verdana"/>
                          <w:sz w:val="18"/>
                          <w:szCs w:val="18"/>
                        </w:rPr>
                      </w:pPr>
                      <w:r w:rsidRPr="005852F5">
                        <w:rPr>
                          <w:rFonts w:ascii="Verdana" w:hAnsi="Verdana"/>
                          <w:sz w:val="18"/>
                          <w:szCs w:val="18"/>
                        </w:rPr>
                        <w:t xml:space="preserve">WT = wild-type littermates, TG = transgenic Thy1-Syn14 animals, 3M = 3-months old, 14M = 14-months old. </w:t>
                      </w:r>
                      <w:r w:rsidR="00F73F96" w:rsidRPr="005852F5">
                        <w:rPr>
                          <w:rFonts w:ascii="Verdana" w:hAnsi="Verdana"/>
                          <w:sz w:val="18"/>
                          <w:szCs w:val="18"/>
                        </w:rPr>
                        <w:t>n (3M)</w:t>
                      </w:r>
                      <w:r w:rsidRPr="005852F5">
                        <w:rPr>
                          <w:rFonts w:ascii="Verdana" w:hAnsi="Verdana"/>
                          <w:sz w:val="18"/>
                          <w:szCs w:val="18"/>
                        </w:rPr>
                        <w:t xml:space="preserve"> =</w:t>
                      </w:r>
                      <w:r w:rsidR="00F73F96" w:rsidRPr="005852F5">
                        <w:rPr>
                          <w:rFonts w:ascii="Verdana" w:hAnsi="Verdana"/>
                          <w:sz w:val="18"/>
                          <w:szCs w:val="18"/>
                        </w:rPr>
                        <w:t xml:space="preserve"> 5 mice per group, n (14M) = 6 mice per group. All mice were female.</w:t>
                      </w:r>
                      <w:r w:rsidRPr="005852F5">
                        <w:rPr>
                          <w:rFonts w:ascii="Verdana" w:hAnsi="Verdana"/>
                          <w:sz w:val="18"/>
                          <w:szCs w:val="18"/>
                        </w:rPr>
                        <w:t xml:space="preserve"> </w:t>
                      </w:r>
                    </w:p>
                  </w:txbxContent>
                </v:textbox>
                <w10:wrap type="topAndBottom" anchorx="margin"/>
              </v:shape>
            </w:pict>
          </mc:Fallback>
        </mc:AlternateContent>
      </w:r>
    </w:p>
    <w:p w14:paraId="7B656FEC" w14:textId="0ED8897E" w:rsidR="00305689" w:rsidRDefault="00305689" w:rsidP="00B6298B">
      <w:pPr>
        <w:spacing w:line="360" w:lineRule="auto"/>
        <w:rPr>
          <w:rFonts w:ascii="Verdana" w:hAnsi="Verdana"/>
          <w:lang w:val="en-GB"/>
        </w:rPr>
      </w:pPr>
      <w:r>
        <w:rPr>
          <w:noProof/>
        </w:rPr>
        <w:lastRenderedPageBreak/>
        <mc:AlternateContent>
          <mc:Choice Requires="wps">
            <w:drawing>
              <wp:anchor distT="0" distB="0" distL="114300" distR="114300" simplePos="0" relativeHeight="251959296" behindDoc="0" locked="0" layoutInCell="1" allowOverlap="1" wp14:anchorId="241F518F" wp14:editId="0096BC6C">
                <wp:simplePos x="0" y="0"/>
                <wp:positionH relativeFrom="margin">
                  <wp:align>right</wp:align>
                </wp:positionH>
                <wp:positionV relativeFrom="paragraph">
                  <wp:posOffset>4761523</wp:posOffset>
                </wp:positionV>
                <wp:extent cx="5580380" cy="635"/>
                <wp:effectExtent l="0" t="0" r="1270" b="0"/>
                <wp:wrapTopAndBottom/>
                <wp:docPr id="151" name="Text Box 151"/>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6551D155" w14:textId="61B04397" w:rsidR="00305689" w:rsidRPr="00243AE8" w:rsidRDefault="00305689" w:rsidP="00243AE8">
                            <w:pPr>
                              <w:pStyle w:val="Caption"/>
                              <w:ind w:firstLine="0"/>
                              <w:jc w:val="both"/>
                              <w:rPr>
                                <w:rFonts w:ascii="Verdana" w:hAnsi="Verdana"/>
                                <w:i w:val="0"/>
                                <w:iCs w:val="0"/>
                                <w:color w:val="auto"/>
                              </w:rPr>
                            </w:pPr>
                            <w:bookmarkStart w:id="127" w:name="_Toc131412768"/>
                            <w:r w:rsidRPr="00243AE8">
                              <w:rPr>
                                <w:rFonts w:ascii="Verdana" w:hAnsi="Verdana"/>
                                <w:b/>
                                <w:bCs/>
                                <w:i w:val="0"/>
                                <w:iCs w:val="0"/>
                                <w:color w:val="auto"/>
                              </w:rPr>
                              <w:t xml:space="preserve">Figure </w:t>
                            </w:r>
                            <w:r w:rsidRPr="00243AE8">
                              <w:rPr>
                                <w:rFonts w:ascii="Verdana" w:hAnsi="Verdana"/>
                                <w:b/>
                                <w:bCs/>
                                <w:i w:val="0"/>
                                <w:iCs w:val="0"/>
                                <w:color w:val="auto"/>
                              </w:rPr>
                              <w:fldChar w:fldCharType="begin"/>
                            </w:r>
                            <w:r w:rsidRPr="00243AE8">
                              <w:rPr>
                                <w:rFonts w:ascii="Verdana" w:hAnsi="Verdana"/>
                                <w:b/>
                                <w:bCs/>
                                <w:i w:val="0"/>
                                <w:iCs w:val="0"/>
                                <w:color w:val="auto"/>
                              </w:rPr>
                              <w:instrText xml:space="preserve"> SEQ Figure \* ARABIC </w:instrText>
                            </w:r>
                            <w:r w:rsidRPr="00243AE8">
                              <w:rPr>
                                <w:rFonts w:ascii="Verdana" w:hAnsi="Verdana"/>
                                <w:b/>
                                <w:bCs/>
                                <w:i w:val="0"/>
                                <w:iCs w:val="0"/>
                                <w:color w:val="auto"/>
                              </w:rPr>
                              <w:fldChar w:fldCharType="separate"/>
                            </w:r>
                            <w:r w:rsidR="001D505F">
                              <w:rPr>
                                <w:rFonts w:ascii="Verdana" w:hAnsi="Verdana"/>
                                <w:b/>
                                <w:bCs/>
                                <w:i w:val="0"/>
                                <w:iCs w:val="0"/>
                                <w:noProof/>
                                <w:color w:val="auto"/>
                              </w:rPr>
                              <w:t>26</w:t>
                            </w:r>
                            <w:r w:rsidRPr="00243AE8">
                              <w:rPr>
                                <w:rFonts w:ascii="Verdana" w:hAnsi="Verdana"/>
                                <w:b/>
                                <w:bCs/>
                                <w:i w:val="0"/>
                                <w:iCs w:val="0"/>
                                <w:color w:val="auto"/>
                              </w:rPr>
                              <w:fldChar w:fldCharType="end"/>
                            </w:r>
                            <w:r w:rsidRPr="00243AE8">
                              <w:rPr>
                                <w:rFonts w:ascii="Verdana" w:hAnsi="Verdana"/>
                                <w:b/>
                                <w:bCs/>
                                <w:i w:val="0"/>
                                <w:iCs w:val="0"/>
                                <w:color w:val="auto"/>
                              </w:rPr>
                              <w:t xml:space="preserve"> </w:t>
                            </w:r>
                            <w:r w:rsidR="00571786" w:rsidRPr="00243AE8">
                              <w:rPr>
                                <w:rFonts w:ascii="Verdana" w:hAnsi="Verdana"/>
                                <w:i w:val="0"/>
                                <w:iCs w:val="0"/>
                                <w:color w:val="auto"/>
                              </w:rPr>
                              <w:t>Cellular markers for dopaminergic neurons, astrocytes and microglia are unchanged</w:t>
                            </w:r>
                            <w:bookmarkEnd w:id="127"/>
                          </w:p>
                          <w:p w14:paraId="3CF1ECED" w14:textId="7E98B91B" w:rsidR="00571786" w:rsidRPr="00243AE8" w:rsidRDefault="00571786" w:rsidP="00243AE8">
                            <w:pPr>
                              <w:ind w:firstLine="0"/>
                              <w:jc w:val="both"/>
                              <w:rPr>
                                <w:rFonts w:ascii="Verdana" w:hAnsi="Verdana"/>
                                <w:sz w:val="18"/>
                                <w:szCs w:val="18"/>
                              </w:rPr>
                            </w:pPr>
                            <w:r w:rsidRPr="00243AE8">
                              <w:rPr>
                                <w:rFonts w:ascii="Verdana" w:hAnsi="Verdana"/>
                                <w:b/>
                                <w:bCs/>
                                <w:sz w:val="18"/>
                                <w:szCs w:val="18"/>
                              </w:rPr>
                              <w:t>A)</w:t>
                            </w:r>
                            <w:r w:rsidRPr="00243AE8">
                              <w:rPr>
                                <w:rFonts w:ascii="Verdana" w:hAnsi="Verdana"/>
                                <w:sz w:val="18"/>
                                <w:szCs w:val="18"/>
                              </w:rPr>
                              <w:t xml:space="preserve"> Expression levels for </w:t>
                            </w:r>
                            <w:proofErr w:type="gramStart"/>
                            <w:r w:rsidR="007666BF" w:rsidRPr="00243AE8">
                              <w:rPr>
                                <w:rFonts w:ascii="Verdana" w:hAnsi="Verdana"/>
                                <w:sz w:val="18"/>
                                <w:szCs w:val="18"/>
                              </w:rPr>
                              <w:t>Nuclear</w:t>
                            </w:r>
                            <w:proofErr w:type="gramEnd"/>
                            <w:r w:rsidR="007666BF" w:rsidRPr="00243AE8">
                              <w:rPr>
                                <w:rFonts w:ascii="Verdana" w:hAnsi="Verdana"/>
                                <w:sz w:val="18"/>
                                <w:szCs w:val="18"/>
                              </w:rPr>
                              <w:t xml:space="preserve"> receptor 4A2 (</w:t>
                            </w:r>
                            <w:r w:rsidR="00EF136E" w:rsidRPr="00243AE8">
                              <w:rPr>
                                <w:rFonts w:ascii="Verdana" w:hAnsi="Verdana"/>
                                <w:sz w:val="18"/>
                                <w:szCs w:val="18"/>
                              </w:rPr>
                              <w:t>Nr4a2</w:t>
                            </w:r>
                            <w:r w:rsidR="007666BF" w:rsidRPr="00243AE8">
                              <w:rPr>
                                <w:rFonts w:ascii="Verdana" w:hAnsi="Verdana"/>
                                <w:sz w:val="18"/>
                                <w:szCs w:val="18"/>
                              </w:rPr>
                              <w:t xml:space="preserve">), tyrosine hydroxylase (Th) and </w:t>
                            </w:r>
                            <w:r w:rsidR="00865712" w:rsidRPr="00243AE8">
                              <w:rPr>
                                <w:rFonts w:ascii="Verdana" w:hAnsi="Verdana"/>
                                <w:sz w:val="18"/>
                                <w:szCs w:val="18"/>
                              </w:rPr>
                              <w:t xml:space="preserve">Solute carrier </w:t>
                            </w:r>
                            <w:r w:rsidR="00C33485" w:rsidRPr="00243AE8">
                              <w:rPr>
                                <w:rFonts w:ascii="Verdana" w:hAnsi="Verdana"/>
                                <w:sz w:val="18"/>
                                <w:szCs w:val="18"/>
                              </w:rPr>
                              <w:t xml:space="preserve">family </w:t>
                            </w:r>
                            <w:r w:rsidR="00865712" w:rsidRPr="00243AE8">
                              <w:rPr>
                                <w:rFonts w:ascii="Verdana" w:hAnsi="Verdana"/>
                                <w:sz w:val="18"/>
                                <w:szCs w:val="18"/>
                              </w:rPr>
                              <w:t>6</w:t>
                            </w:r>
                            <w:r w:rsidR="00C33485" w:rsidRPr="00243AE8">
                              <w:rPr>
                                <w:rFonts w:ascii="Verdana" w:hAnsi="Verdana"/>
                                <w:sz w:val="18"/>
                                <w:szCs w:val="18"/>
                              </w:rPr>
                              <w:t xml:space="preserve"> member 3 </w:t>
                            </w:r>
                            <w:r w:rsidR="00865712" w:rsidRPr="00243AE8">
                              <w:rPr>
                                <w:rFonts w:ascii="Verdana" w:hAnsi="Verdana"/>
                                <w:sz w:val="18"/>
                                <w:szCs w:val="18"/>
                              </w:rPr>
                              <w:t>(Slc6a3)</w:t>
                            </w:r>
                            <w:r w:rsidR="00C33485" w:rsidRPr="00243AE8">
                              <w:rPr>
                                <w:rFonts w:ascii="Verdana" w:hAnsi="Verdana"/>
                                <w:sz w:val="18"/>
                                <w:szCs w:val="18"/>
                              </w:rPr>
                              <w:t xml:space="preserve"> in</w:t>
                            </w:r>
                            <w:r w:rsidR="00B45A7E" w:rsidRPr="00243AE8">
                              <w:rPr>
                                <w:rFonts w:ascii="Verdana" w:hAnsi="Verdana"/>
                                <w:sz w:val="18"/>
                                <w:szCs w:val="18"/>
                              </w:rPr>
                              <w:t xml:space="preserve"> TG and WT Thy1-Syn14 mice at</w:t>
                            </w:r>
                            <w:r w:rsidR="00C33485" w:rsidRPr="00243AE8">
                              <w:rPr>
                                <w:rFonts w:ascii="Verdana" w:hAnsi="Verdana"/>
                                <w:sz w:val="18"/>
                                <w:szCs w:val="18"/>
                              </w:rPr>
                              <w:t xml:space="preserve"> 3</w:t>
                            </w:r>
                            <w:r w:rsidR="00B45A7E" w:rsidRPr="00243AE8">
                              <w:rPr>
                                <w:rFonts w:ascii="Verdana" w:hAnsi="Verdana"/>
                                <w:sz w:val="18"/>
                                <w:szCs w:val="18"/>
                              </w:rPr>
                              <w:t>-</w:t>
                            </w:r>
                            <w:r w:rsidR="00C33485" w:rsidRPr="00243AE8">
                              <w:rPr>
                                <w:rFonts w:ascii="Verdana" w:hAnsi="Verdana"/>
                                <w:sz w:val="18"/>
                                <w:szCs w:val="18"/>
                              </w:rPr>
                              <w:t xml:space="preserve"> (left) and 14</w:t>
                            </w:r>
                            <w:r w:rsidR="00B45A7E" w:rsidRPr="00243AE8">
                              <w:rPr>
                                <w:rFonts w:ascii="Verdana" w:hAnsi="Verdana"/>
                                <w:sz w:val="18"/>
                                <w:szCs w:val="18"/>
                              </w:rPr>
                              <w:t>-</w:t>
                            </w:r>
                            <w:r w:rsidR="00C33485" w:rsidRPr="00243AE8">
                              <w:rPr>
                                <w:rFonts w:ascii="Verdana" w:hAnsi="Verdana"/>
                                <w:sz w:val="18"/>
                                <w:szCs w:val="18"/>
                              </w:rPr>
                              <w:t xml:space="preserve"> (right) months. </w:t>
                            </w:r>
                            <w:r w:rsidR="00C33485" w:rsidRPr="00243AE8">
                              <w:rPr>
                                <w:rFonts w:ascii="Verdana" w:hAnsi="Verdana"/>
                                <w:b/>
                                <w:bCs/>
                                <w:sz w:val="18"/>
                                <w:szCs w:val="18"/>
                              </w:rPr>
                              <w:t>B)</w:t>
                            </w:r>
                            <w:r w:rsidR="00C33485" w:rsidRPr="00243AE8">
                              <w:rPr>
                                <w:rFonts w:ascii="Verdana" w:hAnsi="Verdana"/>
                                <w:sz w:val="18"/>
                                <w:szCs w:val="18"/>
                              </w:rPr>
                              <w:t xml:space="preserve"> Expression levels for </w:t>
                            </w:r>
                            <w:r w:rsidR="00022CD5" w:rsidRPr="00243AE8">
                              <w:rPr>
                                <w:rFonts w:ascii="Verdana" w:hAnsi="Verdana"/>
                                <w:sz w:val="18"/>
                                <w:szCs w:val="18"/>
                              </w:rPr>
                              <w:t xml:space="preserve">Allograft inflammatory factor 1 </w:t>
                            </w:r>
                            <w:r w:rsidR="00C33485" w:rsidRPr="00243AE8">
                              <w:rPr>
                                <w:rFonts w:ascii="Verdana" w:hAnsi="Verdana"/>
                                <w:sz w:val="18"/>
                                <w:szCs w:val="18"/>
                              </w:rPr>
                              <w:t>(Aif1),</w:t>
                            </w:r>
                            <w:r w:rsidR="00FF7A1E" w:rsidRPr="00243AE8">
                              <w:rPr>
                                <w:rFonts w:ascii="Verdana" w:hAnsi="Verdana"/>
                                <w:sz w:val="18"/>
                                <w:szCs w:val="18"/>
                              </w:rPr>
                              <w:t xml:space="preserve"> Integrin subunit alpha M</w:t>
                            </w:r>
                            <w:r w:rsidR="00C33485" w:rsidRPr="00243AE8">
                              <w:rPr>
                                <w:rFonts w:ascii="Verdana" w:hAnsi="Verdana"/>
                                <w:sz w:val="18"/>
                                <w:szCs w:val="18"/>
                              </w:rPr>
                              <w:t xml:space="preserve"> (</w:t>
                            </w:r>
                            <w:proofErr w:type="spellStart"/>
                            <w:r w:rsidR="00B45A7E" w:rsidRPr="00243AE8">
                              <w:rPr>
                                <w:rFonts w:ascii="Verdana" w:hAnsi="Verdana"/>
                                <w:sz w:val="18"/>
                                <w:szCs w:val="18"/>
                              </w:rPr>
                              <w:t>Itgam</w:t>
                            </w:r>
                            <w:proofErr w:type="spellEnd"/>
                            <w:r w:rsidR="00B45A7E" w:rsidRPr="00243AE8">
                              <w:rPr>
                                <w:rFonts w:ascii="Verdana" w:hAnsi="Verdana"/>
                                <w:sz w:val="18"/>
                                <w:szCs w:val="18"/>
                              </w:rPr>
                              <w:t xml:space="preserve">), </w:t>
                            </w:r>
                            <w:r w:rsidR="00FF7A1E" w:rsidRPr="00243AE8">
                              <w:rPr>
                                <w:rFonts w:ascii="Verdana" w:hAnsi="Verdana"/>
                                <w:sz w:val="18"/>
                                <w:szCs w:val="18"/>
                              </w:rPr>
                              <w:t xml:space="preserve">Protein tyrosine phosphatase receptor type C </w:t>
                            </w:r>
                            <w:r w:rsidR="00B45A7E" w:rsidRPr="00243AE8">
                              <w:rPr>
                                <w:rFonts w:ascii="Verdana" w:hAnsi="Verdana"/>
                                <w:sz w:val="18"/>
                                <w:szCs w:val="18"/>
                              </w:rPr>
                              <w:t>(</w:t>
                            </w:r>
                            <w:proofErr w:type="spellStart"/>
                            <w:r w:rsidR="00B45A7E" w:rsidRPr="00243AE8">
                              <w:rPr>
                                <w:rFonts w:ascii="Verdana" w:hAnsi="Verdana"/>
                                <w:sz w:val="18"/>
                                <w:szCs w:val="18"/>
                              </w:rPr>
                              <w:t>Ptprc</w:t>
                            </w:r>
                            <w:proofErr w:type="spellEnd"/>
                            <w:r w:rsidR="00B45A7E" w:rsidRPr="00243AE8">
                              <w:rPr>
                                <w:rFonts w:ascii="Verdana" w:hAnsi="Verdana"/>
                                <w:sz w:val="18"/>
                                <w:szCs w:val="18"/>
                              </w:rPr>
                              <w:t xml:space="preserve">), and </w:t>
                            </w:r>
                            <w:r w:rsidR="00D533FE" w:rsidRPr="00243AE8">
                              <w:rPr>
                                <w:rFonts w:ascii="Verdana" w:hAnsi="Verdana"/>
                                <w:sz w:val="18"/>
                                <w:szCs w:val="18"/>
                              </w:rPr>
                              <w:t xml:space="preserve">Transmembrane protein 119 </w:t>
                            </w:r>
                            <w:r w:rsidR="00B45A7E" w:rsidRPr="00243AE8">
                              <w:rPr>
                                <w:rFonts w:ascii="Verdana" w:hAnsi="Verdana"/>
                                <w:sz w:val="18"/>
                                <w:szCs w:val="18"/>
                              </w:rPr>
                              <w:t xml:space="preserve">(Tmem119) in WT and TG Thy1-Syn14 mice at 3- (left) and 14- (right) months. </w:t>
                            </w:r>
                            <w:r w:rsidR="00B45A7E" w:rsidRPr="00243AE8">
                              <w:rPr>
                                <w:rFonts w:ascii="Verdana" w:hAnsi="Verdana"/>
                                <w:b/>
                                <w:bCs/>
                                <w:sz w:val="18"/>
                                <w:szCs w:val="18"/>
                              </w:rPr>
                              <w:t>C)</w:t>
                            </w:r>
                            <w:r w:rsidR="00B45A7E" w:rsidRPr="00243AE8">
                              <w:rPr>
                                <w:rFonts w:ascii="Verdana" w:hAnsi="Verdana"/>
                                <w:sz w:val="18"/>
                                <w:szCs w:val="18"/>
                              </w:rPr>
                              <w:t xml:space="preserve"> Expression levels</w:t>
                            </w:r>
                            <w:r w:rsidR="00D533FE" w:rsidRPr="00243AE8">
                              <w:rPr>
                                <w:rFonts w:ascii="Verdana" w:hAnsi="Verdana"/>
                                <w:sz w:val="18"/>
                                <w:szCs w:val="18"/>
                              </w:rPr>
                              <w:t xml:space="preserve"> for</w:t>
                            </w:r>
                            <w:r w:rsidR="00110B1C" w:rsidRPr="00243AE8">
                              <w:rPr>
                                <w:rFonts w:ascii="Verdana" w:hAnsi="Verdana"/>
                                <w:sz w:val="18"/>
                                <w:szCs w:val="18"/>
                              </w:rPr>
                              <w:t xml:space="preserve"> Glial fibrillary acidic protein</w:t>
                            </w:r>
                            <w:r w:rsidR="00D533FE" w:rsidRPr="00243AE8">
                              <w:rPr>
                                <w:rFonts w:ascii="Verdana" w:hAnsi="Verdana"/>
                                <w:sz w:val="18"/>
                                <w:szCs w:val="18"/>
                              </w:rPr>
                              <w:t xml:space="preserve"> (</w:t>
                            </w:r>
                            <w:proofErr w:type="spellStart"/>
                            <w:r w:rsidR="00D533FE" w:rsidRPr="00243AE8">
                              <w:rPr>
                                <w:rFonts w:ascii="Verdana" w:hAnsi="Verdana"/>
                                <w:sz w:val="18"/>
                                <w:szCs w:val="18"/>
                              </w:rPr>
                              <w:t>Gfap</w:t>
                            </w:r>
                            <w:proofErr w:type="spellEnd"/>
                            <w:r w:rsidR="00D533FE" w:rsidRPr="00243AE8">
                              <w:rPr>
                                <w:rFonts w:ascii="Verdana" w:hAnsi="Verdana"/>
                                <w:sz w:val="18"/>
                                <w:szCs w:val="18"/>
                              </w:rPr>
                              <w:t>),</w:t>
                            </w:r>
                            <w:r w:rsidR="00110B1C" w:rsidRPr="00243AE8">
                              <w:rPr>
                                <w:rFonts w:ascii="Verdana" w:hAnsi="Verdana"/>
                                <w:sz w:val="18"/>
                                <w:szCs w:val="18"/>
                              </w:rPr>
                              <w:t xml:space="preserve"> Solute carrier 1A2</w:t>
                            </w:r>
                            <w:r w:rsidR="00D533FE" w:rsidRPr="00243AE8">
                              <w:rPr>
                                <w:rFonts w:ascii="Verdana" w:hAnsi="Verdana"/>
                                <w:sz w:val="18"/>
                                <w:szCs w:val="18"/>
                              </w:rPr>
                              <w:t xml:space="preserve"> </w:t>
                            </w:r>
                            <w:r w:rsidR="006340BC" w:rsidRPr="00243AE8">
                              <w:rPr>
                                <w:rFonts w:ascii="Verdana" w:hAnsi="Verdana"/>
                                <w:sz w:val="18"/>
                                <w:szCs w:val="18"/>
                              </w:rPr>
                              <w:t>(Slc1a2) and</w:t>
                            </w:r>
                            <w:r w:rsidR="00110B1C" w:rsidRPr="00243AE8">
                              <w:rPr>
                                <w:rFonts w:ascii="Verdana" w:hAnsi="Verdana"/>
                                <w:sz w:val="18"/>
                                <w:szCs w:val="18"/>
                              </w:rPr>
                              <w:t xml:space="preserve"> Solute carrier 1A3</w:t>
                            </w:r>
                            <w:r w:rsidR="006340BC" w:rsidRPr="00243AE8">
                              <w:rPr>
                                <w:rFonts w:ascii="Verdana" w:hAnsi="Verdana"/>
                                <w:sz w:val="18"/>
                                <w:szCs w:val="18"/>
                              </w:rPr>
                              <w:t xml:space="preserve"> (Slc1a3) in WT and TG Thy1-Syn14 mice at 3- (left) and 14- (right) months.</w:t>
                            </w:r>
                          </w:p>
                          <w:p w14:paraId="44024BE1" w14:textId="010A6B74" w:rsidR="00110B1C" w:rsidRPr="00243AE8" w:rsidRDefault="00110B1C" w:rsidP="00243AE8">
                            <w:pPr>
                              <w:ind w:firstLine="0"/>
                              <w:jc w:val="both"/>
                              <w:rPr>
                                <w:rFonts w:ascii="Verdana" w:hAnsi="Verdana"/>
                                <w:sz w:val="18"/>
                                <w:szCs w:val="18"/>
                              </w:rPr>
                            </w:pPr>
                            <w:r w:rsidRPr="00243AE8">
                              <w:rPr>
                                <w:rFonts w:ascii="Verdana" w:hAnsi="Verdana"/>
                                <w:sz w:val="18"/>
                                <w:szCs w:val="18"/>
                              </w:rPr>
                              <w:t xml:space="preserve">WT = wild-type littermates, TG = transgenic Thy1-Syn14 animals, </w:t>
                            </w:r>
                            <w:r w:rsidR="00D577EE" w:rsidRPr="00243AE8">
                              <w:rPr>
                                <w:rFonts w:ascii="Verdana" w:hAnsi="Verdana"/>
                                <w:sz w:val="18"/>
                                <w:szCs w:val="18"/>
                              </w:rPr>
                              <w:t>3M = 3-months old, 14M = 14-months old</w:t>
                            </w:r>
                            <w:r w:rsidR="003F2096">
                              <w:rPr>
                                <w:rFonts w:ascii="Verdana" w:hAnsi="Verdana"/>
                                <w:sz w:val="18"/>
                                <w:szCs w:val="18"/>
                              </w:rPr>
                              <w:t xml:space="preserve">, </w:t>
                            </w:r>
                            <w:proofErr w:type="spellStart"/>
                            <w:r w:rsidR="003F2096">
                              <w:rPr>
                                <w:rFonts w:ascii="Verdana" w:hAnsi="Verdana"/>
                                <w:sz w:val="18"/>
                                <w:szCs w:val="18"/>
                              </w:rPr>
                              <w:t>DAn</w:t>
                            </w:r>
                            <w:proofErr w:type="spellEnd"/>
                            <w:r w:rsidR="003F2096">
                              <w:rPr>
                                <w:rFonts w:ascii="Verdana" w:hAnsi="Verdana"/>
                                <w:sz w:val="18"/>
                                <w:szCs w:val="18"/>
                              </w:rPr>
                              <w:t xml:space="preserve"> = dopaminergic neurons</w:t>
                            </w:r>
                            <w:r w:rsidR="00D577EE" w:rsidRPr="00243AE8">
                              <w:rPr>
                                <w:rFonts w:ascii="Verdana" w:hAnsi="Verdana"/>
                                <w:sz w:val="18"/>
                                <w:szCs w:val="18"/>
                              </w:rPr>
                              <w:t>. n (3M) = 5 mice per group, n (14M) = 6 mice per group</w:t>
                            </w:r>
                            <w:r w:rsidR="0038746C">
                              <w:rPr>
                                <w:rFonts w:ascii="Verdana" w:hAnsi="Verdana"/>
                                <w:sz w:val="18"/>
                                <w:szCs w:val="18"/>
                              </w:rPr>
                              <w:t>; all mice were female.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F518F" id="Text Box 151" o:spid="_x0000_s1054" type="#_x0000_t202" style="position:absolute;left:0;text-align:left;margin-left:388.2pt;margin-top:374.9pt;width:439.4pt;height:.05pt;z-index:2519592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" stroked="f">
                <v:textbox style="mso-fit-shape-to-text:t" inset="0,0,0,0">
                  <w:txbxContent>
                    <w:p w14:paraId="6551D155" w14:textId="61B04397" w:rsidR="00305689" w:rsidRPr="00243AE8" w:rsidRDefault="00305689" w:rsidP="00243AE8">
                      <w:pPr>
                        <w:pStyle w:val="Caption"/>
                        <w:ind w:firstLine="0"/>
                        <w:jc w:val="both"/>
                        <w:rPr>
                          <w:rFonts w:ascii="Verdana" w:hAnsi="Verdana"/>
                          <w:i w:val="0"/>
                          <w:iCs w:val="0"/>
                          <w:color w:val="auto"/>
                        </w:rPr>
                      </w:pPr>
                      <w:bookmarkStart w:id="128" w:name="_Toc131412768"/>
                      <w:r w:rsidRPr="00243AE8">
                        <w:rPr>
                          <w:rFonts w:ascii="Verdana" w:hAnsi="Verdana"/>
                          <w:b/>
                          <w:bCs/>
                          <w:i w:val="0"/>
                          <w:iCs w:val="0"/>
                          <w:color w:val="auto"/>
                        </w:rPr>
                        <w:t xml:space="preserve">Figure </w:t>
                      </w:r>
                      <w:r w:rsidRPr="00243AE8">
                        <w:rPr>
                          <w:rFonts w:ascii="Verdana" w:hAnsi="Verdana"/>
                          <w:b/>
                          <w:bCs/>
                          <w:i w:val="0"/>
                          <w:iCs w:val="0"/>
                          <w:color w:val="auto"/>
                        </w:rPr>
                        <w:fldChar w:fldCharType="begin"/>
                      </w:r>
                      <w:r w:rsidRPr="00243AE8">
                        <w:rPr>
                          <w:rFonts w:ascii="Verdana" w:hAnsi="Verdana"/>
                          <w:b/>
                          <w:bCs/>
                          <w:i w:val="0"/>
                          <w:iCs w:val="0"/>
                          <w:color w:val="auto"/>
                        </w:rPr>
                        <w:instrText xml:space="preserve"> SEQ Figure \* ARABIC </w:instrText>
                      </w:r>
                      <w:r w:rsidRPr="00243AE8">
                        <w:rPr>
                          <w:rFonts w:ascii="Verdana" w:hAnsi="Verdana"/>
                          <w:b/>
                          <w:bCs/>
                          <w:i w:val="0"/>
                          <w:iCs w:val="0"/>
                          <w:color w:val="auto"/>
                        </w:rPr>
                        <w:fldChar w:fldCharType="separate"/>
                      </w:r>
                      <w:r w:rsidR="001D505F">
                        <w:rPr>
                          <w:rFonts w:ascii="Verdana" w:hAnsi="Verdana"/>
                          <w:b/>
                          <w:bCs/>
                          <w:i w:val="0"/>
                          <w:iCs w:val="0"/>
                          <w:noProof/>
                          <w:color w:val="auto"/>
                        </w:rPr>
                        <w:t>26</w:t>
                      </w:r>
                      <w:r w:rsidRPr="00243AE8">
                        <w:rPr>
                          <w:rFonts w:ascii="Verdana" w:hAnsi="Verdana"/>
                          <w:b/>
                          <w:bCs/>
                          <w:i w:val="0"/>
                          <w:iCs w:val="0"/>
                          <w:color w:val="auto"/>
                        </w:rPr>
                        <w:fldChar w:fldCharType="end"/>
                      </w:r>
                      <w:r w:rsidRPr="00243AE8">
                        <w:rPr>
                          <w:rFonts w:ascii="Verdana" w:hAnsi="Verdana"/>
                          <w:b/>
                          <w:bCs/>
                          <w:i w:val="0"/>
                          <w:iCs w:val="0"/>
                          <w:color w:val="auto"/>
                        </w:rPr>
                        <w:t xml:space="preserve"> </w:t>
                      </w:r>
                      <w:r w:rsidR="00571786" w:rsidRPr="00243AE8">
                        <w:rPr>
                          <w:rFonts w:ascii="Verdana" w:hAnsi="Verdana"/>
                          <w:i w:val="0"/>
                          <w:iCs w:val="0"/>
                          <w:color w:val="auto"/>
                        </w:rPr>
                        <w:t>Cellular markers for dopaminergic neurons, astrocytes and microglia are unchanged</w:t>
                      </w:r>
                      <w:bookmarkEnd w:id="128"/>
                    </w:p>
                    <w:p w14:paraId="3CF1ECED" w14:textId="7E98B91B" w:rsidR="00571786" w:rsidRPr="00243AE8" w:rsidRDefault="00571786" w:rsidP="00243AE8">
                      <w:pPr>
                        <w:ind w:firstLine="0"/>
                        <w:jc w:val="both"/>
                        <w:rPr>
                          <w:rFonts w:ascii="Verdana" w:hAnsi="Verdana"/>
                          <w:sz w:val="18"/>
                          <w:szCs w:val="18"/>
                        </w:rPr>
                      </w:pPr>
                      <w:r w:rsidRPr="00243AE8">
                        <w:rPr>
                          <w:rFonts w:ascii="Verdana" w:hAnsi="Verdana"/>
                          <w:b/>
                          <w:bCs/>
                          <w:sz w:val="18"/>
                          <w:szCs w:val="18"/>
                        </w:rPr>
                        <w:t>A)</w:t>
                      </w:r>
                      <w:r w:rsidRPr="00243AE8">
                        <w:rPr>
                          <w:rFonts w:ascii="Verdana" w:hAnsi="Verdana"/>
                          <w:sz w:val="18"/>
                          <w:szCs w:val="18"/>
                        </w:rPr>
                        <w:t xml:space="preserve"> Expression levels for </w:t>
                      </w:r>
                      <w:proofErr w:type="gramStart"/>
                      <w:r w:rsidR="007666BF" w:rsidRPr="00243AE8">
                        <w:rPr>
                          <w:rFonts w:ascii="Verdana" w:hAnsi="Verdana"/>
                          <w:sz w:val="18"/>
                          <w:szCs w:val="18"/>
                        </w:rPr>
                        <w:t>Nuclear</w:t>
                      </w:r>
                      <w:proofErr w:type="gramEnd"/>
                      <w:r w:rsidR="007666BF" w:rsidRPr="00243AE8">
                        <w:rPr>
                          <w:rFonts w:ascii="Verdana" w:hAnsi="Verdana"/>
                          <w:sz w:val="18"/>
                          <w:szCs w:val="18"/>
                        </w:rPr>
                        <w:t xml:space="preserve"> receptor 4A2 (</w:t>
                      </w:r>
                      <w:r w:rsidR="00EF136E" w:rsidRPr="00243AE8">
                        <w:rPr>
                          <w:rFonts w:ascii="Verdana" w:hAnsi="Verdana"/>
                          <w:sz w:val="18"/>
                          <w:szCs w:val="18"/>
                        </w:rPr>
                        <w:t>Nr4a2</w:t>
                      </w:r>
                      <w:r w:rsidR="007666BF" w:rsidRPr="00243AE8">
                        <w:rPr>
                          <w:rFonts w:ascii="Verdana" w:hAnsi="Verdana"/>
                          <w:sz w:val="18"/>
                          <w:szCs w:val="18"/>
                        </w:rPr>
                        <w:t xml:space="preserve">), tyrosine hydroxylase (Th) and </w:t>
                      </w:r>
                      <w:r w:rsidR="00865712" w:rsidRPr="00243AE8">
                        <w:rPr>
                          <w:rFonts w:ascii="Verdana" w:hAnsi="Verdana"/>
                          <w:sz w:val="18"/>
                          <w:szCs w:val="18"/>
                        </w:rPr>
                        <w:t xml:space="preserve">Solute carrier </w:t>
                      </w:r>
                      <w:r w:rsidR="00C33485" w:rsidRPr="00243AE8">
                        <w:rPr>
                          <w:rFonts w:ascii="Verdana" w:hAnsi="Verdana"/>
                          <w:sz w:val="18"/>
                          <w:szCs w:val="18"/>
                        </w:rPr>
                        <w:t xml:space="preserve">family </w:t>
                      </w:r>
                      <w:r w:rsidR="00865712" w:rsidRPr="00243AE8">
                        <w:rPr>
                          <w:rFonts w:ascii="Verdana" w:hAnsi="Verdana"/>
                          <w:sz w:val="18"/>
                          <w:szCs w:val="18"/>
                        </w:rPr>
                        <w:t>6</w:t>
                      </w:r>
                      <w:r w:rsidR="00C33485" w:rsidRPr="00243AE8">
                        <w:rPr>
                          <w:rFonts w:ascii="Verdana" w:hAnsi="Verdana"/>
                          <w:sz w:val="18"/>
                          <w:szCs w:val="18"/>
                        </w:rPr>
                        <w:t xml:space="preserve"> member 3 </w:t>
                      </w:r>
                      <w:r w:rsidR="00865712" w:rsidRPr="00243AE8">
                        <w:rPr>
                          <w:rFonts w:ascii="Verdana" w:hAnsi="Verdana"/>
                          <w:sz w:val="18"/>
                          <w:szCs w:val="18"/>
                        </w:rPr>
                        <w:t>(Slc6a3)</w:t>
                      </w:r>
                      <w:r w:rsidR="00C33485" w:rsidRPr="00243AE8">
                        <w:rPr>
                          <w:rFonts w:ascii="Verdana" w:hAnsi="Verdana"/>
                          <w:sz w:val="18"/>
                          <w:szCs w:val="18"/>
                        </w:rPr>
                        <w:t xml:space="preserve"> in</w:t>
                      </w:r>
                      <w:r w:rsidR="00B45A7E" w:rsidRPr="00243AE8">
                        <w:rPr>
                          <w:rFonts w:ascii="Verdana" w:hAnsi="Verdana"/>
                          <w:sz w:val="18"/>
                          <w:szCs w:val="18"/>
                        </w:rPr>
                        <w:t xml:space="preserve"> TG and WT Thy1-Syn14 mice at</w:t>
                      </w:r>
                      <w:r w:rsidR="00C33485" w:rsidRPr="00243AE8">
                        <w:rPr>
                          <w:rFonts w:ascii="Verdana" w:hAnsi="Verdana"/>
                          <w:sz w:val="18"/>
                          <w:szCs w:val="18"/>
                        </w:rPr>
                        <w:t xml:space="preserve"> 3</w:t>
                      </w:r>
                      <w:r w:rsidR="00B45A7E" w:rsidRPr="00243AE8">
                        <w:rPr>
                          <w:rFonts w:ascii="Verdana" w:hAnsi="Verdana"/>
                          <w:sz w:val="18"/>
                          <w:szCs w:val="18"/>
                        </w:rPr>
                        <w:t>-</w:t>
                      </w:r>
                      <w:r w:rsidR="00C33485" w:rsidRPr="00243AE8">
                        <w:rPr>
                          <w:rFonts w:ascii="Verdana" w:hAnsi="Verdana"/>
                          <w:sz w:val="18"/>
                          <w:szCs w:val="18"/>
                        </w:rPr>
                        <w:t xml:space="preserve"> (left) and 14</w:t>
                      </w:r>
                      <w:r w:rsidR="00B45A7E" w:rsidRPr="00243AE8">
                        <w:rPr>
                          <w:rFonts w:ascii="Verdana" w:hAnsi="Verdana"/>
                          <w:sz w:val="18"/>
                          <w:szCs w:val="18"/>
                        </w:rPr>
                        <w:t>-</w:t>
                      </w:r>
                      <w:r w:rsidR="00C33485" w:rsidRPr="00243AE8">
                        <w:rPr>
                          <w:rFonts w:ascii="Verdana" w:hAnsi="Verdana"/>
                          <w:sz w:val="18"/>
                          <w:szCs w:val="18"/>
                        </w:rPr>
                        <w:t xml:space="preserve"> (right) months. </w:t>
                      </w:r>
                      <w:r w:rsidR="00C33485" w:rsidRPr="00243AE8">
                        <w:rPr>
                          <w:rFonts w:ascii="Verdana" w:hAnsi="Verdana"/>
                          <w:b/>
                          <w:bCs/>
                          <w:sz w:val="18"/>
                          <w:szCs w:val="18"/>
                        </w:rPr>
                        <w:t>B)</w:t>
                      </w:r>
                      <w:r w:rsidR="00C33485" w:rsidRPr="00243AE8">
                        <w:rPr>
                          <w:rFonts w:ascii="Verdana" w:hAnsi="Verdana"/>
                          <w:sz w:val="18"/>
                          <w:szCs w:val="18"/>
                        </w:rPr>
                        <w:t xml:space="preserve"> Expression levels for </w:t>
                      </w:r>
                      <w:r w:rsidR="00022CD5" w:rsidRPr="00243AE8">
                        <w:rPr>
                          <w:rFonts w:ascii="Verdana" w:hAnsi="Verdana"/>
                          <w:sz w:val="18"/>
                          <w:szCs w:val="18"/>
                        </w:rPr>
                        <w:t xml:space="preserve">Allograft inflammatory factor 1 </w:t>
                      </w:r>
                      <w:r w:rsidR="00C33485" w:rsidRPr="00243AE8">
                        <w:rPr>
                          <w:rFonts w:ascii="Verdana" w:hAnsi="Verdana"/>
                          <w:sz w:val="18"/>
                          <w:szCs w:val="18"/>
                        </w:rPr>
                        <w:t>(Aif1),</w:t>
                      </w:r>
                      <w:r w:rsidR="00FF7A1E" w:rsidRPr="00243AE8">
                        <w:rPr>
                          <w:rFonts w:ascii="Verdana" w:hAnsi="Verdana"/>
                          <w:sz w:val="18"/>
                          <w:szCs w:val="18"/>
                        </w:rPr>
                        <w:t xml:space="preserve"> Integrin subunit alpha M</w:t>
                      </w:r>
                      <w:r w:rsidR="00C33485" w:rsidRPr="00243AE8">
                        <w:rPr>
                          <w:rFonts w:ascii="Verdana" w:hAnsi="Verdana"/>
                          <w:sz w:val="18"/>
                          <w:szCs w:val="18"/>
                        </w:rPr>
                        <w:t xml:space="preserve"> (</w:t>
                      </w:r>
                      <w:proofErr w:type="spellStart"/>
                      <w:r w:rsidR="00B45A7E" w:rsidRPr="00243AE8">
                        <w:rPr>
                          <w:rFonts w:ascii="Verdana" w:hAnsi="Verdana"/>
                          <w:sz w:val="18"/>
                          <w:szCs w:val="18"/>
                        </w:rPr>
                        <w:t>Itgam</w:t>
                      </w:r>
                      <w:proofErr w:type="spellEnd"/>
                      <w:r w:rsidR="00B45A7E" w:rsidRPr="00243AE8">
                        <w:rPr>
                          <w:rFonts w:ascii="Verdana" w:hAnsi="Verdana"/>
                          <w:sz w:val="18"/>
                          <w:szCs w:val="18"/>
                        </w:rPr>
                        <w:t xml:space="preserve">), </w:t>
                      </w:r>
                      <w:r w:rsidR="00FF7A1E" w:rsidRPr="00243AE8">
                        <w:rPr>
                          <w:rFonts w:ascii="Verdana" w:hAnsi="Verdana"/>
                          <w:sz w:val="18"/>
                          <w:szCs w:val="18"/>
                        </w:rPr>
                        <w:t xml:space="preserve">Protein tyrosine phosphatase receptor type C </w:t>
                      </w:r>
                      <w:r w:rsidR="00B45A7E" w:rsidRPr="00243AE8">
                        <w:rPr>
                          <w:rFonts w:ascii="Verdana" w:hAnsi="Verdana"/>
                          <w:sz w:val="18"/>
                          <w:szCs w:val="18"/>
                        </w:rPr>
                        <w:t>(</w:t>
                      </w:r>
                      <w:proofErr w:type="spellStart"/>
                      <w:r w:rsidR="00B45A7E" w:rsidRPr="00243AE8">
                        <w:rPr>
                          <w:rFonts w:ascii="Verdana" w:hAnsi="Verdana"/>
                          <w:sz w:val="18"/>
                          <w:szCs w:val="18"/>
                        </w:rPr>
                        <w:t>Ptprc</w:t>
                      </w:r>
                      <w:proofErr w:type="spellEnd"/>
                      <w:r w:rsidR="00B45A7E" w:rsidRPr="00243AE8">
                        <w:rPr>
                          <w:rFonts w:ascii="Verdana" w:hAnsi="Verdana"/>
                          <w:sz w:val="18"/>
                          <w:szCs w:val="18"/>
                        </w:rPr>
                        <w:t xml:space="preserve">), and </w:t>
                      </w:r>
                      <w:r w:rsidR="00D533FE" w:rsidRPr="00243AE8">
                        <w:rPr>
                          <w:rFonts w:ascii="Verdana" w:hAnsi="Verdana"/>
                          <w:sz w:val="18"/>
                          <w:szCs w:val="18"/>
                        </w:rPr>
                        <w:t xml:space="preserve">Transmembrane protein 119 </w:t>
                      </w:r>
                      <w:r w:rsidR="00B45A7E" w:rsidRPr="00243AE8">
                        <w:rPr>
                          <w:rFonts w:ascii="Verdana" w:hAnsi="Verdana"/>
                          <w:sz w:val="18"/>
                          <w:szCs w:val="18"/>
                        </w:rPr>
                        <w:t xml:space="preserve">(Tmem119) in WT and TG Thy1-Syn14 mice at 3- (left) and 14- (right) months. </w:t>
                      </w:r>
                      <w:r w:rsidR="00B45A7E" w:rsidRPr="00243AE8">
                        <w:rPr>
                          <w:rFonts w:ascii="Verdana" w:hAnsi="Verdana"/>
                          <w:b/>
                          <w:bCs/>
                          <w:sz w:val="18"/>
                          <w:szCs w:val="18"/>
                        </w:rPr>
                        <w:t>C)</w:t>
                      </w:r>
                      <w:r w:rsidR="00B45A7E" w:rsidRPr="00243AE8">
                        <w:rPr>
                          <w:rFonts w:ascii="Verdana" w:hAnsi="Verdana"/>
                          <w:sz w:val="18"/>
                          <w:szCs w:val="18"/>
                        </w:rPr>
                        <w:t xml:space="preserve"> Expression levels</w:t>
                      </w:r>
                      <w:r w:rsidR="00D533FE" w:rsidRPr="00243AE8">
                        <w:rPr>
                          <w:rFonts w:ascii="Verdana" w:hAnsi="Verdana"/>
                          <w:sz w:val="18"/>
                          <w:szCs w:val="18"/>
                        </w:rPr>
                        <w:t xml:space="preserve"> for</w:t>
                      </w:r>
                      <w:r w:rsidR="00110B1C" w:rsidRPr="00243AE8">
                        <w:rPr>
                          <w:rFonts w:ascii="Verdana" w:hAnsi="Verdana"/>
                          <w:sz w:val="18"/>
                          <w:szCs w:val="18"/>
                        </w:rPr>
                        <w:t xml:space="preserve"> Glial fibrillary acidic protein</w:t>
                      </w:r>
                      <w:r w:rsidR="00D533FE" w:rsidRPr="00243AE8">
                        <w:rPr>
                          <w:rFonts w:ascii="Verdana" w:hAnsi="Verdana"/>
                          <w:sz w:val="18"/>
                          <w:szCs w:val="18"/>
                        </w:rPr>
                        <w:t xml:space="preserve"> (</w:t>
                      </w:r>
                      <w:proofErr w:type="spellStart"/>
                      <w:r w:rsidR="00D533FE" w:rsidRPr="00243AE8">
                        <w:rPr>
                          <w:rFonts w:ascii="Verdana" w:hAnsi="Verdana"/>
                          <w:sz w:val="18"/>
                          <w:szCs w:val="18"/>
                        </w:rPr>
                        <w:t>Gfap</w:t>
                      </w:r>
                      <w:proofErr w:type="spellEnd"/>
                      <w:r w:rsidR="00D533FE" w:rsidRPr="00243AE8">
                        <w:rPr>
                          <w:rFonts w:ascii="Verdana" w:hAnsi="Verdana"/>
                          <w:sz w:val="18"/>
                          <w:szCs w:val="18"/>
                        </w:rPr>
                        <w:t>),</w:t>
                      </w:r>
                      <w:r w:rsidR="00110B1C" w:rsidRPr="00243AE8">
                        <w:rPr>
                          <w:rFonts w:ascii="Verdana" w:hAnsi="Verdana"/>
                          <w:sz w:val="18"/>
                          <w:szCs w:val="18"/>
                        </w:rPr>
                        <w:t xml:space="preserve"> Solute carrier 1A2</w:t>
                      </w:r>
                      <w:r w:rsidR="00D533FE" w:rsidRPr="00243AE8">
                        <w:rPr>
                          <w:rFonts w:ascii="Verdana" w:hAnsi="Verdana"/>
                          <w:sz w:val="18"/>
                          <w:szCs w:val="18"/>
                        </w:rPr>
                        <w:t xml:space="preserve"> </w:t>
                      </w:r>
                      <w:r w:rsidR="006340BC" w:rsidRPr="00243AE8">
                        <w:rPr>
                          <w:rFonts w:ascii="Verdana" w:hAnsi="Verdana"/>
                          <w:sz w:val="18"/>
                          <w:szCs w:val="18"/>
                        </w:rPr>
                        <w:t>(Slc1a2) and</w:t>
                      </w:r>
                      <w:r w:rsidR="00110B1C" w:rsidRPr="00243AE8">
                        <w:rPr>
                          <w:rFonts w:ascii="Verdana" w:hAnsi="Verdana"/>
                          <w:sz w:val="18"/>
                          <w:szCs w:val="18"/>
                        </w:rPr>
                        <w:t xml:space="preserve"> Solute carrier 1A3</w:t>
                      </w:r>
                      <w:r w:rsidR="006340BC" w:rsidRPr="00243AE8">
                        <w:rPr>
                          <w:rFonts w:ascii="Verdana" w:hAnsi="Verdana"/>
                          <w:sz w:val="18"/>
                          <w:szCs w:val="18"/>
                        </w:rPr>
                        <w:t xml:space="preserve"> (Slc1a3) in WT and TG Thy1-Syn14 mice at 3- (left) and 14- (right) months.</w:t>
                      </w:r>
                    </w:p>
                    <w:p w14:paraId="44024BE1" w14:textId="010A6B74" w:rsidR="00110B1C" w:rsidRPr="00243AE8" w:rsidRDefault="00110B1C" w:rsidP="00243AE8">
                      <w:pPr>
                        <w:ind w:firstLine="0"/>
                        <w:jc w:val="both"/>
                        <w:rPr>
                          <w:rFonts w:ascii="Verdana" w:hAnsi="Verdana"/>
                          <w:sz w:val="18"/>
                          <w:szCs w:val="18"/>
                        </w:rPr>
                      </w:pPr>
                      <w:r w:rsidRPr="00243AE8">
                        <w:rPr>
                          <w:rFonts w:ascii="Verdana" w:hAnsi="Verdana"/>
                          <w:sz w:val="18"/>
                          <w:szCs w:val="18"/>
                        </w:rPr>
                        <w:t xml:space="preserve">WT = wild-type littermates, TG = transgenic Thy1-Syn14 animals, </w:t>
                      </w:r>
                      <w:r w:rsidR="00D577EE" w:rsidRPr="00243AE8">
                        <w:rPr>
                          <w:rFonts w:ascii="Verdana" w:hAnsi="Verdana"/>
                          <w:sz w:val="18"/>
                          <w:szCs w:val="18"/>
                        </w:rPr>
                        <w:t>3M = 3-months old, 14M = 14-months old</w:t>
                      </w:r>
                      <w:r w:rsidR="003F2096">
                        <w:rPr>
                          <w:rFonts w:ascii="Verdana" w:hAnsi="Verdana"/>
                          <w:sz w:val="18"/>
                          <w:szCs w:val="18"/>
                        </w:rPr>
                        <w:t xml:space="preserve">, </w:t>
                      </w:r>
                      <w:proofErr w:type="spellStart"/>
                      <w:r w:rsidR="003F2096">
                        <w:rPr>
                          <w:rFonts w:ascii="Verdana" w:hAnsi="Verdana"/>
                          <w:sz w:val="18"/>
                          <w:szCs w:val="18"/>
                        </w:rPr>
                        <w:t>DAn</w:t>
                      </w:r>
                      <w:proofErr w:type="spellEnd"/>
                      <w:r w:rsidR="003F2096">
                        <w:rPr>
                          <w:rFonts w:ascii="Verdana" w:hAnsi="Verdana"/>
                          <w:sz w:val="18"/>
                          <w:szCs w:val="18"/>
                        </w:rPr>
                        <w:t xml:space="preserve"> = dopaminergic neurons</w:t>
                      </w:r>
                      <w:r w:rsidR="00D577EE" w:rsidRPr="00243AE8">
                        <w:rPr>
                          <w:rFonts w:ascii="Verdana" w:hAnsi="Verdana"/>
                          <w:sz w:val="18"/>
                          <w:szCs w:val="18"/>
                        </w:rPr>
                        <w:t>. n (3M) = 5 mice per group, n (14M) = 6 mice per group</w:t>
                      </w:r>
                      <w:r w:rsidR="0038746C">
                        <w:rPr>
                          <w:rFonts w:ascii="Verdana" w:hAnsi="Verdana"/>
                          <w:sz w:val="18"/>
                          <w:szCs w:val="18"/>
                        </w:rPr>
                        <w:t>; all mice were female.</w:t>
                      </w:r>
                    </w:p>
                  </w:txbxContent>
                </v:textbox>
                <w10:wrap type="topAndBottom" anchorx="margin"/>
              </v:shape>
            </w:pict>
          </mc:Fallback>
        </mc:AlternateContent>
      </w:r>
      <w:r>
        <w:rPr>
          <w:rFonts w:ascii="Verdana" w:hAnsi="Verdana"/>
          <w:noProof/>
          <w:lang w:val="en-GB"/>
        </w:rPr>
        <w:drawing>
          <wp:anchor distT="0" distB="0" distL="114300" distR="114300" simplePos="0" relativeHeight="251957248" behindDoc="0" locked="0" layoutInCell="1" allowOverlap="1" wp14:anchorId="00E9E742" wp14:editId="7573F3E1">
            <wp:simplePos x="0" y="0"/>
            <wp:positionH relativeFrom="margin">
              <wp:align>right</wp:align>
            </wp:positionH>
            <wp:positionV relativeFrom="paragraph">
              <wp:posOffset>504</wp:posOffset>
            </wp:positionV>
            <wp:extent cx="5580380" cy="4570730"/>
            <wp:effectExtent l="0" t="0" r="1270" b="1270"/>
            <wp:wrapTopAndBottom/>
            <wp:docPr id="149" name="Picture 1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application&#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580380" cy="4570730"/>
                    </a:xfrm>
                    <a:prstGeom prst="rect">
                      <a:avLst/>
                    </a:prstGeom>
                  </pic:spPr>
                </pic:pic>
              </a:graphicData>
            </a:graphic>
          </wp:anchor>
        </w:drawing>
      </w:r>
    </w:p>
    <w:p w14:paraId="7F8D0867" w14:textId="5CE5B02E" w:rsidR="00927CD0" w:rsidRPr="00202A98" w:rsidRDefault="00305689" w:rsidP="00D52E05">
      <w:pPr>
        <w:ind w:firstLine="0"/>
        <w:rPr>
          <w:rFonts w:ascii="Verdana" w:hAnsi="Verdana"/>
          <w:lang w:val="en-GB"/>
        </w:rPr>
      </w:pPr>
      <w:r>
        <w:rPr>
          <w:rFonts w:ascii="Verdana" w:hAnsi="Verdana"/>
          <w:lang w:val="en-GB"/>
        </w:rPr>
        <w:br w:type="page"/>
      </w:r>
    </w:p>
    <w:bookmarkStart w:id="129" w:name="_Toc130223452"/>
    <w:p w14:paraId="616B619E" w14:textId="651AABA1" w:rsidR="00927CD0" w:rsidRDefault="00927CD0" w:rsidP="002F3A70">
      <w:pPr>
        <w:pStyle w:val="Heading1"/>
        <w:jc w:val="both"/>
        <w:rPr>
          <w:lang w:val="en-GB"/>
        </w:rPr>
      </w:pPr>
      <w:r>
        <w:rPr>
          <w:noProof/>
          <w:lang w:val="en-GB"/>
        </w:rPr>
        <w:lastRenderedPageBreak/>
        <mc:AlternateContent>
          <mc:Choice Requires="wps">
            <w:drawing>
              <wp:anchor distT="0" distB="0" distL="114300" distR="114300" simplePos="0" relativeHeight="251899904" behindDoc="0" locked="0" layoutInCell="1" allowOverlap="1" wp14:anchorId="6F8CDAA3" wp14:editId="45AE2B73">
                <wp:simplePos x="0" y="0"/>
                <wp:positionH relativeFrom="column">
                  <wp:posOffset>826933</wp:posOffset>
                </wp:positionH>
                <wp:positionV relativeFrom="paragraph">
                  <wp:posOffset>0</wp:posOffset>
                </wp:positionV>
                <wp:extent cx="0" cy="457200"/>
                <wp:effectExtent l="19050" t="0" r="19050" b="19050"/>
                <wp:wrapNone/>
                <wp:docPr id="134" name="Straight Connector 134"/>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C98119" id="Straight Connector 134" o:spid="_x0000_s1026" style="position:absolute;z-index:251899904;visibility:visible;mso-wrap-style:square;mso-wrap-distance-left:9pt;mso-wrap-distance-top:0;mso-wrap-distance-right:9pt;mso-wrap-distance-bottom:0;mso-position-horizontal:absolute;mso-position-horizontal-relative:text;mso-position-vertical:absolute;mso-position-vertical-relative:text" from="65.1pt,0" to="65.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" strokecolor="black [3200]" strokeweight="2.25pt">
                <v:stroke joinstyle="miter"/>
              </v:line>
            </w:pict>
          </mc:Fallback>
        </mc:AlternateContent>
      </w:r>
      <w:r w:rsidR="000C17D9">
        <w:rPr>
          <w:lang w:val="en-GB"/>
        </w:rPr>
        <w:t>7</w:t>
      </w:r>
      <w:r>
        <w:rPr>
          <w:lang w:val="en-GB"/>
        </w:rPr>
        <w:t xml:space="preserve">   </w:t>
      </w:r>
      <w:r w:rsidR="00CC4DDB">
        <w:rPr>
          <w:lang w:val="en-GB"/>
        </w:rPr>
        <w:t xml:space="preserve">Diet and bacterial exposure </w:t>
      </w:r>
      <w:r w:rsidR="00887EE2">
        <w:rPr>
          <w:lang w:val="en-GB"/>
        </w:rPr>
        <w:t>contribute to</w:t>
      </w:r>
      <w:r w:rsidR="00CC4DDB">
        <w:rPr>
          <w:lang w:val="en-GB"/>
        </w:rPr>
        <w:t xml:space="preserve"> parkinsonian phenotypes</w:t>
      </w:r>
      <w:bookmarkEnd w:id="129"/>
    </w:p>
    <w:p w14:paraId="596DB952" w14:textId="77777777" w:rsidR="00AC2784" w:rsidRDefault="00AC2784" w:rsidP="00AC2784">
      <w:pPr>
        <w:spacing w:line="360" w:lineRule="auto"/>
        <w:jc w:val="both"/>
        <w:rPr>
          <w:rFonts w:ascii="Verdana" w:hAnsi="Verdana"/>
          <w:lang w:val="en-GB"/>
        </w:rPr>
      </w:pPr>
    </w:p>
    <w:p w14:paraId="4427F66A" w14:textId="77777777" w:rsidR="000D193C" w:rsidRDefault="000D193C">
      <w:pPr>
        <w:ind w:firstLine="0"/>
        <w:rPr>
          <w:rFonts w:ascii="Verdana" w:hAnsi="Verdana"/>
          <w:lang w:val="en-GB"/>
        </w:rPr>
      </w:pPr>
    </w:p>
    <w:p w14:paraId="446B3148" w14:textId="77777777" w:rsidR="000D193C" w:rsidRDefault="000D193C">
      <w:pPr>
        <w:ind w:firstLine="0"/>
        <w:rPr>
          <w:rFonts w:ascii="Verdana" w:hAnsi="Verdana"/>
          <w:lang w:val="en-GB"/>
        </w:rPr>
      </w:pPr>
    </w:p>
    <w:p w14:paraId="612EE2D7" w14:textId="77777777" w:rsidR="000D193C" w:rsidRDefault="000D193C">
      <w:pPr>
        <w:ind w:firstLine="0"/>
        <w:rPr>
          <w:rFonts w:ascii="Verdana" w:hAnsi="Verdana"/>
          <w:lang w:val="en-GB"/>
        </w:rPr>
      </w:pPr>
    </w:p>
    <w:p w14:paraId="62E8448F" w14:textId="77777777" w:rsidR="000D193C" w:rsidRDefault="000D193C" w:rsidP="000D193C">
      <w:pPr>
        <w:autoSpaceDE w:val="0"/>
        <w:autoSpaceDN w:val="0"/>
        <w:adjustRightInd w:val="0"/>
        <w:spacing w:after="0" w:line="360" w:lineRule="auto"/>
        <w:jc w:val="both"/>
        <w:rPr>
          <w:rFonts w:ascii="Verdana" w:hAnsi="Verdana" w:cs="Calibri"/>
          <w:color w:val="000000"/>
          <w:lang w:val="en-GB"/>
        </w:rPr>
      </w:pPr>
    </w:p>
    <w:p w14:paraId="3E4A316D" w14:textId="77777777" w:rsidR="000D193C" w:rsidRPr="000D193C" w:rsidRDefault="000D193C" w:rsidP="009E5729">
      <w:pPr>
        <w:pStyle w:val="Heading2"/>
        <w:rPr>
          <w:lang w:val="en-GB"/>
        </w:rPr>
      </w:pPr>
      <w:bookmarkStart w:id="130" w:name="_Toc130223453"/>
      <w:r w:rsidRPr="000D193C">
        <w:rPr>
          <w:lang w:val="en-GB"/>
        </w:rPr>
        <w:t>Preface</w:t>
      </w:r>
      <w:bookmarkEnd w:id="130"/>
    </w:p>
    <w:p w14:paraId="5280CF22" w14:textId="19E30147" w:rsidR="000D193C" w:rsidRDefault="00261D9C" w:rsidP="000D193C">
      <w:pPr>
        <w:autoSpaceDE w:val="0"/>
        <w:autoSpaceDN w:val="0"/>
        <w:adjustRightInd w:val="0"/>
        <w:spacing w:after="0" w:line="360" w:lineRule="auto"/>
        <w:jc w:val="both"/>
        <w:rPr>
          <w:rFonts w:ascii="Verdana" w:hAnsi="Verdana" w:cs="Calibri"/>
          <w:lang w:val="en-GB"/>
        </w:rPr>
      </w:pPr>
      <w:r>
        <w:rPr>
          <w:rFonts w:ascii="Verdana" w:hAnsi="Verdana" w:cs="Calibri"/>
          <w:lang w:val="en-GB"/>
        </w:rPr>
        <w:t xml:space="preserve">Sporadic cases of PD </w:t>
      </w:r>
      <w:r w:rsidR="004F4789">
        <w:rPr>
          <w:rFonts w:ascii="Verdana" w:hAnsi="Verdana" w:cs="Calibri"/>
          <w:lang w:val="en-GB"/>
        </w:rPr>
        <w:t>are of unknown aetiology and results from an interplay of environmental</w:t>
      </w:r>
      <w:r w:rsidR="00A464AA">
        <w:rPr>
          <w:rFonts w:ascii="Verdana" w:hAnsi="Verdana" w:cs="Calibri"/>
          <w:lang w:val="en-GB"/>
        </w:rPr>
        <w:t>, biological</w:t>
      </w:r>
      <w:r w:rsidR="008A3073">
        <w:rPr>
          <w:rFonts w:ascii="Verdana" w:hAnsi="Verdana" w:cs="Calibri"/>
          <w:lang w:val="en-GB"/>
        </w:rPr>
        <w:t>,</w:t>
      </w:r>
      <w:r w:rsidR="00A464AA">
        <w:rPr>
          <w:rFonts w:ascii="Verdana" w:hAnsi="Verdana" w:cs="Calibri"/>
          <w:lang w:val="en-GB"/>
        </w:rPr>
        <w:t xml:space="preserve"> and genetic influences. </w:t>
      </w:r>
      <w:r w:rsidR="008A3073">
        <w:rPr>
          <w:rFonts w:ascii="Verdana" w:hAnsi="Verdana" w:cs="Calibri"/>
          <w:lang w:val="en-GB"/>
        </w:rPr>
        <w:t xml:space="preserve">Lifestyle changes such as diet can act as modulators of PD risk, by influencing the gut microbiome and consequently alpha-synuclein aggregation in the enteric nervous system. </w:t>
      </w:r>
      <w:r w:rsidR="000D193C">
        <w:rPr>
          <w:rFonts w:ascii="Verdana" w:hAnsi="Verdana" w:cs="Calibri"/>
          <w:lang w:val="en-GB"/>
        </w:rPr>
        <w:t xml:space="preserve">To investigate the contribution of gastrointestinal imbalances in the development of PD, we combined a fibre deprived diet with exposure to the bacterial amyloid protein Curli, in a mouse model overexpressing the </w:t>
      </w:r>
      <w:r w:rsidR="000D193C" w:rsidRPr="004620AE">
        <w:rPr>
          <w:rFonts w:ascii="Verdana" w:hAnsi="Verdana" w:cs="Calibri"/>
          <w:i/>
          <w:iCs/>
          <w:lang w:val="en-GB"/>
        </w:rPr>
        <w:t>SNCA</w:t>
      </w:r>
      <w:r w:rsidR="000D193C">
        <w:rPr>
          <w:rFonts w:ascii="Verdana" w:hAnsi="Verdana" w:cs="Calibri"/>
          <w:lang w:val="en-GB"/>
        </w:rPr>
        <w:t xml:space="preserve"> gene.</w:t>
      </w:r>
    </w:p>
    <w:p w14:paraId="0575F888" w14:textId="5F1893BB" w:rsidR="00F8622E" w:rsidRDefault="0070437F" w:rsidP="00CA1456">
      <w:pPr>
        <w:autoSpaceDE w:val="0"/>
        <w:autoSpaceDN w:val="0"/>
        <w:adjustRightInd w:val="0"/>
        <w:spacing w:after="0" w:line="360" w:lineRule="auto"/>
        <w:jc w:val="both"/>
        <w:rPr>
          <w:rFonts w:ascii="Verdana" w:hAnsi="Verdana" w:cs="Calibri"/>
          <w:lang w:val="en-GB"/>
        </w:rPr>
      </w:pPr>
      <w:r>
        <w:rPr>
          <w:rFonts w:ascii="Verdana" w:hAnsi="Verdana" w:cs="Calibri"/>
          <w:lang w:val="en-GB"/>
        </w:rPr>
        <w:t>The work presented in this Chapter i</w:t>
      </w:r>
      <w:r w:rsidR="003944AF">
        <w:rPr>
          <w:rFonts w:ascii="Verdana" w:hAnsi="Verdana" w:cs="Calibri"/>
          <w:lang w:val="en-GB"/>
        </w:rPr>
        <w:t>s part of</w:t>
      </w:r>
      <w:r w:rsidR="00656622">
        <w:rPr>
          <w:rFonts w:ascii="Verdana" w:hAnsi="Verdana" w:cs="Calibri"/>
          <w:lang w:val="en-GB"/>
        </w:rPr>
        <w:t xml:space="preserve"> a study currently available as a pre-print on </w:t>
      </w:r>
      <w:proofErr w:type="spellStart"/>
      <w:r w:rsidR="00656622">
        <w:rPr>
          <w:rFonts w:ascii="Verdana" w:hAnsi="Verdana" w:cs="Calibri"/>
          <w:lang w:val="en-GB"/>
        </w:rPr>
        <w:t>biorxiv</w:t>
      </w:r>
      <w:proofErr w:type="spellEnd"/>
      <w:r w:rsidR="00656622">
        <w:rPr>
          <w:rFonts w:ascii="Verdana" w:hAnsi="Verdana" w:cs="Calibri"/>
          <w:lang w:val="en-GB"/>
        </w:rPr>
        <w:t xml:space="preserve"> under the title “</w:t>
      </w:r>
      <w:r w:rsidR="00C32FC6" w:rsidRPr="00C32FC6">
        <w:rPr>
          <w:rFonts w:ascii="Verdana" w:hAnsi="Verdana" w:cs="Calibri"/>
          <w:lang w:val="en-GB"/>
        </w:rPr>
        <w:t>Dietary fibre deprivation and bacterial curli exposure shift gut microbiome and exacerbate Parkinson’s disease-like pathologies in an alpha-synuclein-overexpressing mouse</w:t>
      </w:r>
      <w:proofErr w:type="gramStart"/>
      <w:r w:rsidR="00C32FC6">
        <w:rPr>
          <w:rFonts w:ascii="Verdana" w:hAnsi="Verdana" w:cs="Calibri"/>
          <w:lang w:val="en-GB"/>
        </w:rPr>
        <w:t>”,</w:t>
      </w:r>
      <w:r w:rsidR="00656622">
        <w:rPr>
          <w:rFonts w:ascii="Verdana" w:hAnsi="Verdana" w:cs="Calibri"/>
          <w:lang w:val="en-GB"/>
        </w:rPr>
        <w:t xml:space="preserve"> and</w:t>
      </w:r>
      <w:proofErr w:type="gramEnd"/>
      <w:r w:rsidR="00656622">
        <w:rPr>
          <w:rFonts w:ascii="Verdana" w:hAnsi="Verdana" w:cs="Calibri"/>
          <w:lang w:val="en-GB"/>
        </w:rPr>
        <w:t xml:space="preserve"> submitted to Cell Press</w:t>
      </w:r>
      <w:r w:rsidR="00773951">
        <w:rPr>
          <w:rFonts w:ascii="Verdana" w:hAnsi="Verdana" w:cs="Calibri"/>
          <w:lang w:val="en-GB"/>
        </w:rPr>
        <w:t xml:space="preserve"> Community Review</w:t>
      </w:r>
      <w:r w:rsidR="00656622">
        <w:rPr>
          <w:rFonts w:ascii="Verdana" w:hAnsi="Verdana" w:cs="Calibri"/>
          <w:lang w:val="en-GB"/>
        </w:rPr>
        <w:t xml:space="preserve"> under the title </w:t>
      </w:r>
      <w:r w:rsidR="00773951">
        <w:rPr>
          <w:rFonts w:ascii="Verdana" w:hAnsi="Verdana" w:cs="Calibri"/>
          <w:lang w:val="en-GB"/>
        </w:rPr>
        <w:t>“</w:t>
      </w:r>
      <w:r w:rsidR="00773951" w:rsidRPr="00773951">
        <w:rPr>
          <w:rFonts w:ascii="Verdana" w:hAnsi="Verdana" w:cs="Calibri"/>
          <w:lang w:val="en-GB"/>
        </w:rPr>
        <w:t xml:space="preserve">Pathogenic effects of </w:t>
      </w:r>
      <w:r w:rsidR="00A72DE9">
        <w:rPr>
          <w:rFonts w:ascii="Verdana" w:hAnsi="Verdana" w:cs="Calibri"/>
          <w:lang w:val="en-GB"/>
        </w:rPr>
        <w:t>fibre</w:t>
      </w:r>
      <w:r w:rsidR="00773951" w:rsidRPr="00773951">
        <w:rPr>
          <w:rFonts w:ascii="Verdana" w:hAnsi="Verdana" w:cs="Calibri"/>
          <w:lang w:val="en-GB"/>
        </w:rPr>
        <w:t xml:space="preserve"> deprivation and Curli in Parkinson’s disease</w:t>
      </w:r>
      <w:r w:rsidR="00773951">
        <w:rPr>
          <w:rFonts w:ascii="Verdana" w:hAnsi="Verdana" w:cs="Calibri"/>
          <w:lang w:val="en-GB"/>
        </w:rPr>
        <w:t>”.</w:t>
      </w:r>
      <w:r w:rsidR="00C427D3">
        <w:rPr>
          <w:rFonts w:ascii="Verdana" w:hAnsi="Verdana" w:cs="Calibri"/>
          <w:lang w:val="en-GB"/>
        </w:rPr>
        <w:t xml:space="preserve"> </w:t>
      </w:r>
      <w:r w:rsidR="00C61E9C">
        <w:rPr>
          <w:rFonts w:ascii="Verdana" w:hAnsi="Verdana" w:cs="Calibri"/>
          <w:lang w:val="en-GB"/>
        </w:rPr>
        <w:t xml:space="preserve">I was directly involved in mouse cohort management and genotyping, I participated in the behavioural testing of the mice both at baseline and after treatment, and I was responsible for the characterisation of murine </w:t>
      </w:r>
      <w:proofErr w:type="spellStart"/>
      <w:r w:rsidR="00C61E9C" w:rsidRPr="00C61E9C">
        <w:rPr>
          <w:rFonts w:ascii="Verdana" w:hAnsi="Verdana" w:cs="Calibri"/>
          <w:i/>
          <w:iCs/>
          <w:lang w:val="en-GB"/>
        </w:rPr>
        <w:t>Snca</w:t>
      </w:r>
      <w:proofErr w:type="spellEnd"/>
      <w:r w:rsidR="00C61E9C">
        <w:rPr>
          <w:rFonts w:ascii="Verdana" w:hAnsi="Verdana" w:cs="Calibri"/>
          <w:lang w:val="en-GB"/>
        </w:rPr>
        <w:t xml:space="preserve"> and transgenic </w:t>
      </w:r>
      <w:r w:rsidR="00C61E9C" w:rsidRPr="00C61E9C">
        <w:rPr>
          <w:rFonts w:ascii="Verdana" w:hAnsi="Verdana" w:cs="Calibri"/>
          <w:i/>
          <w:iCs/>
          <w:lang w:val="en-GB"/>
        </w:rPr>
        <w:t>SNCA</w:t>
      </w:r>
      <w:r w:rsidR="00C61E9C">
        <w:rPr>
          <w:rFonts w:ascii="Verdana" w:hAnsi="Verdana" w:cs="Calibri"/>
          <w:lang w:val="en-GB"/>
        </w:rPr>
        <w:t xml:space="preserve"> expression in the brain and gut of the mice at baseline via </w:t>
      </w:r>
      <w:r w:rsidR="00CA1456">
        <w:rPr>
          <w:rFonts w:ascii="Verdana" w:hAnsi="Verdana" w:cs="Calibri"/>
          <w:lang w:val="en-GB"/>
        </w:rPr>
        <w:t>RT-qPCR and Western Blot techniques</w:t>
      </w:r>
      <w:r w:rsidR="00F90D80">
        <w:rPr>
          <w:rFonts w:ascii="Verdana" w:hAnsi="Verdana" w:cs="Calibri"/>
          <w:lang w:val="en-GB"/>
        </w:rPr>
        <w:t>.</w:t>
      </w:r>
      <w:r w:rsidR="0078646E">
        <w:rPr>
          <w:rFonts w:ascii="Verdana" w:hAnsi="Verdana" w:cs="Calibri"/>
          <w:lang w:val="en-GB"/>
        </w:rPr>
        <w:t xml:space="preserve"> The Figures presented in this Chapter (2</w:t>
      </w:r>
      <w:r w:rsidR="00F51BCC">
        <w:rPr>
          <w:rFonts w:ascii="Verdana" w:hAnsi="Verdana" w:cs="Calibri"/>
          <w:lang w:val="en-GB"/>
        </w:rPr>
        <w:t>7</w:t>
      </w:r>
      <w:r w:rsidR="0078646E">
        <w:rPr>
          <w:rFonts w:ascii="Verdana" w:hAnsi="Verdana" w:cs="Calibri"/>
          <w:lang w:val="en-GB"/>
        </w:rPr>
        <w:t xml:space="preserve"> to </w:t>
      </w:r>
      <w:r w:rsidR="00B6177C">
        <w:rPr>
          <w:rFonts w:ascii="Verdana" w:hAnsi="Verdana" w:cs="Calibri"/>
          <w:lang w:val="en-GB"/>
        </w:rPr>
        <w:t>3</w:t>
      </w:r>
      <w:r w:rsidR="00F51BCC">
        <w:rPr>
          <w:rFonts w:ascii="Verdana" w:hAnsi="Verdana" w:cs="Calibri"/>
          <w:lang w:val="en-GB"/>
        </w:rPr>
        <w:t>1</w:t>
      </w:r>
      <w:r w:rsidR="0078646E">
        <w:rPr>
          <w:rFonts w:ascii="Verdana" w:hAnsi="Verdana" w:cs="Calibri"/>
          <w:lang w:val="en-GB"/>
        </w:rPr>
        <w:t xml:space="preserve">) </w:t>
      </w:r>
      <w:r w:rsidR="00310761">
        <w:rPr>
          <w:rFonts w:ascii="Verdana" w:hAnsi="Verdana" w:cs="Calibri"/>
          <w:lang w:val="en-GB"/>
        </w:rPr>
        <w:t xml:space="preserve">were generated by Kristopher Schmit and are presented such as in </w:t>
      </w:r>
      <w:r w:rsidR="007F1958">
        <w:rPr>
          <w:rFonts w:ascii="Verdana" w:hAnsi="Verdana" w:cs="Calibri"/>
          <w:lang w:val="en-GB"/>
        </w:rPr>
        <w:fldChar w:fldCharType="begin"/>
      </w:r>
      <w:r w:rsidR="007F1958">
        <w:rPr>
          <w:rFonts w:ascii="Verdana" w:hAnsi="Verdana" w:cs="Calibri"/>
          <w:lang w:val="en-GB"/>
        </w:rPr>
        <w:instrText xml:space="preserve"> ADDIN ZOTERO_ITEM CSL_CITATION {"citationID":"p87mGi9S","properties":{"formattedCitation":"(Schmit et al. 2022)","plainCitation":"(Schmit et al. 2022)","noteIndex":0},"citationItems":[{"id":1936,"uris":["http://zotero.org/users/9330673/items/JVNVDPTX"],"itemData":{"id":1936,"type":"report","abstract":"The microbiome-gut-brain axis has been proposed as a pathogenic path in Parkinson's disease (PD). Dietary driven dysbiosis and reduced gut barrier function could facilitate the interaction of toxic external or internal factors with the enteric nervous system, where PD could start. Amyloid bacterial protein such as curli can act as seed to corrupt enteric alpha-synuclein and lead to its aggregation. Misfolded alpha-synuclein can propagate to and throughout the brain. Here, we aimed at understanding if fibre deprivation and amyloidogenic protein curli could, individually or together, exacerbate the phenotype in both enteric and central nervous systems of a transgenic mouse overexpressing wild-type human alpha-synuclein. We analysed the gut microbiome, motor behaviour, gastrointestinal and brain pathologies in these mice. Our findings show that external interventions, akin to unhealthy life habits in humans, can exacerbate PD-like pathologies in mice. We believe that our results shed light on how lifestyle affects PD progression.","genre":"preprint","language":"en","license":"All rights reserved","note":"DOI: 10.1101/2022.03.21.485143","publisher":"Neuroscience","source":"DOI.org (Crossref)","title":"Dietary fibre deprivation and bacterial curli exposure shift gut microbiome and exacerbate Parkinson's disease-like pathologies in an alpha-synuclein-overexpressing mouse","URL":"http://biorxiv.org/lookup/doi/10.1101/2022.03.21.485143","author":[{"family":"Schmit","given":"Kristopher J"},{"family":"Sciortino","given":"Alessia"},{"family":"Aho","given":"Velma TE"},{"family":"Garcia","given":"Pierre"},{"family":"Pardo Rodriguez","given":"Beatriz"},{"family":"Thomas","given":"Melanie H"},{"family":"Gerardy","given":"Jean-Jacques"},{"family":"Halder","given":"Rashi"},{"family":"Cialini","given":"Camille"},{"family":"Heurtaux","given":"Tony"},{"family":"Bastero Acha","given":"Irati"},{"family":"Ostahi","given":"Irina"},{"family":"Martens","given":"Eric C"},{"family":"Mittelbronn","given":"Michel"},{"family":"Buttini","given":"Manuel"},{"family":"Wilmes","given":"Paul"}],"accessed":{"date-parts":[["2022",12,13]]},"issued":{"date-parts":[["2022",3,22]]}}}],"schema":"https://github.com/citation-style-language/schema/raw/master/csl-citation.json"} </w:instrText>
      </w:r>
      <w:r w:rsidR="007F1958">
        <w:rPr>
          <w:rFonts w:ascii="Verdana" w:hAnsi="Verdana" w:cs="Calibri"/>
          <w:lang w:val="en-GB"/>
        </w:rPr>
        <w:fldChar w:fldCharType="separate"/>
      </w:r>
      <w:r w:rsidR="007F1958" w:rsidRPr="007F1958">
        <w:rPr>
          <w:rFonts w:ascii="Verdana" w:hAnsi="Verdana"/>
        </w:rPr>
        <w:t>(Schmit et al. 2022)</w:t>
      </w:r>
      <w:r w:rsidR="007F1958">
        <w:rPr>
          <w:rFonts w:ascii="Verdana" w:hAnsi="Verdana" w:cs="Calibri"/>
          <w:lang w:val="en-GB"/>
        </w:rPr>
        <w:fldChar w:fldCharType="end"/>
      </w:r>
      <w:r w:rsidR="00A907D9">
        <w:rPr>
          <w:rFonts w:ascii="Verdana" w:hAnsi="Verdana" w:cs="Calibri"/>
          <w:lang w:val="en-GB"/>
        </w:rPr>
        <w:t>.</w:t>
      </w:r>
    </w:p>
    <w:p w14:paraId="72977241" w14:textId="77777777" w:rsidR="00D635AC" w:rsidRDefault="00D635AC">
      <w:pPr>
        <w:ind w:firstLine="0"/>
        <w:rPr>
          <w:rFonts w:ascii="Verdana" w:hAnsi="Verdana" w:cs="Calibri"/>
          <w:lang w:val="en-GB"/>
        </w:rPr>
      </w:pPr>
      <w:r>
        <w:rPr>
          <w:rFonts w:ascii="Verdana" w:hAnsi="Verdana" w:cs="Calibri"/>
          <w:lang w:val="en-GB"/>
        </w:rPr>
        <w:br w:type="page"/>
      </w:r>
    </w:p>
    <w:p w14:paraId="2274D073" w14:textId="312FB42C" w:rsidR="00273EC8" w:rsidRPr="00273EC8" w:rsidRDefault="009E5729" w:rsidP="009E5729">
      <w:pPr>
        <w:pStyle w:val="Heading2"/>
        <w:spacing w:line="360" w:lineRule="auto"/>
        <w:rPr>
          <w:lang w:val="en-GB"/>
        </w:rPr>
      </w:pPr>
      <w:bookmarkStart w:id="131" w:name="_Toc130223454"/>
      <w:r>
        <w:rPr>
          <w:lang w:val="en-GB"/>
        </w:rPr>
        <w:lastRenderedPageBreak/>
        <w:t>7.1</w:t>
      </w:r>
      <w:r>
        <w:rPr>
          <w:lang w:val="en-GB"/>
        </w:rPr>
        <w:tab/>
      </w:r>
      <w:r w:rsidR="001323A5" w:rsidRPr="00273EC8">
        <w:rPr>
          <w:lang w:val="en-GB"/>
        </w:rPr>
        <w:t xml:space="preserve"> </w:t>
      </w:r>
      <w:r w:rsidR="0045076D" w:rsidRPr="00273EC8">
        <w:rPr>
          <w:lang w:val="en-GB"/>
        </w:rPr>
        <w:t xml:space="preserve">Transgenic alpha-synuclein is overexpressed </w:t>
      </w:r>
      <w:r w:rsidR="00273EC8">
        <w:rPr>
          <w:lang w:val="en-GB"/>
        </w:rPr>
        <w:t>with regional variance in brain and gut</w:t>
      </w:r>
      <w:bookmarkEnd w:id="131"/>
    </w:p>
    <w:p w14:paraId="6560C81F" w14:textId="77777777" w:rsidR="00273EC8" w:rsidRDefault="00273EC8" w:rsidP="00273EC8">
      <w:pPr>
        <w:pStyle w:val="ListParagraph"/>
        <w:autoSpaceDE w:val="0"/>
        <w:autoSpaceDN w:val="0"/>
        <w:adjustRightInd w:val="0"/>
        <w:spacing w:after="0" w:line="360" w:lineRule="auto"/>
        <w:ind w:firstLine="0"/>
        <w:jc w:val="both"/>
        <w:rPr>
          <w:rFonts w:ascii="Verdana" w:hAnsi="Verdana" w:cs="Calibri"/>
          <w:b/>
          <w:bCs/>
          <w:color w:val="000000"/>
          <w:sz w:val="24"/>
          <w:szCs w:val="24"/>
          <w:lang w:val="en-GB"/>
        </w:rPr>
      </w:pPr>
    </w:p>
    <w:p w14:paraId="19650C5F" w14:textId="4B0F9969" w:rsidR="00066A95" w:rsidRDefault="00273EC8" w:rsidP="00066A95">
      <w:pPr>
        <w:spacing w:line="360" w:lineRule="auto"/>
        <w:jc w:val="both"/>
        <w:rPr>
          <w:rFonts w:ascii="Verdana" w:hAnsi="Verdana"/>
          <w:lang w:val="en-GB"/>
        </w:rPr>
      </w:pPr>
      <w:r>
        <w:rPr>
          <w:rFonts w:ascii="Verdana" w:hAnsi="Verdana"/>
          <w:lang w:val="en-GB"/>
        </w:rPr>
        <w:t>The expression levels of murine and transgenic alpha-synuclein were quantified</w:t>
      </w:r>
      <w:r w:rsidR="001C7A35">
        <w:rPr>
          <w:rFonts w:ascii="Verdana" w:hAnsi="Verdana"/>
          <w:lang w:val="en-GB"/>
        </w:rPr>
        <w:t xml:space="preserve"> in 9-months old male mice</w:t>
      </w:r>
      <w:r>
        <w:rPr>
          <w:rFonts w:ascii="Verdana" w:hAnsi="Verdana"/>
          <w:lang w:val="en-GB"/>
        </w:rPr>
        <w:t xml:space="preserve"> at the RNA level by RT-qPCR and at the protein level via Western Blot, as described in Material and Methods. </w:t>
      </w:r>
      <w:r w:rsidR="00886E57">
        <w:rPr>
          <w:rFonts w:ascii="Verdana" w:hAnsi="Verdana"/>
          <w:lang w:val="en-GB"/>
        </w:rPr>
        <w:t>In the brain, e</w:t>
      </w:r>
      <w:r w:rsidR="008B7116">
        <w:rPr>
          <w:rFonts w:ascii="Verdana" w:hAnsi="Verdana"/>
          <w:lang w:val="en-GB"/>
        </w:rPr>
        <w:t xml:space="preserve">ndogenous synuclein expression </w:t>
      </w:r>
      <w:r w:rsidR="001C7A35">
        <w:rPr>
          <w:rFonts w:ascii="Verdana" w:hAnsi="Verdana"/>
          <w:lang w:val="en-GB"/>
        </w:rPr>
        <w:t xml:space="preserve">did not differ between WT and </w:t>
      </w:r>
      <w:r w:rsidR="00D616E5">
        <w:rPr>
          <w:rFonts w:ascii="Verdana" w:hAnsi="Verdana"/>
          <w:lang w:val="en-GB"/>
        </w:rPr>
        <w:t xml:space="preserve">transgenic (TG) animals both </w:t>
      </w:r>
      <w:r w:rsidR="00886E57">
        <w:rPr>
          <w:rFonts w:ascii="Verdana" w:hAnsi="Verdana"/>
          <w:lang w:val="en-GB"/>
        </w:rPr>
        <w:t>in the midbrain and in the striatum</w:t>
      </w:r>
      <w:r w:rsidR="000778C7">
        <w:rPr>
          <w:rFonts w:ascii="Verdana" w:hAnsi="Verdana"/>
          <w:lang w:val="en-GB"/>
        </w:rPr>
        <w:t xml:space="preserve">, but the expression was significantly lower in the midbrain (p&lt; 0.0001) (Figure </w:t>
      </w:r>
      <w:r w:rsidR="00F90D80">
        <w:rPr>
          <w:rFonts w:ascii="Verdana" w:hAnsi="Verdana"/>
          <w:lang w:val="en-GB"/>
        </w:rPr>
        <w:t>2</w:t>
      </w:r>
      <w:r w:rsidR="00BD623E">
        <w:rPr>
          <w:rFonts w:ascii="Verdana" w:hAnsi="Verdana"/>
          <w:lang w:val="en-GB"/>
        </w:rPr>
        <w:t>7</w:t>
      </w:r>
      <w:r w:rsidR="000778C7">
        <w:rPr>
          <w:rFonts w:ascii="Verdana" w:hAnsi="Verdana"/>
          <w:lang w:val="en-GB"/>
        </w:rPr>
        <w:t xml:space="preserve">A). As expected, the human transgenic alpha-synuclein was expressed only in TG animals, and the levels of expression did not differ between the </w:t>
      </w:r>
      <w:proofErr w:type="gramStart"/>
      <w:r w:rsidR="000778C7">
        <w:rPr>
          <w:rFonts w:ascii="Verdana" w:hAnsi="Verdana"/>
          <w:lang w:val="en-GB"/>
        </w:rPr>
        <w:t>two brain</w:t>
      </w:r>
      <w:proofErr w:type="gramEnd"/>
      <w:r w:rsidR="000778C7">
        <w:rPr>
          <w:rFonts w:ascii="Verdana" w:hAnsi="Verdana"/>
          <w:lang w:val="en-GB"/>
        </w:rPr>
        <w:t xml:space="preserve"> region investigated</w:t>
      </w:r>
      <w:r w:rsidR="003811FE">
        <w:rPr>
          <w:rFonts w:ascii="Verdana" w:hAnsi="Verdana"/>
          <w:lang w:val="en-GB"/>
        </w:rPr>
        <w:t xml:space="preserve"> (Figure </w:t>
      </w:r>
      <w:r w:rsidR="00F90D80">
        <w:rPr>
          <w:rFonts w:ascii="Verdana" w:hAnsi="Verdana"/>
          <w:lang w:val="en-GB"/>
        </w:rPr>
        <w:t>2</w:t>
      </w:r>
      <w:r w:rsidR="00BD623E">
        <w:rPr>
          <w:rFonts w:ascii="Verdana" w:hAnsi="Verdana"/>
          <w:lang w:val="en-GB"/>
        </w:rPr>
        <w:t>7</w:t>
      </w:r>
      <w:r w:rsidR="003811FE">
        <w:rPr>
          <w:rFonts w:ascii="Verdana" w:hAnsi="Verdana"/>
          <w:lang w:val="en-GB"/>
        </w:rPr>
        <w:t>B)</w:t>
      </w:r>
      <w:r w:rsidR="000778C7">
        <w:rPr>
          <w:rFonts w:ascii="Verdana" w:hAnsi="Verdana"/>
          <w:lang w:val="en-GB"/>
        </w:rPr>
        <w:t>.</w:t>
      </w:r>
      <w:r w:rsidR="003811FE">
        <w:rPr>
          <w:rFonts w:ascii="Verdana" w:hAnsi="Verdana"/>
          <w:lang w:val="en-GB"/>
        </w:rPr>
        <w:t xml:space="preserve"> These results were confirmed by protein level quantification, using a </w:t>
      </w:r>
      <w:r w:rsidR="00934432">
        <w:rPr>
          <w:rFonts w:ascii="Verdana" w:hAnsi="Verdana"/>
          <w:lang w:val="en-GB"/>
        </w:rPr>
        <w:t>pan-αSyn antibody</w:t>
      </w:r>
      <w:r w:rsidR="00191020">
        <w:rPr>
          <w:rFonts w:ascii="Verdana" w:hAnsi="Verdana"/>
          <w:lang w:val="en-GB"/>
        </w:rPr>
        <w:t xml:space="preserve"> (Figure </w:t>
      </w:r>
      <w:r w:rsidR="00F90D80">
        <w:rPr>
          <w:rFonts w:ascii="Verdana" w:hAnsi="Verdana"/>
          <w:lang w:val="en-GB"/>
        </w:rPr>
        <w:t>2</w:t>
      </w:r>
      <w:r w:rsidR="00BD623E">
        <w:rPr>
          <w:rFonts w:ascii="Verdana" w:hAnsi="Verdana"/>
          <w:lang w:val="en-GB"/>
        </w:rPr>
        <w:t>7</w:t>
      </w:r>
      <w:r w:rsidR="00191020">
        <w:rPr>
          <w:rFonts w:ascii="Verdana" w:hAnsi="Verdana"/>
          <w:lang w:val="en-GB"/>
        </w:rPr>
        <w:t xml:space="preserve">B). TG mice overexpressed alpha-synuclein </w:t>
      </w:r>
      <w:r w:rsidR="000E2E8E">
        <w:rPr>
          <w:rFonts w:ascii="Verdana" w:hAnsi="Verdana"/>
          <w:lang w:val="en-GB"/>
        </w:rPr>
        <w:t xml:space="preserve">with a 2.91-fold increase in the midbrain (p= 6.67E-4), and by a 6.67-fold increase in the striatum (p= </w:t>
      </w:r>
      <w:r w:rsidR="007507B6">
        <w:rPr>
          <w:rFonts w:ascii="Verdana" w:hAnsi="Verdana"/>
          <w:lang w:val="en-GB"/>
        </w:rPr>
        <w:t xml:space="preserve">6.67E-4). Furthermore, alpha-synuclein </w:t>
      </w:r>
      <w:r w:rsidR="00066A95">
        <w:rPr>
          <w:rFonts w:ascii="Verdana" w:hAnsi="Verdana"/>
          <w:lang w:val="en-GB"/>
        </w:rPr>
        <w:t>expression was significantly higher in the striatum</w:t>
      </w:r>
      <w:r w:rsidR="00C468F3">
        <w:rPr>
          <w:rFonts w:ascii="Verdana" w:hAnsi="Verdana"/>
          <w:lang w:val="en-GB"/>
        </w:rPr>
        <w:t>, reflecting the difference in alpha-synuclein expression already detected by qPCR.</w:t>
      </w:r>
    </w:p>
    <w:p w14:paraId="7E295BF4" w14:textId="15B4A67C" w:rsidR="00C468F3" w:rsidRDefault="002712D5" w:rsidP="00066A95">
      <w:pPr>
        <w:spacing w:line="360" w:lineRule="auto"/>
        <w:jc w:val="both"/>
        <w:rPr>
          <w:rFonts w:ascii="Verdana" w:hAnsi="Verdana"/>
          <w:lang w:val="en-GB"/>
        </w:rPr>
      </w:pPr>
      <w:r>
        <w:rPr>
          <w:rFonts w:ascii="Verdana" w:hAnsi="Verdana"/>
          <w:lang w:val="en-GB"/>
        </w:rPr>
        <w:t xml:space="preserve">Alpha-synuclein expression was analysed in both the proximal and distal tract of </w:t>
      </w:r>
      <w:r w:rsidR="008263D5">
        <w:rPr>
          <w:rFonts w:ascii="Verdana" w:hAnsi="Verdana"/>
          <w:lang w:val="en-GB"/>
        </w:rPr>
        <w:t>the colon.</w:t>
      </w:r>
      <w:r w:rsidR="00243892">
        <w:rPr>
          <w:rFonts w:ascii="Verdana" w:hAnsi="Verdana"/>
          <w:lang w:val="en-GB"/>
        </w:rPr>
        <w:t xml:space="preserve"> Alpha-synuclein expression was detected</w:t>
      </w:r>
      <w:r w:rsidR="00DE7AEC">
        <w:rPr>
          <w:rFonts w:ascii="Verdana" w:hAnsi="Verdana"/>
          <w:lang w:val="en-GB"/>
        </w:rPr>
        <w:t xml:space="preserve"> by RT-qPCR</w:t>
      </w:r>
      <w:r w:rsidR="00243892">
        <w:rPr>
          <w:rFonts w:ascii="Verdana" w:hAnsi="Verdana"/>
          <w:lang w:val="en-GB"/>
        </w:rPr>
        <w:t>, however at very low levels compared to the brain. This is not surprising, given that</w:t>
      </w:r>
      <w:r w:rsidR="00DE7AEC">
        <w:rPr>
          <w:rFonts w:ascii="Verdana" w:hAnsi="Verdana"/>
          <w:lang w:val="en-GB"/>
        </w:rPr>
        <w:t xml:space="preserve"> neurons constitute</w:t>
      </w:r>
      <w:r w:rsidR="00243892">
        <w:rPr>
          <w:rFonts w:ascii="Verdana" w:hAnsi="Verdana"/>
          <w:lang w:val="en-GB"/>
        </w:rPr>
        <w:t xml:space="preserve"> only 1% of the </w:t>
      </w:r>
      <w:r w:rsidR="00DE7AEC">
        <w:rPr>
          <w:rFonts w:ascii="Verdana" w:hAnsi="Verdana"/>
          <w:lang w:val="en-GB"/>
        </w:rPr>
        <w:t xml:space="preserve">cells in the colon. Transgenic </w:t>
      </w:r>
      <w:r w:rsidR="00DE7AEC" w:rsidRPr="00300F9E">
        <w:rPr>
          <w:rFonts w:ascii="Verdana" w:hAnsi="Verdana"/>
          <w:i/>
          <w:iCs/>
          <w:lang w:val="en-GB"/>
        </w:rPr>
        <w:t>SNCA</w:t>
      </w:r>
      <w:r w:rsidR="007E01D4">
        <w:rPr>
          <w:rFonts w:ascii="Verdana" w:hAnsi="Verdana"/>
          <w:lang w:val="en-GB"/>
        </w:rPr>
        <w:t xml:space="preserve"> expression was limited to TG animals</w:t>
      </w:r>
      <w:r w:rsidR="00C22361">
        <w:rPr>
          <w:rFonts w:ascii="Verdana" w:hAnsi="Verdana"/>
          <w:lang w:val="en-GB"/>
        </w:rPr>
        <w:t xml:space="preserve"> without regional differences</w:t>
      </w:r>
      <w:r w:rsidR="007E01D4">
        <w:rPr>
          <w:rFonts w:ascii="Verdana" w:hAnsi="Verdana"/>
          <w:lang w:val="en-GB"/>
        </w:rPr>
        <w:t xml:space="preserve">, </w:t>
      </w:r>
      <w:r w:rsidR="00945831">
        <w:rPr>
          <w:rFonts w:ascii="Verdana" w:hAnsi="Verdana"/>
          <w:lang w:val="en-GB"/>
        </w:rPr>
        <w:t xml:space="preserve">while endogenous </w:t>
      </w:r>
      <w:proofErr w:type="spellStart"/>
      <w:r w:rsidR="00945831" w:rsidRPr="00945831">
        <w:rPr>
          <w:rFonts w:ascii="Verdana" w:hAnsi="Verdana"/>
          <w:i/>
          <w:iCs/>
          <w:lang w:val="en-GB"/>
        </w:rPr>
        <w:t>Snca</w:t>
      </w:r>
      <w:proofErr w:type="spellEnd"/>
      <w:r w:rsidR="007E01D4">
        <w:rPr>
          <w:rFonts w:ascii="Verdana" w:hAnsi="Verdana"/>
          <w:lang w:val="en-GB"/>
        </w:rPr>
        <w:t xml:space="preserve"> </w:t>
      </w:r>
      <w:r w:rsidR="00945831">
        <w:rPr>
          <w:rFonts w:ascii="Verdana" w:hAnsi="Verdana"/>
          <w:lang w:val="en-GB"/>
        </w:rPr>
        <w:t xml:space="preserve">was expressed at </w:t>
      </w:r>
      <w:r w:rsidR="007E01D4">
        <w:rPr>
          <w:rFonts w:ascii="Verdana" w:hAnsi="Verdana"/>
          <w:lang w:val="en-GB"/>
        </w:rPr>
        <w:t>higher</w:t>
      </w:r>
      <w:r w:rsidR="000D1C64">
        <w:rPr>
          <w:rFonts w:ascii="Verdana" w:hAnsi="Verdana"/>
          <w:lang w:val="en-GB"/>
        </w:rPr>
        <w:t xml:space="preserve"> levels</w:t>
      </w:r>
      <w:r w:rsidR="007E01D4">
        <w:rPr>
          <w:rFonts w:ascii="Verdana" w:hAnsi="Verdana"/>
          <w:lang w:val="en-GB"/>
        </w:rPr>
        <w:t xml:space="preserve"> in proximal compared to distal colon</w:t>
      </w:r>
      <w:r w:rsidR="00C22361">
        <w:rPr>
          <w:rFonts w:ascii="Verdana" w:hAnsi="Verdana"/>
          <w:lang w:val="en-GB"/>
        </w:rPr>
        <w:t xml:space="preserve"> (Figure </w:t>
      </w:r>
      <w:r w:rsidR="00F90D80">
        <w:rPr>
          <w:rFonts w:ascii="Verdana" w:hAnsi="Verdana"/>
          <w:lang w:val="en-GB"/>
        </w:rPr>
        <w:t>2</w:t>
      </w:r>
      <w:r w:rsidR="00BD623E">
        <w:rPr>
          <w:rFonts w:ascii="Verdana" w:hAnsi="Verdana"/>
          <w:lang w:val="en-GB"/>
        </w:rPr>
        <w:t>7</w:t>
      </w:r>
      <w:r w:rsidR="00C22361">
        <w:rPr>
          <w:rFonts w:ascii="Verdana" w:hAnsi="Verdana"/>
          <w:lang w:val="en-GB"/>
        </w:rPr>
        <w:t>C)</w:t>
      </w:r>
      <w:r w:rsidR="007E01D4">
        <w:rPr>
          <w:rFonts w:ascii="Verdana" w:hAnsi="Verdana"/>
          <w:lang w:val="en-GB"/>
        </w:rPr>
        <w:t>.</w:t>
      </w:r>
      <w:r w:rsidR="00E52DC9">
        <w:rPr>
          <w:rFonts w:ascii="Verdana" w:hAnsi="Verdana"/>
          <w:lang w:val="en-GB"/>
        </w:rPr>
        <w:t xml:space="preserve"> Given the very low levels of synuclein expression in the colon, quantification of protein level through western blot was not possible. Nevertheless, qualitative staining for both pan-αSyn and </w:t>
      </w:r>
      <w:r w:rsidR="00300F9E">
        <w:rPr>
          <w:rFonts w:ascii="Verdana" w:hAnsi="Verdana"/>
          <w:lang w:val="en-GB"/>
        </w:rPr>
        <w:t>human alpha-synuclein</w:t>
      </w:r>
      <w:r w:rsidR="00E52DC9">
        <w:rPr>
          <w:rFonts w:ascii="Verdana" w:hAnsi="Verdana"/>
          <w:lang w:val="en-GB"/>
        </w:rPr>
        <w:t xml:space="preserve"> </w:t>
      </w:r>
      <w:r w:rsidR="00632F43">
        <w:rPr>
          <w:rFonts w:ascii="Verdana" w:hAnsi="Verdana"/>
          <w:lang w:val="en-GB"/>
        </w:rPr>
        <w:t>in the gut confirmed synuclein expression</w:t>
      </w:r>
      <w:r w:rsidR="00061148">
        <w:rPr>
          <w:rFonts w:ascii="Verdana" w:hAnsi="Verdana"/>
          <w:lang w:val="en-GB"/>
        </w:rPr>
        <w:t xml:space="preserve"> in </w:t>
      </w:r>
      <w:r w:rsidR="001636D9">
        <w:rPr>
          <w:rFonts w:ascii="Verdana" w:hAnsi="Verdana"/>
          <w:lang w:val="en-GB"/>
        </w:rPr>
        <w:t xml:space="preserve">enteric neurons </w:t>
      </w:r>
      <w:r w:rsidR="00632F43">
        <w:rPr>
          <w:rFonts w:ascii="Verdana" w:hAnsi="Verdana"/>
          <w:lang w:val="en-GB"/>
        </w:rPr>
        <w:t xml:space="preserve">(Figure </w:t>
      </w:r>
      <w:r w:rsidR="00F90D80">
        <w:rPr>
          <w:rFonts w:ascii="Verdana" w:hAnsi="Verdana"/>
          <w:lang w:val="en-GB"/>
        </w:rPr>
        <w:t>2</w:t>
      </w:r>
      <w:r w:rsidR="00BD623E">
        <w:rPr>
          <w:rFonts w:ascii="Verdana" w:hAnsi="Verdana"/>
          <w:lang w:val="en-GB"/>
        </w:rPr>
        <w:t>7</w:t>
      </w:r>
      <w:r w:rsidR="00632F43">
        <w:rPr>
          <w:rFonts w:ascii="Verdana" w:hAnsi="Verdana"/>
          <w:lang w:val="en-GB"/>
        </w:rPr>
        <w:t>D).</w:t>
      </w:r>
    </w:p>
    <w:p w14:paraId="10E8A1A0" w14:textId="478D28A7" w:rsidR="00214E2D" w:rsidRDefault="00214E2D">
      <w:pPr>
        <w:ind w:firstLine="0"/>
        <w:rPr>
          <w:rFonts w:ascii="Verdana" w:hAnsi="Verdana"/>
          <w:lang w:val="en-GB"/>
        </w:rPr>
      </w:pPr>
      <w:r>
        <w:rPr>
          <w:rFonts w:ascii="Verdana" w:hAnsi="Verdana"/>
          <w:lang w:val="en-GB"/>
        </w:rPr>
        <w:br w:type="page"/>
      </w:r>
    </w:p>
    <w:p w14:paraId="3AA22CD5" w14:textId="04988527" w:rsidR="00214E2D" w:rsidRPr="00273EC8" w:rsidRDefault="00214E2D" w:rsidP="009E5729">
      <w:pPr>
        <w:pStyle w:val="Heading2"/>
        <w:spacing w:line="360" w:lineRule="auto"/>
        <w:rPr>
          <w:lang w:val="en-GB"/>
        </w:rPr>
      </w:pPr>
      <w:r w:rsidRPr="00273EC8">
        <w:rPr>
          <w:lang w:val="en-GB"/>
        </w:rPr>
        <w:lastRenderedPageBreak/>
        <w:t xml:space="preserve"> </w:t>
      </w:r>
      <w:bookmarkStart w:id="132" w:name="_Toc130223455"/>
      <w:r w:rsidR="009E5729">
        <w:rPr>
          <w:lang w:val="en-GB"/>
        </w:rPr>
        <w:t>7.2</w:t>
      </w:r>
      <w:r w:rsidR="009E5729">
        <w:rPr>
          <w:lang w:val="en-GB"/>
        </w:rPr>
        <w:tab/>
      </w:r>
      <w:r w:rsidRPr="00273EC8">
        <w:rPr>
          <w:lang w:val="en-GB"/>
        </w:rPr>
        <w:t xml:space="preserve"> Transgenic </w:t>
      </w:r>
      <w:r w:rsidR="00F53E05">
        <w:rPr>
          <w:lang w:val="en-GB"/>
        </w:rPr>
        <w:t>Thy1-Syn14 mice present</w:t>
      </w:r>
      <w:r w:rsidR="00E50694">
        <w:rPr>
          <w:lang w:val="en-GB"/>
        </w:rPr>
        <w:t xml:space="preserve"> age-dependent</w:t>
      </w:r>
      <w:r w:rsidR="00F53E05">
        <w:rPr>
          <w:lang w:val="en-GB"/>
        </w:rPr>
        <w:t xml:space="preserve"> motor d</w:t>
      </w:r>
      <w:r w:rsidR="00E50694">
        <w:rPr>
          <w:lang w:val="en-GB"/>
        </w:rPr>
        <w:t>ysfunction</w:t>
      </w:r>
      <w:bookmarkEnd w:id="132"/>
    </w:p>
    <w:p w14:paraId="40B82FDF" w14:textId="7A02C0E4" w:rsidR="00371CA3" w:rsidRDefault="00300F64" w:rsidP="006462BA">
      <w:pPr>
        <w:spacing w:line="360" w:lineRule="auto"/>
        <w:jc w:val="both"/>
        <w:rPr>
          <w:rFonts w:ascii="Verdana" w:hAnsi="Verdana"/>
          <w:lang w:val="en-GB"/>
        </w:rPr>
      </w:pPr>
      <w:r>
        <w:rPr>
          <w:rFonts w:ascii="Verdana" w:hAnsi="Verdana"/>
          <w:lang w:val="en-GB"/>
        </w:rPr>
        <w:t>Motor performance of TG mice and their WT littermate was assessed using the</w:t>
      </w:r>
      <w:r w:rsidR="00B54DBD">
        <w:rPr>
          <w:rFonts w:ascii="Verdana" w:hAnsi="Verdana"/>
          <w:lang w:val="en-GB"/>
        </w:rPr>
        <w:t xml:space="preserve"> inverted gri</w:t>
      </w:r>
      <w:r w:rsidR="00D17DFF">
        <w:rPr>
          <w:rFonts w:ascii="Verdana" w:hAnsi="Verdana"/>
          <w:lang w:val="en-GB"/>
        </w:rPr>
        <w:t>d and</w:t>
      </w:r>
      <w:r w:rsidR="00B54DBD">
        <w:rPr>
          <w:rFonts w:ascii="Verdana" w:hAnsi="Verdana"/>
          <w:lang w:val="en-GB"/>
        </w:rPr>
        <w:t xml:space="preserve"> adhesive removal tests, and clasping score.</w:t>
      </w:r>
      <w:r w:rsidR="007E2AFB">
        <w:rPr>
          <w:rFonts w:ascii="Verdana" w:hAnsi="Verdana"/>
          <w:lang w:val="en-GB"/>
        </w:rPr>
        <w:t xml:space="preserve"> </w:t>
      </w:r>
      <w:r w:rsidR="00B54DBD">
        <w:rPr>
          <w:rFonts w:ascii="Verdana" w:hAnsi="Verdana"/>
          <w:lang w:val="en-GB"/>
        </w:rPr>
        <w:t xml:space="preserve">The inverted grid test </w:t>
      </w:r>
      <w:r w:rsidR="00706629">
        <w:rPr>
          <w:rFonts w:ascii="Verdana" w:hAnsi="Verdana"/>
          <w:lang w:val="en-GB"/>
        </w:rPr>
        <w:t>allows to evaluate grip strength, a parameter correlating with striatal dysfunction.</w:t>
      </w:r>
      <w:r w:rsidR="00571EE2">
        <w:rPr>
          <w:rFonts w:ascii="Verdana" w:hAnsi="Verdana"/>
          <w:lang w:val="en-GB"/>
        </w:rPr>
        <w:t xml:space="preserve"> </w:t>
      </w:r>
      <w:r w:rsidR="00D32510">
        <w:rPr>
          <w:rFonts w:ascii="Verdana" w:hAnsi="Verdana"/>
          <w:lang w:val="en-GB"/>
        </w:rPr>
        <w:t xml:space="preserve">TG mice showed progressive reduction in the hanging time with age, while the performance of WT mice did not change (Figure </w:t>
      </w:r>
      <w:r w:rsidR="00F90D80">
        <w:rPr>
          <w:rFonts w:ascii="Verdana" w:hAnsi="Verdana"/>
          <w:lang w:val="en-GB"/>
        </w:rPr>
        <w:t>2</w:t>
      </w:r>
      <w:r w:rsidR="00BD623E">
        <w:rPr>
          <w:rFonts w:ascii="Verdana" w:hAnsi="Verdana"/>
          <w:lang w:val="en-GB"/>
        </w:rPr>
        <w:t>7</w:t>
      </w:r>
      <w:r w:rsidR="00D32510">
        <w:rPr>
          <w:rFonts w:ascii="Verdana" w:hAnsi="Verdana"/>
          <w:lang w:val="en-GB"/>
        </w:rPr>
        <w:t>E).</w:t>
      </w:r>
      <w:r w:rsidR="007A70E8">
        <w:rPr>
          <w:rFonts w:ascii="Verdana" w:hAnsi="Verdana"/>
          <w:lang w:val="en-GB"/>
        </w:rPr>
        <w:t xml:space="preserve"> The age-dependent decline in motor function of TG mice was confirmed by the hindlimb clasping score; once again, no differences were detected for WT mice (Figure </w:t>
      </w:r>
      <w:r w:rsidR="00F90D80">
        <w:rPr>
          <w:rFonts w:ascii="Verdana" w:hAnsi="Verdana"/>
          <w:lang w:val="en-GB"/>
        </w:rPr>
        <w:t>2</w:t>
      </w:r>
      <w:r w:rsidR="00BD623E">
        <w:rPr>
          <w:rFonts w:ascii="Verdana" w:hAnsi="Verdana"/>
          <w:lang w:val="en-GB"/>
        </w:rPr>
        <w:t>7</w:t>
      </w:r>
      <w:r w:rsidR="007A70E8">
        <w:rPr>
          <w:rFonts w:ascii="Verdana" w:hAnsi="Verdana"/>
          <w:lang w:val="en-GB"/>
        </w:rPr>
        <w:t>F).</w:t>
      </w:r>
      <w:r w:rsidR="007E2AFB">
        <w:rPr>
          <w:rFonts w:ascii="Verdana" w:hAnsi="Verdana"/>
          <w:lang w:val="en-GB"/>
        </w:rPr>
        <w:t xml:space="preserve"> </w:t>
      </w:r>
      <w:r w:rsidR="00371CA3">
        <w:rPr>
          <w:rFonts w:ascii="Verdana" w:hAnsi="Verdana"/>
          <w:lang w:val="en-GB"/>
        </w:rPr>
        <w:t>Sensory-motor function was evaluated with the adhesive removal test.</w:t>
      </w:r>
      <w:r w:rsidR="00351240">
        <w:rPr>
          <w:rFonts w:ascii="Verdana" w:hAnsi="Verdana"/>
          <w:lang w:val="en-GB"/>
        </w:rPr>
        <w:t xml:space="preserve"> Motor deficits started to appear at 9-months of age</w:t>
      </w:r>
      <w:r w:rsidR="0057763D">
        <w:rPr>
          <w:rFonts w:ascii="Verdana" w:hAnsi="Verdana"/>
          <w:lang w:val="en-GB"/>
        </w:rPr>
        <w:t xml:space="preserve"> </w:t>
      </w:r>
      <w:r w:rsidR="007E2AFB">
        <w:rPr>
          <w:rFonts w:ascii="Verdana" w:hAnsi="Verdana"/>
          <w:lang w:val="en-GB"/>
        </w:rPr>
        <w:t>as visualized by a delay in both time of</w:t>
      </w:r>
      <w:r w:rsidR="0057763D">
        <w:rPr>
          <w:rFonts w:ascii="Verdana" w:hAnsi="Verdana"/>
          <w:lang w:val="en-GB"/>
        </w:rPr>
        <w:t xml:space="preserve"> first touch</w:t>
      </w:r>
      <w:r w:rsidR="00ED7529">
        <w:rPr>
          <w:rFonts w:ascii="Verdana" w:hAnsi="Verdana"/>
          <w:lang w:val="en-GB"/>
        </w:rPr>
        <w:t xml:space="preserve"> (Figure </w:t>
      </w:r>
      <w:r w:rsidR="00F90D80">
        <w:rPr>
          <w:rFonts w:ascii="Verdana" w:hAnsi="Verdana"/>
          <w:lang w:val="en-GB"/>
        </w:rPr>
        <w:t>2</w:t>
      </w:r>
      <w:r w:rsidR="00BD623E">
        <w:rPr>
          <w:rFonts w:ascii="Verdana" w:hAnsi="Verdana"/>
          <w:lang w:val="en-GB"/>
        </w:rPr>
        <w:t>7</w:t>
      </w:r>
      <w:r w:rsidR="00ED7529">
        <w:rPr>
          <w:rFonts w:ascii="Verdana" w:hAnsi="Verdana"/>
          <w:lang w:val="en-GB"/>
        </w:rPr>
        <w:t>G, left)</w:t>
      </w:r>
      <w:r w:rsidR="007E2AFB">
        <w:rPr>
          <w:rFonts w:ascii="Verdana" w:hAnsi="Verdana"/>
          <w:lang w:val="en-GB"/>
        </w:rPr>
        <w:t xml:space="preserve"> and </w:t>
      </w:r>
      <w:r w:rsidR="00ED7529">
        <w:rPr>
          <w:rFonts w:ascii="Verdana" w:hAnsi="Verdana"/>
          <w:lang w:val="en-GB"/>
        </w:rPr>
        <w:t xml:space="preserve">time at removal (Figure </w:t>
      </w:r>
      <w:r w:rsidR="00F90D80">
        <w:rPr>
          <w:rFonts w:ascii="Verdana" w:hAnsi="Verdana"/>
          <w:lang w:val="en-GB"/>
        </w:rPr>
        <w:t>2</w:t>
      </w:r>
      <w:r w:rsidR="00BD623E">
        <w:rPr>
          <w:rFonts w:ascii="Verdana" w:hAnsi="Verdana"/>
          <w:lang w:val="en-GB"/>
        </w:rPr>
        <w:t>7</w:t>
      </w:r>
      <w:r w:rsidR="00ED7529">
        <w:rPr>
          <w:rFonts w:ascii="Verdana" w:hAnsi="Verdana"/>
          <w:lang w:val="en-GB"/>
        </w:rPr>
        <w:t>G, right).</w:t>
      </w:r>
      <w:r w:rsidR="007E2AFB">
        <w:rPr>
          <w:rFonts w:ascii="Verdana" w:hAnsi="Verdana"/>
          <w:lang w:val="en-GB"/>
        </w:rPr>
        <w:t xml:space="preserve"> </w:t>
      </w:r>
      <w:r w:rsidR="00BC077B">
        <w:rPr>
          <w:rFonts w:ascii="Verdana" w:hAnsi="Verdana"/>
          <w:lang w:val="en-GB"/>
        </w:rPr>
        <w:t>Overall,</w:t>
      </w:r>
      <w:r w:rsidR="00F71DD9">
        <w:rPr>
          <w:rFonts w:ascii="Verdana" w:hAnsi="Verdana"/>
          <w:lang w:val="en-GB"/>
        </w:rPr>
        <w:t xml:space="preserve"> the performance of male TG mice appeared to be </w:t>
      </w:r>
      <w:proofErr w:type="gramStart"/>
      <w:r w:rsidR="00F71DD9">
        <w:rPr>
          <w:rFonts w:ascii="Verdana" w:hAnsi="Verdana"/>
          <w:lang w:val="en-GB"/>
        </w:rPr>
        <w:t>similar to</w:t>
      </w:r>
      <w:proofErr w:type="gramEnd"/>
      <w:r w:rsidR="00F71DD9">
        <w:rPr>
          <w:rFonts w:ascii="Verdana" w:hAnsi="Verdana"/>
          <w:lang w:val="en-GB"/>
        </w:rPr>
        <w:t xml:space="preserve"> that of female mice previously discussed in Chapter 6.2.</w:t>
      </w:r>
      <w:r w:rsidR="003461D5">
        <w:rPr>
          <w:rFonts w:ascii="Verdana" w:hAnsi="Verdana"/>
          <w:lang w:val="en-GB"/>
        </w:rPr>
        <w:t xml:space="preserve"> </w:t>
      </w:r>
      <w:r w:rsidR="0088399E">
        <w:rPr>
          <w:rFonts w:ascii="Verdana" w:hAnsi="Verdana"/>
          <w:lang w:val="en-GB"/>
        </w:rPr>
        <w:t xml:space="preserve">In female Thy1-Syn14 mice, we </w:t>
      </w:r>
      <w:r w:rsidR="00D16A85">
        <w:rPr>
          <w:rFonts w:ascii="Verdana" w:hAnsi="Verdana"/>
          <w:lang w:val="en-GB"/>
        </w:rPr>
        <w:t>did</w:t>
      </w:r>
      <w:r w:rsidR="0088399E">
        <w:rPr>
          <w:rFonts w:ascii="Verdana" w:hAnsi="Verdana"/>
          <w:lang w:val="en-GB"/>
        </w:rPr>
        <w:t xml:space="preserve"> not observe striatal degeneration with ageing</w:t>
      </w:r>
      <w:r w:rsidR="004A1A62">
        <w:rPr>
          <w:rFonts w:ascii="Verdana" w:hAnsi="Verdana"/>
          <w:lang w:val="en-GB"/>
        </w:rPr>
        <w:t xml:space="preserve"> (Chapter 6.3)</w:t>
      </w:r>
      <w:r w:rsidR="0088399E">
        <w:rPr>
          <w:rFonts w:ascii="Verdana" w:hAnsi="Verdana"/>
          <w:lang w:val="en-GB"/>
        </w:rPr>
        <w:t>, suggesting that t</w:t>
      </w:r>
      <w:r w:rsidR="00145323">
        <w:rPr>
          <w:rFonts w:ascii="Verdana" w:hAnsi="Verdana"/>
          <w:lang w:val="en-GB"/>
        </w:rPr>
        <w:t xml:space="preserve">he motor deficits might be caused to impairments </w:t>
      </w:r>
      <w:r w:rsidR="00B168D9">
        <w:rPr>
          <w:rFonts w:ascii="Verdana" w:hAnsi="Verdana"/>
          <w:lang w:val="en-GB"/>
        </w:rPr>
        <w:t xml:space="preserve">in </w:t>
      </w:r>
      <w:r w:rsidR="00145323">
        <w:rPr>
          <w:rFonts w:ascii="Verdana" w:hAnsi="Verdana"/>
          <w:lang w:val="en-GB"/>
        </w:rPr>
        <w:t xml:space="preserve">pathways </w:t>
      </w:r>
      <w:r w:rsidR="00B168D9">
        <w:rPr>
          <w:rFonts w:ascii="Verdana" w:hAnsi="Verdana"/>
          <w:lang w:val="en-GB"/>
        </w:rPr>
        <w:t xml:space="preserve">other than the </w:t>
      </w:r>
      <w:r w:rsidR="00977047">
        <w:rPr>
          <w:rFonts w:ascii="Verdana" w:hAnsi="Verdana"/>
          <w:lang w:val="en-GB"/>
        </w:rPr>
        <w:t>nigrostriatal</w:t>
      </w:r>
      <w:r w:rsidR="005E7881">
        <w:rPr>
          <w:rFonts w:ascii="Verdana" w:hAnsi="Verdana"/>
          <w:lang w:val="en-GB"/>
        </w:rPr>
        <w:t>.</w:t>
      </w:r>
      <w:r w:rsidR="006462BA">
        <w:rPr>
          <w:rFonts w:ascii="Verdana" w:hAnsi="Verdana"/>
          <w:lang w:val="en-GB"/>
        </w:rPr>
        <w:t xml:space="preserve"> Furthermore, the progressive worsening of the motor phenotype</w:t>
      </w:r>
      <w:r w:rsidR="00BC077B">
        <w:rPr>
          <w:rFonts w:ascii="Verdana" w:hAnsi="Verdana"/>
          <w:lang w:val="en-GB"/>
        </w:rPr>
        <w:t xml:space="preserve"> suggest</w:t>
      </w:r>
      <w:r w:rsidR="006462BA">
        <w:rPr>
          <w:rFonts w:ascii="Verdana" w:hAnsi="Verdana"/>
          <w:lang w:val="en-GB"/>
        </w:rPr>
        <w:t>s</w:t>
      </w:r>
      <w:r w:rsidR="00BC077B">
        <w:rPr>
          <w:rFonts w:ascii="Verdana" w:hAnsi="Verdana"/>
          <w:lang w:val="en-GB"/>
        </w:rPr>
        <w:t xml:space="preserve"> that alpha-synuclein overexpression drives motor </w:t>
      </w:r>
      <w:r w:rsidR="00E50694">
        <w:rPr>
          <w:rFonts w:ascii="Verdana" w:hAnsi="Verdana"/>
          <w:lang w:val="en-GB"/>
        </w:rPr>
        <w:t>deficits</w:t>
      </w:r>
      <w:r w:rsidR="00BC077B">
        <w:rPr>
          <w:rFonts w:ascii="Verdana" w:hAnsi="Verdana"/>
          <w:lang w:val="en-GB"/>
        </w:rPr>
        <w:t xml:space="preserve"> in combination with the ageing process.</w:t>
      </w:r>
    </w:p>
    <w:p w14:paraId="28A87CB1" w14:textId="77777777" w:rsidR="00031427" w:rsidRDefault="00031427">
      <w:pPr>
        <w:ind w:firstLine="0"/>
        <w:rPr>
          <w:rFonts w:ascii="Verdana" w:hAnsi="Verdana"/>
          <w:b/>
          <w:bCs/>
        </w:rPr>
      </w:pPr>
      <w:r>
        <w:rPr>
          <w:rFonts w:ascii="Verdana" w:hAnsi="Verdana"/>
          <w:b/>
          <w:bCs/>
        </w:rPr>
        <w:br w:type="page"/>
      </w:r>
    </w:p>
    <w:p w14:paraId="21D1CFF3" w14:textId="0856F86E" w:rsidR="00F53E05" w:rsidRPr="006948D6" w:rsidRDefault="006948D6" w:rsidP="006948D6">
      <w:pPr>
        <w:autoSpaceDE w:val="0"/>
        <w:autoSpaceDN w:val="0"/>
        <w:adjustRightInd w:val="0"/>
        <w:spacing w:after="0" w:line="360" w:lineRule="auto"/>
        <w:ind w:firstLine="0"/>
        <w:jc w:val="both"/>
        <w:rPr>
          <w:rFonts w:ascii="Verdana" w:hAnsi="Verdana"/>
          <w:b/>
          <w:bCs/>
        </w:rPr>
      </w:pPr>
      <w:r>
        <w:rPr>
          <w:rFonts w:ascii="Verdana" w:hAnsi="Verdana"/>
          <w:noProof/>
        </w:rPr>
        <w:lastRenderedPageBreak/>
        <w:drawing>
          <wp:anchor distT="0" distB="0" distL="114300" distR="114300" simplePos="0" relativeHeight="251907072" behindDoc="0" locked="0" layoutInCell="1" allowOverlap="1" wp14:anchorId="633CF8D5" wp14:editId="2207E34D">
            <wp:simplePos x="0" y="0"/>
            <wp:positionH relativeFrom="page">
              <wp:align>center</wp:align>
            </wp:positionH>
            <wp:positionV relativeFrom="paragraph">
              <wp:posOffset>0</wp:posOffset>
            </wp:positionV>
            <wp:extent cx="4739005" cy="6438900"/>
            <wp:effectExtent l="0" t="0" r="4445" b="0"/>
            <wp:wrapTopAndBottom/>
            <wp:docPr id="73" name="Picture 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4739005" cy="64389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9120" behindDoc="0" locked="0" layoutInCell="1" allowOverlap="1" wp14:anchorId="1772FB2F" wp14:editId="6A7B1949">
                <wp:simplePos x="0" y="0"/>
                <wp:positionH relativeFrom="margin">
                  <wp:posOffset>-1270</wp:posOffset>
                </wp:positionH>
                <wp:positionV relativeFrom="paragraph">
                  <wp:posOffset>6499225</wp:posOffset>
                </wp:positionV>
                <wp:extent cx="5575300" cy="635"/>
                <wp:effectExtent l="0" t="0" r="6350" b="3810"/>
                <wp:wrapTopAndBottom/>
                <wp:docPr id="18" name="Text Box 18"/>
                <wp:cNvGraphicFramePr/>
                <a:graphic xmlns:a="http://schemas.openxmlformats.org/drawingml/2006/main">
                  <a:graphicData uri="http://schemas.microsoft.com/office/word/2010/wordprocessingShape">
                    <wps:wsp>
                      <wps:cNvSpPr txBox="1"/>
                      <wps:spPr>
                        <a:xfrm>
                          <a:off x="0" y="0"/>
                          <a:ext cx="5575300" cy="635"/>
                        </a:xfrm>
                        <a:prstGeom prst="rect">
                          <a:avLst/>
                        </a:prstGeom>
                        <a:solidFill>
                          <a:prstClr val="white"/>
                        </a:solidFill>
                        <a:ln>
                          <a:noFill/>
                        </a:ln>
                      </wps:spPr>
                      <wps:txbx>
                        <w:txbxContent>
                          <w:p w14:paraId="0FD1F7CB" w14:textId="2891DC0B" w:rsidR="00683A0B" w:rsidRDefault="00683A0B" w:rsidP="00BC1A39">
                            <w:pPr>
                              <w:pStyle w:val="Caption"/>
                              <w:ind w:firstLine="0"/>
                              <w:jc w:val="both"/>
                              <w:rPr>
                                <w:rFonts w:ascii="Verdana" w:hAnsi="Verdana"/>
                                <w:i w:val="0"/>
                                <w:iCs w:val="0"/>
                                <w:color w:val="auto"/>
                              </w:rPr>
                            </w:pPr>
                            <w:bookmarkStart w:id="133" w:name="_Toc131412769"/>
                            <w:r w:rsidRPr="00683A0B">
                              <w:rPr>
                                <w:rFonts w:ascii="Verdana" w:hAnsi="Verdana"/>
                                <w:b/>
                                <w:bCs/>
                                <w:i w:val="0"/>
                                <w:iCs w:val="0"/>
                                <w:color w:val="auto"/>
                              </w:rPr>
                              <w:t xml:space="preserve">Figure </w:t>
                            </w:r>
                            <w:r w:rsidRPr="00683A0B">
                              <w:rPr>
                                <w:rFonts w:ascii="Verdana" w:hAnsi="Verdana"/>
                                <w:b/>
                                <w:bCs/>
                                <w:i w:val="0"/>
                                <w:iCs w:val="0"/>
                                <w:color w:val="auto"/>
                              </w:rPr>
                              <w:fldChar w:fldCharType="begin"/>
                            </w:r>
                            <w:r w:rsidRPr="00683A0B">
                              <w:rPr>
                                <w:rFonts w:ascii="Verdana" w:hAnsi="Verdana"/>
                                <w:b/>
                                <w:bCs/>
                                <w:i w:val="0"/>
                                <w:iCs w:val="0"/>
                                <w:color w:val="auto"/>
                              </w:rPr>
                              <w:instrText xml:space="preserve"> SEQ Figure \* ARABIC </w:instrText>
                            </w:r>
                            <w:r w:rsidRPr="00683A0B">
                              <w:rPr>
                                <w:rFonts w:ascii="Verdana" w:hAnsi="Verdana"/>
                                <w:b/>
                                <w:bCs/>
                                <w:i w:val="0"/>
                                <w:iCs w:val="0"/>
                                <w:color w:val="auto"/>
                              </w:rPr>
                              <w:fldChar w:fldCharType="separate"/>
                            </w:r>
                            <w:r w:rsidR="001D505F">
                              <w:rPr>
                                <w:rFonts w:ascii="Verdana" w:hAnsi="Verdana"/>
                                <w:b/>
                                <w:bCs/>
                                <w:i w:val="0"/>
                                <w:iCs w:val="0"/>
                                <w:noProof/>
                                <w:color w:val="auto"/>
                              </w:rPr>
                              <w:t>27</w:t>
                            </w:r>
                            <w:r w:rsidRPr="00683A0B">
                              <w:rPr>
                                <w:rFonts w:ascii="Verdana" w:hAnsi="Verdana"/>
                                <w:b/>
                                <w:bCs/>
                                <w:i w:val="0"/>
                                <w:iCs w:val="0"/>
                                <w:color w:val="auto"/>
                              </w:rPr>
                              <w:fldChar w:fldCharType="end"/>
                            </w:r>
                            <w:r w:rsidR="00862A81">
                              <w:rPr>
                                <w:rFonts w:ascii="Verdana" w:hAnsi="Verdana"/>
                                <w:b/>
                                <w:bCs/>
                                <w:i w:val="0"/>
                                <w:iCs w:val="0"/>
                                <w:color w:val="auto"/>
                              </w:rPr>
                              <w:t xml:space="preserve"> </w:t>
                            </w:r>
                            <w:r w:rsidR="00862A81">
                              <w:rPr>
                                <w:rFonts w:ascii="Verdana" w:hAnsi="Verdana"/>
                                <w:i w:val="0"/>
                                <w:iCs w:val="0"/>
                                <w:color w:val="auto"/>
                              </w:rPr>
                              <w:t xml:space="preserve">Transgenic Thy1-Syn14 mice </w:t>
                            </w:r>
                            <w:r w:rsidR="00E331A7">
                              <w:rPr>
                                <w:rFonts w:ascii="Verdana" w:hAnsi="Verdana"/>
                                <w:i w:val="0"/>
                                <w:iCs w:val="0"/>
                                <w:color w:val="auto"/>
                              </w:rPr>
                              <w:t>overexpress the human SNCA transgene in brain and colon, and present age-dependent motor impairments</w:t>
                            </w:r>
                            <w:bookmarkEnd w:id="133"/>
                          </w:p>
                          <w:p w14:paraId="2A2F4CB5" w14:textId="29016961" w:rsidR="00E331A7" w:rsidRPr="00972266" w:rsidRDefault="00972266" w:rsidP="00BC1A39">
                            <w:pPr>
                              <w:ind w:firstLine="0"/>
                              <w:jc w:val="both"/>
                              <w:rPr>
                                <w:rFonts w:ascii="Verdana" w:hAnsi="Verdana"/>
                                <w:sz w:val="18"/>
                                <w:szCs w:val="18"/>
                              </w:rPr>
                            </w:pPr>
                            <w:r w:rsidRPr="00972266">
                              <w:rPr>
                                <w:rFonts w:ascii="Verdana" w:hAnsi="Verdana"/>
                                <w:sz w:val="18"/>
                                <w:szCs w:val="18"/>
                              </w:rPr>
                              <w:t>A)</w:t>
                            </w:r>
                            <w:r>
                              <w:rPr>
                                <w:rFonts w:ascii="Verdana" w:hAnsi="Verdana"/>
                                <w:sz w:val="18"/>
                                <w:szCs w:val="18"/>
                              </w:rPr>
                              <w:t xml:space="preserve"> </w:t>
                            </w:r>
                            <w:r w:rsidR="0025419C" w:rsidRPr="00972266">
                              <w:rPr>
                                <w:rFonts w:ascii="Verdana" w:hAnsi="Verdana"/>
                                <w:sz w:val="18"/>
                                <w:szCs w:val="18"/>
                              </w:rPr>
                              <w:t>relative</w:t>
                            </w:r>
                            <w:r w:rsidR="00027A89" w:rsidRPr="00972266">
                              <w:rPr>
                                <w:rFonts w:ascii="Verdana" w:hAnsi="Verdana"/>
                                <w:sz w:val="18"/>
                                <w:szCs w:val="18"/>
                              </w:rPr>
                              <w:t xml:space="preserve"> mRNA expression levels for </w:t>
                            </w:r>
                            <w:proofErr w:type="spellStart"/>
                            <w:r w:rsidR="00027A89" w:rsidRPr="00972266">
                              <w:rPr>
                                <w:rFonts w:ascii="Verdana" w:hAnsi="Verdana"/>
                                <w:i/>
                                <w:iCs/>
                                <w:sz w:val="18"/>
                                <w:szCs w:val="18"/>
                              </w:rPr>
                              <w:t>Snca</w:t>
                            </w:r>
                            <w:proofErr w:type="spellEnd"/>
                            <w:r w:rsidR="00027A89" w:rsidRPr="00972266">
                              <w:rPr>
                                <w:rFonts w:ascii="Verdana" w:hAnsi="Verdana"/>
                                <w:sz w:val="18"/>
                                <w:szCs w:val="18"/>
                              </w:rPr>
                              <w:t xml:space="preserve"> (left) and </w:t>
                            </w:r>
                            <w:r w:rsidR="00027A89" w:rsidRPr="00972266">
                              <w:rPr>
                                <w:rFonts w:ascii="Verdana" w:hAnsi="Verdana"/>
                                <w:i/>
                                <w:iCs/>
                                <w:sz w:val="18"/>
                                <w:szCs w:val="18"/>
                              </w:rPr>
                              <w:t>SNCA</w:t>
                            </w:r>
                            <w:r w:rsidR="00027A89" w:rsidRPr="00972266">
                              <w:rPr>
                                <w:rFonts w:ascii="Verdana" w:hAnsi="Verdana"/>
                                <w:sz w:val="18"/>
                                <w:szCs w:val="18"/>
                              </w:rPr>
                              <w:t xml:space="preserve"> (right) in striatum and midbrain. B) </w:t>
                            </w:r>
                            <w:r w:rsidR="00737903" w:rsidRPr="00972266">
                              <w:rPr>
                                <w:rFonts w:ascii="Verdana" w:hAnsi="Verdana"/>
                                <w:sz w:val="18"/>
                                <w:szCs w:val="18"/>
                              </w:rPr>
                              <w:t>Quantification of pan-</w:t>
                            </w:r>
                            <w:r w:rsidR="00737903" w:rsidRPr="00972266">
                              <w:rPr>
                                <w:rFonts w:ascii="Verdana" w:hAnsi="Verdana" w:cstheme="minorHAnsi"/>
                                <w:sz w:val="18"/>
                                <w:szCs w:val="18"/>
                              </w:rPr>
                              <w:t>α</w:t>
                            </w:r>
                            <w:r w:rsidR="00737903" w:rsidRPr="00972266">
                              <w:rPr>
                                <w:rFonts w:ascii="Verdana" w:hAnsi="Verdana"/>
                                <w:sz w:val="18"/>
                                <w:szCs w:val="18"/>
                              </w:rPr>
                              <w:t>Syn expression in midbrain and striatum. C) Relative mRNA expression levels for</w:t>
                            </w:r>
                            <w:r w:rsidR="00737903" w:rsidRPr="00972266">
                              <w:rPr>
                                <w:rFonts w:ascii="Verdana" w:hAnsi="Verdana"/>
                                <w:i/>
                                <w:iCs/>
                                <w:sz w:val="18"/>
                                <w:szCs w:val="18"/>
                              </w:rPr>
                              <w:t xml:space="preserve"> </w:t>
                            </w:r>
                            <w:proofErr w:type="spellStart"/>
                            <w:r w:rsidR="00737903" w:rsidRPr="00972266">
                              <w:rPr>
                                <w:rFonts w:ascii="Verdana" w:hAnsi="Verdana"/>
                                <w:i/>
                                <w:iCs/>
                                <w:sz w:val="18"/>
                                <w:szCs w:val="18"/>
                              </w:rPr>
                              <w:t>Snca</w:t>
                            </w:r>
                            <w:proofErr w:type="spellEnd"/>
                            <w:r w:rsidR="00737903" w:rsidRPr="00972266">
                              <w:rPr>
                                <w:rFonts w:ascii="Verdana" w:hAnsi="Verdana"/>
                                <w:sz w:val="18"/>
                                <w:szCs w:val="18"/>
                              </w:rPr>
                              <w:t xml:space="preserve"> (left) and </w:t>
                            </w:r>
                            <w:r w:rsidR="00737903" w:rsidRPr="00972266">
                              <w:rPr>
                                <w:rFonts w:ascii="Verdana" w:hAnsi="Verdana"/>
                                <w:i/>
                                <w:iCs/>
                                <w:sz w:val="18"/>
                                <w:szCs w:val="18"/>
                              </w:rPr>
                              <w:t>SNCA</w:t>
                            </w:r>
                            <w:r w:rsidR="00737903" w:rsidRPr="00972266">
                              <w:rPr>
                                <w:rFonts w:ascii="Verdana" w:hAnsi="Verdana"/>
                                <w:sz w:val="18"/>
                                <w:szCs w:val="18"/>
                              </w:rPr>
                              <w:t xml:space="preserve"> (right)</w:t>
                            </w:r>
                            <w:r w:rsidR="006260E1" w:rsidRPr="00972266">
                              <w:rPr>
                                <w:rFonts w:ascii="Verdana" w:hAnsi="Verdana"/>
                                <w:sz w:val="18"/>
                                <w:szCs w:val="18"/>
                              </w:rPr>
                              <w:t xml:space="preserve"> </w:t>
                            </w:r>
                            <w:r w:rsidR="00737903" w:rsidRPr="00972266">
                              <w:rPr>
                                <w:rFonts w:ascii="Verdana" w:hAnsi="Verdana"/>
                                <w:sz w:val="18"/>
                                <w:szCs w:val="18"/>
                              </w:rPr>
                              <w:t xml:space="preserve">in proximal and distal colon. </w:t>
                            </w:r>
                            <w:r w:rsidR="001636D9" w:rsidRPr="00972266">
                              <w:rPr>
                                <w:rFonts w:ascii="Verdana" w:hAnsi="Verdana"/>
                                <w:sz w:val="18"/>
                                <w:szCs w:val="18"/>
                              </w:rPr>
                              <w:t xml:space="preserve">D) representative immunohistochemical </w:t>
                            </w:r>
                            <w:proofErr w:type="spellStart"/>
                            <w:r w:rsidR="001636D9" w:rsidRPr="00972266">
                              <w:rPr>
                                <w:rFonts w:ascii="Verdana" w:hAnsi="Verdana"/>
                                <w:sz w:val="18"/>
                                <w:szCs w:val="18"/>
                              </w:rPr>
                              <w:t>stainings</w:t>
                            </w:r>
                            <w:proofErr w:type="spellEnd"/>
                            <w:r w:rsidR="001636D9" w:rsidRPr="00972266">
                              <w:rPr>
                                <w:rFonts w:ascii="Verdana" w:hAnsi="Verdana"/>
                                <w:sz w:val="18"/>
                                <w:szCs w:val="18"/>
                              </w:rPr>
                              <w:t xml:space="preserve"> images for pan-</w:t>
                            </w:r>
                            <w:r w:rsidR="001636D9" w:rsidRPr="00972266">
                              <w:rPr>
                                <w:rFonts w:ascii="Verdana" w:hAnsi="Verdana" w:cstheme="minorHAnsi"/>
                                <w:sz w:val="18"/>
                                <w:szCs w:val="18"/>
                              </w:rPr>
                              <w:t>α</w:t>
                            </w:r>
                            <w:r w:rsidR="001636D9" w:rsidRPr="00972266">
                              <w:rPr>
                                <w:rFonts w:ascii="Verdana" w:hAnsi="Verdana"/>
                                <w:sz w:val="18"/>
                                <w:szCs w:val="18"/>
                              </w:rPr>
                              <w:t>Syn and SNCA in the colon.</w:t>
                            </w:r>
                            <w:r w:rsidR="000C021D" w:rsidRPr="00972266">
                              <w:rPr>
                                <w:rFonts w:ascii="Verdana" w:hAnsi="Verdana"/>
                                <w:sz w:val="18"/>
                                <w:szCs w:val="18"/>
                              </w:rPr>
                              <w:t xml:space="preserve"> E) Inverted grid test, showing a progressive reduction in latency to fall in TG mice. F) </w:t>
                            </w:r>
                            <w:r w:rsidR="0025419C" w:rsidRPr="00972266">
                              <w:rPr>
                                <w:rFonts w:ascii="Verdana" w:hAnsi="Verdana"/>
                                <w:sz w:val="18"/>
                                <w:szCs w:val="18"/>
                              </w:rPr>
                              <w:t>Hindlimb clasping scores for TG and WT mice at different ages. G) Adhesive removal test results for WT and TG mice at different ages.</w:t>
                            </w:r>
                          </w:p>
                          <w:p w14:paraId="2853B990" w14:textId="77777777" w:rsidR="00972266" w:rsidRDefault="00972266" w:rsidP="00BC1A39">
                            <w:pPr>
                              <w:ind w:firstLine="0"/>
                              <w:jc w:val="both"/>
                              <w:rPr>
                                <w:rFonts w:ascii="Verdana" w:hAnsi="Verdana"/>
                                <w:sz w:val="18"/>
                                <w:szCs w:val="18"/>
                              </w:rPr>
                            </w:pPr>
                            <w:r w:rsidRPr="00972266">
                              <w:rPr>
                                <w:rFonts w:ascii="Verdana" w:hAnsi="Verdana"/>
                                <w:sz w:val="18"/>
                                <w:szCs w:val="18"/>
                              </w:rPr>
                              <w:t>Stats: Mann-Whitney U, corrected for FDR; *</w:t>
                            </w:r>
                            <w:r>
                              <w:rPr>
                                <w:rFonts w:ascii="Verdana" w:hAnsi="Verdana"/>
                                <w:sz w:val="18"/>
                                <w:szCs w:val="18"/>
                              </w:rPr>
                              <w:t xml:space="preserve"> =</w:t>
                            </w:r>
                            <w:r w:rsidRPr="00972266">
                              <w:rPr>
                                <w:rFonts w:ascii="Verdana" w:hAnsi="Verdana"/>
                                <w:sz w:val="18"/>
                                <w:szCs w:val="18"/>
                              </w:rPr>
                              <w:t xml:space="preserve"> p &lt; 0.05, **</w:t>
                            </w:r>
                            <w:r>
                              <w:rPr>
                                <w:rFonts w:ascii="Verdana" w:hAnsi="Verdana"/>
                                <w:sz w:val="18"/>
                                <w:szCs w:val="18"/>
                              </w:rPr>
                              <w:t xml:space="preserve"> =</w:t>
                            </w:r>
                            <w:r w:rsidRPr="00972266">
                              <w:rPr>
                                <w:rFonts w:ascii="Verdana" w:hAnsi="Verdana"/>
                                <w:sz w:val="18"/>
                                <w:szCs w:val="18"/>
                              </w:rPr>
                              <w:t xml:space="preserve"> p &lt; 0.01, ***</w:t>
                            </w:r>
                            <w:r>
                              <w:rPr>
                                <w:rFonts w:ascii="Verdana" w:hAnsi="Verdana"/>
                                <w:sz w:val="18"/>
                                <w:szCs w:val="18"/>
                              </w:rPr>
                              <w:t xml:space="preserve"> =</w:t>
                            </w:r>
                            <w:r w:rsidRPr="00972266">
                              <w:rPr>
                                <w:rFonts w:ascii="Verdana" w:hAnsi="Verdana"/>
                                <w:sz w:val="18"/>
                                <w:szCs w:val="18"/>
                              </w:rPr>
                              <w:t xml:space="preserve"> p &lt; 0.001, ****</w:t>
                            </w:r>
                            <w:r>
                              <w:rPr>
                                <w:rFonts w:ascii="Verdana" w:hAnsi="Verdana"/>
                                <w:sz w:val="18"/>
                                <w:szCs w:val="18"/>
                              </w:rPr>
                              <w:t xml:space="preserve"> = </w:t>
                            </w:r>
                            <w:r w:rsidRPr="00972266">
                              <w:rPr>
                                <w:rFonts w:ascii="Verdana" w:hAnsi="Verdana"/>
                                <w:sz w:val="18"/>
                                <w:szCs w:val="18"/>
                              </w:rPr>
                              <w:t>p &lt; 0.0001.</w:t>
                            </w:r>
                          </w:p>
                          <w:p w14:paraId="6C27B0F6" w14:textId="667FCCB8" w:rsidR="0025419C" w:rsidRPr="00E331A7" w:rsidRDefault="00972266" w:rsidP="00BC1A39">
                            <w:pPr>
                              <w:ind w:firstLine="0"/>
                              <w:jc w:val="both"/>
                            </w:pPr>
                            <w:r w:rsidRPr="00972266">
                              <w:rPr>
                                <w:rFonts w:ascii="Verdana" w:hAnsi="Verdana"/>
                                <w:sz w:val="18"/>
                                <w:szCs w:val="18"/>
                              </w:rPr>
                              <w:t>WT</w:t>
                            </w:r>
                            <w:r>
                              <w:rPr>
                                <w:rFonts w:ascii="Verdana" w:hAnsi="Verdana"/>
                                <w:sz w:val="18"/>
                                <w:szCs w:val="18"/>
                              </w:rPr>
                              <w:t xml:space="preserve"> =</w:t>
                            </w:r>
                            <w:r w:rsidRPr="00972266">
                              <w:rPr>
                                <w:rFonts w:ascii="Verdana" w:hAnsi="Verdana"/>
                                <w:sz w:val="18"/>
                                <w:szCs w:val="18"/>
                              </w:rPr>
                              <w:t xml:space="preserve"> wild-type littermates</w:t>
                            </w:r>
                            <w:r>
                              <w:rPr>
                                <w:rFonts w:ascii="Verdana" w:hAnsi="Verdana"/>
                                <w:sz w:val="18"/>
                                <w:szCs w:val="18"/>
                              </w:rPr>
                              <w:t>,</w:t>
                            </w:r>
                            <w:r w:rsidRPr="00972266">
                              <w:rPr>
                                <w:rFonts w:ascii="Verdana" w:hAnsi="Verdana"/>
                                <w:sz w:val="18"/>
                                <w:szCs w:val="18"/>
                              </w:rPr>
                              <w:t xml:space="preserve"> TG</w:t>
                            </w:r>
                            <w:r>
                              <w:rPr>
                                <w:rFonts w:ascii="Verdana" w:hAnsi="Verdana"/>
                                <w:sz w:val="18"/>
                                <w:szCs w:val="18"/>
                              </w:rPr>
                              <w:t xml:space="preserve"> =</w:t>
                            </w:r>
                            <w:r w:rsidRPr="00972266">
                              <w:rPr>
                                <w:rFonts w:ascii="Verdana" w:hAnsi="Verdana"/>
                                <w:sz w:val="18"/>
                                <w:szCs w:val="18"/>
                              </w:rPr>
                              <w:t xml:space="preserve"> </w:t>
                            </w:r>
                            <w:r>
                              <w:rPr>
                                <w:rFonts w:ascii="Verdana" w:hAnsi="Verdana"/>
                                <w:sz w:val="18"/>
                                <w:szCs w:val="18"/>
                              </w:rPr>
                              <w:t xml:space="preserve">transgenic </w:t>
                            </w:r>
                            <w:r w:rsidRPr="00972266">
                              <w:rPr>
                                <w:rFonts w:ascii="Verdana" w:hAnsi="Verdana"/>
                                <w:sz w:val="18"/>
                                <w:szCs w:val="18"/>
                              </w:rPr>
                              <w:t>Thy1-Syn14 animals, 3M</w:t>
                            </w:r>
                            <w:r>
                              <w:rPr>
                                <w:rFonts w:ascii="Verdana" w:hAnsi="Verdana"/>
                                <w:sz w:val="18"/>
                                <w:szCs w:val="18"/>
                              </w:rPr>
                              <w:t xml:space="preserve"> =</w:t>
                            </w:r>
                            <w:r w:rsidRPr="00972266">
                              <w:rPr>
                                <w:rFonts w:ascii="Verdana" w:hAnsi="Verdana"/>
                                <w:sz w:val="18"/>
                                <w:szCs w:val="18"/>
                              </w:rPr>
                              <w:t xml:space="preserve"> 3</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6M</w:t>
                            </w:r>
                            <w:r>
                              <w:rPr>
                                <w:rFonts w:ascii="Verdana" w:hAnsi="Verdana"/>
                                <w:sz w:val="18"/>
                                <w:szCs w:val="18"/>
                              </w:rPr>
                              <w:t xml:space="preserve"> = </w:t>
                            </w:r>
                            <w:r w:rsidRPr="00972266">
                              <w:rPr>
                                <w:rFonts w:ascii="Verdana" w:hAnsi="Verdana"/>
                                <w:sz w:val="18"/>
                                <w:szCs w:val="18"/>
                              </w:rPr>
                              <w:t>6</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9M</w:t>
                            </w:r>
                            <w:r>
                              <w:rPr>
                                <w:rFonts w:ascii="Verdana" w:hAnsi="Verdana"/>
                                <w:sz w:val="18"/>
                                <w:szCs w:val="18"/>
                              </w:rPr>
                              <w:t xml:space="preserve"> =</w:t>
                            </w:r>
                            <w:r w:rsidRPr="00972266">
                              <w:rPr>
                                <w:rFonts w:ascii="Verdana" w:hAnsi="Verdana"/>
                                <w:sz w:val="18"/>
                                <w:szCs w:val="18"/>
                              </w:rPr>
                              <w:t xml:space="preserve"> 9</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13M</w:t>
                            </w:r>
                            <w:r>
                              <w:rPr>
                                <w:rFonts w:ascii="Verdana" w:hAnsi="Verdana"/>
                                <w:sz w:val="18"/>
                                <w:szCs w:val="18"/>
                              </w:rPr>
                              <w:t xml:space="preserve"> =</w:t>
                            </w:r>
                            <w:r w:rsidRPr="00972266">
                              <w:rPr>
                                <w:rFonts w:ascii="Verdana" w:hAnsi="Verdana"/>
                                <w:sz w:val="18"/>
                                <w:szCs w:val="18"/>
                              </w:rPr>
                              <w:t xml:space="preserve"> 13</w:t>
                            </w:r>
                            <w:r>
                              <w:rPr>
                                <w:rFonts w:ascii="Verdana" w:hAnsi="Verdana"/>
                                <w:sz w:val="18"/>
                                <w:szCs w:val="18"/>
                              </w:rPr>
                              <w:t>-</w:t>
                            </w:r>
                            <w:r w:rsidRPr="00972266">
                              <w:rPr>
                                <w:rFonts w:ascii="Verdana" w:hAnsi="Verdana"/>
                                <w:sz w:val="18"/>
                                <w:szCs w:val="18"/>
                              </w:rPr>
                              <w:t>months 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72FB2F" id="Text Box 18" o:spid="_x0000_s1055" type="#_x0000_t202" style="position:absolute;left:0;text-align:left;margin-left:-.1pt;margin-top:511.75pt;width:439pt;height:.05pt;z-index:251909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6pGwIAAEAEAAAOAAAAZHJzL2Uyb0RvYy54bWysU8Fu2zAMvQ/YPwi6L05SpFu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" stroked="f">
                <v:textbox style="mso-fit-shape-to-text:t" inset="0,0,0,0">
                  <w:txbxContent>
                    <w:p w14:paraId="0FD1F7CB" w14:textId="2891DC0B" w:rsidR="00683A0B" w:rsidRDefault="00683A0B" w:rsidP="00BC1A39">
                      <w:pPr>
                        <w:pStyle w:val="Caption"/>
                        <w:ind w:firstLine="0"/>
                        <w:jc w:val="both"/>
                        <w:rPr>
                          <w:rFonts w:ascii="Verdana" w:hAnsi="Verdana"/>
                          <w:i w:val="0"/>
                          <w:iCs w:val="0"/>
                          <w:color w:val="auto"/>
                        </w:rPr>
                      </w:pPr>
                      <w:bookmarkStart w:id="134" w:name="_Toc131412769"/>
                      <w:r w:rsidRPr="00683A0B">
                        <w:rPr>
                          <w:rFonts w:ascii="Verdana" w:hAnsi="Verdana"/>
                          <w:b/>
                          <w:bCs/>
                          <w:i w:val="0"/>
                          <w:iCs w:val="0"/>
                          <w:color w:val="auto"/>
                        </w:rPr>
                        <w:t xml:space="preserve">Figure </w:t>
                      </w:r>
                      <w:r w:rsidRPr="00683A0B">
                        <w:rPr>
                          <w:rFonts w:ascii="Verdana" w:hAnsi="Verdana"/>
                          <w:b/>
                          <w:bCs/>
                          <w:i w:val="0"/>
                          <w:iCs w:val="0"/>
                          <w:color w:val="auto"/>
                        </w:rPr>
                        <w:fldChar w:fldCharType="begin"/>
                      </w:r>
                      <w:r w:rsidRPr="00683A0B">
                        <w:rPr>
                          <w:rFonts w:ascii="Verdana" w:hAnsi="Verdana"/>
                          <w:b/>
                          <w:bCs/>
                          <w:i w:val="0"/>
                          <w:iCs w:val="0"/>
                          <w:color w:val="auto"/>
                        </w:rPr>
                        <w:instrText xml:space="preserve"> SEQ Figure \* ARABIC </w:instrText>
                      </w:r>
                      <w:r w:rsidRPr="00683A0B">
                        <w:rPr>
                          <w:rFonts w:ascii="Verdana" w:hAnsi="Verdana"/>
                          <w:b/>
                          <w:bCs/>
                          <w:i w:val="0"/>
                          <w:iCs w:val="0"/>
                          <w:color w:val="auto"/>
                        </w:rPr>
                        <w:fldChar w:fldCharType="separate"/>
                      </w:r>
                      <w:r w:rsidR="001D505F">
                        <w:rPr>
                          <w:rFonts w:ascii="Verdana" w:hAnsi="Verdana"/>
                          <w:b/>
                          <w:bCs/>
                          <w:i w:val="0"/>
                          <w:iCs w:val="0"/>
                          <w:noProof/>
                          <w:color w:val="auto"/>
                        </w:rPr>
                        <w:t>27</w:t>
                      </w:r>
                      <w:r w:rsidRPr="00683A0B">
                        <w:rPr>
                          <w:rFonts w:ascii="Verdana" w:hAnsi="Verdana"/>
                          <w:b/>
                          <w:bCs/>
                          <w:i w:val="0"/>
                          <w:iCs w:val="0"/>
                          <w:color w:val="auto"/>
                        </w:rPr>
                        <w:fldChar w:fldCharType="end"/>
                      </w:r>
                      <w:r w:rsidR="00862A81">
                        <w:rPr>
                          <w:rFonts w:ascii="Verdana" w:hAnsi="Verdana"/>
                          <w:b/>
                          <w:bCs/>
                          <w:i w:val="0"/>
                          <w:iCs w:val="0"/>
                          <w:color w:val="auto"/>
                        </w:rPr>
                        <w:t xml:space="preserve"> </w:t>
                      </w:r>
                      <w:r w:rsidR="00862A81">
                        <w:rPr>
                          <w:rFonts w:ascii="Verdana" w:hAnsi="Verdana"/>
                          <w:i w:val="0"/>
                          <w:iCs w:val="0"/>
                          <w:color w:val="auto"/>
                        </w:rPr>
                        <w:t xml:space="preserve">Transgenic Thy1-Syn14 mice </w:t>
                      </w:r>
                      <w:r w:rsidR="00E331A7">
                        <w:rPr>
                          <w:rFonts w:ascii="Verdana" w:hAnsi="Verdana"/>
                          <w:i w:val="0"/>
                          <w:iCs w:val="0"/>
                          <w:color w:val="auto"/>
                        </w:rPr>
                        <w:t>overexpress the human SNCA transgene in brain and colon, and present age-dependent motor impairments</w:t>
                      </w:r>
                      <w:bookmarkEnd w:id="134"/>
                    </w:p>
                    <w:p w14:paraId="2A2F4CB5" w14:textId="29016961" w:rsidR="00E331A7" w:rsidRPr="00972266" w:rsidRDefault="00972266" w:rsidP="00BC1A39">
                      <w:pPr>
                        <w:ind w:firstLine="0"/>
                        <w:jc w:val="both"/>
                        <w:rPr>
                          <w:rFonts w:ascii="Verdana" w:hAnsi="Verdana"/>
                          <w:sz w:val="18"/>
                          <w:szCs w:val="18"/>
                        </w:rPr>
                      </w:pPr>
                      <w:r w:rsidRPr="00972266">
                        <w:rPr>
                          <w:rFonts w:ascii="Verdana" w:hAnsi="Verdana"/>
                          <w:sz w:val="18"/>
                          <w:szCs w:val="18"/>
                        </w:rPr>
                        <w:t>A)</w:t>
                      </w:r>
                      <w:r>
                        <w:rPr>
                          <w:rFonts w:ascii="Verdana" w:hAnsi="Verdana"/>
                          <w:sz w:val="18"/>
                          <w:szCs w:val="18"/>
                        </w:rPr>
                        <w:t xml:space="preserve"> </w:t>
                      </w:r>
                      <w:r w:rsidR="0025419C" w:rsidRPr="00972266">
                        <w:rPr>
                          <w:rFonts w:ascii="Verdana" w:hAnsi="Verdana"/>
                          <w:sz w:val="18"/>
                          <w:szCs w:val="18"/>
                        </w:rPr>
                        <w:t>relative</w:t>
                      </w:r>
                      <w:r w:rsidR="00027A89" w:rsidRPr="00972266">
                        <w:rPr>
                          <w:rFonts w:ascii="Verdana" w:hAnsi="Verdana"/>
                          <w:sz w:val="18"/>
                          <w:szCs w:val="18"/>
                        </w:rPr>
                        <w:t xml:space="preserve"> mRNA expression levels for </w:t>
                      </w:r>
                      <w:proofErr w:type="spellStart"/>
                      <w:r w:rsidR="00027A89" w:rsidRPr="00972266">
                        <w:rPr>
                          <w:rFonts w:ascii="Verdana" w:hAnsi="Verdana"/>
                          <w:i/>
                          <w:iCs/>
                          <w:sz w:val="18"/>
                          <w:szCs w:val="18"/>
                        </w:rPr>
                        <w:t>Snca</w:t>
                      </w:r>
                      <w:proofErr w:type="spellEnd"/>
                      <w:r w:rsidR="00027A89" w:rsidRPr="00972266">
                        <w:rPr>
                          <w:rFonts w:ascii="Verdana" w:hAnsi="Verdana"/>
                          <w:sz w:val="18"/>
                          <w:szCs w:val="18"/>
                        </w:rPr>
                        <w:t xml:space="preserve"> (left) and </w:t>
                      </w:r>
                      <w:r w:rsidR="00027A89" w:rsidRPr="00972266">
                        <w:rPr>
                          <w:rFonts w:ascii="Verdana" w:hAnsi="Verdana"/>
                          <w:i/>
                          <w:iCs/>
                          <w:sz w:val="18"/>
                          <w:szCs w:val="18"/>
                        </w:rPr>
                        <w:t>SNCA</w:t>
                      </w:r>
                      <w:r w:rsidR="00027A89" w:rsidRPr="00972266">
                        <w:rPr>
                          <w:rFonts w:ascii="Verdana" w:hAnsi="Verdana"/>
                          <w:sz w:val="18"/>
                          <w:szCs w:val="18"/>
                        </w:rPr>
                        <w:t xml:space="preserve"> (right) in striatum and midbrain. B) </w:t>
                      </w:r>
                      <w:r w:rsidR="00737903" w:rsidRPr="00972266">
                        <w:rPr>
                          <w:rFonts w:ascii="Verdana" w:hAnsi="Verdana"/>
                          <w:sz w:val="18"/>
                          <w:szCs w:val="18"/>
                        </w:rPr>
                        <w:t>Quantification of pan-</w:t>
                      </w:r>
                      <w:r w:rsidR="00737903" w:rsidRPr="00972266">
                        <w:rPr>
                          <w:rFonts w:ascii="Verdana" w:hAnsi="Verdana" w:cstheme="minorHAnsi"/>
                          <w:sz w:val="18"/>
                          <w:szCs w:val="18"/>
                        </w:rPr>
                        <w:t>α</w:t>
                      </w:r>
                      <w:r w:rsidR="00737903" w:rsidRPr="00972266">
                        <w:rPr>
                          <w:rFonts w:ascii="Verdana" w:hAnsi="Verdana"/>
                          <w:sz w:val="18"/>
                          <w:szCs w:val="18"/>
                        </w:rPr>
                        <w:t>Syn expression in midbrain and striatum. C) Relative mRNA expression levels for</w:t>
                      </w:r>
                      <w:r w:rsidR="00737903" w:rsidRPr="00972266">
                        <w:rPr>
                          <w:rFonts w:ascii="Verdana" w:hAnsi="Verdana"/>
                          <w:i/>
                          <w:iCs/>
                          <w:sz w:val="18"/>
                          <w:szCs w:val="18"/>
                        </w:rPr>
                        <w:t xml:space="preserve"> </w:t>
                      </w:r>
                      <w:proofErr w:type="spellStart"/>
                      <w:r w:rsidR="00737903" w:rsidRPr="00972266">
                        <w:rPr>
                          <w:rFonts w:ascii="Verdana" w:hAnsi="Verdana"/>
                          <w:i/>
                          <w:iCs/>
                          <w:sz w:val="18"/>
                          <w:szCs w:val="18"/>
                        </w:rPr>
                        <w:t>Snca</w:t>
                      </w:r>
                      <w:proofErr w:type="spellEnd"/>
                      <w:r w:rsidR="00737903" w:rsidRPr="00972266">
                        <w:rPr>
                          <w:rFonts w:ascii="Verdana" w:hAnsi="Verdana"/>
                          <w:sz w:val="18"/>
                          <w:szCs w:val="18"/>
                        </w:rPr>
                        <w:t xml:space="preserve"> (left) and </w:t>
                      </w:r>
                      <w:r w:rsidR="00737903" w:rsidRPr="00972266">
                        <w:rPr>
                          <w:rFonts w:ascii="Verdana" w:hAnsi="Verdana"/>
                          <w:i/>
                          <w:iCs/>
                          <w:sz w:val="18"/>
                          <w:szCs w:val="18"/>
                        </w:rPr>
                        <w:t>SNCA</w:t>
                      </w:r>
                      <w:r w:rsidR="00737903" w:rsidRPr="00972266">
                        <w:rPr>
                          <w:rFonts w:ascii="Verdana" w:hAnsi="Verdana"/>
                          <w:sz w:val="18"/>
                          <w:szCs w:val="18"/>
                        </w:rPr>
                        <w:t xml:space="preserve"> (right)</w:t>
                      </w:r>
                      <w:r w:rsidR="006260E1" w:rsidRPr="00972266">
                        <w:rPr>
                          <w:rFonts w:ascii="Verdana" w:hAnsi="Verdana"/>
                          <w:sz w:val="18"/>
                          <w:szCs w:val="18"/>
                        </w:rPr>
                        <w:t xml:space="preserve"> </w:t>
                      </w:r>
                      <w:r w:rsidR="00737903" w:rsidRPr="00972266">
                        <w:rPr>
                          <w:rFonts w:ascii="Verdana" w:hAnsi="Verdana"/>
                          <w:sz w:val="18"/>
                          <w:szCs w:val="18"/>
                        </w:rPr>
                        <w:t xml:space="preserve">in proximal and distal colon. </w:t>
                      </w:r>
                      <w:r w:rsidR="001636D9" w:rsidRPr="00972266">
                        <w:rPr>
                          <w:rFonts w:ascii="Verdana" w:hAnsi="Verdana"/>
                          <w:sz w:val="18"/>
                          <w:szCs w:val="18"/>
                        </w:rPr>
                        <w:t xml:space="preserve">D) representative immunohistochemical </w:t>
                      </w:r>
                      <w:proofErr w:type="spellStart"/>
                      <w:r w:rsidR="001636D9" w:rsidRPr="00972266">
                        <w:rPr>
                          <w:rFonts w:ascii="Verdana" w:hAnsi="Verdana"/>
                          <w:sz w:val="18"/>
                          <w:szCs w:val="18"/>
                        </w:rPr>
                        <w:t>stainings</w:t>
                      </w:r>
                      <w:proofErr w:type="spellEnd"/>
                      <w:r w:rsidR="001636D9" w:rsidRPr="00972266">
                        <w:rPr>
                          <w:rFonts w:ascii="Verdana" w:hAnsi="Verdana"/>
                          <w:sz w:val="18"/>
                          <w:szCs w:val="18"/>
                        </w:rPr>
                        <w:t xml:space="preserve"> images for pan-</w:t>
                      </w:r>
                      <w:r w:rsidR="001636D9" w:rsidRPr="00972266">
                        <w:rPr>
                          <w:rFonts w:ascii="Verdana" w:hAnsi="Verdana" w:cstheme="minorHAnsi"/>
                          <w:sz w:val="18"/>
                          <w:szCs w:val="18"/>
                        </w:rPr>
                        <w:t>α</w:t>
                      </w:r>
                      <w:r w:rsidR="001636D9" w:rsidRPr="00972266">
                        <w:rPr>
                          <w:rFonts w:ascii="Verdana" w:hAnsi="Verdana"/>
                          <w:sz w:val="18"/>
                          <w:szCs w:val="18"/>
                        </w:rPr>
                        <w:t>Syn and SNCA in the colon.</w:t>
                      </w:r>
                      <w:r w:rsidR="000C021D" w:rsidRPr="00972266">
                        <w:rPr>
                          <w:rFonts w:ascii="Verdana" w:hAnsi="Verdana"/>
                          <w:sz w:val="18"/>
                          <w:szCs w:val="18"/>
                        </w:rPr>
                        <w:t xml:space="preserve"> E) Inverted grid test, showing a progressive reduction in latency to fall in TG mice. F) </w:t>
                      </w:r>
                      <w:r w:rsidR="0025419C" w:rsidRPr="00972266">
                        <w:rPr>
                          <w:rFonts w:ascii="Verdana" w:hAnsi="Verdana"/>
                          <w:sz w:val="18"/>
                          <w:szCs w:val="18"/>
                        </w:rPr>
                        <w:t>Hindlimb clasping scores for TG and WT mice at different ages. G) Adhesive removal test results for WT and TG mice at different ages.</w:t>
                      </w:r>
                    </w:p>
                    <w:p w14:paraId="2853B990" w14:textId="77777777" w:rsidR="00972266" w:rsidRDefault="00972266" w:rsidP="00BC1A39">
                      <w:pPr>
                        <w:ind w:firstLine="0"/>
                        <w:jc w:val="both"/>
                        <w:rPr>
                          <w:rFonts w:ascii="Verdana" w:hAnsi="Verdana"/>
                          <w:sz w:val="18"/>
                          <w:szCs w:val="18"/>
                        </w:rPr>
                      </w:pPr>
                      <w:r w:rsidRPr="00972266">
                        <w:rPr>
                          <w:rFonts w:ascii="Verdana" w:hAnsi="Verdana"/>
                          <w:sz w:val="18"/>
                          <w:szCs w:val="18"/>
                        </w:rPr>
                        <w:t>Stats: Mann-Whitney U, corrected for FDR; *</w:t>
                      </w:r>
                      <w:r>
                        <w:rPr>
                          <w:rFonts w:ascii="Verdana" w:hAnsi="Verdana"/>
                          <w:sz w:val="18"/>
                          <w:szCs w:val="18"/>
                        </w:rPr>
                        <w:t xml:space="preserve"> =</w:t>
                      </w:r>
                      <w:r w:rsidRPr="00972266">
                        <w:rPr>
                          <w:rFonts w:ascii="Verdana" w:hAnsi="Verdana"/>
                          <w:sz w:val="18"/>
                          <w:szCs w:val="18"/>
                        </w:rPr>
                        <w:t xml:space="preserve"> p &lt; 0.05, **</w:t>
                      </w:r>
                      <w:r>
                        <w:rPr>
                          <w:rFonts w:ascii="Verdana" w:hAnsi="Verdana"/>
                          <w:sz w:val="18"/>
                          <w:szCs w:val="18"/>
                        </w:rPr>
                        <w:t xml:space="preserve"> =</w:t>
                      </w:r>
                      <w:r w:rsidRPr="00972266">
                        <w:rPr>
                          <w:rFonts w:ascii="Verdana" w:hAnsi="Verdana"/>
                          <w:sz w:val="18"/>
                          <w:szCs w:val="18"/>
                        </w:rPr>
                        <w:t xml:space="preserve"> p &lt; 0.01, ***</w:t>
                      </w:r>
                      <w:r>
                        <w:rPr>
                          <w:rFonts w:ascii="Verdana" w:hAnsi="Verdana"/>
                          <w:sz w:val="18"/>
                          <w:szCs w:val="18"/>
                        </w:rPr>
                        <w:t xml:space="preserve"> =</w:t>
                      </w:r>
                      <w:r w:rsidRPr="00972266">
                        <w:rPr>
                          <w:rFonts w:ascii="Verdana" w:hAnsi="Verdana"/>
                          <w:sz w:val="18"/>
                          <w:szCs w:val="18"/>
                        </w:rPr>
                        <w:t xml:space="preserve"> p &lt; 0.001, ****</w:t>
                      </w:r>
                      <w:r>
                        <w:rPr>
                          <w:rFonts w:ascii="Verdana" w:hAnsi="Verdana"/>
                          <w:sz w:val="18"/>
                          <w:szCs w:val="18"/>
                        </w:rPr>
                        <w:t xml:space="preserve"> = </w:t>
                      </w:r>
                      <w:r w:rsidRPr="00972266">
                        <w:rPr>
                          <w:rFonts w:ascii="Verdana" w:hAnsi="Verdana"/>
                          <w:sz w:val="18"/>
                          <w:szCs w:val="18"/>
                        </w:rPr>
                        <w:t>p &lt; 0.0001.</w:t>
                      </w:r>
                    </w:p>
                    <w:p w14:paraId="6C27B0F6" w14:textId="667FCCB8" w:rsidR="0025419C" w:rsidRPr="00E331A7" w:rsidRDefault="00972266" w:rsidP="00BC1A39">
                      <w:pPr>
                        <w:ind w:firstLine="0"/>
                        <w:jc w:val="both"/>
                      </w:pPr>
                      <w:r w:rsidRPr="00972266">
                        <w:rPr>
                          <w:rFonts w:ascii="Verdana" w:hAnsi="Verdana"/>
                          <w:sz w:val="18"/>
                          <w:szCs w:val="18"/>
                        </w:rPr>
                        <w:t>WT</w:t>
                      </w:r>
                      <w:r>
                        <w:rPr>
                          <w:rFonts w:ascii="Verdana" w:hAnsi="Verdana"/>
                          <w:sz w:val="18"/>
                          <w:szCs w:val="18"/>
                        </w:rPr>
                        <w:t xml:space="preserve"> =</w:t>
                      </w:r>
                      <w:r w:rsidRPr="00972266">
                        <w:rPr>
                          <w:rFonts w:ascii="Verdana" w:hAnsi="Verdana"/>
                          <w:sz w:val="18"/>
                          <w:szCs w:val="18"/>
                        </w:rPr>
                        <w:t xml:space="preserve"> wild-type littermates</w:t>
                      </w:r>
                      <w:r>
                        <w:rPr>
                          <w:rFonts w:ascii="Verdana" w:hAnsi="Verdana"/>
                          <w:sz w:val="18"/>
                          <w:szCs w:val="18"/>
                        </w:rPr>
                        <w:t>,</w:t>
                      </w:r>
                      <w:r w:rsidRPr="00972266">
                        <w:rPr>
                          <w:rFonts w:ascii="Verdana" w:hAnsi="Verdana"/>
                          <w:sz w:val="18"/>
                          <w:szCs w:val="18"/>
                        </w:rPr>
                        <w:t xml:space="preserve"> TG</w:t>
                      </w:r>
                      <w:r>
                        <w:rPr>
                          <w:rFonts w:ascii="Verdana" w:hAnsi="Verdana"/>
                          <w:sz w:val="18"/>
                          <w:szCs w:val="18"/>
                        </w:rPr>
                        <w:t xml:space="preserve"> =</w:t>
                      </w:r>
                      <w:r w:rsidRPr="00972266">
                        <w:rPr>
                          <w:rFonts w:ascii="Verdana" w:hAnsi="Verdana"/>
                          <w:sz w:val="18"/>
                          <w:szCs w:val="18"/>
                        </w:rPr>
                        <w:t xml:space="preserve"> </w:t>
                      </w:r>
                      <w:r>
                        <w:rPr>
                          <w:rFonts w:ascii="Verdana" w:hAnsi="Verdana"/>
                          <w:sz w:val="18"/>
                          <w:szCs w:val="18"/>
                        </w:rPr>
                        <w:t xml:space="preserve">transgenic </w:t>
                      </w:r>
                      <w:r w:rsidRPr="00972266">
                        <w:rPr>
                          <w:rFonts w:ascii="Verdana" w:hAnsi="Verdana"/>
                          <w:sz w:val="18"/>
                          <w:szCs w:val="18"/>
                        </w:rPr>
                        <w:t>Thy1-Syn14 animals, 3M</w:t>
                      </w:r>
                      <w:r>
                        <w:rPr>
                          <w:rFonts w:ascii="Verdana" w:hAnsi="Verdana"/>
                          <w:sz w:val="18"/>
                          <w:szCs w:val="18"/>
                        </w:rPr>
                        <w:t xml:space="preserve"> =</w:t>
                      </w:r>
                      <w:r w:rsidRPr="00972266">
                        <w:rPr>
                          <w:rFonts w:ascii="Verdana" w:hAnsi="Verdana"/>
                          <w:sz w:val="18"/>
                          <w:szCs w:val="18"/>
                        </w:rPr>
                        <w:t xml:space="preserve"> 3</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6M</w:t>
                      </w:r>
                      <w:r>
                        <w:rPr>
                          <w:rFonts w:ascii="Verdana" w:hAnsi="Verdana"/>
                          <w:sz w:val="18"/>
                          <w:szCs w:val="18"/>
                        </w:rPr>
                        <w:t xml:space="preserve"> = </w:t>
                      </w:r>
                      <w:r w:rsidRPr="00972266">
                        <w:rPr>
                          <w:rFonts w:ascii="Verdana" w:hAnsi="Verdana"/>
                          <w:sz w:val="18"/>
                          <w:szCs w:val="18"/>
                        </w:rPr>
                        <w:t>6</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9M</w:t>
                      </w:r>
                      <w:r>
                        <w:rPr>
                          <w:rFonts w:ascii="Verdana" w:hAnsi="Verdana"/>
                          <w:sz w:val="18"/>
                          <w:szCs w:val="18"/>
                        </w:rPr>
                        <w:t xml:space="preserve"> =</w:t>
                      </w:r>
                      <w:r w:rsidRPr="00972266">
                        <w:rPr>
                          <w:rFonts w:ascii="Verdana" w:hAnsi="Verdana"/>
                          <w:sz w:val="18"/>
                          <w:szCs w:val="18"/>
                        </w:rPr>
                        <w:t xml:space="preserve"> 9</w:t>
                      </w:r>
                      <w:r>
                        <w:rPr>
                          <w:rFonts w:ascii="Verdana" w:hAnsi="Verdana"/>
                          <w:sz w:val="18"/>
                          <w:szCs w:val="18"/>
                        </w:rPr>
                        <w:t>-</w:t>
                      </w:r>
                      <w:r w:rsidRPr="00972266">
                        <w:rPr>
                          <w:rFonts w:ascii="Verdana" w:hAnsi="Verdana"/>
                          <w:sz w:val="18"/>
                          <w:szCs w:val="18"/>
                        </w:rPr>
                        <w:t>months old</w:t>
                      </w:r>
                      <w:r>
                        <w:rPr>
                          <w:rFonts w:ascii="Verdana" w:hAnsi="Verdana"/>
                          <w:sz w:val="18"/>
                          <w:szCs w:val="18"/>
                        </w:rPr>
                        <w:t>,</w:t>
                      </w:r>
                      <w:r w:rsidRPr="00972266">
                        <w:rPr>
                          <w:rFonts w:ascii="Verdana" w:hAnsi="Verdana"/>
                          <w:sz w:val="18"/>
                          <w:szCs w:val="18"/>
                        </w:rPr>
                        <w:t xml:space="preserve"> 13M</w:t>
                      </w:r>
                      <w:r>
                        <w:rPr>
                          <w:rFonts w:ascii="Verdana" w:hAnsi="Verdana"/>
                          <w:sz w:val="18"/>
                          <w:szCs w:val="18"/>
                        </w:rPr>
                        <w:t xml:space="preserve"> =</w:t>
                      </w:r>
                      <w:r w:rsidRPr="00972266">
                        <w:rPr>
                          <w:rFonts w:ascii="Verdana" w:hAnsi="Verdana"/>
                          <w:sz w:val="18"/>
                          <w:szCs w:val="18"/>
                        </w:rPr>
                        <w:t xml:space="preserve"> 13</w:t>
                      </w:r>
                      <w:r>
                        <w:rPr>
                          <w:rFonts w:ascii="Verdana" w:hAnsi="Verdana"/>
                          <w:sz w:val="18"/>
                          <w:szCs w:val="18"/>
                        </w:rPr>
                        <w:t>-</w:t>
                      </w:r>
                      <w:r w:rsidRPr="00972266">
                        <w:rPr>
                          <w:rFonts w:ascii="Verdana" w:hAnsi="Verdana"/>
                          <w:sz w:val="18"/>
                          <w:szCs w:val="18"/>
                        </w:rPr>
                        <w:t>months old</w:t>
                      </w:r>
                    </w:p>
                  </w:txbxContent>
                </v:textbox>
                <w10:wrap type="topAndBottom" anchorx="margin"/>
              </v:shape>
            </w:pict>
          </mc:Fallback>
        </mc:AlternateContent>
      </w:r>
    </w:p>
    <w:p w14:paraId="7C350756" w14:textId="4C840647" w:rsidR="00C47130" w:rsidRDefault="009E5729" w:rsidP="009E5729">
      <w:pPr>
        <w:pStyle w:val="Heading2"/>
        <w:spacing w:line="360" w:lineRule="auto"/>
      </w:pPr>
      <w:bookmarkStart w:id="135" w:name="_Toc130223456"/>
      <w:r>
        <w:lastRenderedPageBreak/>
        <w:t>7.3</w:t>
      </w:r>
      <w:r w:rsidR="00166E12">
        <w:tab/>
      </w:r>
      <w:r w:rsidR="00C47130" w:rsidRPr="001F587C">
        <w:rPr>
          <w:i/>
          <w:iCs/>
        </w:rPr>
        <w:t>E. coli</w:t>
      </w:r>
      <w:r w:rsidR="00C47130">
        <w:t xml:space="preserve"> born Curli drives alpha-synuclein aggregation in Substantia Nigra and Striatum</w:t>
      </w:r>
      <w:bookmarkEnd w:id="135"/>
    </w:p>
    <w:p w14:paraId="5A83D785" w14:textId="09B16E73" w:rsidR="00C240F9" w:rsidRDefault="00A02390" w:rsidP="000071CC">
      <w:pPr>
        <w:autoSpaceDE w:val="0"/>
        <w:autoSpaceDN w:val="0"/>
        <w:adjustRightInd w:val="0"/>
        <w:spacing w:after="0" w:line="360" w:lineRule="auto"/>
        <w:jc w:val="both"/>
        <w:rPr>
          <w:rFonts w:ascii="Verdana" w:hAnsi="Verdana"/>
        </w:rPr>
      </w:pPr>
      <w:r>
        <w:rPr>
          <w:rFonts w:ascii="Verdana" w:hAnsi="Verdana"/>
        </w:rPr>
        <w:t xml:space="preserve">To evaluate the influence of environmental and lifestyle factors on the progression of Parkinson-like phenotypes, Thy1-Syn14 mice were exposed to </w:t>
      </w:r>
      <w:proofErr w:type="spellStart"/>
      <w:r w:rsidR="00A72DE9">
        <w:rPr>
          <w:rFonts w:ascii="Verdana" w:hAnsi="Verdana"/>
        </w:rPr>
        <w:t>fibre</w:t>
      </w:r>
      <w:proofErr w:type="spellEnd"/>
      <w:r>
        <w:rPr>
          <w:rFonts w:ascii="Verdana" w:hAnsi="Verdana"/>
        </w:rPr>
        <w:t xml:space="preserve">-deprivation and </w:t>
      </w:r>
      <w:r w:rsidR="00AA0328">
        <w:rPr>
          <w:rFonts w:ascii="Verdana" w:hAnsi="Verdana"/>
        </w:rPr>
        <w:t xml:space="preserve">bacterial Curli challenges, either alone or in combination. </w:t>
      </w:r>
      <w:r w:rsidR="003603A2">
        <w:rPr>
          <w:rFonts w:ascii="Verdana" w:hAnsi="Verdana"/>
        </w:rPr>
        <w:t xml:space="preserve">Since the </w:t>
      </w:r>
      <w:r w:rsidR="00977047">
        <w:rPr>
          <w:rFonts w:ascii="Verdana" w:hAnsi="Verdana"/>
        </w:rPr>
        <w:t>nigrostriatal</w:t>
      </w:r>
      <w:r w:rsidR="003603A2">
        <w:rPr>
          <w:rFonts w:ascii="Verdana" w:hAnsi="Verdana"/>
        </w:rPr>
        <w:t xml:space="preserve"> pathway degeneration is the main cause of </w:t>
      </w:r>
      <w:r w:rsidR="001F587C">
        <w:rPr>
          <w:rFonts w:ascii="Verdana" w:hAnsi="Verdana"/>
        </w:rPr>
        <w:t xml:space="preserve">motor phenotypes in PD, we investigated </w:t>
      </w:r>
      <w:r w:rsidR="00656ED4">
        <w:rPr>
          <w:rFonts w:ascii="Verdana" w:hAnsi="Verdana"/>
        </w:rPr>
        <w:t>alpha-synuclein aggregation and neurodegeneration in the SN and in the striatum of Thy1-Syn14 mice.</w:t>
      </w:r>
    </w:p>
    <w:p w14:paraId="2797FB56" w14:textId="2E0D2A15" w:rsidR="000071CC" w:rsidRDefault="00656ED4" w:rsidP="007C1575">
      <w:pPr>
        <w:autoSpaceDE w:val="0"/>
        <w:autoSpaceDN w:val="0"/>
        <w:adjustRightInd w:val="0"/>
        <w:spacing w:after="0" w:line="360" w:lineRule="auto"/>
        <w:jc w:val="both"/>
        <w:rPr>
          <w:rFonts w:ascii="Verdana" w:hAnsi="Verdana"/>
        </w:rPr>
      </w:pPr>
      <w:r>
        <w:rPr>
          <w:rFonts w:ascii="Verdana" w:hAnsi="Verdana"/>
        </w:rPr>
        <w:t xml:space="preserve">To quantify alpha-synuclein aggregation levels, we </w:t>
      </w:r>
      <w:r w:rsidR="00B353FB">
        <w:rPr>
          <w:rFonts w:ascii="Verdana" w:hAnsi="Verdana"/>
        </w:rPr>
        <w:t>performed an immunofluorescence staining using the pS129-α</w:t>
      </w:r>
      <w:r w:rsidR="00B353FB" w:rsidRPr="00646FD8">
        <w:rPr>
          <w:rFonts w:ascii="Verdana" w:hAnsi="Verdana"/>
        </w:rPr>
        <w:t>Syn</w:t>
      </w:r>
      <w:r w:rsidR="00B353FB">
        <w:rPr>
          <w:rFonts w:ascii="Verdana" w:hAnsi="Verdana"/>
        </w:rPr>
        <w:t xml:space="preserve"> antibody, which specifically binds to phosphorylated alpha-synuclein. </w:t>
      </w:r>
      <w:r w:rsidR="00163D27">
        <w:rPr>
          <w:rFonts w:ascii="Verdana" w:hAnsi="Verdana"/>
        </w:rPr>
        <w:t>Only the results for TG mice are shown (Figure 2</w:t>
      </w:r>
      <w:r w:rsidR="00BD623E">
        <w:rPr>
          <w:rFonts w:ascii="Verdana" w:hAnsi="Verdana"/>
        </w:rPr>
        <w:t>8</w:t>
      </w:r>
      <w:r w:rsidR="00163D27">
        <w:rPr>
          <w:rFonts w:ascii="Verdana" w:hAnsi="Verdana"/>
        </w:rPr>
        <w:t xml:space="preserve">). </w:t>
      </w:r>
      <w:r w:rsidR="00B15F1D">
        <w:rPr>
          <w:rFonts w:ascii="Verdana" w:hAnsi="Verdana"/>
        </w:rPr>
        <w:t>In the dorsal striatum, the highest levels of phospho</w:t>
      </w:r>
      <w:r w:rsidR="002162FA">
        <w:rPr>
          <w:rFonts w:ascii="Verdana" w:hAnsi="Verdana"/>
        </w:rPr>
        <w:t>rylated alpha</w:t>
      </w:r>
      <w:r w:rsidR="00B15F1D">
        <w:rPr>
          <w:rFonts w:ascii="Verdana" w:hAnsi="Verdana"/>
        </w:rPr>
        <w:t xml:space="preserve">-synuclein staining were detected in the </w:t>
      </w:r>
      <w:r w:rsidR="00B32281">
        <w:rPr>
          <w:rFonts w:ascii="Verdana" w:hAnsi="Verdana"/>
        </w:rPr>
        <w:t xml:space="preserve">FR EC group, and </w:t>
      </w:r>
      <w:r w:rsidR="00981A81">
        <w:rPr>
          <w:rFonts w:ascii="Verdana" w:hAnsi="Verdana"/>
        </w:rPr>
        <w:t>phospho</w:t>
      </w:r>
      <w:r w:rsidR="002162FA">
        <w:rPr>
          <w:rFonts w:ascii="Verdana" w:hAnsi="Verdana"/>
        </w:rPr>
        <w:t>rylated alpha</w:t>
      </w:r>
      <w:r w:rsidR="00981A81">
        <w:rPr>
          <w:rFonts w:ascii="Verdana" w:hAnsi="Verdana"/>
        </w:rPr>
        <w:t>-synuclein levels</w:t>
      </w:r>
      <w:r w:rsidR="008E3905">
        <w:rPr>
          <w:rFonts w:ascii="Verdana" w:hAnsi="Verdana"/>
        </w:rPr>
        <w:t xml:space="preserve"> w</w:t>
      </w:r>
      <w:r w:rsidR="00981A81">
        <w:rPr>
          <w:rFonts w:ascii="Verdana" w:hAnsi="Verdana"/>
        </w:rPr>
        <w:t>ere</w:t>
      </w:r>
      <w:r w:rsidR="008E3905">
        <w:rPr>
          <w:rFonts w:ascii="Verdana" w:hAnsi="Verdana"/>
        </w:rPr>
        <w:t xml:space="preserve"> significantly different to th</w:t>
      </w:r>
      <w:r w:rsidR="00981A81">
        <w:rPr>
          <w:rFonts w:ascii="Verdana" w:hAnsi="Verdana"/>
        </w:rPr>
        <w:t>ose</w:t>
      </w:r>
      <w:r w:rsidR="008E3905">
        <w:rPr>
          <w:rFonts w:ascii="Verdana" w:hAnsi="Verdana"/>
        </w:rPr>
        <w:t xml:space="preserve"> of the FR </w:t>
      </w:r>
      <w:r w:rsidR="008E3905">
        <w:rPr>
          <w:rFonts w:ascii="Times New Roman" w:hAnsi="Times New Roman" w:cs="Times New Roman"/>
        </w:rPr>
        <w:t>Δ</w:t>
      </w:r>
      <w:r w:rsidR="008E3905" w:rsidRPr="00646FD8">
        <w:rPr>
          <w:rFonts w:ascii="Verdana" w:hAnsi="Verdana"/>
        </w:rPr>
        <w:t>EC</w:t>
      </w:r>
      <w:r w:rsidR="008E3905">
        <w:rPr>
          <w:rFonts w:ascii="Verdana" w:hAnsi="Verdana"/>
        </w:rPr>
        <w:t xml:space="preserve"> group</w:t>
      </w:r>
      <w:r w:rsidR="00793D33">
        <w:rPr>
          <w:rFonts w:ascii="Verdana" w:hAnsi="Verdana"/>
        </w:rPr>
        <w:t xml:space="preserve"> (Figure 2</w:t>
      </w:r>
      <w:r w:rsidR="00BD623E">
        <w:rPr>
          <w:rFonts w:ascii="Verdana" w:hAnsi="Verdana"/>
        </w:rPr>
        <w:t>8</w:t>
      </w:r>
      <w:r w:rsidR="00793D33">
        <w:rPr>
          <w:rFonts w:ascii="Verdana" w:hAnsi="Verdana"/>
        </w:rPr>
        <w:t>A)</w:t>
      </w:r>
      <w:r w:rsidR="008E3905">
        <w:rPr>
          <w:rFonts w:ascii="Verdana" w:hAnsi="Verdana"/>
        </w:rPr>
        <w:t>.</w:t>
      </w:r>
      <w:r w:rsidR="00981A81">
        <w:rPr>
          <w:rFonts w:ascii="Verdana" w:hAnsi="Verdana"/>
        </w:rPr>
        <w:t xml:space="preserve"> </w:t>
      </w:r>
      <w:r w:rsidR="00A16C49">
        <w:rPr>
          <w:rFonts w:ascii="Verdana" w:hAnsi="Verdana"/>
        </w:rPr>
        <w:t>In the Substantia Nigra pars compacta (</w:t>
      </w:r>
      <w:proofErr w:type="spellStart"/>
      <w:r w:rsidR="00A16C49">
        <w:rPr>
          <w:rFonts w:ascii="Verdana" w:hAnsi="Verdana"/>
        </w:rPr>
        <w:t>SNpc</w:t>
      </w:r>
      <w:proofErr w:type="spellEnd"/>
      <w:r w:rsidR="00A16C49">
        <w:rPr>
          <w:rFonts w:ascii="Verdana" w:hAnsi="Verdana"/>
        </w:rPr>
        <w:t>), p</w:t>
      </w:r>
      <w:r w:rsidR="00B722BB">
        <w:rPr>
          <w:rFonts w:ascii="Verdana" w:hAnsi="Verdana"/>
        </w:rPr>
        <w:t>hosphorylated alpha-synuclein positive</w:t>
      </w:r>
      <w:r w:rsidR="00A16C49">
        <w:rPr>
          <w:rFonts w:ascii="Verdana" w:hAnsi="Verdana"/>
        </w:rPr>
        <w:t xml:space="preserve"> signal </w:t>
      </w:r>
      <w:r w:rsidR="00DE3E0A">
        <w:rPr>
          <w:rFonts w:ascii="Verdana" w:hAnsi="Verdana"/>
        </w:rPr>
        <w:t xml:space="preserve">was localized </w:t>
      </w:r>
      <w:r w:rsidR="00A16C49">
        <w:rPr>
          <w:rFonts w:ascii="Verdana" w:hAnsi="Verdana"/>
        </w:rPr>
        <w:t xml:space="preserve">either in the cell body </w:t>
      </w:r>
      <w:r w:rsidR="00DE3E0A">
        <w:rPr>
          <w:rFonts w:ascii="Verdana" w:hAnsi="Verdana"/>
        </w:rPr>
        <w:t xml:space="preserve">or in neurite-like structures. </w:t>
      </w:r>
      <w:r w:rsidR="00531B4A">
        <w:rPr>
          <w:rFonts w:ascii="Verdana" w:hAnsi="Verdana"/>
        </w:rPr>
        <w:t>Phospho</w:t>
      </w:r>
      <w:r w:rsidR="00672E47">
        <w:rPr>
          <w:rFonts w:ascii="Verdana" w:hAnsi="Verdana"/>
        </w:rPr>
        <w:t>rylated alpha</w:t>
      </w:r>
      <w:r w:rsidR="00A8362E">
        <w:rPr>
          <w:rFonts w:ascii="Verdana" w:hAnsi="Verdana"/>
        </w:rPr>
        <w:t xml:space="preserve">-synuclein </w:t>
      </w:r>
      <w:r w:rsidR="00531B4A">
        <w:rPr>
          <w:rFonts w:ascii="Verdana" w:hAnsi="Verdana"/>
        </w:rPr>
        <w:t xml:space="preserve">staining for both signal types were the highest in the FD EC challenged transgenic mice (Figure </w:t>
      </w:r>
      <w:r w:rsidR="00F90D80">
        <w:rPr>
          <w:rFonts w:ascii="Verdana" w:hAnsi="Verdana"/>
        </w:rPr>
        <w:t>2</w:t>
      </w:r>
      <w:r w:rsidR="00B6177C">
        <w:rPr>
          <w:rFonts w:ascii="Verdana" w:hAnsi="Verdana"/>
        </w:rPr>
        <w:t>7</w:t>
      </w:r>
      <w:r w:rsidR="00531B4A">
        <w:rPr>
          <w:rFonts w:ascii="Verdana" w:hAnsi="Verdana"/>
        </w:rPr>
        <w:t>B).</w:t>
      </w:r>
      <w:r w:rsidR="003052EF">
        <w:rPr>
          <w:rFonts w:ascii="Verdana" w:hAnsi="Verdana"/>
        </w:rPr>
        <w:t xml:space="preserve"> </w:t>
      </w:r>
      <w:r w:rsidR="009557E2">
        <w:rPr>
          <w:rFonts w:ascii="Verdana" w:hAnsi="Verdana"/>
        </w:rPr>
        <w:t xml:space="preserve">Qualitatively, we observed three forms of </w:t>
      </w:r>
      <w:r w:rsidR="00842FDE">
        <w:rPr>
          <w:rFonts w:ascii="Verdana" w:hAnsi="Verdana"/>
        </w:rPr>
        <w:t>aggregates: bead like varicosities (Figure 2</w:t>
      </w:r>
      <w:r w:rsidR="00BD623E">
        <w:rPr>
          <w:rFonts w:ascii="Verdana" w:hAnsi="Verdana"/>
        </w:rPr>
        <w:t>8</w:t>
      </w:r>
      <w:r w:rsidR="00842FDE">
        <w:rPr>
          <w:rFonts w:ascii="Verdana" w:hAnsi="Verdana"/>
        </w:rPr>
        <w:t>B, bottom panel, white arrows), spheroid aggregates (Figure 2</w:t>
      </w:r>
      <w:r w:rsidR="00BD623E">
        <w:rPr>
          <w:rFonts w:ascii="Verdana" w:hAnsi="Verdana"/>
        </w:rPr>
        <w:t>8</w:t>
      </w:r>
      <w:r w:rsidR="00842FDE">
        <w:rPr>
          <w:rFonts w:ascii="Verdana" w:hAnsi="Verdana"/>
        </w:rPr>
        <w:t xml:space="preserve">B, bottom panel, open white arrows), and corkscrew-like aggregates (Figure </w:t>
      </w:r>
      <w:r w:rsidR="00B6177C">
        <w:rPr>
          <w:rFonts w:ascii="Verdana" w:hAnsi="Verdana"/>
        </w:rPr>
        <w:t>2</w:t>
      </w:r>
      <w:r w:rsidR="00BD623E">
        <w:rPr>
          <w:rFonts w:ascii="Verdana" w:hAnsi="Verdana"/>
        </w:rPr>
        <w:t>8</w:t>
      </w:r>
      <w:r w:rsidR="00842FDE">
        <w:rPr>
          <w:rFonts w:ascii="Verdana" w:hAnsi="Verdana"/>
        </w:rPr>
        <w:t>B, bottom panel, blue arrows).</w:t>
      </w:r>
      <w:r w:rsidR="00701026">
        <w:rPr>
          <w:rFonts w:ascii="Verdana" w:hAnsi="Verdana"/>
        </w:rPr>
        <w:t xml:space="preserve"> Taken together, these results suggest that</w:t>
      </w:r>
      <w:r w:rsidR="00C1228F">
        <w:rPr>
          <w:rFonts w:ascii="Verdana" w:hAnsi="Verdana"/>
        </w:rPr>
        <w:t xml:space="preserve"> </w:t>
      </w:r>
      <w:r w:rsidR="00C1228F" w:rsidRPr="00C1228F">
        <w:rPr>
          <w:rFonts w:ascii="Verdana" w:hAnsi="Verdana"/>
          <w:i/>
          <w:iCs/>
        </w:rPr>
        <w:t>E. coli</w:t>
      </w:r>
      <w:r w:rsidR="00C1228F">
        <w:rPr>
          <w:rFonts w:ascii="Verdana" w:hAnsi="Verdana"/>
        </w:rPr>
        <w:t xml:space="preserve"> originated Curli</w:t>
      </w:r>
      <w:r w:rsidR="00701026">
        <w:rPr>
          <w:rFonts w:ascii="Verdana" w:hAnsi="Verdana"/>
        </w:rPr>
        <w:t xml:space="preserve"> </w:t>
      </w:r>
      <w:r w:rsidR="00C1228F">
        <w:rPr>
          <w:rFonts w:ascii="Verdana" w:hAnsi="Verdana"/>
        </w:rPr>
        <w:t>is the main factor responsible for phospho</w:t>
      </w:r>
      <w:r w:rsidR="00672E47">
        <w:rPr>
          <w:rFonts w:ascii="Verdana" w:hAnsi="Verdana"/>
        </w:rPr>
        <w:t>rylated alpha</w:t>
      </w:r>
      <w:r w:rsidR="00C1228F">
        <w:rPr>
          <w:rFonts w:ascii="Verdana" w:hAnsi="Verdana"/>
        </w:rPr>
        <w:t xml:space="preserve">-synuclein positive aggregates formation, </w:t>
      </w:r>
      <w:r w:rsidR="007C1575">
        <w:rPr>
          <w:rFonts w:ascii="Verdana" w:hAnsi="Verdana"/>
        </w:rPr>
        <w:t xml:space="preserve">and that </w:t>
      </w:r>
      <w:proofErr w:type="spellStart"/>
      <w:r w:rsidR="00A72DE9">
        <w:rPr>
          <w:rFonts w:ascii="Verdana" w:hAnsi="Verdana"/>
        </w:rPr>
        <w:t>fibre</w:t>
      </w:r>
      <w:proofErr w:type="spellEnd"/>
      <w:r w:rsidR="007C1575">
        <w:rPr>
          <w:rFonts w:ascii="Verdana" w:hAnsi="Verdana"/>
        </w:rPr>
        <w:t>-deprivation contributes to this process.</w:t>
      </w:r>
    </w:p>
    <w:p w14:paraId="51CFBDE2" w14:textId="29B46118" w:rsidR="00EE0FE4" w:rsidRDefault="00EE0FE4">
      <w:pPr>
        <w:ind w:firstLine="0"/>
        <w:rPr>
          <w:rFonts w:ascii="Verdana" w:hAnsi="Verdana"/>
        </w:rPr>
      </w:pPr>
      <w:r>
        <w:rPr>
          <w:rFonts w:ascii="Verdana" w:hAnsi="Verdana"/>
        </w:rPr>
        <w:br w:type="page"/>
      </w:r>
    </w:p>
    <w:p w14:paraId="25626AE1" w14:textId="45DE9905" w:rsidR="00EE0FE4" w:rsidRPr="001D2CB1" w:rsidRDefault="009E5729" w:rsidP="009E5729">
      <w:pPr>
        <w:pStyle w:val="Heading2"/>
        <w:spacing w:line="360" w:lineRule="auto"/>
      </w:pPr>
      <w:bookmarkStart w:id="136" w:name="_Toc130223457"/>
      <w:r>
        <w:lastRenderedPageBreak/>
        <w:t>7.4</w:t>
      </w:r>
      <w:r w:rsidR="001D2CB1" w:rsidRPr="001D2CB1">
        <w:t xml:space="preserve"> </w:t>
      </w:r>
      <w:r w:rsidR="00E16E2C">
        <w:t xml:space="preserve">The combination </w:t>
      </w:r>
      <w:r w:rsidR="00E16E2C" w:rsidRPr="00E16E2C">
        <w:rPr>
          <w:lang w:val="en-GB"/>
        </w:rPr>
        <w:t>of f</w:t>
      </w:r>
      <w:r w:rsidR="00040DA7" w:rsidRPr="00E16E2C">
        <w:rPr>
          <w:lang w:val="en-GB"/>
        </w:rPr>
        <w:t>ibre-</w:t>
      </w:r>
      <w:r w:rsidR="00040DA7">
        <w:t xml:space="preserve">deprivation and </w:t>
      </w:r>
      <w:r w:rsidR="00E16E2C">
        <w:t>bacterial Curli drives n</w:t>
      </w:r>
      <w:r w:rsidR="00EE0FE4" w:rsidRPr="001D2CB1">
        <w:t>eurodegeneration in Thy1-Syn14 mice</w:t>
      </w:r>
      <w:bookmarkEnd w:id="136"/>
    </w:p>
    <w:p w14:paraId="4211C8B7" w14:textId="03AAB15E" w:rsidR="00E22BF1" w:rsidRDefault="004A1A62" w:rsidP="00013E98">
      <w:pPr>
        <w:autoSpaceDE w:val="0"/>
        <w:autoSpaceDN w:val="0"/>
        <w:adjustRightInd w:val="0"/>
        <w:spacing w:after="0" w:line="360" w:lineRule="auto"/>
        <w:jc w:val="both"/>
        <w:rPr>
          <w:rFonts w:ascii="Verdana" w:hAnsi="Verdana"/>
        </w:rPr>
      </w:pPr>
      <w:r>
        <w:rPr>
          <w:rFonts w:ascii="Verdana" w:hAnsi="Verdana"/>
        </w:rPr>
        <w:t xml:space="preserve">In Chapter 6.3 </w:t>
      </w:r>
      <w:r w:rsidR="00013E98">
        <w:rPr>
          <w:rFonts w:ascii="Verdana" w:hAnsi="Verdana"/>
        </w:rPr>
        <w:t xml:space="preserve">we have reported </w:t>
      </w:r>
      <w:r w:rsidR="001A5981">
        <w:rPr>
          <w:rFonts w:ascii="Verdana" w:hAnsi="Verdana"/>
        </w:rPr>
        <w:t>that</w:t>
      </w:r>
      <w:r w:rsidR="00277DF9">
        <w:rPr>
          <w:rFonts w:ascii="Verdana" w:hAnsi="Verdana"/>
        </w:rPr>
        <w:t xml:space="preserve"> the overexpression of transgenic alpha-synuclein in</w:t>
      </w:r>
      <w:r w:rsidR="001A5981">
        <w:rPr>
          <w:rFonts w:ascii="Verdana" w:hAnsi="Verdana"/>
        </w:rPr>
        <w:t xml:space="preserve"> Thy1-Syn14 mice </w:t>
      </w:r>
      <w:r w:rsidR="00277DF9">
        <w:rPr>
          <w:rFonts w:ascii="Verdana" w:hAnsi="Verdana"/>
        </w:rPr>
        <w:t xml:space="preserve">is not sufficient to cause </w:t>
      </w:r>
      <w:r w:rsidR="00977047">
        <w:rPr>
          <w:rFonts w:ascii="Verdana" w:hAnsi="Verdana"/>
        </w:rPr>
        <w:t>nigrostriatal</w:t>
      </w:r>
      <w:r w:rsidR="00277DF9">
        <w:rPr>
          <w:rFonts w:ascii="Verdana" w:hAnsi="Verdana"/>
        </w:rPr>
        <w:t xml:space="preserve"> degeneration.</w:t>
      </w:r>
      <w:r w:rsidR="00013E98">
        <w:rPr>
          <w:rFonts w:ascii="Verdana" w:hAnsi="Verdana"/>
        </w:rPr>
        <w:t xml:space="preserve"> </w:t>
      </w:r>
      <w:r w:rsidR="00C56DE8">
        <w:rPr>
          <w:rFonts w:ascii="Verdana" w:hAnsi="Verdana"/>
        </w:rPr>
        <w:t xml:space="preserve">To investigate whether the </w:t>
      </w:r>
      <w:r>
        <w:rPr>
          <w:rFonts w:ascii="Verdana" w:hAnsi="Verdana"/>
        </w:rPr>
        <w:t xml:space="preserve">diet challenge or the bacterial challenge could lead, alone or in combination, to neurodegeneration in the </w:t>
      </w:r>
      <w:r w:rsidR="00977047">
        <w:rPr>
          <w:rFonts w:ascii="Verdana" w:hAnsi="Verdana"/>
        </w:rPr>
        <w:t>nigrostriatal</w:t>
      </w:r>
      <w:r>
        <w:rPr>
          <w:rFonts w:ascii="Verdana" w:hAnsi="Verdana"/>
        </w:rPr>
        <w:t xml:space="preserve"> pathway</w:t>
      </w:r>
      <w:r w:rsidR="00013E98">
        <w:rPr>
          <w:rFonts w:ascii="Verdana" w:hAnsi="Verdana"/>
        </w:rPr>
        <w:t>, we quantified</w:t>
      </w:r>
      <w:r w:rsidR="00E22BF1">
        <w:rPr>
          <w:rFonts w:ascii="Verdana" w:hAnsi="Verdana"/>
        </w:rPr>
        <w:t xml:space="preserve"> Tyrosine Hydroxylase (TH) and </w:t>
      </w:r>
      <w:r w:rsidR="004644B5">
        <w:rPr>
          <w:rFonts w:ascii="Verdana" w:hAnsi="Verdana"/>
        </w:rPr>
        <w:t>Dopamine Transporter (DAT) staining</w:t>
      </w:r>
      <w:r w:rsidR="001A5981">
        <w:rPr>
          <w:rFonts w:ascii="Verdana" w:hAnsi="Verdana"/>
        </w:rPr>
        <w:t xml:space="preserve"> in the dorsal striatum</w:t>
      </w:r>
      <w:r w:rsidR="004644B5">
        <w:rPr>
          <w:rFonts w:ascii="Verdana" w:hAnsi="Verdana"/>
        </w:rPr>
        <w:t xml:space="preserve">. </w:t>
      </w:r>
      <w:r w:rsidR="00582ECF">
        <w:rPr>
          <w:rFonts w:ascii="Verdana" w:hAnsi="Verdana"/>
        </w:rPr>
        <w:t xml:space="preserve">Nor </w:t>
      </w:r>
      <w:proofErr w:type="spellStart"/>
      <w:r w:rsidR="00582ECF">
        <w:rPr>
          <w:rFonts w:ascii="Verdana" w:hAnsi="Verdana"/>
        </w:rPr>
        <w:t>fibre</w:t>
      </w:r>
      <w:proofErr w:type="spellEnd"/>
      <w:r w:rsidR="00582ECF">
        <w:rPr>
          <w:rFonts w:ascii="Verdana" w:hAnsi="Verdana"/>
        </w:rPr>
        <w:t xml:space="preserve">-deprivation nor Curli exposure caused </w:t>
      </w:r>
      <w:r w:rsidR="000F582F">
        <w:rPr>
          <w:rFonts w:ascii="Verdana" w:hAnsi="Verdana"/>
        </w:rPr>
        <w:t xml:space="preserve">a neurodegenerative phenotype in WT mice, thus only results for TG mice are presented. </w:t>
      </w:r>
      <w:r w:rsidR="00391A27">
        <w:rPr>
          <w:rFonts w:ascii="Verdana" w:hAnsi="Verdana"/>
        </w:rPr>
        <w:t xml:space="preserve">While TG mice exposed to the </w:t>
      </w:r>
      <w:proofErr w:type="spellStart"/>
      <w:r w:rsidR="00391A27">
        <w:rPr>
          <w:rFonts w:ascii="Verdana" w:hAnsi="Verdana"/>
        </w:rPr>
        <w:t>fibre</w:t>
      </w:r>
      <w:proofErr w:type="spellEnd"/>
      <w:r w:rsidR="00391A27">
        <w:rPr>
          <w:rFonts w:ascii="Verdana" w:hAnsi="Verdana"/>
        </w:rPr>
        <w:t xml:space="preserve">-rich diet did not show significant differences </w:t>
      </w:r>
      <w:r w:rsidR="00AE2DC3">
        <w:rPr>
          <w:rFonts w:ascii="Verdana" w:hAnsi="Verdana"/>
        </w:rPr>
        <w:t>from WT mic</w:t>
      </w:r>
      <w:r w:rsidR="003F38A0">
        <w:rPr>
          <w:rFonts w:ascii="Verdana" w:hAnsi="Verdana"/>
        </w:rPr>
        <w:t>e</w:t>
      </w:r>
      <w:r w:rsidR="00AE2DC3">
        <w:rPr>
          <w:rFonts w:ascii="Verdana" w:hAnsi="Verdana"/>
        </w:rPr>
        <w:t>,</w:t>
      </w:r>
      <w:r w:rsidR="00391A27">
        <w:rPr>
          <w:rFonts w:ascii="Verdana" w:hAnsi="Verdana"/>
        </w:rPr>
        <w:t xml:space="preserve"> </w:t>
      </w:r>
      <w:r w:rsidR="00AE2DC3">
        <w:rPr>
          <w:rFonts w:ascii="Verdana" w:hAnsi="Verdana"/>
        </w:rPr>
        <w:t>s</w:t>
      </w:r>
      <w:r w:rsidR="0095130B">
        <w:rPr>
          <w:rFonts w:ascii="Verdana" w:hAnsi="Verdana"/>
        </w:rPr>
        <w:t xml:space="preserve">taining for both markers was </w:t>
      </w:r>
      <w:r w:rsidR="005537D7">
        <w:rPr>
          <w:rFonts w:ascii="Verdana" w:hAnsi="Verdana"/>
        </w:rPr>
        <w:t>significantly</w:t>
      </w:r>
      <w:r w:rsidR="0095130B">
        <w:rPr>
          <w:rFonts w:ascii="Verdana" w:hAnsi="Verdana"/>
        </w:rPr>
        <w:t xml:space="preserve"> reduced in TG mice e</w:t>
      </w:r>
      <w:r w:rsidR="005537D7">
        <w:rPr>
          <w:rFonts w:ascii="Verdana" w:hAnsi="Verdana"/>
        </w:rPr>
        <w:t>xposed to the combined FD and EC challenges (Figure 2</w:t>
      </w:r>
      <w:r w:rsidR="00BD623E">
        <w:rPr>
          <w:rFonts w:ascii="Verdana" w:hAnsi="Verdana"/>
        </w:rPr>
        <w:t>8</w:t>
      </w:r>
      <w:r w:rsidR="005537D7">
        <w:rPr>
          <w:rFonts w:ascii="Verdana" w:hAnsi="Verdana"/>
        </w:rPr>
        <w:t xml:space="preserve">C and D). In the </w:t>
      </w:r>
      <w:proofErr w:type="spellStart"/>
      <w:r w:rsidR="005537D7">
        <w:rPr>
          <w:rFonts w:ascii="Verdana" w:hAnsi="Verdana"/>
        </w:rPr>
        <w:t>SNpc</w:t>
      </w:r>
      <w:proofErr w:type="spellEnd"/>
      <w:r w:rsidR="005537D7">
        <w:rPr>
          <w:rFonts w:ascii="Verdana" w:hAnsi="Verdana"/>
        </w:rPr>
        <w:t xml:space="preserve">, </w:t>
      </w:r>
      <w:r w:rsidR="00700B93">
        <w:rPr>
          <w:rFonts w:ascii="Verdana" w:hAnsi="Verdana"/>
        </w:rPr>
        <w:t xml:space="preserve">loss of dopaminergic neurons was evaluated by quantification of the TH-positive occupied area as described in Materials and Methods. </w:t>
      </w:r>
      <w:r w:rsidR="00F918D4">
        <w:rPr>
          <w:rFonts w:ascii="Verdana" w:hAnsi="Verdana"/>
        </w:rPr>
        <w:t xml:space="preserve">Significant </w:t>
      </w:r>
      <w:proofErr w:type="spellStart"/>
      <w:r w:rsidR="00F918D4">
        <w:rPr>
          <w:rFonts w:ascii="Verdana" w:hAnsi="Verdana"/>
        </w:rPr>
        <w:t>D</w:t>
      </w:r>
      <w:r w:rsidR="00F94CC1">
        <w:rPr>
          <w:rFonts w:ascii="Verdana" w:hAnsi="Verdana"/>
        </w:rPr>
        <w:t>A</w:t>
      </w:r>
      <w:r w:rsidR="00F918D4">
        <w:rPr>
          <w:rFonts w:ascii="Verdana" w:hAnsi="Verdana"/>
        </w:rPr>
        <w:t>n</w:t>
      </w:r>
      <w:proofErr w:type="spellEnd"/>
      <w:r w:rsidR="00F918D4">
        <w:rPr>
          <w:rFonts w:ascii="Verdana" w:hAnsi="Verdana"/>
        </w:rPr>
        <w:t xml:space="preserve"> loss was present in both the </w:t>
      </w:r>
      <w:r w:rsidR="008172ED">
        <w:rPr>
          <w:rFonts w:ascii="Verdana" w:hAnsi="Verdana"/>
        </w:rPr>
        <w:t>FR EC and FD EC groups, indicating a major contribution of bacterial Curli to neuronal loss (Figure 2</w:t>
      </w:r>
      <w:r w:rsidR="00BD623E">
        <w:rPr>
          <w:rFonts w:ascii="Verdana" w:hAnsi="Verdana"/>
        </w:rPr>
        <w:t>8</w:t>
      </w:r>
      <w:r w:rsidR="008172ED">
        <w:rPr>
          <w:rFonts w:ascii="Verdana" w:hAnsi="Verdana"/>
        </w:rPr>
        <w:t xml:space="preserve">E). </w:t>
      </w:r>
      <w:r w:rsidR="00177CBA">
        <w:rPr>
          <w:rFonts w:ascii="Verdana" w:hAnsi="Verdana"/>
        </w:rPr>
        <w:t>Nevertheless</w:t>
      </w:r>
      <w:r w:rsidR="006E2EAB">
        <w:rPr>
          <w:rFonts w:ascii="Verdana" w:hAnsi="Verdana"/>
        </w:rPr>
        <w:t xml:space="preserve">, the neuronal loss was exacerbated by the </w:t>
      </w:r>
      <w:proofErr w:type="spellStart"/>
      <w:r w:rsidR="00A72DE9">
        <w:rPr>
          <w:rFonts w:ascii="Verdana" w:hAnsi="Verdana"/>
        </w:rPr>
        <w:t>fibre</w:t>
      </w:r>
      <w:proofErr w:type="spellEnd"/>
      <w:r w:rsidR="006E2EAB">
        <w:rPr>
          <w:rFonts w:ascii="Verdana" w:hAnsi="Verdana"/>
        </w:rPr>
        <w:t>-deprivation</w:t>
      </w:r>
      <w:r w:rsidR="00177CBA">
        <w:rPr>
          <w:rFonts w:ascii="Verdana" w:hAnsi="Verdana"/>
        </w:rPr>
        <w:t xml:space="preserve">, suggesting that dietary changes can increase the susceptibility to </w:t>
      </w:r>
      <w:r w:rsidR="00F04DAE">
        <w:rPr>
          <w:rFonts w:ascii="Verdana" w:hAnsi="Verdana"/>
        </w:rPr>
        <w:t>Curli-dependent neurodegeneration.</w:t>
      </w:r>
      <w:r w:rsidR="00F05FC4">
        <w:rPr>
          <w:rFonts w:ascii="Verdana" w:hAnsi="Verdana"/>
        </w:rPr>
        <w:t xml:space="preserve"> </w:t>
      </w:r>
      <w:r w:rsidR="000954DE">
        <w:rPr>
          <w:rFonts w:ascii="Verdana" w:hAnsi="Verdana"/>
        </w:rPr>
        <w:t>Furthermore,</w:t>
      </w:r>
      <w:r w:rsidR="00DF2753">
        <w:rPr>
          <w:rFonts w:ascii="Verdana" w:hAnsi="Verdana"/>
        </w:rPr>
        <w:t xml:space="preserve"> the absence of neuronal deficits in WT mice indicates that</w:t>
      </w:r>
      <w:r w:rsidR="000954DE">
        <w:rPr>
          <w:rFonts w:ascii="Verdana" w:hAnsi="Verdana"/>
        </w:rPr>
        <w:t xml:space="preserve"> the presence of a pre-existing risk factor, such as alpha-synuclein overexpression, appears to be necessary for bacterial</w:t>
      </w:r>
      <w:r w:rsidR="0068571D">
        <w:rPr>
          <w:rFonts w:ascii="Verdana" w:hAnsi="Verdana"/>
        </w:rPr>
        <w:t>-</w:t>
      </w:r>
      <w:r w:rsidR="000954DE">
        <w:rPr>
          <w:rFonts w:ascii="Verdana" w:hAnsi="Verdana"/>
        </w:rPr>
        <w:t xml:space="preserve"> and diet</w:t>
      </w:r>
      <w:r w:rsidR="0068571D">
        <w:rPr>
          <w:rFonts w:ascii="Verdana" w:hAnsi="Verdana"/>
        </w:rPr>
        <w:t>-</w:t>
      </w:r>
      <w:r w:rsidR="00DB740B">
        <w:rPr>
          <w:rFonts w:ascii="Verdana" w:hAnsi="Verdana"/>
        </w:rPr>
        <w:t>dependent neurodegeneration.</w:t>
      </w:r>
      <w:r w:rsidR="00F05FC4">
        <w:rPr>
          <w:rFonts w:ascii="Verdana" w:hAnsi="Verdana"/>
        </w:rPr>
        <w:t xml:space="preserve"> </w:t>
      </w:r>
    </w:p>
    <w:p w14:paraId="162535EF" w14:textId="6DB87EB9" w:rsidR="00EE0FE4" w:rsidRPr="000071CC" w:rsidRDefault="00EE0FE4" w:rsidP="00177CBA">
      <w:pPr>
        <w:autoSpaceDE w:val="0"/>
        <w:autoSpaceDN w:val="0"/>
        <w:adjustRightInd w:val="0"/>
        <w:spacing w:after="0" w:line="360" w:lineRule="auto"/>
        <w:ind w:firstLine="0"/>
        <w:jc w:val="both"/>
        <w:rPr>
          <w:sz w:val="23"/>
          <w:szCs w:val="23"/>
        </w:rPr>
      </w:pPr>
    </w:p>
    <w:p w14:paraId="07FD8EF8" w14:textId="77777777" w:rsidR="00EE0FE4" w:rsidRPr="007C1575" w:rsidRDefault="00EE0FE4" w:rsidP="007C1575">
      <w:pPr>
        <w:autoSpaceDE w:val="0"/>
        <w:autoSpaceDN w:val="0"/>
        <w:adjustRightInd w:val="0"/>
        <w:spacing w:after="0" w:line="360" w:lineRule="auto"/>
        <w:jc w:val="both"/>
        <w:rPr>
          <w:rFonts w:ascii="Verdana" w:hAnsi="Verdana"/>
        </w:rPr>
      </w:pPr>
    </w:p>
    <w:p w14:paraId="2225AE81" w14:textId="6501A90B" w:rsidR="000071CC" w:rsidRPr="000071CC" w:rsidRDefault="006B28C0" w:rsidP="000071CC">
      <w:pPr>
        <w:ind w:firstLine="0"/>
        <w:rPr>
          <w:rFonts w:ascii="Verdana" w:hAnsi="Verdana"/>
          <w:b/>
          <w:bCs/>
          <w:sz w:val="24"/>
          <w:szCs w:val="24"/>
        </w:rPr>
      </w:pPr>
      <w:r>
        <w:rPr>
          <w:noProof/>
        </w:rPr>
        <w:lastRenderedPageBreak/>
        <mc:AlternateContent>
          <mc:Choice Requires="wps">
            <w:drawing>
              <wp:anchor distT="0" distB="0" distL="114300" distR="114300" simplePos="0" relativeHeight="251925504" behindDoc="0" locked="0" layoutInCell="1" allowOverlap="1" wp14:anchorId="1DF2A6FD" wp14:editId="0BBF0A87">
                <wp:simplePos x="0" y="0"/>
                <wp:positionH relativeFrom="margin">
                  <wp:align>right</wp:align>
                </wp:positionH>
                <wp:positionV relativeFrom="paragraph">
                  <wp:posOffset>6400040</wp:posOffset>
                </wp:positionV>
                <wp:extent cx="5585460" cy="635"/>
                <wp:effectExtent l="0" t="0" r="0" b="2540"/>
                <wp:wrapTopAndBottom/>
                <wp:docPr id="29" name="Text Box 29"/>
                <wp:cNvGraphicFramePr/>
                <a:graphic xmlns:a="http://schemas.openxmlformats.org/drawingml/2006/main">
                  <a:graphicData uri="http://schemas.microsoft.com/office/word/2010/wordprocessingShape">
                    <wps:wsp>
                      <wps:cNvSpPr txBox="1"/>
                      <wps:spPr>
                        <a:xfrm>
                          <a:off x="0" y="0"/>
                          <a:ext cx="5585460" cy="635"/>
                        </a:xfrm>
                        <a:prstGeom prst="rect">
                          <a:avLst/>
                        </a:prstGeom>
                        <a:solidFill>
                          <a:prstClr val="white"/>
                        </a:solidFill>
                        <a:ln>
                          <a:noFill/>
                        </a:ln>
                      </wps:spPr>
                      <wps:txbx>
                        <w:txbxContent>
                          <w:p w14:paraId="505B9066" w14:textId="42047D87" w:rsidR="007751EC" w:rsidRDefault="006709A3" w:rsidP="006B28C0">
                            <w:pPr>
                              <w:pStyle w:val="Default"/>
                              <w:spacing w:after="120"/>
                              <w:jc w:val="both"/>
                              <w:rPr>
                                <w:rFonts w:ascii="Verdana" w:hAnsi="Verdana" w:cs="Arial"/>
                                <w:b/>
                                <w:bCs/>
                                <w:sz w:val="18"/>
                                <w:szCs w:val="18"/>
                              </w:rPr>
                            </w:pPr>
                            <w:bookmarkStart w:id="137" w:name="_Toc131412770"/>
                            <w:r w:rsidRPr="006709A3">
                              <w:rPr>
                                <w:rFonts w:ascii="Verdana" w:hAnsi="Verdana"/>
                                <w:b/>
                                <w:bCs/>
                                <w:color w:val="auto"/>
                                <w:sz w:val="18"/>
                                <w:szCs w:val="18"/>
                              </w:rPr>
                              <w:t xml:space="preserve">Figure </w:t>
                            </w:r>
                            <w:r w:rsidRPr="006709A3">
                              <w:rPr>
                                <w:rFonts w:ascii="Verdana" w:hAnsi="Verdana"/>
                                <w:b/>
                                <w:bCs/>
                                <w:color w:val="auto"/>
                                <w:sz w:val="18"/>
                                <w:szCs w:val="18"/>
                              </w:rPr>
                              <w:fldChar w:fldCharType="begin"/>
                            </w:r>
                            <w:r w:rsidRPr="006709A3">
                              <w:rPr>
                                <w:rFonts w:ascii="Verdana" w:hAnsi="Verdana"/>
                                <w:b/>
                                <w:bCs/>
                                <w:color w:val="auto"/>
                                <w:sz w:val="18"/>
                                <w:szCs w:val="18"/>
                              </w:rPr>
                              <w:instrText xml:space="preserve"> SEQ Figure \* ARABIC </w:instrText>
                            </w:r>
                            <w:r w:rsidRPr="006709A3">
                              <w:rPr>
                                <w:rFonts w:ascii="Verdana" w:hAnsi="Verdana"/>
                                <w:b/>
                                <w:bCs/>
                                <w:color w:val="auto"/>
                                <w:sz w:val="18"/>
                                <w:szCs w:val="18"/>
                              </w:rPr>
                              <w:fldChar w:fldCharType="separate"/>
                            </w:r>
                            <w:r w:rsidR="001D505F">
                              <w:rPr>
                                <w:rFonts w:ascii="Verdana" w:hAnsi="Verdana"/>
                                <w:b/>
                                <w:bCs/>
                                <w:noProof/>
                                <w:color w:val="auto"/>
                                <w:sz w:val="18"/>
                                <w:szCs w:val="18"/>
                              </w:rPr>
                              <w:t>28</w:t>
                            </w:r>
                            <w:r w:rsidRPr="006709A3">
                              <w:rPr>
                                <w:rFonts w:ascii="Verdana" w:hAnsi="Verdana"/>
                                <w:b/>
                                <w:bCs/>
                                <w:color w:val="auto"/>
                                <w:sz w:val="18"/>
                                <w:szCs w:val="18"/>
                              </w:rPr>
                              <w:fldChar w:fldCharType="end"/>
                            </w:r>
                            <w:r w:rsidRPr="006709A3">
                              <w:rPr>
                                <w:rFonts w:ascii="Verdana" w:hAnsi="Verdana"/>
                                <w:b/>
                                <w:bCs/>
                                <w:i/>
                                <w:iCs/>
                                <w:color w:val="auto"/>
                                <w:sz w:val="18"/>
                                <w:szCs w:val="18"/>
                              </w:rPr>
                              <w:t xml:space="preserve"> </w:t>
                            </w:r>
                            <w:r w:rsidR="00814A18">
                              <w:rPr>
                                <w:rFonts w:ascii="Verdana" w:hAnsi="Verdana"/>
                                <w:color w:val="auto"/>
                                <w:sz w:val="18"/>
                                <w:szCs w:val="18"/>
                              </w:rPr>
                              <w:t xml:space="preserve">Neurodegeneration in the </w:t>
                            </w:r>
                            <w:r w:rsidR="00977047">
                              <w:rPr>
                                <w:rFonts w:ascii="Verdana" w:hAnsi="Verdana"/>
                                <w:color w:val="auto"/>
                                <w:sz w:val="18"/>
                                <w:szCs w:val="18"/>
                              </w:rPr>
                              <w:t>nigrostriatal</w:t>
                            </w:r>
                            <w:r w:rsidR="00814A18">
                              <w:rPr>
                                <w:rFonts w:ascii="Verdana" w:hAnsi="Verdana"/>
                                <w:color w:val="auto"/>
                                <w:sz w:val="18"/>
                                <w:szCs w:val="18"/>
                              </w:rPr>
                              <w:t xml:space="preserve"> pathway</w:t>
                            </w:r>
                            <w:r w:rsidR="00EA22BC">
                              <w:rPr>
                                <w:rFonts w:ascii="Verdana" w:hAnsi="Verdana"/>
                                <w:color w:val="auto"/>
                                <w:sz w:val="18"/>
                                <w:szCs w:val="18"/>
                              </w:rPr>
                              <w:t xml:space="preserve"> of Thy1-Syn14 transgenic mice</w:t>
                            </w:r>
                            <w:r w:rsidR="00814A18">
                              <w:rPr>
                                <w:rFonts w:ascii="Verdana" w:hAnsi="Verdana"/>
                                <w:color w:val="auto"/>
                                <w:sz w:val="18"/>
                                <w:szCs w:val="18"/>
                              </w:rPr>
                              <w:t xml:space="preserve"> is driven by bacterial Curli and further exacerbated by </w:t>
                            </w:r>
                            <w:r w:rsidR="00A72DE9">
                              <w:rPr>
                                <w:rFonts w:ascii="Verdana" w:hAnsi="Verdana"/>
                                <w:color w:val="auto"/>
                                <w:sz w:val="18"/>
                                <w:szCs w:val="18"/>
                              </w:rPr>
                              <w:t>fibre</w:t>
                            </w:r>
                            <w:r w:rsidR="00814A18">
                              <w:rPr>
                                <w:rFonts w:ascii="Verdana" w:hAnsi="Verdana"/>
                                <w:color w:val="auto"/>
                                <w:sz w:val="18"/>
                                <w:szCs w:val="18"/>
                              </w:rPr>
                              <w:t>-</w:t>
                            </w:r>
                            <w:r w:rsidR="007751EC">
                              <w:rPr>
                                <w:rFonts w:ascii="Verdana" w:hAnsi="Verdana"/>
                                <w:color w:val="auto"/>
                                <w:sz w:val="18"/>
                                <w:szCs w:val="18"/>
                              </w:rPr>
                              <w:t>deprivation</w:t>
                            </w:r>
                            <w:bookmarkEnd w:id="137"/>
                            <w:r w:rsidRPr="00267532">
                              <w:rPr>
                                <w:rFonts w:ascii="Verdana" w:hAnsi="Verdana" w:cs="Arial"/>
                                <w:b/>
                                <w:bCs/>
                                <w:sz w:val="18"/>
                                <w:szCs w:val="18"/>
                              </w:rPr>
                              <w:t xml:space="preserve"> </w:t>
                            </w:r>
                          </w:p>
                          <w:p w14:paraId="4CBD733E" w14:textId="2031DFAD" w:rsidR="00E8534E" w:rsidRDefault="007751EC" w:rsidP="0069010C">
                            <w:pPr>
                              <w:pStyle w:val="Default"/>
                              <w:jc w:val="both"/>
                              <w:rPr>
                                <w:rFonts w:ascii="Verdana" w:hAnsi="Verdana" w:cs="Arial"/>
                                <w:sz w:val="18"/>
                                <w:szCs w:val="18"/>
                              </w:rPr>
                            </w:pPr>
                            <w:r w:rsidRPr="007751EC">
                              <w:rPr>
                                <w:rFonts w:ascii="Verdana" w:hAnsi="Verdana" w:cs="Arial"/>
                                <w:b/>
                                <w:bCs/>
                                <w:sz w:val="18"/>
                                <w:szCs w:val="18"/>
                              </w:rPr>
                              <w:t>A)</w:t>
                            </w:r>
                            <w:r>
                              <w:rPr>
                                <w:rFonts w:ascii="Verdana" w:hAnsi="Verdana" w:cs="Arial"/>
                                <w:sz w:val="18"/>
                                <w:szCs w:val="18"/>
                              </w:rPr>
                              <w:t xml:space="preserve"> Quantification</w:t>
                            </w:r>
                            <w:r w:rsidR="00525B7D">
                              <w:rPr>
                                <w:rFonts w:ascii="Verdana" w:hAnsi="Verdana" w:cs="Arial"/>
                                <w:sz w:val="18"/>
                                <w:szCs w:val="18"/>
                              </w:rPr>
                              <w:t xml:space="preserve"> of pS129-α</w:t>
                            </w:r>
                            <w:r w:rsidR="00525B7D" w:rsidRPr="00267532">
                              <w:rPr>
                                <w:rFonts w:ascii="Verdana" w:hAnsi="Verdana" w:cs="Arial"/>
                                <w:sz w:val="18"/>
                                <w:szCs w:val="18"/>
                              </w:rPr>
                              <w:t>Syn</w:t>
                            </w:r>
                            <w:r w:rsidR="00525B7D">
                              <w:rPr>
                                <w:rFonts w:ascii="Verdana" w:hAnsi="Verdana" w:cs="Arial"/>
                                <w:sz w:val="18"/>
                                <w:szCs w:val="18"/>
                              </w:rPr>
                              <w:t>+ area occupied</w:t>
                            </w:r>
                            <w:r>
                              <w:rPr>
                                <w:rFonts w:ascii="Verdana" w:hAnsi="Verdana" w:cs="Arial"/>
                                <w:sz w:val="18"/>
                                <w:szCs w:val="18"/>
                              </w:rPr>
                              <w:t xml:space="preserve"> and representative immunofluorescent images</w:t>
                            </w:r>
                            <w:r w:rsidR="004518DE">
                              <w:rPr>
                                <w:rFonts w:ascii="Verdana" w:hAnsi="Verdana" w:cs="Arial"/>
                                <w:sz w:val="18"/>
                                <w:szCs w:val="18"/>
                              </w:rPr>
                              <w:t xml:space="preserve"> (40X magnification, scale bar 50</w:t>
                            </w:r>
                            <w:r w:rsidR="004518DE" w:rsidRPr="00267532">
                              <w:rPr>
                                <w:rFonts w:ascii="Verdana" w:hAnsi="Verdana" w:cs="Arial"/>
                                <w:sz w:val="18"/>
                                <w:szCs w:val="18"/>
                              </w:rPr>
                              <w:t>μm</w:t>
                            </w:r>
                            <w:r w:rsidR="004518DE">
                              <w:rPr>
                                <w:rFonts w:ascii="Verdana" w:hAnsi="Verdana" w:cs="Arial"/>
                                <w:sz w:val="18"/>
                                <w:szCs w:val="18"/>
                              </w:rPr>
                              <w:t>)</w:t>
                            </w:r>
                            <w:r>
                              <w:rPr>
                                <w:rFonts w:ascii="Verdana" w:hAnsi="Verdana" w:cs="Arial"/>
                                <w:sz w:val="18"/>
                                <w:szCs w:val="18"/>
                              </w:rPr>
                              <w:t xml:space="preserve"> of pS129-α</w:t>
                            </w:r>
                            <w:r w:rsidRPr="00267532">
                              <w:rPr>
                                <w:rFonts w:ascii="Verdana" w:hAnsi="Verdana" w:cs="Arial"/>
                                <w:sz w:val="18"/>
                                <w:szCs w:val="18"/>
                              </w:rPr>
                              <w:t>Syn</w:t>
                            </w:r>
                            <w:r>
                              <w:rPr>
                                <w:rFonts w:ascii="Verdana" w:hAnsi="Verdana" w:cs="Arial"/>
                                <w:sz w:val="18"/>
                                <w:szCs w:val="18"/>
                              </w:rPr>
                              <w:t xml:space="preserve"> staining </w:t>
                            </w:r>
                            <w:r w:rsidR="00525B7D">
                              <w:rPr>
                                <w:rFonts w:ascii="Verdana" w:hAnsi="Verdana" w:cs="Arial"/>
                                <w:sz w:val="18"/>
                                <w:szCs w:val="18"/>
                              </w:rPr>
                              <w:t xml:space="preserve">for FR </w:t>
                            </w:r>
                            <w:r w:rsidR="00525B7D">
                              <w:rPr>
                                <w:rFonts w:ascii="Times New Roman" w:hAnsi="Times New Roman" w:cs="Times New Roman"/>
                                <w:sz w:val="18"/>
                                <w:szCs w:val="18"/>
                              </w:rPr>
                              <w:t>Δ</w:t>
                            </w:r>
                            <w:r w:rsidR="00525B7D" w:rsidRPr="00267532">
                              <w:rPr>
                                <w:rFonts w:ascii="Verdana" w:hAnsi="Verdana" w:cs="Arial"/>
                                <w:sz w:val="18"/>
                                <w:szCs w:val="18"/>
                              </w:rPr>
                              <w:t>EC</w:t>
                            </w:r>
                            <w:r w:rsidR="00525B7D">
                              <w:rPr>
                                <w:rFonts w:ascii="Verdana" w:hAnsi="Verdana" w:cs="Arial"/>
                                <w:sz w:val="18"/>
                                <w:szCs w:val="18"/>
                              </w:rPr>
                              <w:t xml:space="preserve"> (top) and FR EC (bottom) </w:t>
                            </w:r>
                            <w:r w:rsidR="00BD03A4">
                              <w:rPr>
                                <w:rFonts w:ascii="Verdana" w:hAnsi="Verdana" w:cs="Arial"/>
                                <w:sz w:val="18"/>
                                <w:szCs w:val="18"/>
                              </w:rPr>
                              <w:t>in the dorsal striatum</w:t>
                            </w:r>
                            <w:r w:rsidR="00320073">
                              <w:rPr>
                                <w:rFonts w:ascii="Verdana" w:hAnsi="Verdana" w:cs="Arial"/>
                                <w:sz w:val="18"/>
                                <w:szCs w:val="18"/>
                              </w:rPr>
                              <w:t>.</w:t>
                            </w:r>
                            <w:r w:rsidR="004518DE">
                              <w:rPr>
                                <w:rFonts w:ascii="Verdana" w:hAnsi="Verdana" w:cs="Arial"/>
                                <w:sz w:val="18"/>
                                <w:szCs w:val="18"/>
                              </w:rPr>
                              <w:t xml:space="preserve"> </w:t>
                            </w:r>
                            <w:r w:rsidR="004518DE" w:rsidRPr="000D3B40">
                              <w:rPr>
                                <w:rFonts w:ascii="Verdana" w:hAnsi="Verdana" w:cs="Arial"/>
                                <w:b/>
                                <w:bCs/>
                                <w:sz w:val="18"/>
                                <w:szCs w:val="18"/>
                              </w:rPr>
                              <w:t>B)</w:t>
                            </w:r>
                            <w:r w:rsidR="004518DE">
                              <w:rPr>
                                <w:rFonts w:ascii="Verdana" w:hAnsi="Verdana" w:cs="Arial"/>
                                <w:sz w:val="18"/>
                                <w:szCs w:val="18"/>
                              </w:rPr>
                              <w:t xml:space="preserve"> Quantification of pS129-α</w:t>
                            </w:r>
                            <w:r w:rsidR="004518DE" w:rsidRPr="00267532">
                              <w:rPr>
                                <w:rFonts w:ascii="Verdana" w:hAnsi="Verdana" w:cs="Arial"/>
                                <w:sz w:val="18"/>
                                <w:szCs w:val="18"/>
                              </w:rPr>
                              <w:t>Syn</w:t>
                            </w:r>
                            <w:r w:rsidR="004518DE">
                              <w:rPr>
                                <w:rFonts w:ascii="Verdana" w:hAnsi="Verdana" w:cs="Arial"/>
                                <w:sz w:val="18"/>
                                <w:szCs w:val="18"/>
                              </w:rPr>
                              <w:t xml:space="preserve">+ </w:t>
                            </w:r>
                            <w:r w:rsidR="000D3B40">
                              <w:rPr>
                                <w:rFonts w:ascii="Verdana" w:hAnsi="Verdana" w:cs="Arial"/>
                                <w:sz w:val="18"/>
                                <w:szCs w:val="18"/>
                              </w:rPr>
                              <w:t>cell body (left) and neurite-like (right) staining,</w:t>
                            </w:r>
                            <w:r w:rsidR="004518DE">
                              <w:rPr>
                                <w:rFonts w:ascii="Verdana" w:hAnsi="Verdana" w:cs="Arial"/>
                                <w:sz w:val="18"/>
                                <w:szCs w:val="18"/>
                              </w:rPr>
                              <w:t xml:space="preserve"> and representative immunofluorescent images (</w:t>
                            </w:r>
                            <w:r w:rsidR="004928B1" w:rsidRPr="00267532">
                              <w:rPr>
                                <w:rFonts w:ascii="Verdana" w:hAnsi="Verdana" w:cs="Arial"/>
                                <w:sz w:val="18"/>
                                <w:szCs w:val="18"/>
                              </w:rPr>
                              <w:t>left</w:t>
                            </w:r>
                            <w:r w:rsidR="004928B1">
                              <w:rPr>
                                <w:rFonts w:ascii="Verdana" w:hAnsi="Verdana" w:cs="Arial"/>
                                <w:sz w:val="18"/>
                                <w:szCs w:val="18"/>
                              </w:rPr>
                              <w:t>:</w:t>
                            </w:r>
                            <w:r w:rsidR="004928B1" w:rsidRPr="00267532">
                              <w:rPr>
                                <w:rFonts w:ascii="Verdana" w:hAnsi="Verdana" w:cs="Arial"/>
                                <w:sz w:val="18"/>
                                <w:szCs w:val="18"/>
                              </w:rPr>
                              <w:t xml:space="preserve"> 10X tiles, scale bar: 250μm; right</w:t>
                            </w:r>
                            <w:r w:rsidR="004928B1">
                              <w:rPr>
                                <w:rFonts w:ascii="Verdana" w:hAnsi="Verdana" w:cs="Arial"/>
                                <w:sz w:val="18"/>
                                <w:szCs w:val="18"/>
                              </w:rPr>
                              <w:t>:</w:t>
                            </w:r>
                            <w:r w:rsidR="004928B1" w:rsidRPr="00267532">
                              <w:rPr>
                                <w:rFonts w:ascii="Verdana" w:hAnsi="Verdana" w:cs="Arial"/>
                                <w:sz w:val="18"/>
                                <w:szCs w:val="18"/>
                              </w:rPr>
                              <w:t xml:space="preserve"> zoom in, scale bar: 100μm</w:t>
                            </w:r>
                            <w:r w:rsidR="004518DE">
                              <w:rPr>
                                <w:rFonts w:ascii="Verdana" w:hAnsi="Verdana" w:cs="Arial"/>
                                <w:sz w:val="18"/>
                                <w:szCs w:val="18"/>
                              </w:rPr>
                              <w:t>) of pS129-α</w:t>
                            </w:r>
                            <w:r w:rsidR="004518DE" w:rsidRPr="00267532">
                              <w:rPr>
                                <w:rFonts w:ascii="Verdana" w:hAnsi="Verdana" w:cs="Arial"/>
                                <w:sz w:val="18"/>
                                <w:szCs w:val="18"/>
                              </w:rPr>
                              <w:t>Syn</w:t>
                            </w:r>
                            <w:r w:rsidR="004518DE">
                              <w:rPr>
                                <w:rFonts w:ascii="Verdana" w:hAnsi="Verdana" w:cs="Arial"/>
                                <w:sz w:val="18"/>
                                <w:szCs w:val="18"/>
                              </w:rPr>
                              <w:t xml:space="preserve"> staining </w:t>
                            </w:r>
                            <w:r w:rsidR="004928B1">
                              <w:rPr>
                                <w:rFonts w:ascii="Verdana" w:hAnsi="Verdana" w:cs="Arial"/>
                                <w:sz w:val="18"/>
                                <w:szCs w:val="18"/>
                              </w:rPr>
                              <w:t xml:space="preserve">in the </w:t>
                            </w:r>
                            <w:proofErr w:type="spellStart"/>
                            <w:r w:rsidR="004928B1">
                              <w:rPr>
                                <w:rFonts w:ascii="Verdana" w:hAnsi="Verdana" w:cs="Arial"/>
                                <w:sz w:val="18"/>
                                <w:szCs w:val="18"/>
                              </w:rPr>
                              <w:t>SNpc</w:t>
                            </w:r>
                            <w:proofErr w:type="spellEnd"/>
                            <w:r w:rsidR="004928B1">
                              <w:rPr>
                                <w:rFonts w:ascii="Verdana" w:hAnsi="Verdana" w:cs="Arial"/>
                                <w:sz w:val="18"/>
                                <w:szCs w:val="18"/>
                              </w:rPr>
                              <w:t>.</w:t>
                            </w:r>
                            <w:r w:rsidR="00E8534E">
                              <w:rPr>
                                <w:rFonts w:ascii="Verdana" w:hAnsi="Verdana" w:cs="Arial"/>
                                <w:sz w:val="18"/>
                                <w:szCs w:val="18"/>
                              </w:rPr>
                              <w:t xml:space="preserve"> </w:t>
                            </w:r>
                            <w:r w:rsidR="00E8534E" w:rsidRPr="004A4975">
                              <w:rPr>
                                <w:rFonts w:ascii="Verdana" w:hAnsi="Verdana" w:cs="Arial"/>
                                <w:b/>
                                <w:bCs/>
                                <w:sz w:val="18"/>
                                <w:szCs w:val="18"/>
                              </w:rPr>
                              <w:t>C)</w:t>
                            </w:r>
                            <w:r w:rsidR="00E8534E">
                              <w:rPr>
                                <w:rFonts w:ascii="Verdana" w:hAnsi="Verdana" w:cs="Arial"/>
                                <w:sz w:val="18"/>
                                <w:szCs w:val="18"/>
                              </w:rPr>
                              <w:t xml:space="preserve"> Quantification </w:t>
                            </w:r>
                            <w:r w:rsidR="00CF29F2">
                              <w:rPr>
                                <w:rFonts w:ascii="Verdana" w:hAnsi="Verdana" w:cs="Arial"/>
                                <w:sz w:val="18"/>
                                <w:szCs w:val="18"/>
                              </w:rPr>
                              <w:t xml:space="preserve">and representative images </w:t>
                            </w:r>
                            <w:r w:rsidR="004A4975">
                              <w:rPr>
                                <w:rFonts w:ascii="Verdana" w:hAnsi="Verdana" w:cs="Arial"/>
                                <w:sz w:val="18"/>
                                <w:szCs w:val="18"/>
                              </w:rPr>
                              <w:t>(</w:t>
                            </w:r>
                            <w:r w:rsidR="004A4975" w:rsidRPr="00267532">
                              <w:rPr>
                                <w:rFonts w:ascii="Verdana" w:hAnsi="Verdana" w:cs="Arial"/>
                                <w:sz w:val="18"/>
                                <w:szCs w:val="18"/>
                              </w:rPr>
                              <w:t>40X, scale bar: 50μm</w:t>
                            </w:r>
                            <w:r w:rsidR="004A4975">
                              <w:rPr>
                                <w:rFonts w:ascii="Verdana" w:hAnsi="Verdana" w:cs="Arial"/>
                                <w:sz w:val="18"/>
                                <w:szCs w:val="18"/>
                              </w:rPr>
                              <w:t xml:space="preserve">; top: FR </w:t>
                            </w:r>
                            <w:r w:rsidR="004A4975">
                              <w:rPr>
                                <w:rFonts w:ascii="Times New Roman" w:hAnsi="Times New Roman" w:cs="Times New Roman"/>
                                <w:sz w:val="18"/>
                                <w:szCs w:val="18"/>
                              </w:rPr>
                              <w:t>Δ</w:t>
                            </w:r>
                            <w:r w:rsidR="004A4975" w:rsidRPr="00267532">
                              <w:rPr>
                                <w:rFonts w:ascii="Verdana" w:hAnsi="Verdana" w:cs="Arial"/>
                                <w:sz w:val="18"/>
                                <w:szCs w:val="18"/>
                              </w:rPr>
                              <w:t>EC</w:t>
                            </w:r>
                            <w:r w:rsidR="004A4975">
                              <w:rPr>
                                <w:rFonts w:ascii="Verdana" w:hAnsi="Verdana" w:cs="Arial"/>
                                <w:sz w:val="18"/>
                                <w:szCs w:val="18"/>
                              </w:rPr>
                              <w:t>; bottom: FD EC</w:t>
                            </w:r>
                            <w:r w:rsidR="004A4975" w:rsidRPr="00267532">
                              <w:rPr>
                                <w:rFonts w:ascii="Verdana" w:hAnsi="Verdana" w:cs="Arial"/>
                                <w:sz w:val="18"/>
                                <w:szCs w:val="18"/>
                              </w:rPr>
                              <w:t>)</w:t>
                            </w:r>
                            <w:r w:rsidR="004A4975">
                              <w:rPr>
                                <w:rFonts w:ascii="Verdana" w:hAnsi="Verdana" w:cs="Arial"/>
                                <w:sz w:val="18"/>
                                <w:szCs w:val="18"/>
                              </w:rPr>
                              <w:t xml:space="preserve"> </w:t>
                            </w:r>
                            <w:r w:rsidR="00E8534E">
                              <w:rPr>
                                <w:rFonts w:ascii="Verdana" w:hAnsi="Verdana" w:cs="Arial"/>
                                <w:sz w:val="18"/>
                                <w:szCs w:val="18"/>
                              </w:rPr>
                              <w:t>of TH</w:t>
                            </w:r>
                            <w:r w:rsidR="00CF29F2">
                              <w:rPr>
                                <w:rFonts w:ascii="Verdana" w:hAnsi="Verdana" w:cs="Arial"/>
                                <w:sz w:val="18"/>
                                <w:szCs w:val="18"/>
                              </w:rPr>
                              <w:t xml:space="preserve">+ </w:t>
                            </w:r>
                            <w:r w:rsidR="00A72DE9">
                              <w:rPr>
                                <w:rFonts w:ascii="Verdana" w:hAnsi="Verdana" w:cs="Arial"/>
                                <w:sz w:val="18"/>
                                <w:szCs w:val="18"/>
                              </w:rPr>
                              <w:t>fibre</w:t>
                            </w:r>
                            <w:r w:rsidR="00CF29F2">
                              <w:rPr>
                                <w:rFonts w:ascii="Verdana" w:hAnsi="Verdana" w:cs="Arial"/>
                                <w:sz w:val="18"/>
                                <w:szCs w:val="18"/>
                              </w:rPr>
                              <w:t>s in the dorsal striatum.</w:t>
                            </w:r>
                            <w:r w:rsidR="004A4975">
                              <w:rPr>
                                <w:rFonts w:ascii="Verdana" w:hAnsi="Verdana" w:cs="Arial"/>
                                <w:sz w:val="18"/>
                                <w:szCs w:val="18"/>
                              </w:rPr>
                              <w:t xml:space="preserve"> </w:t>
                            </w:r>
                            <w:r w:rsidR="004A4975" w:rsidRPr="004A4975">
                              <w:rPr>
                                <w:rFonts w:ascii="Verdana" w:hAnsi="Verdana" w:cs="Arial"/>
                                <w:b/>
                                <w:bCs/>
                                <w:sz w:val="18"/>
                                <w:szCs w:val="18"/>
                              </w:rPr>
                              <w:t xml:space="preserve">D) </w:t>
                            </w:r>
                            <w:r w:rsidR="004A4975">
                              <w:rPr>
                                <w:rFonts w:ascii="Verdana" w:hAnsi="Verdana" w:cs="Arial"/>
                                <w:sz w:val="18"/>
                                <w:szCs w:val="18"/>
                              </w:rPr>
                              <w:t>Quantification and representative images (</w:t>
                            </w:r>
                            <w:r w:rsidR="004A4975" w:rsidRPr="00267532">
                              <w:rPr>
                                <w:rFonts w:ascii="Verdana" w:hAnsi="Verdana" w:cs="Arial"/>
                                <w:sz w:val="18"/>
                                <w:szCs w:val="18"/>
                              </w:rPr>
                              <w:t>40X, scale bar: 50μm</w:t>
                            </w:r>
                            <w:r w:rsidR="004A4975">
                              <w:rPr>
                                <w:rFonts w:ascii="Verdana" w:hAnsi="Verdana" w:cs="Arial"/>
                                <w:sz w:val="18"/>
                                <w:szCs w:val="18"/>
                              </w:rPr>
                              <w:t xml:space="preserve">; top: FR </w:t>
                            </w:r>
                            <w:r w:rsidR="004A4975">
                              <w:rPr>
                                <w:rFonts w:ascii="Times New Roman" w:hAnsi="Times New Roman" w:cs="Times New Roman"/>
                                <w:sz w:val="18"/>
                                <w:szCs w:val="18"/>
                              </w:rPr>
                              <w:t>Δ</w:t>
                            </w:r>
                            <w:r w:rsidR="004A4975" w:rsidRPr="00267532">
                              <w:rPr>
                                <w:rFonts w:ascii="Verdana" w:hAnsi="Verdana" w:cs="Arial"/>
                                <w:sz w:val="18"/>
                                <w:szCs w:val="18"/>
                              </w:rPr>
                              <w:t>EC</w:t>
                            </w:r>
                            <w:r w:rsidR="004A4975">
                              <w:rPr>
                                <w:rFonts w:ascii="Verdana" w:hAnsi="Verdana" w:cs="Arial"/>
                                <w:sz w:val="18"/>
                                <w:szCs w:val="18"/>
                              </w:rPr>
                              <w:t>; bottom: FD EC</w:t>
                            </w:r>
                            <w:r w:rsidR="004A4975" w:rsidRPr="00267532">
                              <w:rPr>
                                <w:rFonts w:ascii="Verdana" w:hAnsi="Verdana" w:cs="Arial"/>
                                <w:sz w:val="18"/>
                                <w:szCs w:val="18"/>
                              </w:rPr>
                              <w:t>)</w:t>
                            </w:r>
                            <w:r w:rsidR="004A4975">
                              <w:rPr>
                                <w:rFonts w:ascii="Verdana" w:hAnsi="Verdana" w:cs="Arial"/>
                                <w:sz w:val="18"/>
                                <w:szCs w:val="18"/>
                              </w:rPr>
                              <w:t xml:space="preserve"> of DAT+ </w:t>
                            </w:r>
                            <w:r w:rsidR="0069010C">
                              <w:rPr>
                                <w:rFonts w:ascii="Verdana" w:hAnsi="Verdana" w:cs="Arial"/>
                                <w:sz w:val="18"/>
                                <w:szCs w:val="18"/>
                              </w:rPr>
                              <w:t>synapses</w:t>
                            </w:r>
                            <w:r w:rsidR="004A4975">
                              <w:rPr>
                                <w:rFonts w:ascii="Verdana" w:hAnsi="Verdana" w:cs="Arial"/>
                                <w:sz w:val="18"/>
                                <w:szCs w:val="18"/>
                              </w:rPr>
                              <w:t xml:space="preserve"> in the dorsal striatu</w:t>
                            </w:r>
                            <w:r w:rsidR="0069010C">
                              <w:rPr>
                                <w:rFonts w:ascii="Verdana" w:hAnsi="Verdana" w:cs="Arial"/>
                                <w:sz w:val="18"/>
                                <w:szCs w:val="18"/>
                              </w:rPr>
                              <w:t xml:space="preserve">m. </w:t>
                            </w:r>
                            <w:r w:rsidR="0069010C" w:rsidRPr="0069010C">
                              <w:rPr>
                                <w:rFonts w:ascii="Verdana" w:hAnsi="Verdana" w:cs="Arial"/>
                                <w:b/>
                                <w:bCs/>
                                <w:sz w:val="18"/>
                                <w:szCs w:val="18"/>
                              </w:rPr>
                              <w:t>E)</w:t>
                            </w:r>
                            <w:r w:rsidR="0069010C">
                              <w:rPr>
                                <w:rFonts w:ascii="Verdana" w:hAnsi="Verdana" w:cs="Arial"/>
                                <w:sz w:val="18"/>
                                <w:szCs w:val="18"/>
                              </w:rPr>
                              <w:t xml:space="preserve"> Quantification and representative images (1</w:t>
                            </w:r>
                            <w:r w:rsidR="0069010C" w:rsidRPr="00267532">
                              <w:rPr>
                                <w:rFonts w:ascii="Verdana" w:hAnsi="Verdana" w:cs="Arial"/>
                                <w:sz w:val="18"/>
                                <w:szCs w:val="18"/>
                              </w:rPr>
                              <w:t xml:space="preserve">0X, scale bar: </w:t>
                            </w:r>
                            <w:r w:rsidR="0069010C">
                              <w:rPr>
                                <w:rFonts w:ascii="Verdana" w:hAnsi="Verdana" w:cs="Arial"/>
                                <w:sz w:val="18"/>
                                <w:szCs w:val="18"/>
                              </w:rPr>
                              <w:t>2</w:t>
                            </w:r>
                            <w:r w:rsidR="0069010C" w:rsidRPr="00267532">
                              <w:rPr>
                                <w:rFonts w:ascii="Verdana" w:hAnsi="Verdana" w:cs="Arial"/>
                                <w:sz w:val="18"/>
                                <w:szCs w:val="18"/>
                              </w:rPr>
                              <w:t>50μm</w:t>
                            </w:r>
                            <w:r w:rsidR="0069010C">
                              <w:rPr>
                                <w:rFonts w:ascii="Verdana" w:hAnsi="Verdana" w:cs="Arial"/>
                                <w:sz w:val="18"/>
                                <w:szCs w:val="18"/>
                              </w:rPr>
                              <w:t xml:space="preserve">; top: FR </w:t>
                            </w:r>
                            <w:r w:rsidR="0069010C">
                              <w:rPr>
                                <w:rFonts w:ascii="Times New Roman" w:hAnsi="Times New Roman" w:cs="Times New Roman"/>
                                <w:sz w:val="18"/>
                                <w:szCs w:val="18"/>
                              </w:rPr>
                              <w:t>Δ</w:t>
                            </w:r>
                            <w:r w:rsidR="0069010C" w:rsidRPr="00267532">
                              <w:rPr>
                                <w:rFonts w:ascii="Verdana" w:hAnsi="Verdana" w:cs="Arial"/>
                                <w:sz w:val="18"/>
                                <w:szCs w:val="18"/>
                              </w:rPr>
                              <w:t>EC</w:t>
                            </w:r>
                            <w:r w:rsidR="0069010C">
                              <w:rPr>
                                <w:rFonts w:ascii="Verdana" w:hAnsi="Verdana" w:cs="Arial"/>
                                <w:sz w:val="18"/>
                                <w:szCs w:val="18"/>
                              </w:rPr>
                              <w:t>; bottom: FD EC</w:t>
                            </w:r>
                            <w:r w:rsidR="0069010C" w:rsidRPr="00267532">
                              <w:rPr>
                                <w:rFonts w:ascii="Verdana" w:hAnsi="Verdana" w:cs="Arial"/>
                                <w:sz w:val="18"/>
                                <w:szCs w:val="18"/>
                              </w:rPr>
                              <w:t>)</w:t>
                            </w:r>
                            <w:r w:rsidR="0069010C">
                              <w:rPr>
                                <w:rFonts w:ascii="Verdana" w:hAnsi="Verdana" w:cs="Arial"/>
                                <w:sz w:val="18"/>
                                <w:szCs w:val="18"/>
                              </w:rPr>
                              <w:t xml:space="preserve"> of TH+ signal in the </w:t>
                            </w:r>
                            <w:proofErr w:type="spellStart"/>
                            <w:r w:rsidR="0069010C">
                              <w:rPr>
                                <w:rFonts w:ascii="Verdana" w:hAnsi="Verdana" w:cs="Arial"/>
                                <w:sz w:val="18"/>
                                <w:szCs w:val="18"/>
                              </w:rPr>
                              <w:t>SNpc</w:t>
                            </w:r>
                            <w:proofErr w:type="spellEnd"/>
                            <w:r w:rsidR="0069010C">
                              <w:rPr>
                                <w:rFonts w:ascii="Verdana" w:hAnsi="Verdana" w:cs="Arial"/>
                                <w:sz w:val="18"/>
                                <w:szCs w:val="18"/>
                              </w:rPr>
                              <w:t>.</w:t>
                            </w:r>
                          </w:p>
                          <w:p w14:paraId="723B60FF" w14:textId="77741E82" w:rsidR="0069010C" w:rsidRDefault="006709A3" w:rsidP="0069010C">
                            <w:pPr>
                              <w:pStyle w:val="Default"/>
                              <w:spacing w:before="120" w:after="120"/>
                              <w:jc w:val="both"/>
                              <w:rPr>
                                <w:rFonts w:ascii="Verdana" w:hAnsi="Verdana" w:cs="Arial"/>
                                <w:sz w:val="18"/>
                                <w:szCs w:val="18"/>
                              </w:rPr>
                            </w:pPr>
                            <w:r w:rsidRPr="00267532">
                              <w:rPr>
                                <w:rFonts w:ascii="Verdana" w:hAnsi="Verdana" w:cs="Arial"/>
                                <w:sz w:val="18"/>
                                <w:szCs w:val="18"/>
                              </w:rPr>
                              <w:t>Stats: Mann-Whitney U test, not corrected for FDR</w:t>
                            </w:r>
                            <w:r w:rsidR="0069010C">
                              <w:rPr>
                                <w:rFonts w:ascii="Verdana" w:hAnsi="Verdana" w:cs="Arial"/>
                                <w:sz w:val="18"/>
                                <w:szCs w:val="18"/>
                              </w:rPr>
                              <w:t>.</w:t>
                            </w:r>
                          </w:p>
                          <w:p w14:paraId="3631E8BF" w14:textId="301C3CC3" w:rsidR="006709A3" w:rsidRPr="0069010C" w:rsidRDefault="006709A3" w:rsidP="0069010C">
                            <w:pPr>
                              <w:pStyle w:val="Default"/>
                              <w:jc w:val="both"/>
                              <w:rPr>
                                <w:rFonts w:ascii="Verdana" w:hAnsi="Verdana" w:cs="Arial"/>
                                <w:sz w:val="18"/>
                                <w:szCs w:val="18"/>
                              </w:rPr>
                            </w:pPr>
                            <w:proofErr w:type="spellStart"/>
                            <w:r w:rsidRPr="00267532">
                              <w:rPr>
                                <w:rFonts w:ascii="Verdana" w:hAnsi="Verdana" w:cs="Arial"/>
                                <w:sz w:val="18"/>
                                <w:szCs w:val="18"/>
                              </w:rPr>
                              <w:t>SNpc</w:t>
                            </w:r>
                            <w:proofErr w:type="spellEnd"/>
                            <w:r w:rsidR="0069010C">
                              <w:rPr>
                                <w:rFonts w:ascii="Verdana" w:hAnsi="Verdana" w:cs="Arial"/>
                                <w:sz w:val="18"/>
                                <w:szCs w:val="18"/>
                              </w:rPr>
                              <w:t xml:space="preserve"> =</w:t>
                            </w:r>
                            <w:r w:rsidRPr="00267532">
                              <w:rPr>
                                <w:rFonts w:ascii="Verdana" w:hAnsi="Verdana" w:cs="Arial"/>
                                <w:sz w:val="18"/>
                                <w:szCs w:val="18"/>
                              </w:rPr>
                              <w:t xml:space="preserve"> substantia nigra pars compacta</w:t>
                            </w:r>
                            <w:r w:rsidR="0069010C">
                              <w:rPr>
                                <w:rFonts w:ascii="Verdana" w:hAnsi="Verdana" w:cs="Arial"/>
                                <w:sz w:val="18"/>
                                <w:szCs w:val="18"/>
                              </w:rPr>
                              <w:t>,</w:t>
                            </w:r>
                            <w:r w:rsidRPr="00267532">
                              <w:rPr>
                                <w:rFonts w:ascii="Verdana" w:hAnsi="Verdana" w:cs="Arial"/>
                                <w:sz w:val="18"/>
                                <w:szCs w:val="18"/>
                              </w:rPr>
                              <w:t xml:space="preserve"> FD</w:t>
                            </w:r>
                            <w:r w:rsidR="0069010C">
                              <w:rPr>
                                <w:rFonts w:ascii="Verdana" w:hAnsi="Verdana" w:cs="Arial"/>
                                <w:sz w:val="18"/>
                                <w:szCs w:val="18"/>
                              </w:rPr>
                              <w:t xml:space="preserve"> =</w:t>
                            </w:r>
                            <w:r w:rsidRPr="00267532">
                              <w:rPr>
                                <w:rFonts w:ascii="Verdana" w:hAnsi="Verdana" w:cs="Arial"/>
                                <w:sz w:val="18"/>
                                <w:szCs w:val="18"/>
                              </w:rPr>
                              <w:t xml:space="preserve"> </w:t>
                            </w:r>
                            <w:r w:rsidR="00A72DE9">
                              <w:rPr>
                                <w:rFonts w:ascii="Verdana" w:hAnsi="Verdana" w:cs="Arial"/>
                                <w:sz w:val="18"/>
                                <w:szCs w:val="18"/>
                              </w:rPr>
                              <w:t>fibre</w:t>
                            </w:r>
                            <w:r w:rsidRPr="00267532">
                              <w:rPr>
                                <w:rFonts w:ascii="Verdana" w:hAnsi="Verdana" w:cs="Arial"/>
                                <w:sz w:val="18"/>
                                <w:szCs w:val="18"/>
                              </w:rPr>
                              <w:t>-deprived diet</w:t>
                            </w:r>
                            <w:r w:rsidR="0069010C">
                              <w:rPr>
                                <w:rFonts w:ascii="Verdana" w:hAnsi="Verdana" w:cs="Arial"/>
                                <w:sz w:val="18"/>
                                <w:szCs w:val="18"/>
                              </w:rPr>
                              <w:t>,</w:t>
                            </w:r>
                            <w:r w:rsidRPr="00267532">
                              <w:rPr>
                                <w:rFonts w:ascii="Verdana" w:hAnsi="Verdana" w:cs="Arial"/>
                                <w:sz w:val="18"/>
                                <w:szCs w:val="18"/>
                              </w:rPr>
                              <w:t xml:space="preserve"> FR</w:t>
                            </w:r>
                            <w:r w:rsidR="0069010C">
                              <w:rPr>
                                <w:rFonts w:ascii="Verdana" w:hAnsi="Verdana" w:cs="Arial"/>
                                <w:sz w:val="18"/>
                                <w:szCs w:val="18"/>
                              </w:rPr>
                              <w:t xml:space="preserve"> =</w:t>
                            </w:r>
                            <w:r w:rsidRPr="00267532">
                              <w:rPr>
                                <w:rFonts w:ascii="Verdana" w:hAnsi="Verdana" w:cs="Arial"/>
                                <w:sz w:val="18"/>
                                <w:szCs w:val="18"/>
                              </w:rPr>
                              <w:t xml:space="preserve"> fibre-rich diet</w:t>
                            </w:r>
                            <w:r w:rsidR="0069010C">
                              <w:rPr>
                                <w:rFonts w:ascii="Verdana" w:hAnsi="Verdana" w:cs="Arial"/>
                                <w:sz w:val="18"/>
                                <w:szCs w:val="18"/>
                              </w:rPr>
                              <w:t xml:space="preserve"> or n</w:t>
                            </w:r>
                            <w:r w:rsidRPr="00267532">
                              <w:rPr>
                                <w:rFonts w:ascii="Verdana" w:hAnsi="Verdana" w:cs="Arial"/>
                                <w:sz w:val="18"/>
                                <w:szCs w:val="18"/>
                              </w:rPr>
                              <w:t>ormal chow</w:t>
                            </w:r>
                            <w:r w:rsidR="0069010C">
                              <w:rPr>
                                <w:rFonts w:ascii="Verdana" w:hAnsi="Verdana" w:cs="Arial"/>
                                <w:sz w:val="18"/>
                                <w:szCs w:val="18"/>
                              </w:rPr>
                              <w:t>,</w:t>
                            </w:r>
                            <w:r w:rsidRPr="00267532">
                              <w:rPr>
                                <w:rFonts w:ascii="Verdana" w:hAnsi="Verdana" w:cs="Arial"/>
                                <w:sz w:val="18"/>
                                <w:szCs w:val="18"/>
                              </w:rPr>
                              <w:t xml:space="preserve"> PBS</w:t>
                            </w:r>
                            <w:r w:rsidR="0069010C">
                              <w:rPr>
                                <w:rFonts w:ascii="Verdana" w:hAnsi="Verdana" w:cs="Arial"/>
                                <w:sz w:val="18"/>
                                <w:szCs w:val="18"/>
                              </w:rPr>
                              <w:t xml:space="preserve"> = </w:t>
                            </w:r>
                            <w:r w:rsidRPr="00267532">
                              <w:rPr>
                                <w:rFonts w:ascii="Verdana" w:hAnsi="Verdana" w:cs="Arial"/>
                                <w:sz w:val="18"/>
                                <w:szCs w:val="18"/>
                              </w:rPr>
                              <w:t>phosphate buffered saline</w:t>
                            </w:r>
                            <w:r w:rsidR="0069010C">
                              <w:rPr>
                                <w:rFonts w:ascii="Verdana" w:hAnsi="Verdana" w:cs="Arial"/>
                                <w:sz w:val="18"/>
                                <w:szCs w:val="18"/>
                              </w:rPr>
                              <w:t xml:space="preserve"> solution,</w:t>
                            </w:r>
                            <w:r w:rsidRPr="00267532">
                              <w:rPr>
                                <w:rFonts w:ascii="Verdana" w:hAnsi="Verdana" w:cs="Arial"/>
                                <w:sz w:val="18"/>
                                <w:szCs w:val="18"/>
                              </w:rPr>
                              <w:t xml:space="preserve"> </w:t>
                            </w:r>
                            <w:r>
                              <w:rPr>
                                <w:rFonts w:ascii="Times New Roman" w:hAnsi="Times New Roman" w:cs="Times New Roman"/>
                                <w:sz w:val="18"/>
                                <w:szCs w:val="18"/>
                              </w:rPr>
                              <w:t>Δ</w:t>
                            </w:r>
                            <w:r w:rsidRPr="00267532">
                              <w:rPr>
                                <w:rFonts w:ascii="Verdana" w:hAnsi="Verdana" w:cs="Arial"/>
                                <w:sz w:val="18"/>
                                <w:szCs w:val="18"/>
                              </w:rPr>
                              <w:t>EC</w:t>
                            </w:r>
                            <w:r w:rsidR="0069010C">
                              <w:rPr>
                                <w:rFonts w:ascii="Verdana" w:hAnsi="Verdana" w:cs="Arial"/>
                                <w:sz w:val="18"/>
                                <w:szCs w:val="18"/>
                              </w:rPr>
                              <w:t xml:space="preserve"> =</w:t>
                            </w:r>
                            <w:r w:rsidRPr="00267532">
                              <w:rPr>
                                <w:rFonts w:ascii="Verdana" w:hAnsi="Verdana" w:cs="Arial"/>
                                <w:sz w:val="18"/>
                                <w:szCs w:val="18"/>
                              </w:rPr>
                              <w:t xml:space="preserve"> </w:t>
                            </w:r>
                            <w:r w:rsidR="00A20405">
                              <w:rPr>
                                <w:rFonts w:ascii="Verdana" w:hAnsi="Verdana" w:cs="Arial"/>
                                <w:sz w:val="18"/>
                                <w:szCs w:val="18"/>
                              </w:rPr>
                              <w:t>C</w:t>
                            </w:r>
                            <w:r w:rsidRPr="00267532">
                              <w:rPr>
                                <w:rFonts w:ascii="Verdana" w:hAnsi="Verdana" w:cs="Arial"/>
                                <w:sz w:val="18"/>
                                <w:szCs w:val="18"/>
                              </w:rPr>
                              <w:t xml:space="preserve">urli-KO </w:t>
                            </w:r>
                            <w:r w:rsidRPr="00662D9C">
                              <w:rPr>
                                <w:rFonts w:ascii="Verdana" w:hAnsi="Verdana" w:cs="Arial"/>
                                <w:i/>
                                <w:iCs/>
                                <w:sz w:val="18"/>
                                <w:szCs w:val="18"/>
                              </w:rPr>
                              <w:t>E. coli</w:t>
                            </w:r>
                            <w:r w:rsidR="0069010C">
                              <w:rPr>
                                <w:rFonts w:ascii="Verdana" w:hAnsi="Verdana" w:cs="Arial"/>
                                <w:sz w:val="18"/>
                                <w:szCs w:val="18"/>
                              </w:rPr>
                              <w:t xml:space="preserve">, </w:t>
                            </w:r>
                            <w:r w:rsidRPr="00267532">
                              <w:rPr>
                                <w:rFonts w:ascii="Verdana" w:hAnsi="Verdana" w:cs="Arial"/>
                                <w:sz w:val="18"/>
                                <w:szCs w:val="18"/>
                              </w:rPr>
                              <w:t>EC</w:t>
                            </w:r>
                            <w:r w:rsidR="0069010C">
                              <w:rPr>
                                <w:rFonts w:ascii="Verdana" w:hAnsi="Verdana" w:cs="Arial"/>
                                <w:sz w:val="18"/>
                                <w:szCs w:val="18"/>
                              </w:rPr>
                              <w:t xml:space="preserve"> =</w:t>
                            </w:r>
                            <w:r w:rsidRPr="00267532">
                              <w:rPr>
                                <w:rFonts w:ascii="Verdana" w:hAnsi="Verdana" w:cs="Arial"/>
                                <w:sz w:val="18"/>
                                <w:szCs w:val="18"/>
                              </w:rPr>
                              <w:t xml:space="preserve"> wild-type </w:t>
                            </w:r>
                            <w:r w:rsidR="00A20405">
                              <w:rPr>
                                <w:rFonts w:ascii="Verdana" w:hAnsi="Verdana" w:cs="Arial"/>
                                <w:sz w:val="18"/>
                                <w:szCs w:val="18"/>
                              </w:rPr>
                              <w:t>C</w:t>
                            </w:r>
                            <w:r w:rsidRPr="00267532">
                              <w:rPr>
                                <w:rFonts w:ascii="Verdana" w:hAnsi="Verdana" w:cs="Arial"/>
                                <w:sz w:val="18"/>
                                <w:szCs w:val="18"/>
                              </w:rPr>
                              <w:t xml:space="preserve">urli expressing </w:t>
                            </w:r>
                            <w:r w:rsidRPr="00662D9C">
                              <w:rPr>
                                <w:rFonts w:ascii="Verdana" w:hAnsi="Verdana" w:cs="Arial"/>
                                <w:i/>
                                <w:iCs/>
                                <w:sz w:val="18"/>
                                <w:szCs w:val="18"/>
                              </w:rPr>
                              <w:t>E. coli</w:t>
                            </w:r>
                            <w:r w:rsidR="0069010C">
                              <w:rPr>
                                <w:rFonts w:ascii="Verdana" w:hAnsi="Verdana" w:cs="Arial"/>
                                <w:i/>
                                <w:iCs/>
                                <w:sz w:val="18"/>
                                <w:szCs w:val="18"/>
                              </w:rPr>
                              <w:t xml:space="preserve">, </w:t>
                            </w:r>
                            <w:proofErr w:type="spellStart"/>
                            <w:r w:rsidR="0069010C">
                              <w:rPr>
                                <w:rFonts w:ascii="Verdana" w:hAnsi="Verdana" w:cs="Arial"/>
                                <w:sz w:val="18"/>
                                <w:szCs w:val="18"/>
                              </w:rPr>
                              <w:t>pSYN</w:t>
                            </w:r>
                            <w:proofErr w:type="spellEnd"/>
                            <w:r w:rsidR="0069010C">
                              <w:rPr>
                                <w:rFonts w:ascii="Verdana" w:hAnsi="Verdana" w:cs="Arial"/>
                                <w:sz w:val="18"/>
                                <w:szCs w:val="18"/>
                              </w:rPr>
                              <w:t xml:space="preserve"> = phosphorylated alpha-synuclein, TH = Tyrosine hydroxylase, DAT = dopamine transporter.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F2A6FD" id="Text Box 29" o:spid="_x0000_s1056" type="#_x0000_t202" style="position:absolute;margin-left:388.6pt;margin-top:503.95pt;width:439.8pt;height:.05pt;z-index:251925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" stroked="f">
                <v:textbox style="mso-fit-shape-to-text:t" inset="0,0,0,0">
                  <w:txbxContent>
                    <w:p w14:paraId="505B9066" w14:textId="42047D87" w:rsidR="007751EC" w:rsidRDefault="006709A3" w:rsidP="006B28C0">
                      <w:pPr>
                        <w:pStyle w:val="Default"/>
                        <w:spacing w:after="120"/>
                        <w:jc w:val="both"/>
                        <w:rPr>
                          <w:rFonts w:ascii="Verdana" w:hAnsi="Verdana" w:cs="Arial"/>
                          <w:b/>
                          <w:bCs/>
                          <w:sz w:val="18"/>
                          <w:szCs w:val="18"/>
                        </w:rPr>
                      </w:pPr>
                      <w:bookmarkStart w:id="138" w:name="_Toc131412770"/>
                      <w:r w:rsidRPr="006709A3">
                        <w:rPr>
                          <w:rFonts w:ascii="Verdana" w:hAnsi="Verdana"/>
                          <w:b/>
                          <w:bCs/>
                          <w:color w:val="auto"/>
                          <w:sz w:val="18"/>
                          <w:szCs w:val="18"/>
                        </w:rPr>
                        <w:t xml:space="preserve">Figure </w:t>
                      </w:r>
                      <w:r w:rsidRPr="006709A3">
                        <w:rPr>
                          <w:rFonts w:ascii="Verdana" w:hAnsi="Verdana"/>
                          <w:b/>
                          <w:bCs/>
                          <w:color w:val="auto"/>
                          <w:sz w:val="18"/>
                          <w:szCs w:val="18"/>
                        </w:rPr>
                        <w:fldChar w:fldCharType="begin"/>
                      </w:r>
                      <w:r w:rsidRPr="006709A3">
                        <w:rPr>
                          <w:rFonts w:ascii="Verdana" w:hAnsi="Verdana"/>
                          <w:b/>
                          <w:bCs/>
                          <w:color w:val="auto"/>
                          <w:sz w:val="18"/>
                          <w:szCs w:val="18"/>
                        </w:rPr>
                        <w:instrText xml:space="preserve"> SEQ Figure \* ARABIC </w:instrText>
                      </w:r>
                      <w:r w:rsidRPr="006709A3">
                        <w:rPr>
                          <w:rFonts w:ascii="Verdana" w:hAnsi="Verdana"/>
                          <w:b/>
                          <w:bCs/>
                          <w:color w:val="auto"/>
                          <w:sz w:val="18"/>
                          <w:szCs w:val="18"/>
                        </w:rPr>
                        <w:fldChar w:fldCharType="separate"/>
                      </w:r>
                      <w:r w:rsidR="001D505F">
                        <w:rPr>
                          <w:rFonts w:ascii="Verdana" w:hAnsi="Verdana"/>
                          <w:b/>
                          <w:bCs/>
                          <w:noProof/>
                          <w:color w:val="auto"/>
                          <w:sz w:val="18"/>
                          <w:szCs w:val="18"/>
                        </w:rPr>
                        <w:t>28</w:t>
                      </w:r>
                      <w:r w:rsidRPr="006709A3">
                        <w:rPr>
                          <w:rFonts w:ascii="Verdana" w:hAnsi="Verdana"/>
                          <w:b/>
                          <w:bCs/>
                          <w:color w:val="auto"/>
                          <w:sz w:val="18"/>
                          <w:szCs w:val="18"/>
                        </w:rPr>
                        <w:fldChar w:fldCharType="end"/>
                      </w:r>
                      <w:r w:rsidRPr="006709A3">
                        <w:rPr>
                          <w:rFonts w:ascii="Verdana" w:hAnsi="Verdana"/>
                          <w:b/>
                          <w:bCs/>
                          <w:i/>
                          <w:iCs/>
                          <w:color w:val="auto"/>
                          <w:sz w:val="18"/>
                          <w:szCs w:val="18"/>
                        </w:rPr>
                        <w:t xml:space="preserve"> </w:t>
                      </w:r>
                      <w:r w:rsidR="00814A18">
                        <w:rPr>
                          <w:rFonts w:ascii="Verdana" w:hAnsi="Verdana"/>
                          <w:color w:val="auto"/>
                          <w:sz w:val="18"/>
                          <w:szCs w:val="18"/>
                        </w:rPr>
                        <w:t xml:space="preserve">Neurodegeneration in the </w:t>
                      </w:r>
                      <w:r w:rsidR="00977047">
                        <w:rPr>
                          <w:rFonts w:ascii="Verdana" w:hAnsi="Verdana"/>
                          <w:color w:val="auto"/>
                          <w:sz w:val="18"/>
                          <w:szCs w:val="18"/>
                        </w:rPr>
                        <w:t>nigrostriatal</w:t>
                      </w:r>
                      <w:r w:rsidR="00814A18">
                        <w:rPr>
                          <w:rFonts w:ascii="Verdana" w:hAnsi="Verdana"/>
                          <w:color w:val="auto"/>
                          <w:sz w:val="18"/>
                          <w:szCs w:val="18"/>
                        </w:rPr>
                        <w:t xml:space="preserve"> pathway</w:t>
                      </w:r>
                      <w:r w:rsidR="00EA22BC">
                        <w:rPr>
                          <w:rFonts w:ascii="Verdana" w:hAnsi="Verdana"/>
                          <w:color w:val="auto"/>
                          <w:sz w:val="18"/>
                          <w:szCs w:val="18"/>
                        </w:rPr>
                        <w:t xml:space="preserve"> of Thy1-Syn14 transgenic mice</w:t>
                      </w:r>
                      <w:r w:rsidR="00814A18">
                        <w:rPr>
                          <w:rFonts w:ascii="Verdana" w:hAnsi="Verdana"/>
                          <w:color w:val="auto"/>
                          <w:sz w:val="18"/>
                          <w:szCs w:val="18"/>
                        </w:rPr>
                        <w:t xml:space="preserve"> is driven by bacterial Curli and further exacerbated by </w:t>
                      </w:r>
                      <w:r w:rsidR="00A72DE9">
                        <w:rPr>
                          <w:rFonts w:ascii="Verdana" w:hAnsi="Verdana"/>
                          <w:color w:val="auto"/>
                          <w:sz w:val="18"/>
                          <w:szCs w:val="18"/>
                        </w:rPr>
                        <w:t>fibre</w:t>
                      </w:r>
                      <w:r w:rsidR="00814A18">
                        <w:rPr>
                          <w:rFonts w:ascii="Verdana" w:hAnsi="Verdana"/>
                          <w:color w:val="auto"/>
                          <w:sz w:val="18"/>
                          <w:szCs w:val="18"/>
                        </w:rPr>
                        <w:t>-</w:t>
                      </w:r>
                      <w:r w:rsidR="007751EC">
                        <w:rPr>
                          <w:rFonts w:ascii="Verdana" w:hAnsi="Verdana"/>
                          <w:color w:val="auto"/>
                          <w:sz w:val="18"/>
                          <w:szCs w:val="18"/>
                        </w:rPr>
                        <w:t>deprivation</w:t>
                      </w:r>
                      <w:bookmarkEnd w:id="138"/>
                      <w:r w:rsidRPr="00267532">
                        <w:rPr>
                          <w:rFonts w:ascii="Verdana" w:hAnsi="Verdana" w:cs="Arial"/>
                          <w:b/>
                          <w:bCs/>
                          <w:sz w:val="18"/>
                          <w:szCs w:val="18"/>
                        </w:rPr>
                        <w:t xml:space="preserve"> </w:t>
                      </w:r>
                    </w:p>
                    <w:p w14:paraId="4CBD733E" w14:textId="2031DFAD" w:rsidR="00E8534E" w:rsidRDefault="007751EC" w:rsidP="0069010C">
                      <w:pPr>
                        <w:pStyle w:val="Default"/>
                        <w:jc w:val="both"/>
                        <w:rPr>
                          <w:rFonts w:ascii="Verdana" w:hAnsi="Verdana" w:cs="Arial"/>
                          <w:sz w:val="18"/>
                          <w:szCs w:val="18"/>
                        </w:rPr>
                      </w:pPr>
                      <w:r w:rsidRPr="007751EC">
                        <w:rPr>
                          <w:rFonts w:ascii="Verdana" w:hAnsi="Verdana" w:cs="Arial"/>
                          <w:b/>
                          <w:bCs/>
                          <w:sz w:val="18"/>
                          <w:szCs w:val="18"/>
                        </w:rPr>
                        <w:t>A)</w:t>
                      </w:r>
                      <w:r>
                        <w:rPr>
                          <w:rFonts w:ascii="Verdana" w:hAnsi="Verdana" w:cs="Arial"/>
                          <w:sz w:val="18"/>
                          <w:szCs w:val="18"/>
                        </w:rPr>
                        <w:t xml:space="preserve"> Quantification</w:t>
                      </w:r>
                      <w:r w:rsidR="00525B7D">
                        <w:rPr>
                          <w:rFonts w:ascii="Verdana" w:hAnsi="Verdana" w:cs="Arial"/>
                          <w:sz w:val="18"/>
                          <w:szCs w:val="18"/>
                        </w:rPr>
                        <w:t xml:space="preserve"> of pS129-α</w:t>
                      </w:r>
                      <w:r w:rsidR="00525B7D" w:rsidRPr="00267532">
                        <w:rPr>
                          <w:rFonts w:ascii="Verdana" w:hAnsi="Verdana" w:cs="Arial"/>
                          <w:sz w:val="18"/>
                          <w:szCs w:val="18"/>
                        </w:rPr>
                        <w:t>Syn</w:t>
                      </w:r>
                      <w:r w:rsidR="00525B7D">
                        <w:rPr>
                          <w:rFonts w:ascii="Verdana" w:hAnsi="Verdana" w:cs="Arial"/>
                          <w:sz w:val="18"/>
                          <w:szCs w:val="18"/>
                        </w:rPr>
                        <w:t>+ area occupied</w:t>
                      </w:r>
                      <w:r>
                        <w:rPr>
                          <w:rFonts w:ascii="Verdana" w:hAnsi="Verdana" w:cs="Arial"/>
                          <w:sz w:val="18"/>
                          <w:szCs w:val="18"/>
                        </w:rPr>
                        <w:t xml:space="preserve"> and representative immunofluorescent images</w:t>
                      </w:r>
                      <w:r w:rsidR="004518DE">
                        <w:rPr>
                          <w:rFonts w:ascii="Verdana" w:hAnsi="Verdana" w:cs="Arial"/>
                          <w:sz w:val="18"/>
                          <w:szCs w:val="18"/>
                        </w:rPr>
                        <w:t xml:space="preserve"> (40X magnification, scale bar 50</w:t>
                      </w:r>
                      <w:r w:rsidR="004518DE" w:rsidRPr="00267532">
                        <w:rPr>
                          <w:rFonts w:ascii="Verdana" w:hAnsi="Verdana" w:cs="Arial"/>
                          <w:sz w:val="18"/>
                          <w:szCs w:val="18"/>
                        </w:rPr>
                        <w:t>μm</w:t>
                      </w:r>
                      <w:r w:rsidR="004518DE">
                        <w:rPr>
                          <w:rFonts w:ascii="Verdana" w:hAnsi="Verdana" w:cs="Arial"/>
                          <w:sz w:val="18"/>
                          <w:szCs w:val="18"/>
                        </w:rPr>
                        <w:t>)</w:t>
                      </w:r>
                      <w:r>
                        <w:rPr>
                          <w:rFonts w:ascii="Verdana" w:hAnsi="Verdana" w:cs="Arial"/>
                          <w:sz w:val="18"/>
                          <w:szCs w:val="18"/>
                        </w:rPr>
                        <w:t xml:space="preserve"> of pS129-α</w:t>
                      </w:r>
                      <w:r w:rsidRPr="00267532">
                        <w:rPr>
                          <w:rFonts w:ascii="Verdana" w:hAnsi="Verdana" w:cs="Arial"/>
                          <w:sz w:val="18"/>
                          <w:szCs w:val="18"/>
                        </w:rPr>
                        <w:t>Syn</w:t>
                      </w:r>
                      <w:r>
                        <w:rPr>
                          <w:rFonts w:ascii="Verdana" w:hAnsi="Verdana" w:cs="Arial"/>
                          <w:sz w:val="18"/>
                          <w:szCs w:val="18"/>
                        </w:rPr>
                        <w:t xml:space="preserve"> staining </w:t>
                      </w:r>
                      <w:r w:rsidR="00525B7D">
                        <w:rPr>
                          <w:rFonts w:ascii="Verdana" w:hAnsi="Verdana" w:cs="Arial"/>
                          <w:sz w:val="18"/>
                          <w:szCs w:val="18"/>
                        </w:rPr>
                        <w:t xml:space="preserve">for FR </w:t>
                      </w:r>
                      <w:r w:rsidR="00525B7D">
                        <w:rPr>
                          <w:rFonts w:ascii="Times New Roman" w:hAnsi="Times New Roman" w:cs="Times New Roman"/>
                          <w:sz w:val="18"/>
                          <w:szCs w:val="18"/>
                        </w:rPr>
                        <w:t>Δ</w:t>
                      </w:r>
                      <w:r w:rsidR="00525B7D" w:rsidRPr="00267532">
                        <w:rPr>
                          <w:rFonts w:ascii="Verdana" w:hAnsi="Verdana" w:cs="Arial"/>
                          <w:sz w:val="18"/>
                          <w:szCs w:val="18"/>
                        </w:rPr>
                        <w:t>EC</w:t>
                      </w:r>
                      <w:r w:rsidR="00525B7D">
                        <w:rPr>
                          <w:rFonts w:ascii="Verdana" w:hAnsi="Verdana" w:cs="Arial"/>
                          <w:sz w:val="18"/>
                          <w:szCs w:val="18"/>
                        </w:rPr>
                        <w:t xml:space="preserve"> (top) and FR EC (bottom) </w:t>
                      </w:r>
                      <w:r w:rsidR="00BD03A4">
                        <w:rPr>
                          <w:rFonts w:ascii="Verdana" w:hAnsi="Verdana" w:cs="Arial"/>
                          <w:sz w:val="18"/>
                          <w:szCs w:val="18"/>
                        </w:rPr>
                        <w:t>in the dorsal striatum</w:t>
                      </w:r>
                      <w:r w:rsidR="00320073">
                        <w:rPr>
                          <w:rFonts w:ascii="Verdana" w:hAnsi="Verdana" w:cs="Arial"/>
                          <w:sz w:val="18"/>
                          <w:szCs w:val="18"/>
                        </w:rPr>
                        <w:t>.</w:t>
                      </w:r>
                      <w:r w:rsidR="004518DE">
                        <w:rPr>
                          <w:rFonts w:ascii="Verdana" w:hAnsi="Verdana" w:cs="Arial"/>
                          <w:sz w:val="18"/>
                          <w:szCs w:val="18"/>
                        </w:rPr>
                        <w:t xml:space="preserve"> </w:t>
                      </w:r>
                      <w:r w:rsidR="004518DE" w:rsidRPr="000D3B40">
                        <w:rPr>
                          <w:rFonts w:ascii="Verdana" w:hAnsi="Verdana" w:cs="Arial"/>
                          <w:b/>
                          <w:bCs/>
                          <w:sz w:val="18"/>
                          <w:szCs w:val="18"/>
                        </w:rPr>
                        <w:t>B)</w:t>
                      </w:r>
                      <w:r w:rsidR="004518DE">
                        <w:rPr>
                          <w:rFonts w:ascii="Verdana" w:hAnsi="Verdana" w:cs="Arial"/>
                          <w:sz w:val="18"/>
                          <w:szCs w:val="18"/>
                        </w:rPr>
                        <w:t xml:space="preserve"> Quantification of pS129-α</w:t>
                      </w:r>
                      <w:r w:rsidR="004518DE" w:rsidRPr="00267532">
                        <w:rPr>
                          <w:rFonts w:ascii="Verdana" w:hAnsi="Verdana" w:cs="Arial"/>
                          <w:sz w:val="18"/>
                          <w:szCs w:val="18"/>
                        </w:rPr>
                        <w:t>Syn</w:t>
                      </w:r>
                      <w:r w:rsidR="004518DE">
                        <w:rPr>
                          <w:rFonts w:ascii="Verdana" w:hAnsi="Verdana" w:cs="Arial"/>
                          <w:sz w:val="18"/>
                          <w:szCs w:val="18"/>
                        </w:rPr>
                        <w:t xml:space="preserve">+ </w:t>
                      </w:r>
                      <w:r w:rsidR="000D3B40">
                        <w:rPr>
                          <w:rFonts w:ascii="Verdana" w:hAnsi="Verdana" w:cs="Arial"/>
                          <w:sz w:val="18"/>
                          <w:szCs w:val="18"/>
                        </w:rPr>
                        <w:t>cell body (left) and neurite-like (right) staining,</w:t>
                      </w:r>
                      <w:r w:rsidR="004518DE">
                        <w:rPr>
                          <w:rFonts w:ascii="Verdana" w:hAnsi="Verdana" w:cs="Arial"/>
                          <w:sz w:val="18"/>
                          <w:szCs w:val="18"/>
                        </w:rPr>
                        <w:t xml:space="preserve"> and representative immunofluorescent images (</w:t>
                      </w:r>
                      <w:r w:rsidR="004928B1" w:rsidRPr="00267532">
                        <w:rPr>
                          <w:rFonts w:ascii="Verdana" w:hAnsi="Verdana" w:cs="Arial"/>
                          <w:sz w:val="18"/>
                          <w:szCs w:val="18"/>
                        </w:rPr>
                        <w:t>left</w:t>
                      </w:r>
                      <w:r w:rsidR="004928B1">
                        <w:rPr>
                          <w:rFonts w:ascii="Verdana" w:hAnsi="Verdana" w:cs="Arial"/>
                          <w:sz w:val="18"/>
                          <w:szCs w:val="18"/>
                        </w:rPr>
                        <w:t>:</w:t>
                      </w:r>
                      <w:r w:rsidR="004928B1" w:rsidRPr="00267532">
                        <w:rPr>
                          <w:rFonts w:ascii="Verdana" w:hAnsi="Verdana" w:cs="Arial"/>
                          <w:sz w:val="18"/>
                          <w:szCs w:val="18"/>
                        </w:rPr>
                        <w:t xml:space="preserve"> 10X tiles, scale bar: 250μm; right</w:t>
                      </w:r>
                      <w:r w:rsidR="004928B1">
                        <w:rPr>
                          <w:rFonts w:ascii="Verdana" w:hAnsi="Verdana" w:cs="Arial"/>
                          <w:sz w:val="18"/>
                          <w:szCs w:val="18"/>
                        </w:rPr>
                        <w:t>:</w:t>
                      </w:r>
                      <w:r w:rsidR="004928B1" w:rsidRPr="00267532">
                        <w:rPr>
                          <w:rFonts w:ascii="Verdana" w:hAnsi="Verdana" w:cs="Arial"/>
                          <w:sz w:val="18"/>
                          <w:szCs w:val="18"/>
                        </w:rPr>
                        <w:t xml:space="preserve"> zoom in, scale bar: 100μm</w:t>
                      </w:r>
                      <w:r w:rsidR="004518DE">
                        <w:rPr>
                          <w:rFonts w:ascii="Verdana" w:hAnsi="Verdana" w:cs="Arial"/>
                          <w:sz w:val="18"/>
                          <w:szCs w:val="18"/>
                        </w:rPr>
                        <w:t>) of pS129-α</w:t>
                      </w:r>
                      <w:r w:rsidR="004518DE" w:rsidRPr="00267532">
                        <w:rPr>
                          <w:rFonts w:ascii="Verdana" w:hAnsi="Verdana" w:cs="Arial"/>
                          <w:sz w:val="18"/>
                          <w:szCs w:val="18"/>
                        </w:rPr>
                        <w:t>Syn</w:t>
                      </w:r>
                      <w:r w:rsidR="004518DE">
                        <w:rPr>
                          <w:rFonts w:ascii="Verdana" w:hAnsi="Verdana" w:cs="Arial"/>
                          <w:sz w:val="18"/>
                          <w:szCs w:val="18"/>
                        </w:rPr>
                        <w:t xml:space="preserve"> staining </w:t>
                      </w:r>
                      <w:r w:rsidR="004928B1">
                        <w:rPr>
                          <w:rFonts w:ascii="Verdana" w:hAnsi="Verdana" w:cs="Arial"/>
                          <w:sz w:val="18"/>
                          <w:szCs w:val="18"/>
                        </w:rPr>
                        <w:t xml:space="preserve">in the </w:t>
                      </w:r>
                      <w:proofErr w:type="spellStart"/>
                      <w:r w:rsidR="004928B1">
                        <w:rPr>
                          <w:rFonts w:ascii="Verdana" w:hAnsi="Verdana" w:cs="Arial"/>
                          <w:sz w:val="18"/>
                          <w:szCs w:val="18"/>
                        </w:rPr>
                        <w:t>SNpc</w:t>
                      </w:r>
                      <w:proofErr w:type="spellEnd"/>
                      <w:r w:rsidR="004928B1">
                        <w:rPr>
                          <w:rFonts w:ascii="Verdana" w:hAnsi="Verdana" w:cs="Arial"/>
                          <w:sz w:val="18"/>
                          <w:szCs w:val="18"/>
                        </w:rPr>
                        <w:t>.</w:t>
                      </w:r>
                      <w:r w:rsidR="00E8534E">
                        <w:rPr>
                          <w:rFonts w:ascii="Verdana" w:hAnsi="Verdana" w:cs="Arial"/>
                          <w:sz w:val="18"/>
                          <w:szCs w:val="18"/>
                        </w:rPr>
                        <w:t xml:space="preserve"> </w:t>
                      </w:r>
                      <w:r w:rsidR="00E8534E" w:rsidRPr="004A4975">
                        <w:rPr>
                          <w:rFonts w:ascii="Verdana" w:hAnsi="Verdana" w:cs="Arial"/>
                          <w:b/>
                          <w:bCs/>
                          <w:sz w:val="18"/>
                          <w:szCs w:val="18"/>
                        </w:rPr>
                        <w:t>C)</w:t>
                      </w:r>
                      <w:r w:rsidR="00E8534E">
                        <w:rPr>
                          <w:rFonts w:ascii="Verdana" w:hAnsi="Verdana" w:cs="Arial"/>
                          <w:sz w:val="18"/>
                          <w:szCs w:val="18"/>
                        </w:rPr>
                        <w:t xml:space="preserve"> Quantification </w:t>
                      </w:r>
                      <w:r w:rsidR="00CF29F2">
                        <w:rPr>
                          <w:rFonts w:ascii="Verdana" w:hAnsi="Verdana" w:cs="Arial"/>
                          <w:sz w:val="18"/>
                          <w:szCs w:val="18"/>
                        </w:rPr>
                        <w:t xml:space="preserve">and representative images </w:t>
                      </w:r>
                      <w:r w:rsidR="004A4975">
                        <w:rPr>
                          <w:rFonts w:ascii="Verdana" w:hAnsi="Verdana" w:cs="Arial"/>
                          <w:sz w:val="18"/>
                          <w:szCs w:val="18"/>
                        </w:rPr>
                        <w:t>(</w:t>
                      </w:r>
                      <w:r w:rsidR="004A4975" w:rsidRPr="00267532">
                        <w:rPr>
                          <w:rFonts w:ascii="Verdana" w:hAnsi="Verdana" w:cs="Arial"/>
                          <w:sz w:val="18"/>
                          <w:szCs w:val="18"/>
                        </w:rPr>
                        <w:t>40X, scale bar: 50μm</w:t>
                      </w:r>
                      <w:r w:rsidR="004A4975">
                        <w:rPr>
                          <w:rFonts w:ascii="Verdana" w:hAnsi="Verdana" w:cs="Arial"/>
                          <w:sz w:val="18"/>
                          <w:szCs w:val="18"/>
                        </w:rPr>
                        <w:t xml:space="preserve">; top: FR </w:t>
                      </w:r>
                      <w:r w:rsidR="004A4975">
                        <w:rPr>
                          <w:rFonts w:ascii="Times New Roman" w:hAnsi="Times New Roman" w:cs="Times New Roman"/>
                          <w:sz w:val="18"/>
                          <w:szCs w:val="18"/>
                        </w:rPr>
                        <w:t>Δ</w:t>
                      </w:r>
                      <w:r w:rsidR="004A4975" w:rsidRPr="00267532">
                        <w:rPr>
                          <w:rFonts w:ascii="Verdana" w:hAnsi="Verdana" w:cs="Arial"/>
                          <w:sz w:val="18"/>
                          <w:szCs w:val="18"/>
                        </w:rPr>
                        <w:t>EC</w:t>
                      </w:r>
                      <w:r w:rsidR="004A4975">
                        <w:rPr>
                          <w:rFonts w:ascii="Verdana" w:hAnsi="Verdana" w:cs="Arial"/>
                          <w:sz w:val="18"/>
                          <w:szCs w:val="18"/>
                        </w:rPr>
                        <w:t>; bottom: FD EC</w:t>
                      </w:r>
                      <w:r w:rsidR="004A4975" w:rsidRPr="00267532">
                        <w:rPr>
                          <w:rFonts w:ascii="Verdana" w:hAnsi="Verdana" w:cs="Arial"/>
                          <w:sz w:val="18"/>
                          <w:szCs w:val="18"/>
                        </w:rPr>
                        <w:t>)</w:t>
                      </w:r>
                      <w:r w:rsidR="004A4975">
                        <w:rPr>
                          <w:rFonts w:ascii="Verdana" w:hAnsi="Verdana" w:cs="Arial"/>
                          <w:sz w:val="18"/>
                          <w:szCs w:val="18"/>
                        </w:rPr>
                        <w:t xml:space="preserve"> </w:t>
                      </w:r>
                      <w:r w:rsidR="00E8534E">
                        <w:rPr>
                          <w:rFonts w:ascii="Verdana" w:hAnsi="Verdana" w:cs="Arial"/>
                          <w:sz w:val="18"/>
                          <w:szCs w:val="18"/>
                        </w:rPr>
                        <w:t>of TH</w:t>
                      </w:r>
                      <w:r w:rsidR="00CF29F2">
                        <w:rPr>
                          <w:rFonts w:ascii="Verdana" w:hAnsi="Verdana" w:cs="Arial"/>
                          <w:sz w:val="18"/>
                          <w:szCs w:val="18"/>
                        </w:rPr>
                        <w:t xml:space="preserve">+ </w:t>
                      </w:r>
                      <w:r w:rsidR="00A72DE9">
                        <w:rPr>
                          <w:rFonts w:ascii="Verdana" w:hAnsi="Verdana" w:cs="Arial"/>
                          <w:sz w:val="18"/>
                          <w:szCs w:val="18"/>
                        </w:rPr>
                        <w:t>fibre</w:t>
                      </w:r>
                      <w:r w:rsidR="00CF29F2">
                        <w:rPr>
                          <w:rFonts w:ascii="Verdana" w:hAnsi="Verdana" w:cs="Arial"/>
                          <w:sz w:val="18"/>
                          <w:szCs w:val="18"/>
                        </w:rPr>
                        <w:t>s in the dorsal striatum.</w:t>
                      </w:r>
                      <w:r w:rsidR="004A4975">
                        <w:rPr>
                          <w:rFonts w:ascii="Verdana" w:hAnsi="Verdana" w:cs="Arial"/>
                          <w:sz w:val="18"/>
                          <w:szCs w:val="18"/>
                        </w:rPr>
                        <w:t xml:space="preserve"> </w:t>
                      </w:r>
                      <w:r w:rsidR="004A4975" w:rsidRPr="004A4975">
                        <w:rPr>
                          <w:rFonts w:ascii="Verdana" w:hAnsi="Verdana" w:cs="Arial"/>
                          <w:b/>
                          <w:bCs/>
                          <w:sz w:val="18"/>
                          <w:szCs w:val="18"/>
                        </w:rPr>
                        <w:t xml:space="preserve">D) </w:t>
                      </w:r>
                      <w:r w:rsidR="004A4975">
                        <w:rPr>
                          <w:rFonts w:ascii="Verdana" w:hAnsi="Verdana" w:cs="Arial"/>
                          <w:sz w:val="18"/>
                          <w:szCs w:val="18"/>
                        </w:rPr>
                        <w:t>Quantification and representative images (</w:t>
                      </w:r>
                      <w:r w:rsidR="004A4975" w:rsidRPr="00267532">
                        <w:rPr>
                          <w:rFonts w:ascii="Verdana" w:hAnsi="Verdana" w:cs="Arial"/>
                          <w:sz w:val="18"/>
                          <w:szCs w:val="18"/>
                        </w:rPr>
                        <w:t>40X, scale bar: 50μm</w:t>
                      </w:r>
                      <w:r w:rsidR="004A4975">
                        <w:rPr>
                          <w:rFonts w:ascii="Verdana" w:hAnsi="Verdana" w:cs="Arial"/>
                          <w:sz w:val="18"/>
                          <w:szCs w:val="18"/>
                        </w:rPr>
                        <w:t xml:space="preserve">; top: FR </w:t>
                      </w:r>
                      <w:r w:rsidR="004A4975">
                        <w:rPr>
                          <w:rFonts w:ascii="Times New Roman" w:hAnsi="Times New Roman" w:cs="Times New Roman"/>
                          <w:sz w:val="18"/>
                          <w:szCs w:val="18"/>
                        </w:rPr>
                        <w:t>Δ</w:t>
                      </w:r>
                      <w:r w:rsidR="004A4975" w:rsidRPr="00267532">
                        <w:rPr>
                          <w:rFonts w:ascii="Verdana" w:hAnsi="Verdana" w:cs="Arial"/>
                          <w:sz w:val="18"/>
                          <w:szCs w:val="18"/>
                        </w:rPr>
                        <w:t>EC</w:t>
                      </w:r>
                      <w:r w:rsidR="004A4975">
                        <w:rPr>
                          <w:rFonts w:ascii="Verdana" w:hAnsi="Verdana" w:cs="Arial"/>
                          <w:sz w:val="18"/>
                          <w:szCs w:val="18"/>
                        </w:rPr>
                        <w:t>; bottom: FD EC</w:t>
                      </w:r>
                      <w:r w:rsidR="004A4975" w:rsidRPr="00267532">
                        <w:rPr>
                          <w:rFonts w:ascii="Verdana" w:hAnsi="Verdana" w:cs="Arial"/>
                          <w:sz w:val="18"/>
                          <w:szCs w:val="18"/>
                        </w:rPr>
                        <w:t>)</w:t>
                      </w:r>
                      <w:r w:rsidR="004A4975">
                        <w:rPr>
                          <w:rFonts w:ascii="Verdana" w:hAnsi="Verdana" w:cs="Arial"/>
                          <w:sz w:val="18"/>
                          <w:szCs w:val="18"/>
                        </w:rPr>
                        <w:t xml:space="preserve"> of DAT+ </w:t>
                      </w:r>
                      <w:r w:rsidR="0069010C">
                        <w:rPr>
                          <w:rFonts w:ascii="Verdana" w:hAnsi="Verdana" w:cs="Arial"/>
                          <w:sz w:val="18"/>
                          <w:szCs w:val="18"/>
                        </w:rPr>
                        <w:t>synapses</w:t>
                      </w:r>
                      <w:r w:rsidR="004A4975">
                        <w:rPr>
                          <w:rFonts w:ascii="Verdana" w:hAnsi="Verdana" w:cs="Arial"/>
                          <w:sz w:val="18"/>
                          <w:szCs w:val="18"/>
                        </w:rPr>
                        <w:t xml:space="preserve"> in the dorsal striatu</w:t>
                      </w:r>
                      <w:r w:rsidR="0069010C">
                        <w:rPr>
                          <w:rFonts w:ascii="Verdana" w:hAnsi="Verdana" w:cs="Arial"/>
                          <w:sz w:val="18"/>
                          <w:szCs w:val="18"/>
                        </w:rPr>
                        <w:t xml:space="preserve">m. </w:t>
                      </w:r>
                      <w:r w:rsidR="0069010C" w:rsidRPr="0069010C">
                        <w:rPr>
                          <w:rFonts w:ascii="Verdana" w:hAnsi="Verdana" w:cs="Arial"/>
                          <w:b/>
                          <w:bCs/>
                          <w:sz w:val="18"/>
                          <w:szCs w:val="18"/>
                        </w:rPr>
                        <w:t>E)</w:t>
                      </w:r>
                      <w:r w:rsidR="0069010C">
                        <w:rPr>
                          <w:rFonts w:ascii="Verdana" w:hAnsi="Verdana" w:cs="Arial"/>
                          <w:sz w:val="18"/>
                          <w:szCs w:val="18"/>
                        </w:rPr>
                        <w:t xml:space="preserve"> Quantification and representative images (1</w:t>
                      </w:r>
                      <w:r w:rsidR="0069010C" w:rsidRPr="00267532">
                        <w:rPr>
                          <w:rFonts w:ascii="Verdana" w:hAnsi="Verdana" w:cs="Arial"/>
                          <w:sz w:val="18"/>
                          <w:szCs w:val="18"/>
                        </w:rPr>
                        <w:t xml:space="preserve">0X, scale bar: </w:t>
                      </w:r>
                      <w:r w:rsidR="0069010C">
                        <w:rPr>
                          <w:rFonts w:ascii="Verdana" w:hAnsi="Verdana" w:cs="Arial"/>
                          <w:sz w:val="18"/>
                          <w:szCs w:val="18"/>
                        </w:rPr>
                        <w:t>2</w:t>
                      </w:r>
                      <w:r w:rsidR="0069010C" w:rsidRPr="00267532">
                        <w:rPr>
                          <w:rFonts w:ascii="Verdana" w:hAnsi="Verdana" w:cs="Arial"/>
                          <w:sz w:val="18"/>
                          <w:szCs w:val="18"/>
                        </w:rPr>
                        <w:t>50μm</w:t>
                      </w:r>
                      <w:r w:rsidR="0069010C">
                        <w:rPr>
                          <w:rFonts w:ascii="Verdana" w:hAnsi="Verdana" w:cs="Arial"/>
                          <w:sz w:val="18"/>
                          <w:szCs w:val="18"/>
                        </w:rPr>
                        <w:t xml:space="preserve">; top: FR </w:t>
                      </w:r>
                      <w:r w:rsidR="0069010C">
                        <w:rPr>
                          <w:rFonts w:ascii="Times New Roman" w:hAnsi="Times New Roman" w:cs="Times New Roman"/>
                          <w:sz w:val="18"/>
                          <w:szCs w:val="18"/>
                        </w:rPr>
                        <w:t>Δ</w:t>
                      </w:r>
                      <w:r w:rsidR="0069010C" w:rsidRPr="00267532">
                        <w:rPr>
                          <w:rFonts w:ascii="Verdana" w:hAnsi="Verdana" w:cs="Arial"/>
                          <w:sz w:val="18"/>
                          <w:szCs w:val="18"/>
                        </w:rPr>
                        <w:t>EC</w:t>
                      </w:r>
                      <w:r w:rsidR="0069010C">
                        <w:rPr>
                          <w:rFonts w:ascii="Verdana" w:hAnsi="Verdana" w:cs="Arial"/>
                          <w:sz w:val="18"/>
                          <w:szCs w:val="18"/>
                        </w:rPr>
                        <w:t>; bottom: FD EC</w:t>
                      </w:r>
                      <w:r w:rsidR="0069010C" w:rsidRPr="00267532">
                        <w:rPr>
                          <w:rFonts w:ascii="Verdana" w:hAnsi="Verdana" w:cs="Arial"/>
                          <w:sz w:val="18"/>
                          <w:szCs w:val="18"/>
                        </w:rPr>
                        <w:t>)</w:t>
                      </w:r>
                      <w:r w:rsidR="0069010C">
                        <w:rPr>
                          <w:rFonts w:ascii="Verdana" w:hAnsi="Verdana" w:cs="Arial"/>
                          <w:sz w:val="18"/>
                          <w:szCs w:val="18"/>
                        </w:rPr>
                        <w:t xml:space="preserve"> of TH+ signal in the </w:t>
                      </w:r>
                      <w:proofErr w:type="spellStart"/>
                      <w:r w:rsidR="0069010C">
                        <w:rPr>
                          <w:rFonts w:ascii="Verdana" w:hAnsi="Verdana" w:cs="Arial"/>
                          <w:sz w:val="18"/>
                          <w:szCs w:val="18"/>
                        </w:rPr>
                        <w:t>SNpc</w:t>
                      </w:r>
                      <w:proofErr w:type="spellEnd"/>
                      <w:r w:rsidR="0069010C">
                        <w:rPr>
                          <w:rFonts w:ascii="Verdana" w:hAnsi="Verdana" w:cs="Arial"/>
                          <w:sz w:val="18"/>
                          <w:szCs w:val="18"/>
                        </w:rPr>
                        <w:t>.</w:t>
                      </w:r>
                    </w:p>
                    <w:p w14:paraId="723B60FF" w14:textId="77741E82" w:rsidR="0069010C" w:rsidRDefault="006709A3" w:rsidP="0069010C">
                      <w:pPr>
                        <w:pStyle w:val="Default"/>
                        <w:spacing w:before="120" w:after="120"/>
                        <w:jc w:val="both"/>
                        <w:rPr>
                          <w:rFonts w:ascii="Verdana" w:hAnsi="Verdana" w:cs="Arial"/>
                          <w:sz w:val="18"/>
                          <w:szCs w:val="18"/>
                        </w:rPr>
                      </w:pPr>
                      <w:r w:rsidRPr="00267532">
                        <w:rPr>
                          <w:rFonts w:ascii="Verdana" w:hAnsi="Verdana" w:cs="Arial"/>
                          <w:sz w:val="18"/>
                          <w:szCs w:val="18"/>
                        </w:rPr>
                        <w:t>Stats: Mann-Whitney U test, not corrected for FDR</w:t>
                      </w:r>
                      <w:r w:rsidR="0069010C">
                        <w:rPr>
                          <w:rFonts w:ascii="Verdana" w:hAnsi="Verdana" w:cs="Arial"/>
                          <w:sz w:val="18"/>
                          <w:szCs w:val="18"/>
                        </w:rPr>
                        <w:t>.</w:t>
                      </w:r>
                    </w:p>
                    <w:p w14:paraId="3631E8BF" w14:textId="301C3CC3" w:rsidR="006709A3" w:rsidRPr="0069010C" w:rsidRDefault="006709A3" w:rsidP="0069010C">
                      <w:pPr>
                        <w:pStyle w:val="Default"/>
                        <w:jc w:val="both"/>
                        <w:rPr>
                          <w:rFonts w:ascii="Verdana" w:hAnsi="Verdana" w:cs="Arial"/>
                          <w:sz w:val="18"/>
                          <w:szCs w:val="18"/>
                        </w:rPr>
                      </w:pPr>
                      <w:proofErr w:type="spellStart"/>
                      <w:r w:rsidRPr="00267532">
                        <w:rPr>
                          <w:rFonts w:ascii="Verdana" w:hAnsi="Verdana" w:cs="Arial"/>
                          <w:sz w:val="18"/>
                          <w:szCs w:val="18"/>
                        </w:rPr>
                        <w:t>SNpc</w:t>
                      </w:r>
                      <w:proofErr w:type="spellEnd"/>
                      <w:r w:rsidR="0069010C">
                        <w:rPr>
                          <w:rFonts w:ascii="Verdana" w:hAnsi="Verdana" w:cs="Arial"/>
                          <w:sz w:val="18"/>
                          <w:szCs w:val="18"/>
                        </w:rPr>
                        <w:t xml:space="preserve"> =</w:t>
                      </w:r>
                      <w:r w:rsidRPr="00267532">
                        <w:rPr>
                          <w:rFonts w:ascii="Verdana" w:hAnsi="Verdana" w:cs="Arial"/>
                          <w:sz w:val="18"/>
                          <w:szCs w:val="18"/>
                        </w:rPr>
                        <w:t xml:space="preserve"> substantia nigra pars compacta</w:t>
                      </w:r>
                      <w:r w:rsidR="0069010C">
                        <w:rPr>
                          <w:rFonts w:ascii="Verdana" w:hAnsi="Verdana" w:cs="Arial"/>
                          <w:sz w:val="18"/>
                          <w:szCs w:val="18"/>
                        </w:rPr>
                        <w:t>,</w:t>
                      </w:r>
                      <w:r w:rsidRPr="00267532">
                        <w:rPr>
                          <w:rFonts w:ascii="Verdana" w:hAnsi="Verdana" w:cs="Arial"/>
                          <w:sz w:val="18"/>
                          <w:szCs w:val="18"/>
                        </w:rPr>
                        <w:t xml:space="preserve"> FD</w:t>
                      </w:r>
                      <w:r w:rsidR="0069010C">
                        <w:rPr>
                          <w:rFonts w:ascii="Verdana" w:hAnsi="Verdana" w:cs="Arial"/>
                          <w:sz w:val="18"/>
                          <w:szCs w:val="18"/>
                        </w:rPr>
                        <w:t xml:space="preserve"> =</w:t>
                      </w:r>
                      <w:r w:rsidRPr="00267532">
                        <w:rPr>
                          <w:rFonts w:ascii="Verdana" w:hAnsi="Verdana" w:cs="Arial"/>
                          <w:sz w:val="18"/>
                          <w:szCs w:val="18"/>
                        </w:rPr>
                        <w:t xml:space="preserve"> </w:t>
                      </w:r>
                      <w:r w:rsidR="00A72DE9">
                        <w:rPr>
                          <w:rFonts w:ascii="Verdana" w:hAnsi="Verdana" w:cs="Arial"/>
                          <w:sz w:val="18"/>
                          <w:szCs w:val="18"/>
                        </w:rPr>
                        <w:t>fibre</w:t>
                      </w:r>
                      <w:r w:rsidRPr="00267532">
                        <w:rPr>
                          <w:rFonts w:ascii="Verdana" w:hAnsi="Verdana" w:cs="Arial"/>
                          <w:sz w:val="18"/>
                          <w:szCs w:val="18"/>
                        </w:rPr>
                        <w:t>-deprived diet</w:t>
                      </w:r>
                      <w:r w:rsidR="0069010C">
                        <w:rPr>
                          <w:rFonts w:ascii="Verdana" w:hAnsi="Verdana" w:cs="Arial"/>
                          <w:sz w:val="18"/>
                          <w:szCs w:val="18"/>
                        </w:rPr>
                        <w:t>,</w:t>
                      </w:r>
                      <w:r w:rsidRPr="00267532">
                        <w:rPr>
                          <w:rFonts w:ascii="Verdana" w:hAnsi="Verdana" w:cs="Arial"/>
                          <w:sz w:val="18"/>
                          <w:szCs w:val="18"/>
                        </w:rPr>
                        <w:t xml:space="preserve"> FR</w:t>
                      </w:r>
                      <w:r w:rsidR="0069010C">
                        <w:rPr>
                          <w:rFonts w:ascii="Verdana" w:hAnsi="Verdana" w:cs="Arial"/>
                          <w:sz w:val="18"/>
                          <w:szCs w:val="18"/>
                        </w:rPr>
                        <w:t xml:space="preserve"> =</w:t>
                      </w:r>
                      <w:r w:rsidRPr="00267532">
                        <w:rPr>
                          <w:rFonts w:ascii="Verdana" w:hAnsi="Verdana" w:cs="Arial"/>
                          <w:sz w:val="18"/>
                          <w:szCs w:val="18"/>
                        </w:rPr>
                        <w:t xml:space="preserve"> fibre-rich diet</w:t>
                      </w:r>
                      <w:r w:rsidR="0069010C">
                        <w:rPr>
                          <w:rFonts w:ascii="Verdana" w:hAnsi="Verdana" w:cs="Arial"/>
                          <w:sz w:val="18"/>
                          <w:szCs w:val="18"/>
                        </w:rPr>
                        <w:t xml:space="preserve"> or n</w:t>
                      </w:r>
                      <w:r w:rsidRPr="00267532">
                        <w:rPr>
                          <w:rFonts w:ascii="Verdana" w:hAnsi="Verdana" w:cs="Arial"/>
                          <w:sz w:val="18"/>
                          <w:szCs w:val="18"/>
                        </w:rPr>
                        <w:t>ormal chow</w:t>
                      </w:r>
                      <w:r w:rsidR="0069010C">
                        <w:rPr>
                          <w:rFonts w:ascii="Verdana" w:hAnsi="Verdana" w:cs="Arial"/>
                          <w:sz w:val="18"/>
                          <w:szCs w:val="18"/>
                        </w:rPr>
                        <w:t>,</w:t>
                      </w:r>
                      <w:r w:rsidRPr="00267532">
                        <w:rPr>
                          <w:rFonts w:ascii="Verdana" w:hAnsi="Verdana" w:cs="Arial"/>
                          <w:sz w:val="18"/>
                          <w:szCs w:val="18"/>
                        </w:rPr>
                        <w:t xml:space="preserve"> PBS</w:t>
                      </w:r>
                      <w:r w:rsidR="0069010C">
                        <w:rPr>
                          <w:rFonts w:ascii="Verdana" w:hAnsi="Verdana" w:cs="Arial"/>
                          <w:sz w:val="18"/>
                          <w:szCs w:val="18"/>
                        </w:rPr>
                        <w:t xml:space="preserve"> = </w:t>
                      </w:r>
                      <w:r w:rsidRPr="00267532">
                        <w:rPr>
                          <w:rFonts w:ascii="Verdana" w:hAnsi="Verdana" w:cs="Arial"/>
                          <w:sz w:val="18"/>
                          <w:szCs w:val="18"/>
                        </w:rPr>
                        <w:t>phosphate buffered saline</w:t>
                      </w:r>
                      <w:r w:rsidR="0069010C">
                        <w:rPr>
                          <w:rFonts w:ascii="Verdana" w:hAnsi="Verdana" w:cs="Arial"/>
                          <w:sz w:val="18"/>
                          <w:szCs w:val="18"/>
                        </w:rPr>
                        <w:t xml:space="preserve"> solution,</w:t>
                      </w:r>
                      <w:r w:rsidRPr="00267532">
                        <w:rPr>
                          <w:rFonts w:ascii="Verdana" w:hAnsi="Verdana" w:cs="Arial"/>
                          <w:sz w:val="18"/>
                          <w:szCs w:val="18"/>
                        </w:rPr>
                        <w:t xml:space="preserve"> </w:t>
                      </w:r>
                      <w:r>
                        <w:rPr>
                          <w:rFonts w:ascii="Times New Roman" w:hAnsi="Times New Roman" w:cs="Times New Roman"/>
                          <w:sz w:val="18"/>
                          <w:szCs w:val="18"/>
                        </w:rPr>
                        <w:t>Δ</w:t>
                      </w:r>
                      <w:r w:rsidRPr="00267532">
                        <w:rPr>
                          <w:rFonts w:ascii="Verdana" w:hAnsi="Verdana" w:cs="Arial"/>
                          <w:sz w:val="18"/>
                          <w:szCs w:val="18"/>
                        </w:rPr>
                        <w:t>EC</w:t>
                      </w:r>
                      <w:r w:rsidR="0069010C">
                        <w:rPr>
                          <w:rFonts w:ascii="Verdana" w:hAnsi="Verdana" w:cs="Arial"/>
                          <w:sz w:val="18"/>
                          <w:szCs w:val="18"/>
                        </w:rPr>
                        <w:t xml:space="preserve"> =</w:t>
                      </w:r>
                      <w:r w:rsidRPr="00267532">
                        <w:rPr>
                          <w:rFonts w:ascii="Verdana" w:hAnsi="Verdana" w:cs="Arial"/>
                          <w:sz w:val="18"/>
                          <w:szCs w:val="18"/>
                        </w:rPr>
                        <w:t xml:space="preserve"> </w:t>
                      </w:r>
                      <w:r w:rsidR="00A20405">
                        <w:rPr>
                          <w:rFonts w:ascii="Verdana" w:hAnsi="Verdana" w:cs="Arial"/>
                          <w:sz w:val="18"/>
                          <w:szCs w:val="18"/>
                        </w:rPr>
                        <w:t>C</w:t>
                      </w:r>
                      <w:r w:rsidRPr="00267532">
                        <w:rPr>
                          <w:rFonts w:ascii="Verdana" w:hAnsi="Verdana" w:cs="Arial"/>
                          <w:sz w:val="18"/>
                          <w:szCs w:val="18"/>
                        </w:rPr>
                        <w:t xml:space="preserve">urli-KO </w:t>
                      </w:r>
                      <w:r w:rsidRPr="00662D9C">
                        <w:rPr>
                          <w:rFonts w:ascii="Verdana" w:hAnsi="Verdana" w:cs="Arial"/>
                          <w:i/>
                          <w:iCs/>
                          <w:sz w:val="18"/>
                          <w:szCs w:val="18"/>
                        </w:rPr>
                        <w:t>E. coli</w:t>
                      </w:r>
                      <w:r w:rsidR="0069010C">
                        <w:rPr>
                          <w:rFonts w:ascii="Verdana" w:hAnsi="Verdana" w:cs="Arial"/>
                          <w:sz w:val="18"/>
                          <w:szCs w:val="18"/>
                        </w:rPr>
                        <w:t xml:space="preserve">, </w:t>
                      </w:r>
                      <w:r w:rsidRPr="00267532">
                        <w:rPr>
                          <w:rFonts w:ascii="Verdana" w:hAnsi="Verdana" w:cs="Arial"/>
                          <w:sz w:val="18"/>
                          <w:szCs w:val="18"/>
                        </w:rPr>
                        <w:t>EC</w:t>
                      </w:r>
                      <w:r w:rsidR="0069010C">
                        <w:rPr>
                          <w:rFonts w:ascii="Verdana" w:hAnsi="Verdana" w:cs="Arial"/>
                          <w:sz w:val="18"/>
                          <w:szCs w:val="18"/>
                        </w:rPr>
                        <w:t xml:space="preserve"> =</w:t>
                      </w:r>
                      <w:r w:rsidRPr="00267532">
                        <w:rPr>
                          <w:rFonts w:ascii="Verdana" w:hAnsi="Verdana" w:cs="Arial"/>
                          <w:sz w:val="18"/>
                          <w:szCs w:val="18"/>
                        </w:rPr>
                        <w:t xml:space="preserve"> wild-type </w:t>
                      </w:r>
                      <w:r w:rsidR="00A20405">
                        <w:rPr>
                          <w:rFonts w:ascii="Verdana" w:hAnsi="Verdana" w:cs="Arial"/>
                          <w:sz w:val="18"/>
                          <w:szCs w:val="18"/>
                        </w:rPr>
                        <w:t>C</w:t>
                      </w:r>
                      <w:r w:rsidRPr="00267532">
                        <w:rPr>
                          <w:rFonts w:ascii="Verdana" w:hAnsi="Verdana" w:cs="Arial"/>
                          <w:sz w:val="18"/>
                          <w:szCs w:val="18"/>
                        </w:rPr>
                        <w:t xml:space="preserve">urli expressing </w:t>
                      </w:r>
                      <w:r w:rsidRPr="00662D9C">
                        <w:rPr>
                          <w:rFonts w:ascii="Verdana" w:hAnsi="Verdana" w:cs="Arial"/>
                          <w:i/>
                          <w:iCs/>
                          <w:sz w:val="18"/>
                          <w:szCs w:val="18"/>
                        </w:rPr>
                        <w:t>E. coli</w:t>
                      </w:r>
                      <w:r w:rsidR="0069010C">
                        <w:rPr>
                          <w:rFonts w:ascii="Verdana" w:hAnsi="Verdana" w:cs="Arial"/>
                          <w:i/>
                          <w:iCs/>
                          <w:sz w:val="18"/>
                          <w:szCs w:val="18"/>
                        </w:rPr>
                        <w:t xml:space="preserve">, </w:t>
                      </w:r>
                      <w:proofErr w:type="spellStart"/>
                      <w:r w:rsidR="0069010C">
                        <w:rPr>
                          <w:rFonts w:ascii="Verdana" w:hAnsi="Verdana" w:cs="Arial"/>
                          <w:sz w:val="18"/>
                          <w:szCs w:val="18"/>
                        </w:rPr>
                        <w:t>pSYN</w:t>
                      </w:r>
                      <w:proofErr w:type="spellEnd"/>
                      <w:r w:rsidR="0069010C">
                        <w:rPr>
                          <w:rFonts w:ascii="Verdana" w:hAnsi="Verdana" w:cs="Arial"/>
                          <w:sz w:val="18"/>
                          <w:szCs w:val="18"/>
                        </w:rPr>
                        <w:t xml:space="preserve"> = phosphorylated alpha-synuclein, TH = Tyrosine hydroxylase, DAT = dopamine transporter.</w:t>
                      </w:r>
                    </w:p>
                  </w:txbxContent>
                </v:textbox>
                <w10:wrap type="topAndBottom" anchorx="margin"/>
              </v:shape>
            </w:pict>
          </mc:Fallback>
        </mc:AlternateContent>
      </w:r>
      <w:r w:rsidR="0069010C">
        <w:rPr>
          <w:rFonts w:ascii="Verdana" w:hAnsi="Verdana" w:cs="Calibri"/>
          <w:noProof/>
          <w:color w:val="000000"/>
          <w:sz w:val="20"/>
          <w:szCs w:val="20"/>
          <w:lang w:val="en-GB"/>
        </w:rPr>
        <w:drawing>
          <wp:anchor distT="0" distB="0" distL="114300" distR="114300" simplePos="0" relativeHeight="251922432" behindDoc="0" locked="0" layoutInCell="1" allowOverlap="1" wp14:anchorId="327CE04A" wp14:editId="0E929CD4">
            <wp:simplePos x="0" y="0"/>
            <wp:positionH relativeFrom="page">
              <wp:align>center</wp:align>
            </wp:positionH>
            <wp:positionV relativeFrom="paragraph">
              <wp:posOffset>0</wp:posOffset>
            </wp:positionV>
            <wp:extent cx="4857750" cy="6301105"/>
            <wp:effectExtent l="0" t="0" r="0" b="4445"/>
            <wp:wrapTopAndBottom/>
            <wp:docPr id="98" name="Picture 9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graphical user interfac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4857750" cy="6301105"/>
                    </a:xfrm>
                    <a:prstGeom prst="rect">
                      <a:avLst/>
                    </a:prstGeom>
                  </pic:spPr>
                </pic:pic>
              </a:graphicData>
            </a:graphic>
            <wp14:sizeRelH relativeFrom="margin">
              <wp14:pctWidth>0</wp14:pctWidth>
            </wp14:sizeRelH>
            <wp14:sizeRelV relativeFrom="margin">
              <wp14:pctHeight>0</wp14:pctHeight>
            </wp14:sizeRelV>
          </wp:anchor>
        </w:drawing>
      </w:r>
      <w:r w:rsidR="000071CC">
        <w:rPr>
          <w:rFonts w:ascii="Verdana" w:hAnsi="Verdana"/>
          <w:b/>
          <w:bCs/>
          <w:sz w:val="24"/>
          <w:szCs w:val="24"/>
        </w:rPr>
        <w:br w:type="page"/>
      </w:r>
    </w:p>
    <w:p w14:paraId="4E4BAF95" w14:textId="491096B4" w:rsidR="0043444A" w:rsidRDefault="009E5729" w:rsidP="009E5729">
      <w:pPr>
        <w:pStyle w:val="Heading2"/>
        <w:spacing w:line="360" w:lineRule="auto"/>
      </w:pPr>
      <w:bookmarkStart w:id="139" w:name="_Toc130223458"/>
      <w:r>
        <w:lastRenderedPageBreak/>
        <w:t>7.5</w:t>
      </w:r>
      <w:r w:rsidR="001D2CB1">
        <w:t xml:space="preserve"> </w:t>
      </w:r>
      <w:r w:rsidR="0043444A">
        <w:t>The combination of</w:t>
      </w:r>
      <w:r w:rsidR="0052786E">
        <w:t xml:space="preserve"> </w:t>
      </w:r>
      <w:proofErr w:type="spellStart"/>
      <w:r w:rsidR="00A72DE9">
        <w:t>fibre</w:t>
      </w:r>
      <w:proofErr w:type="spellEnd"/>
      <w:r w:rsidR="0052786E">
        <w:t xml:space="preserve">-deprived diet </w:t>
      </w:r>
      <w:r w:rsidR="008E0FB4">
        <w:t>and</w:t>
      </w:r>
      <w:r w:rsidR="0052786E">
        <w:t xml:space="preserve"> exposure to </w:t>
      </w:r>
      <w:r w:rsidR="0052786E" w:rsidRPr="0052786E">
        <w:rPr>
          <w:i/>
          <w:iCs/>
        </w:rPr>
        <w:t>E. coli</w:t>
      </w:r>
      <w:r w:rsidR="0052786E">
        <w:t xml:space="preserve"> born Curli</w:t>
      </w:r>
      <w:r w:rsidR="001B5110" w:rsidRPr="001B5110">
        <w:t xml:space="preserve"> </w:t>
      </w:r>
      <w:r w:rsidR="00131355">
        <w:t>drives</w:t>
      </w:r>
      <w:r w:rsidR="0052786E">
        <w:t xml:space="preserve"> alpha-synuclein aggregation in the </w:t>
      </w:r>
      <w:r w:rsidR="008E0FB4">
        <w:t>enteric nervous system</w:t>
      </w:r>
      <w:bookmarkEnd w:id="139"/>
    </w:p>
    <w:p w14:paraId="2AB78A0C" w14:textId="6C11508B" w:rsidR="000071CC" w:rsidRPr="00BC2FA0" w:rsidRDefault="0088001D" w:rsidP="00BC2FA0">
      <w:pPr>
        <w:pStyle w:val="ListParagraph"/>
        <w:autoSpaceDE w:val="0"/>
        <w:autoSpaceDN w:val="0"/>
        <w:adjustRightInd w:val="0"/>
        <w:spacing w:after="0" w:line="360" w:lineRule="auto"/>
        <w:ind w:left="0"/>
        <w:jc w:val="both"/>
        <w:rPr>
          <w:rFonts w:ascii="Verdana" w:hAnsi="Verdana"/>
        </w:rPr>
      </w:pPr>
      <w:r w:rsidRPr="0088001D">
        <w:rPr>
          <w:rFonts w:ascii="Verdana" w:hAnsi="Verdana"/>
        </w:rPr>
        <w:t xml:space="preserve">PD patients </w:t>
      </w:r>
      <w:r>
        <w:rPr>
          <w:rFonts w:ascii="Verdana" w:hAnsi="Verdana"/>
        </w:rPr>
        <w:t xml:space="preserve">have often been reported to present alpha-synuclein aggregation in the periphery. To test if </w:t>
      </w:r>
      <w:r w:rsidR="00912E23">
        <w:rPr>
          <w:rFonts w:ascii="Verdana" w:hAnsi="Verdana"/>
        </w:rPr>
        <w:t xml:space="preserve">the exposure to the amyloidogenic bacterial protein Curli and </w:t>
      </w:r>
      <w:proofErr w:type="spellStart"/>
      <w:r w:rsidR="00A72DE9">
        <w:rPr>
          <w:rFonts w:ascii="Verdana" w:hAnsi="Verdana"/>
        </w:rPr>
        <w:t>fibre</w:t>
      </w:r>
      <w:proofErr w:type="spellEnd"/>
      <w:r w:rsidR="00912E23">
        <w:rPr>
          <w:rFonts w:ascii="Verdana" w:hAnsi="Verdana"/>
        </w:rPr>
        <w:t xml:space="preserve">-deprivation, either alone or in combination, </w:t>
      </w:r>
      <w:r w:rsidR="00F17453">
        <w:rPr>
          <w:rFonts w:ascii="Verdana" w:hAnsi="Verdana"/>
        </w:rPr>
        <w:t>could affect alpha-synuclein aggregation</w:t>
      </w:r>
      <w:r w:rsidR="007B2E4A">
        <w:rPr>
          <w:rFonts w:ascii="Verdana" w:hAnsi="Verdana"/>
        </w:rPr>
        <w:t xml:space="preserve"> in our mice</w:t>
      </w:r>
      <w:r w:rsidR="00F17453">
        <w:rPr>
          <w:rFonts w:ascii="Verdana" w:hAnsi="Verdana"/>
        </w:rPr>
        <w:t>, we stained the colon with a</w:t>
      </w:r>
      <w:r w:rsidR="007B2E4A">
        <w:rPr>
          <w:rFonts w:ascii="Verdana" w:hAnsi="Verdana"/>
        </w:rPr>
        <w:t>n antibody against phosphorylated alpha-synuclein (pS129-</w:t>
      </w:r>
      <w:r w:rsidR="007B2E4A">
        <w:rPr>
          <w:rFonts w:ascii="Verdana" w:hAnsi="Verdana" w:cs="Calibri"/>
        </w:rPr>
        <w:t>α</w:t>
      </w:r>
      <w:r w:rsidR="007B2E4A" w:rsidRPr="00B5489E">
        <w:rPr>
          <w:rFonts w:ascii="Verdana" w:hAnsi="Verdana" w:cs="Calibri"/>
        </w:rPr>
        <w:t>Syn</w:t>
      </w:r>
      <w:r w:rsidR="007B2E4A">
        <w:rPr>
          <w:rFonts w:ascii="Verdana" w:hAnsi="Verdana" w:cs="Calibri"/>
        </w:rPr>
        <w:t>).</w:t>
      </w:r>
      <w:r w:rsidR="00C450A2">
        <w:rPr>
          <w:rFonts w:ascii="Verdana" w:hAnsi="Verdana" w:cs="Calibri"/>
        </w:rPr>
        <w:t xml:space="preserve"> The </w:t>
      </w:r>
      <w:r w:rsidR="00B23824">
        <w:rPr>
          <w:rFonts w:ascii="Verdana" w:hAnsi="Verdana" w:cs="Calibri"/>
        </w:rPr>
        <w:t>phosphorylated alpha-synuclein</w:t>
      </w:r>
      <w:r w:rsidR="00C450A2">
        <w:rPr>
          <w:rFonts w:ascii="Verdana" w:hAnsi="Verdana" w:cs="Calibri"/>
        </w:rPr>
        <w:t xml:space="preserve"> positive signal was quantified </w:t>
      </w:r>
      <w:r w:rsidR="009A6FD7">
        <w:rPr>
          <w:rFonts w:ascii="Verdana" w:hAnsi="Verdana" w:cs="Calibri"/>
        </w:rPr>
        <w:t>in ganglions positively stained for the neuronal cytoplasmic marker protein gene product 9.5 (PGP9.5).</w:t>
      </w:r>
      <w:r w:rsidR="006861F2">
        <w:rPr>
          <w:rFonts w:ascii="Verdana" w:hAnsi="Verdana" w:cs="Calibri"/>
        </w:rPr>
        <w:t xml:space="preserve"> </w:t>
      </w:r>
      <w:r w:rsidR="004824E4">
        <w:rPr>
          <w:rFonts w:ascii="Verdana" w:hAnsi="Verdana" w:cs="Calibri"/>
        </w:rPr>
        <w:t>Both WT and TG mice present</w:t>
      </w:r>
      <w:r w:rsidR="004264AA">
        <w:rPr>
          <w:rFonts w:ascii="Verdana" w:hAnsi="Verdana" w:cs="Calibri"/>
        </w:rPr>
        <w:t>ed</w:t>
      </w:r>
      <w:r w:rsidR="004824E4">
        <w:rPr>
          <w:rFonts w:ascii="Verdana" w:hAnsi="Verdana" w:cs="Calibri"/>
        </w:rPr>
        <w:t xml:space="preserve"> positive </w:t>
      </w:r>
      <w:r w:rsidR="008C5B31">
        <w:rPr>
          <w:rFonts w:ascii="Verdana" w:hAnsi="Verdana" w:cs="Calibri"/>
        </w:rPr>
        <w:t>p</w:t>
      </w:r>
      <w:r w:rsidR="00872D24">
        <w:rPr>
          <w:rFonts w:ascii="Verdana" w:hAnsi="Verdana" w:cs="Calibri"/>
        </w:rPr>
        <w:t>hosphorylated alpha-synuclein</w:t>
      </w:r>
      <w:r w:rsidR="008C5B31">
        <w:rPr>
          <w:rFonts w:ascii="Verdana" w:hAnsi="Verdana" w:cs="Calibri"/>
        </w:rPr>
        <w:t xml:space="preserve"> staining in the myenteric plexus, but only TG mice exposed to both the </w:t>
      </w:r>
      <w:proofErr w:type="spellStart"/>
      <w:r w:rsidR="00A72DE9">
        <w:rPr>
          <w:rFonts w:ascii="Verdana" w:hAnsi="Verdana" w:cs="Calibri"/>
        </w:rPr>
        <w:t>fibre</w:t>
      </w:r>
      <w:proofErr w:type="spellEnd"/>
      <w:r w:rsidR="008C5B31">
        <w:rPr>
          <w:rFonts w:ascii="Verdana" w:hAnsi="Verdana" w:cs="Calibri"/>
        </w:rPr>
        <w:t xml:space="preserve">-deprivation and the </w:t>
      </w:r>
      <w:r w:rsidR="008C5B31" w:rsidRPr="008C5B31">
        <w:rPr>
          <w:rFonts w:ascii="Verdana" w:hAnsi="Verdana" w:cs="Calibri"/>
          <w:i/>
          <w:iCs/>
        </w:rPr>
        <w:t>E. coli</w:t>
      </w:r>
      <w:r w:rsidR="008C5B31">
        <w:rPr>
          <w:rFonts w:ascii="Verdana" w:hAnsi="Verdana" w:cs="Calibri"/>
        </w:rPr>
        <w:t xml:space="preserve"> born Curli presented </w:t>
      </w:r>
      <w:r w:rsidR="00A16780">
        <w:rPr>
          <w:rFonts w:ascii="Verdana" w:hAnsi="Verdana" w:cs="Calibri"/>
        </w:rPr>
        <w:t>significantly elevated levels of phospho</w:t>
      </w:r>
      <w:r w:rsidR="00B05C4F">
        <w:rPr>
          <w:rFonts w:ascii="Verdana" w:hAnsi="Verdana" w:cs="Calibri"/>
        </w:rPr>
        <w:t>rylated alpha</w:t>
      </w:r>
      <w:r w:rsidR="00A16780">
        <w:rPr>
          <w:rFonts w:ascii="Verdana" w:hAnsi="Verdana" w:cs="Calibri"/>
        </w:rPr>
        <w:t>-synuclein staining compared to all the other treatment groups (Figure 2</w:t>
      </w:r>
      <w:r w:rsidR="00BD623E">
        <w:rPr>
          <w:rFonts w:ascii="Verdana" w:hAnsi="Verdana" w:cs="Calibri"/>
        </w:rPr>
        <w:t>9</w:t>
      </w:r>
      <w:r w:rsidR="00A16780">
        <w:rPr>
          <w:rFonts w:ascii="Verdana" w:hAnsi="Verdana" w:cs="Calibri"/>
        </w:rPr>
        <w:t>, left).</w:t>
      </w:r>
      <w:r w:rsidR="00C8666A">
        <w:rPr>
          <w:rFonts w:ascii="Verdana" w:hAnsi="Verdana" w:cs="Calibri"/>
        </w:rPr>
        <w:t xml:space="preserve"> These results suggest that the presence of elevated alpha-synuclein levels, t</w:t>
      </w:r>
      <w:r w:rsidR="000214A5">
        <w:rPr>
          <w:rFonts w:ascii="Verdana" w:hAnsi="Verdana" w:cs="Calibri"/>
        </w:rPr>
        <w:t xml:space="preserve">he lack of </w:t>
      </w:r>
      <w:r w:rsidR="00C8666A">
        <w:rPr>
          <w:rFonts w:ascii="Verdana" w:hAnsi="Verdana" w:cs="Calibri"/>
        </w:rPr>
        <w:t>diet</w:t>
      </w:r>
      <w:r w:rsidR="000214A5">
        <w:rPr>
          <w:rFonts w:ascii="Verdana" w:hAnsi="Verdana" w:cs="Calibri"/>
        </w:rPr>
        <w:t xml:space="preserve">ary </w:t>
      </w:r>
      <w:proofErr w:type="spellStart"/>
      <w:r w:rsidR="00A72DE9">
        <w:rPr>
          <w:rFonts w:ascii="Verdana" w:hAnsi="Verdana" w:cs="Calibri"/>
        </w:rPr>
        <w:t>fibre</w:t>
      </w:r>
      <w:proofErr w:type="spellEnd"/>
      <w:r w:rsidR="00C8666A">
        <w:rPr>
          <w:rFonts w:ascii="Verdana" w:hAnsi="Verdana" w:cs="Calibri"/>
        </w:rPr>
        <w:t xml:space="preserve"> </w:t>
      </w:r>
      <w:r w:rsidR="000214A5">
        <w:rPr>
          <w:rFonts w:ascii="Verdana" w:hAnsi="Verdana" w:cs="Calibri"/>
        </w:rPr>
        <w:t>and the exposure to bacterial amyloidogenic compounds</w:t>
      </w:r>
      <w:r w:rsidR="006F7D0F">
        <w:rPr>
          <w:rFonts w:ascii="Verdana" w:hAnsi="Verdana" w:cs="Calibri"/>
        </w:rPr>
        <w:t xml:space="preserve"> alone</w:t>
      </w:r>
      <w:r w:rsidR="001A558C">
        <w:rPr>
          <w:rFonts w:ascii="Verdana" w:hAnsi="Verdana" w:cs="Calibri"/>
        </w:rPr>
        <w:t xml:space="preserve"> are not sufficient to </w:t>
      </w:r>
      <w:r w:rsidR="006F7D0F">
        <w:rPr>
          <w:rFonts w:ascii="Verdana" w:hAnsi="Verdana" w:cs="Calibri"/>
        </w:rPr>
        <w:t>driv</w:t>
      </w:r>
      <w:r w:rsidR="004D539B">
        <w:rPr>
          <w:rFonts w:ascii="Verdana" w:hAnsi="Verdana" w:cs="Calibri"/>
        </w:rPr>
        <w:t>e alpha-synuclein aggregation, and that pathogenic phenotypes result from the combination of genetic predisposition and environmental fact</w:t>
      </w:r>
      <w:r w:rsidR="00045692">
        <w:rPr>
          <w:rFonts w:ascii="Verdana" w:hAnsi="Verdana" w:cs="Calibri"/>
        </w:rPr>
        <w:t>or</w:t>
      </w:r>
      <w:r w:rsidR="009D5021">
        <w:rPr>
          <w:rFonts w:ascii="Verdana" w:hAnsi="Verdana" w:cs="Calibri"/>
        </w:rPr>
        <w:t>s</w:t>
      </w:r>
      <w:r w:rsidR="00045692">
        <w:rPr>
          <w:rFonts w:ascii="Verdana" w:hAnsi="Verdana" w:cs="Calibri"/>
        </w:rPr>
        <w:t>.</w:t>
      </w:r>
    </w:p>
    <w:p w14:paraId="6C09096F" w14:textId="71EE9396" w:rsidR="008F0E32" w:rsidRDefault="008F0E32">
      <w:pPr>
        <w:ind w:firstLine="0"/>
        <w:rPr>
          <w:rFonts w:ascii="Verdana" w:eastAsiaTheme="majorEastAsia" w:hAnsi="Verdana" w:cstheme="majorBidi"/>
          <w:b/>
          <w:sz w:val="24"/>
          <w:szCs w:val="26"/>
          <w:lang w:val="en-GB"/>
        </w:rPr>
      </w:pPr>
      <w:r>
        <w:rPr>
          <w:lang w:val="en-GB"/>
        </w:rPr>
        <w:br w:type="page"/>
      </w:r>
    </w:p>
    <w:p w14:paraId="10747A61" w14:textId="125D7EDF" w:rsidR="008F0E32" w:rsidRDefault="005F4F05">
      <w:pPr>
        <w:ind w:firstLine="0"/>
        <w:rPr>
          <w:rFonts w:ascii="Verdana" w:eastAsiaTheme="majorEastAsia" w:hAnsi="Verdana" w:cstheme="majorBidi"/>
          <w:b/>
          <w:sz w:val="24"/>
          <w:szCs w:val="26"/>
          <w:lang w:val="en-GB"/>
        </w:rPr>
      </w:pPr>
      <w:r>
        <w:rPr>
          <w:noProof/>
        </w:rPr>
        <w:lastRenderedPageBreak/>
        <mc:AlternateContent>
          <mc:Choice Requires="wps">
            <w:drawing>
              <wp:anchor distT="0" distB="0" distL="114300" distR="114300" simplePos="0" relativeHeight="251914240" behindDoc="0" locked="0" layoutInCell="1" allowOverlap="1" wp14:anchorId="49FC2643" wp14:editId="28AAD238">
                <wp:simplePos x="0" y="0"/>
                <wp:positionH relativeFrom="margin">
                  <wp:align>right</wp:align>
                </wp:positionH>
                <wp:positionV relativeFrom="paragraph">
                  <wp:posOffset>2377440</wp:posOffset>
                </wp:positionV>
                <wp:extent cx="5585460" cy="1788795"/>
                <wp:effectExtent l="0" t="0" r="0" b="1905"/>
                <wp:wrapTopAndBottom/>
                <wp:docPr id="24" name="Text Box 24"/>
                <wp:cNvGraphicFramePr/>
                <a:graphic xmlns:a="http://schemas.openxmlformats.org/drawingml/2006/main">
                  <a:graphicData uri="http://schemas.microsoft.com/office/word/2010/wordprocessingShape">
                    <wps:wsp>
                      <wps:cNvSpPr txBox="1"/>
                      <wps:spPr>
                        <a:xfrm>
                          <a:off x="0" y="0"/>
                          <a:ext cx="5585460" cy="1788795"/>
                        </a:xfrm>
                        <a:prstGeom prst="rect">
                          <a:avLst/>
                        </a:prstGeom>
                        <a:solidFill>
                          <a:prstClr val="white"/>
                        </a:solidFill>
                        <a:ln>
                          <a:noFill/>
                        </a:ln>
                      </wps:spPr>
                      <wps:txbx>
                        <w:txbxContent>
                          <w:p w14:paraId="61ABB8E7" w14:textId="50B06975" w:rsidR="004D539B" w:rsidRDefault="004D539B" w:rsidP="008A4B5C">
                            <w:pPr>
                              <w:pStyle w:val="Caption"/>
                              <w:ind w:firstLine="0"/>
                              <w:jc w:val="both"/>
                              <w:rPr>
                                <w:rFonts w:ascii="Verdana" w:hAnsi="Verdana"/>
                                <w:i w:val="0"/>
                                <w:iCs w:val="0"/>
                                <w:color w:val="auto"/>
                              </w:rPr>
                            </w:pPr>
                            <w:bookmarkStart w:id="140" w:name="_Toc131412771"/>
                            <w:r w:rsidRPr="004D539B">
                              <w:rPr>
                                <w:rFonts w:ascii="Verdana" w:hAnsi="Verdana"/>
                                <w:b/>
                                <w:bCs/>
                                <w:i w:val="0"/>
                                <w:iCs w:val="0"/>
                                <w:color w:val="auto"/>
                              </w:rPr>
                              <w:t xml:space="preserve">Figure </w:t>
                            </w:r>
                            <w:r w:rsidRPr="004D539B">
                              <w:rPr>
                                <w:rFonts w:ascii="Verdana" w:hAnsi="Verdana"/>
                                <w:b/>
                                <w:bCs/>
                                <w:i w:val="0"/>
                                <w:iCs w:val="0"/>
                                <w:color w:val="auto"/>
                              </w:rPr>
                              <w:fldChar w:fldCharType="begin"/>
                            </w:r>
                            <w:r w:rsidRPr="004D539B">
                              <w:rPr>
                                <w:rFonts w:ascii="Verdana" w:hAnsi="Verdana"/>
                                <w:b/>
                                <w:bCs/>
                                <w:i w:val="0"/>
                                <w:iCs w:val="0"/>
                                <w:color w:val="auto"/>
                              </w:rPr>
                              <w:instrText xml:space="preserve"> SEQ Figure \* ARABIC </w:instrText>
                            </w:r>
                            <w:r w:rsidRPr="004D539B">
                              <w:rPr>
                                <w:rFonts w:ascii="Verdana" w:hAnsi="Verdana"/>
                                <w:b/>
                                <w:bCs/>
                                <w:i w:val="0"/>
                                <w:iCs w:val="0"/>
                                <w:color w:val="auto"/>
                              </w:rPr>
                              <w:fldChar w:fldCharType="separate"/>
                            </w:r>
                            <w:r w:rsidR="001D505F">
                              <w:rPr>
                                <w:rFonts w:ascii="Verdana" w:hAnsi="Verdana"/>
                                <w:b/>
                                <w:bCs/>
                                <w:i w:val="0"/>
                                <w:iCs w:val="0"/>
                                <w:noProof/>
                                <w:color w:val="auto"/>
                              </w:rPr>
                              <w:t>29</w:t>
                            </w:r>
                            <w:r w:rsidRPr="004D539B">
                              <w:rPr>
                                <w:rFonts w:ascii="Verdana" w:hAnsi="Verdana"/>
                                <w:b/>
                                <w:bCs/>
                                <w:i w:val="0"/>
                                <w:iCs w:val="0"/>
                                <w:color w:val="auto"/>
                              </w:rPr>
                              <w:fldChar w:fldCharType="end"/>
                            </w:r>
                            <w:r>
                              <w:rPr>
                                <w:rFonts w:ascii="Verdana" w:hAnsi="Verdana"/>
                                <w:b/>
                                <w:bCs/>
                                <w:i w:val="0"/>
                                <w:iCs w:val="0"/>
                                <w:color w:val="auto"/>
                              </w:rPr>
                              <w:t xml:space="preserve"> </w:t>
                            </w:r>
                            <w:proofErr w:type="spellStart"/>
                            <w:r w:rsidR="00A72DE9">
                              <w:rPr>
                                <w:rFonts w:ascii="Verdana" w:hAnsi="Verdana"/>
                                <w:i w:val="0"/>
                                <w:iCs w:val="0"/>
                                <w:color w:val="auto"/>
                              </w:rPr>
                              <w:t>Fibre</w:t>
                            </w:r>
                            <w:proofErr w:type="spellEnd"/>
                            <w:r>
                              <w:rPr>
                                <w:rFonts w:ascii="Verdana" w:hAnsi="Verdana"/>
                                <w:i w:val="0"/>
                                <w:iCs w:val="0"/>
                                <w:color w:val="auto"/>
                              </w:rPr>
                              <w:t xml:space="preserve">-deprivation and exposure to </w:t>
                            </w:r>
                            <w:r w:rsidR="006461B6">
                              <w:rPr>
                                <w:rFonts w:ascii="Verdana" w:hAnsi="Verdana"/>
                                <w:i w:val="0"/>
                                <w:iCs w:val="0"/>
                                <w:color w:val="auto"/>
                              </w:rPr>
                              <w:t>Curli drive alpha-synuclein aggregation in Thy1-Syn14</w:t>
                            </w:r>
                            <w:r w:rsidR="00F2047D">
                              <w:rPr>
                                <w:rFonts w:ascii="Verdana" w:hAnsi="Verdana"/>
                                <w:i w:val="0"/>
                                <w:iCs w:val="0"/>
                                <w:color w:val="auto"/>
                              </w:rPr>
                              <w:t xml:space="preserve"> transgenic</w:t>
                            </w:r>
                            <w:r w:rsidR="006461B6">
                              <w:rPr>
                                <w:rFonts w:ascii="Verdana" w:hAnsi="Verdana"/>
                                <w:i w:val="0"/>
                                <w:iCs w:val="0"/>
                                <w:color w:val="auto"/>
                              </w:rPr>
                              <w:t xml:space="preserve"> mice</w:t>
                            </w:r>
                            <w:bookmarkEnd w:id="140"/>
                          </w:p>
                          <w:p w14:paraId="6F48AF7D" w14:textId="5CD4A625" w:rsidR="006461B6" w:rsidRPr="006461B6" w:rsidRDefault="005A3770" w:rsidP="008A4B5C">
                            <w:pPr>
                              <w:ind w:firstLine="0"/>
                              <w:jc w:val="both"/>
                            </w:pPr>
                            <w:r w:rsidRPr="00C238DD">
                              <w:rPr>
                                <w:b/>
                                <w:bCs/>
                              </w:rPr>
                              <w:t>A)</w:t>
                            </w:r>
                            <w:r>
                              <w:t xml:space="preserve"> Quantification of phospho</w:t>
                            </w:r>
                            <w:r w:rsidR="00F42A0E">
                              <w:t>rylated alpha</w:t>
                            </w:r>
                            <w:r>
                              <w:t xml:space="preserve">-synuclein </w:t>
                            </w:r>
                            <w:r w:rsidR="00DB4586">
                              <w:t xml:space="preserve">positive occupied area in PGP9.5 positive neurons of the myenteric system. </w:t>
                            </w:r>
                            <w:r w:rsidR="000376B1" w:rsidRPr="00C238DD">
                              <w:rPr>
                                <w:b/>
                                <w:bCs/>
                              </w:rPr>
                              <w:t>B)</w:t>
                            </w:r>
                            <w:r w:rsidR="000376B1">
                              <w:t xml:space="preserve"> Representative immunofluorescence images illustrating the difference between </w:t>
                            </w:r>
                            <w:r w:rsidR="00230860" w:rsidRPr="00DD5F67">
                              <w:rPr>
                                <w:rFonts w:ascii="Verdana" w:hAnsi="Verdana" w:cs="Arial"/>
                                <w:sz w:val="18"/>
                                <w:szCs w:val="18"/>
                              </w:rPr>
                              <w:t xml:space="preserve">FR </w:t>
                            </w:r>
                            <w:proofErr w:type="gramStart"/>
                            <w:r w:rsidR="00230860">
                              <w:rPr>
                                <w:rFonts w:ascii="Times New Roman" w:hAnsi="Times New Roman" w:cs="Times New Roman"/>
                                <w:sz w:val="18"/>
                                <w:szCs w:val="18"/>
                              </w:rPr>
                              <w:t>Δ</w:t>
                            </w:r>
                            <w:r w:rsidR="00230860" w:rsidRPr="00DD5F67">
                              <w:rPr>
                                <w:rFonts w:ascii="Verdana" w:hAnsi="Verdana" w:cs="Arial"/>
                                <w:sz w:val="18"/>
                                <w:szCs w:val="18"/>
                              </w:rPr>
                              <w:t>EC</w:t>
                            </w:r>
                            <w:proofErr w:type="gramEnd"/>
                            <w:r w:rsidR="00230860" w:rsidRPr="00DD5F67">
                              <w:rPr>
                                <w:rFonts w:ascii="Verdana" w:hAnsi="Verdana" w:cs="Arial"/>
                                <w:sz w:val="18"/>
                                <w:szCs w:val="18"/>
                              </w:rPr>
                              <w:t xml:space="preserve"> and FD EC</w:t>
                            </w:r>
                            <w:r w:rsidR="00230860">
                              <w:rPr>
                                <w:rFonts w:ascii="Verdana" w:hAnsi="Verdana" w:cs="Arial"/>
                                <w:sz w:val="18"/>
                                <w:szCs w:val="18"/>
                              </w:rPr>
                              <w:t xml:space="preserve"> challenged TG mice. Mice challenged with </w:t>
                            </w:r>
                            <w:proofErr w:type="spellStart"/>
                            <w:r w:rsidR="00A72DE9">
                              <w:rPr>
                                <w:rFonts w:ascii="Verdana" w:hAnsi="Verdana" w:cs="Arial"/>
                                <w:sz w:val="18"/>
                                <w:szCs w:val="18"/>
                              </w:rPr>
                              <w:t>fibre</w:t>
                            </w:r>
                            <w:proofErr w:type="spellEnd"/>
                            <w:r w:rsidR="00230860">
                              <w:rPr>
                                <w:rFonts w:ascii="Verdana" w:hAnsi="Verdana" w:cs="Arial"/>
                                <w:sz w:val="18"/>
                                <w:szCs w:val="18"/>
                              </w:rPr>
                              <w:t xml:space="preserve">-deprivation and Curli exposure present </w:t>
                            </w:r>
                            <w:r w:rsidR="002A7DD6">
                              <w:rPr>
                                <w:rFonts w:ascii="Verdana" w:hAnsi="Verdana" w:cs="Arial"/>
                                <w:sz w:val="18"/>
                                <w:szCs w:val="18"/>
                              </w:rPr>
                              <w:t>a higher pS129</w:t>
                            </w:r>
                            <w:r w:rsidR="002A7DD6" w:rsidRPr="00DD5F67">
                              <w:rPr>
                                <w:rFonts w:ascii="Verdana" w:hAnsi="Verdana" w:cs="Arial"/>
                                <w:sz w:val="18"/>
                                <w:szCs w:val="18"/>
                              </w:rPr>
                              <w:t>-</w:t>
                            </w:r>
                            <w:r w:rsidR="002A7DD6">
                              <w:rPr>
                                <w:rFonts w:ascii="Verdana" w:hAnsi="Verdana" w:cs="Arial"/>
                                <w:sz w:val="18"/>
                                <w:szCs w:val="18"/>
                              </w:rPr>
                              <w:t>α</w:t>
                            </w:r>
                            <w:r w:rsidR="002A7DD6" w:rsidRPr="00DD5F67">
                              <w:rPr>
                                <w:rFonts w:ascii="Verdana" w:hAnsi="Verdana" w:cs="Arial"/>
                                <w:sz w:val="18"/>
                                <w:szCs w:val="18"/>
                              </w:rPr>
                              <w:t>Syn</w:t>
                            </w:r>
                            <w:r w:rsidR="002A7DD6">
                              <w:rPr>
                                <w:rFonts w:ascii="Verdana" w:hAnsi="Verdana" w:cs="Arial"/>
                                <w:sz w:val="18"/>
                                <w:szCs w:val="18"/>
                              </w:rPr>
                              <w:t xml:space="preserve">+ occupied area, and </w:t>
                            </w:r>
                            <w:r w:rsidR="008A4B5C">
                              <w:rPr>
                                <w:rFonts w:ascii="Verdana" w:hAnsi="Verdana" w:cs="Arial"/>
                                <w:sz w:val="18"/>
                                <w:szCs w:val="18"/>
                              </w:rPr>
                              <w:t>bigger pS129</w:t>
                            </w:r>
                            <w:r w:rsidR="008A4B5C" w:rsidRPr="00DD5F67">
                              <w:rPr>
                                <w:rFonts w:ascii="Verdana" w:hAnsi="Verdana" w:cs="Arial"/>
                                <w:sz w:val="18"/>
                                <w:szCs w:val="18"/>
                              </w:rPr>
                              <w:t>-</w:t>
                            </w:r>
                            <w:r w:rsidR="008A4B5C">
                              <w:rPr>
                                <w:rFonts w:ascii="Verdana" w:hAnsi="Verdana" w:cs="Arial"/>
                                <w:sz w:val="18"/>
                                <w:szCs w:val="18"/>
                              </w:rPr>
                              <w:t>α</w:t>
                            </w:r>
                            <w:r w:rsidR="008A4B5C" w:rsidRPr="00DD5F67">
                              <w:rPr>
                                <w:rFonts w:ascii="Verdana" w:hAnsi="Verdana" w:cs="Arial"/>
                                <w:sz w:val="18"/>
                                <w:szCs w:val="18"/>
                              </w:rPr>
                              <w:t>Syn</w:t>
                            </w:r>
                            <w:r w:rsidR="008A4B5C">
                              <w:rPr>
                                <w:rFonts w:ascii="Verdana" w:hAnsi="Verdana" w:cs="Arial"/>
                                <w:sz w:val="18"/>
                                <w:szCs w:val="18"/>
                              </w:rPr>
                              <w:t>+ particles.</w:t>
                            </w:r>
                          </w:p>
                          <w:p w14:paraId="2FE01408" w14:textId="57BB0B2F" w:rsidR="004D539B" w:rsidRPr="004D539B" w:rsidRDefault="004D539B" w:rsidP="008A4B5C">
                            <w:pPr>
                              <w:ind w:firstLine="0"/>
                              <w:jc w:val="both"/>
                            </w:pPr>
                            <w:r w:rsidRPr="00DD5F67">
                              <w:rPr>
                                <w:rFonts w:ascii="Verdana" w:hAnsi="Verdana" w:cs="Arial"/>
                                <w:sz w:val="18"/>
                                <w:szCs w:val="18"/>
                              </w:rPr>
                              <w:t>WT</w:t>
                            </w:r>
                            <w:r w:rsidR="008A4B5C">
                              <w:rPr>
                                <w:rFonts w:ascii="Verdana" w:hAnsi="Verdana" w:cs="Arial"/>
                                <w:sz w:val="18"/>
                                <w:szCs w:val="18"/>
                              </w:rPr>
                              <w:t xml:space="preserve"> =</w:t>
                            </w:r>
                            <w:r w:rsidRPr="00DD5F67">
                              <w:rPr>
                                <w:rFonts w:ascii="Verdana" w:hAnsi="Verdana" w:cs="Arial"/>
                                <w:sz w:val="18"/>
                                <w:szCs w:val="18"/>
                              </w:rPr>
                              <w:t xml:space="preserve"> wild-type littermates</w:t>
                            </w:r>
                            <w:r w:rsidR="008A4B5C">
                              <w:rPr>
                                <w:rFonts w:ascii="Verdana" w:hAnsi="Verdana" w:cs="Arial"/>
                                <w:sz w:val="18"/>
                                <w:szCs w:val="18"/>
                              </w:rPr>
                              <w:t>,</w:t>
                            </w:r>
                            <w:r w:rsidRPr="00DD5F67">
                              <w:rPr>
                                <w:rFonts w:ascii="Verdana" w:hAnsi="Verdana" w:cs="Arial"/>
                                <w:sz w:val="18"/>
                                <w:szCs w:val="18"/>
                              </w:rPr>
                              <w:t xml:space="preserve"> TG</w:t>
                            </w:r>
                            <w:r w:rsidR="008A4B5C">
                              <w:rPr>
                                <w:rFonts w:ascii="Verdana" w:hAnsi="Verdana" w:cs="Arial"/>
                                <w:sz w:val="18"/>
                                <w:szCs w:val="18"/>
                              </w:rPr>
                              <w:t xml:space="preserve"> = transgenic</w:t>
                            </w:r>
                            <w:r w:rsidRPr="00DD5F67">
                              <w:rPr>
                                <w:rFonts w:ascii="Verdana" w:hAnsi="Verdana" w:cs="Arial"/>
                                <w:sz w:val="18"/>
                                <w:szCs w:val="18"/>
                              </w:rPr>
                              <w:t xml:space="preserve"> Thy1-Syn14</w:t>
                            </w:r>
                            <w:r w:rsidR="008A4B5C">
                              <w:rPr>
                                <w:rFonts w:ascii="Verdana" w:hAnsi="Verdana" w:cs="Arial"/>
                                <w:sz w:val="18"/>
                                <w:szCs w:val="18"/>
                              </w:rPr>
                              <w:t xml:space="preserve"> animals,</w:t>
                            </w:r>
                            <w:r w:rsidRPr="00DD5F67">
                              <w:rPr>
                                <w:rFonts w:ascii="Verdana" w:hAnsi="Verdana" w:cs="Arial"/>
                                <w:sz w:val="18"/>
                                <w:szCs w:val="18"/>
                              </w:rPr>
                              <w:t xml:space="preserve"> FD</w:t>
                            </w:r>
                            <w:r w:rsidR="008A4B5C">
                              <w:rPr>
                                <w:rFonts w:ascii="Verdana" w:hAnsi="Verdana" w:cs="Arial"/>
                                <w:sz w:val="18"/>
                                <w:szCs w:val="18"/>
                              </w:rPr>
                              <w:t xml:space="preserve"> =</w:t>
                            </w:r>
                            <w:r w:rsidRPr="00DD5F67">
                              <w:rPr>
                                <w:rFonts w:ascii="Verdana" w:hAnsi="Verdana" w:cs="Arial"/>
                                <w:sz w:val="18"/>
                                <w:szCs w:val="18"/>
                              </w:rPr>
                              <w:t xml:space="preserve"> </w:t>
                            </w:r>
                            <w:proofErr w:type="spellStart"/>
                            <w:r w:rsidR="00A72DE9">
                              <w:rPr>
                                <w:rFonts w:ascii="Verdana" w:hAnsi="Verdana" w:cs="Arial"/>
                                <w:sz w:val="18"/>
                                <w:szCs w:val="18"/>
                              </w:rPr>
                              <w:t>fibre</w:t>
                            </w:r>
                            <w:proofErr w:type="spellEnd"/>
                            <w:r w:rsidRPr="00DD5F67">
                              <w:rPr>
                                <w:rFonts w:ascii="Verdana" w:hAnsi="Verdana" w:cs="Arial"/>
                                <w:sz w:val="18"/>
                                <w:szCs w:val="18"/>
                              </w:rPr>
                              <w:t xml:space="preserve"> deprived</w:t>
                            </w:r>
                            <w:r w:rsidR="008A4B5C">
                              <w:rPr>
                                <w:rFonts w:ascii="Verdana" w:hAnsi="Verdana" w:cs="Arial"/>
                                <w:sz w:val="18"/>
                                <w:szCs w:val="18"/>
                              </w:rPr>
                              <w:t xml:space="preserve"> diet, </w:t>
                            </w:r>
                            <w:r w:rsidRPr="00DD5F67">
                              <w:rPr>
                                <w:rFonts w:ascii="Verdana" w:hAnsi="Verdana" w:cs="Arial"/>
                                <w:sz w:val="18"/>
                                <w:szCs w:val="18"/>
                              </w:rPr>
                              <w:t>FR</w:t>
                            </w:r>
                            <w:r w:rsidR="008A4B5C">
                              <w:rPr>
                                <w:rFonts w:ascii="Verdana" w:hAnsi="Verdana" w:cs="Arial"/>
                                <w:sz w:val="18"/>
                                <w:szCs w:val="18"/>
                              </w:rPr>
                              <w:t xml:space="preserve"> =</w:t>
                            </w:r>
                            <w:r w:rsidRPr="00DD5F67">
                              <w:rPr>
                                <w:rFonts w:ascii="Verdana" w:hAnsi="Verdana" w:cs="Arial"/>
                                <w:sz w:val="18"/>
                                <w:szCs w:val="18"/>
                              </w:rPr>
                              <w:t xml:space="preserve"> </w:t>
                            </w:r>
                            <w:proofErr w:type="spellStart"/>
                            <w:r w:rsidR="00A72DE9">
                              <w:rPr>
                                <w:rFonts w:ascii="Verdana" w:hAnsi="Verdana" w:cs="Arial"/>
                                <w:sz w:val="18"/>
                                <w:szCs w:val="18"/>
                              </w:rPr>
                              <w:t>fibre</w:t>
                            </w:r>
                            <w:proofErr w:type="spellEnd"/>
                            <w:r w:rsidRPr="00DD5F67">
                              <w:rPr>
                                <w:rFonts w:ascii="Verdana" w:hAnsi="Verdana" w:cs="Arial"/>
                                <w:sz w:val="18"/>
                                <w:szCs w:val="18"/>
                              </w:rPr>
                              <w:t xml:space="preserve"> rich</w:t>
                            </w:r>
                            <w:r w:rsidR="008A4B5C">
                              <w:rPr>
                                <w:rFonts w:ascii="Verdana" w:hAnsi="Verdana" w:cs="Arial"/>
                                <w:sz w:val="18"/>
                                <w:szCs w:val="18"/>
                              </w:rPr>
                              <w:t xml:space="preserve"> diet or normal chow,</w:t>
                            </w:r>
                            <w:r w:rsidRPr="00DD5F67">
                              <w:rPr>
                                <w:rFonts w:ascii="Verdana" w:hAnsi="Verdana" w:cs="Arial"/>
                                <w:sz w:val="18"/>
                                <w:szCs w:val="18"/>
                              </w:rPr>
                              <w:t xml:space="preserve"> PBS</w:t>
                            </w:r>
                            <w:r w:rsidR="008A4B5C">
                              <w:rPr>
                                <w:rFonts w:ascii="Verdana" w:hAnsi="Verdana" w:cs="Arial"/>
                                <w:sz w:val="18"/>
                                <w:szCs w:val="18"/>
                              </w:rPr>
                              <w:t xml:space="preserve"> =</w:t>
                            </w:r>
                            <w:r w:rsidRPr="00DD5F67">
                              <w:rPr>
                                <w:rFonts w:ascii="Verdana" w:hAnsi="Verdana" w:cs="Arial"/>
                                <w:sz w:val="18"/>
                                <w:szCs w:val="18"/>
                              </w:rPr>
                              <w:t xml:space="preserve"> phosphate buffered saline solution</w:t>
                            </w:r>
                            <w:r w:rsidR="008A4B5C">
                              <w:rPr>
                                <w:rFonts w:ascii="Verdana" w:hAnsi="Verdana" w:cs="Arial"/>
                                <w:sz w:val="18"/>
                                <w:szCs w:val="18"/>
                              </w:rPr>
                              <w:t>,</w:t>
                            </w:r>
                            <w:r w:rsidRPr="00DD5F67">
                              <w:rPr>
                                <w:rFonts w:ascii="Verdana" w:hAnsi="Verdana" w:cs="Arial"/>
                                <w:sz w:val="18"/>
                                <w:szCs w:val="18"/>
                              </w:rPr>
                              <w:t xml:space="preserve"> </w:t>
                            </w:r>
                            <w:r>
                              <w:rPr>
                                <w:rFonts w:ascii="Times New Roman" w:hAnsi="Times New Roman" w:cs="Times New Roman"/>
                                <w:sz w:val="18"/>
                                <w:szCs w:val="18"/>
                              </w:rPr>
                              <w:t>Δ</w:t>
                            </w:r>
                            <w:r w:rsidRPr="00DD5F67">
                              <w:rPr>
                                <w:rFonts w:ascii="Verdana" w:hAnsi="Verdana" w:cs="Arial"/>
                                <w:sz w:val="18"/>
                                <w:szCs w:val="18"/>
                              </w:rPr>
                              <w:t>EC</w:t>
                            </w:r>
                            <w:r w:rsidR="008A4B5C">
                              <w:rPr>
                                <w:rFonts w:ascii="Verdana" w:hAnsi="Verdana" w:cs="Arial"/>
                                <w:sz w:val="18"/>
                                <w:szCs w:val="18"/>
                              </w:rPr>
                              <w:t xml:space="preserve"> =</w:t>
                            </w:r>
                            <w:r w:rsidRPr="00DD5F67">
                              <w:rPr>
                                <w:rFonts w:ascii="Verdana" w:hAnsi="Verdana" w:cs="Arial"/>
                                <w:sz w:val="18"/>
                                <w:szCs w:val="18"/>
                              </w:rPr>
                              <w:t xml:space="preserve"> </w:t>
                            </w:r>
                            <w:r w:rsidR="008A4B5C">
                              <w:rPr>
                                <w:rFonts w:ascii="Verdana" w:hAnsi="Verdana" w:cs="Arial"/>
                                <w:sz w:val="18"/>
                                <w:szCs w:val="18"/>
                              </w:rPr>
                              <w:t>C</w:t>
                            </w:r>
                            <w:r w:rsidRPr="00DD5F67">
                              <w:rPr>
                                <w:rFonts w:ascii="Verdana" w:hAnsi="Verdana" w:cs="Arial"/>
                                <w:sz w:val="18"/>
                                <w:szCs w:val="18"/>
                              </w:rPr>
                              <w:t xml:space="preserve">urli-KO </w:t>
                            </w:r>
                            <w:r w:rsidRPr="00523964">
                              <w:rPr>
                                <w:rFonts w:ascii="Verdana" w:hAnsi="Verdana" w:cs="Arial"/>
                                <w:i/>
                                <w:iCs/>
                                <w:sz w:val="18"/>
                                <w:szCs w:val="18"/>
                              </w:rPr>
                              <w:t>E. coli</w:t>
                            </w:r>
                            <w:r w:rsidR="008A4B5C">
                              <w:rPr>
                                <w:rFonts w:ascii="Verdana" w:hAnsi="Verdana" w:cs="Arial"/>
                                <w:sz w:val="18"/>
                                <w:szCs w:val="18"/>
                              </w:rPr>
                              <w:t xml:space="preserve">, </w:t>
                            </w:r>
                            <w:r w:rsidRPr="00DD5F67">
                              <w:rPr>
                                <w:rFonts w:ascii="Verdana" w:hAnsi="Verdana" w:cs="Arial"/>
                                <w:sz w:val="18"/>
                                <w:szCs w:val="18"/>
                              </w:rPr>
                              <w:t>EC</w:t>
                            </w:r>
                            <w:r w:rsidR="008A4B5C">
                              <w:rPr>
                                <w:rFonts w:ascii="Verdana" w:hAnsi="Verdana" w:cs="Arial"/>
                                <w:sz w:val="18"/>
                                <w:szCs w:val="18"/>
                              </w:rPr>
                              <w:t xml:space="preserve"> =</w:t>
                            </w:r>
                            <w:r w:rsidRPr="00DD5F67">
                              <w:rPr>
                                <w:rFonts w:ascii="Verdana" w:hAnsi="Verdana" w:cs="Arial"/>
                                <w:sz w:val="18"/>
                                <w:szCs w:val="18"/>
                              </w:rPr>
                              <w:t xml:space="preserve"> wild-type </w:t>
                            </w:r>
                            <w:r w:rsidR="008A4B5C">
                              <w:rPr>
                                <w:rFonts w:ascii="Verdana" w:hAnsi="Verdana" w:cs="Arial"/>
                                <w:sz w:val="18"/>
                                <w:szCs w:val="18"/>
                              </w:rPr>
                              <w:t>C</w:t>
                            </w:r>
                            <w:r w:rsidRPr="00DD5F67">
                              <w:rPr>
                                <w:rFonts w:ascii="Verdana" w:hAnsi="Verdana" w:cs="Arial"/>
                                <w:sz w:val="18"/>
                                <w:szCs w:val="18"/>
                              </w:rPr>
                              <w:t xml:space="preserve">urli expressing </w:t>
                            </w:r>
                            <w:r w:rsidRPr="00523964">
                              <w:rPr>
                                <w:rFonts w:ascii="Verdana" w:hAnsi="Verdana" w:cs="Arial"/>
                                <w:i/>
                                <w:iCs/>
                                <w:sz w:val="18"/>
                                <w:szCs w:val="18"/>
                              </w:rPr>
                              <w:t>E. coli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C2643" id="Text Box 24" o:spid="_x0000_s1057" type="#_x0000_t202" style="position:absolute;margin-left:388.6pt;margin-top:187.2pt;width:439.8pt;height:140.85pt;z-index:251914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" stroked="f">
                <v:textbox inset="0,0,0,0">
                  <w:txbxContent>
                    <w:p w14:paraId="61ABB8E7" w14:textId="50B06975" w:rsidR="004D539B" w:rsidRDefault="004D539B" w:rsidP="008A4B5C">
                      <w:pPr>
                        <w:pStyle w:val="Caption"/>
                        <w:ind w:firstLine="0"/>
                        <w:jc w:val="both"/>
                        <w:rPr>
                          <w:rFonts w:ascii="Verdana" w:hAnsi="Verdana"/>
                          <w:i w:val="0"/>
                          <w:iCs w:val="0"/>
                          <w:color w:val="auto"/>
                        </w:rPr>
                      </w:pPr>
                      <w:bookmarkStart w:id="141" w:name="_Toc131412771"/>
                      <w:r w:rsidRPr="004D539B">
                        <w:rPr>
                          <w:rFonts w:ascii="Verdana" w:hAnsi="Verdana"/>
                          <w:b/>
                          <w:bCs/>
                          <w:i w:val="0"/>
                          <w:iCs w:val="0"/>
                          <w:color w:val="auto"/>
                        </w:rPr>
                        <w:t xml:space="preserve">Figure </w:t>
                      </w:r>
                      <w:r w:rsidRPr="004D539B">
                        <w:rPr>
                          <w:rFonts w:ascii="Verdana" w:hAnsi="Verdana"/>
                          <w:b/>
                          <w:bCs/>
                          <w:i w:val="0"/>
                          <w:iCs w:val="0"/>
                          <w:color w:val="auto"/>
                        </w:rPr>
                        <w:fldChar w:fldCharType="begin"/>
                      </w:r>
                      <w:r w:rsidRPr="004D539B">
                        <w:rPr>
                          <w:rFonts w:ascii="Verdana" w:hAnsi="Verdana"/>
                          <w:b/>
                          <w:bCs/>
                          <w:i w:val="0"/>
                          <w:iCs w:val="0"/>
                          <w:color w:val="auto"/>
                        </w:rPr>
                        <w:instrText xml:space="preserve"> SEQ Figure \* ARABIC </w:instrText>
                      </w:r>
                      <w:r w:rsidRPr="004D539B">
                        <w:rPr>
                          <w:rFonts w:ascii="Verdana" w:hAnsi="Verdana"/>
                          <w:b/>
                          <w:bCs/>
                          <w:i w:val="0"/>
                          <w:iCs w:val="0"/>
                          <w:color w:val="auto"/>
                        </w:rPr>
                        <w:fldChar w:fldCharType="separate"/>
                      </w:r>
                      <w:r w:rsidR="001D505F">
                        <w:rPr>
                          <w:rFonts w:ascii="Verdana" w:hAnsi="Verdana"/>
                          <w:b/>
                          <w:bCs/>
                          <w:i w:val="0"/>
                          <w:iCs w:val="0"/>
                          <w:noProof/>
                          <w:color w:val="auto"/>
                        </w:rPr>
                        <w:t>29</w:t>
                      </w:r>
                      <w:r w:rsidRPr="004D539B">
                        <w:rPr>
                          <w:rFonts w:ascii="Verdana" w:hAnsi="Verdana"/>
                          <w:b/>
                          <w:bCs/>
                          <w:i w:val="0"/>
                          <w:iCs w:val="0"/>
                          <w:color w:val="auto"/>
                        </w:rPr>
                        <w:fldChar w:fldCharType="end"/>
                      </w:r>
                      <w:r>
                        <w:rPr>
                          <w:rFonts w:ascii="Verdana" w:hAnsi="Verdana"/>
                          <w:b/>
                          <w:bCs/>
                          <w:i w:val="0"/>
                          <w:iCs w:val="0"/>
                          <w:color w:val="auto"/>
                        </w:rPr>
                        <w:t xml:space="preserve"> </w:t>
                      </w:r>
                      <w:proofErr w:type="spellStart"/>
                      <w:r w:rsidR="00A72DE9">
                        <w:rPr>
                          <w:rFonts w:ascii="Verdana" w:hAnsi="Verdana"/>
                          <w:i w:val="0"/>
                          <w:iCs w:val="0"/>
                          <w:color w:val="auto"/>
                        </w:rPr>
                        <w:t>Fibre</w:t>
                      </w:r>
                      <w:proofErr w:type="spellEnd"/>
                      <w:r>
                        <w:rPr>
                          <w:rFonts w:ascii="Verdana" w:hAnsi="Verdana"/>
                          <w:i w:val="0"/>
                          <w:iCs w:val="0"/>
                          <w:color w:val="auto"/>
                        </w:rPr>
                        <w:t xml:space="preserve">-deprivation and exposure to </w:t>
                      </w:r>
                      <w:r w:rsidR="006461B6">
                        <w:rPr>
                          <w:rFonts w:ascii="Verdana" w:hAnsi="Verdana"/>
                          <w:i w:val="0"/>
                          <w:iCs w:val="0"/>
                          <w:color w:val="auto"/>
                        </w:rPr>
                        <w:t>Curli drive alpha-synuclein aggregation in Thy1-Syn14</w:t>
                      </w:r>
                      <w:r w:rsidR="00F2047D">
                        <w:rPr>
                          <w:rFonts w:ascii="Verdana" w:hAnsi="Verdana"/>
                          <w:i w:val="0"/>
                          <w:iCs w:val="0"/>
                          <w:color w:val="auto"/>
                        </w:rPr>
                        <w:t xml:space="preserve"> transgenic</w:t>
                      </w:r>
                      <w:r w:rsidR="006461B6">
                        <w:rPr>
                          <w:rFonts w:ascii="Verdana" w:hAnsi="Verdana"/>
                          <w:i w:val="0"/>
                          <w:iCs w:val="0"/>
                          <w:color w:val="auto"/>
                        </w:rPr>
                        <w:t xml:space="preserve"> mice</w:t>
                      </w:r>
                      <w:bookmarkEnd w:id="141"/>
                    </w:p>
                    <w:p w14:paraId="6F48AF7D" w14:textId="5CD4A625" w:rsidR="006461B6" w:rsidRPr="006461B6" w:rsidRDefault="005A3770" w:rsidP="008A4B5C">
                      <w:pPr>
                        <w:ind w:firstLine="0"/>
                        <w:jc w:val="both"/>
                      </w:pPr>
                      <w:r w:rsidRPr="00C238DD">
                        <w:rPr>
                          <w:b/>
                          <w:bCs/>
                        </w:rPr>
                        <w:t>A)</w:t>
                      </w:r>
                      <w:r>
                        <w:t xml:space="preserve"> Quantification of phospho</w:t>
                      </w:r>
                      <w:r w:rsidR="00F42A0E">
                        <w:t>rylated alpha</w:t>
                      </w:r>
                      <w:r>
                        <w:t xml:space="preserve">-synuclein </w:t>
                      </w:r>
                      <w:r w:rsidR="00DB4586">
                        <w:t xml:space="preserve">positive occupied area in PGP9.5 positive neurons of the myenteric system. </w:t>
                      </w:r>
                      <w:r w:rsidR="000376B1" w:rsidRPr="00C238DD">
                        <w:rPr>
                          <w:b/>
                          <w:bCs/>
                        </w:rPr>
                        <w:t>B)</w:t>
                      </w:r>
                      <w:r w:rsidR="000376B1">
                        <w:t xml:space="preserve"> Representative immunofluorescence images illustrating the difference between </w:t>
                      </w:r>
                      <w:r w:rsidR="00230860" w:rsidRPr="00DD5F67">
                        <w:rPr>
                          <w:rFonts w:ascii="Verdana" w:hAnsi="Verdana" w:cs="Arial"/>
                          <w:sz w:val="18"/>
                          <w:szCs w:val="18"/>
                        </w:rPr>
                        <w:t xml:space="preserve">FR </w:t>
                      </w:r>
                      <w:proofErr w:type="gramStart"/>
                      <w:r w:rsidR="00230860">
                        <w:rPr>
                          <w:rFonts w:ascii="Times New Roman" w:hAnsi="Times New Roman" w:cs="Times New Roman"/>
                          <w:sz w:val="18"/>
                          <w:szCs w:val="18"/>
                        </w:rPr>
                        <w:t>Δ</w:t>
                      </w:r>
                      <w:r w:rsidR="00230860" w:rsidRPr="00DD5F67">
                        <w:rPr>
                          <w:rFonts w:ascii="Verdana" w:hAnsi="Verdana" w:cs="Arial"/>
                          <w:sz w:val="18"/>
                          <w:szCs w:val="18"/>
                        </w:rPr>
                        <w:t>EC</w:t>
                      </w:r>
                      <w:proofErr w:type="gramEnd"/>
                      <w:r w:rsidR="00230860" w:rsidRPr="00DD5F67">
                        <w:rPr>
                          <w:rFonts w:ascii="Verdana" w:hAnsi="Verdana" w:cs="Arial"/>
                          <w:sz w:val="18"/>
                          <w:szCs w:val="18"/>
                        </w:rPr>
                        <w:t xml:space="preserve"> and FD EC</w:t>
                      </w:r>
                      <w:r w:rsidR="00230860">
                        <w:rPr>
                          <w:rFonts w:ascii="Verdana" w:hAnsi="Verdana" w:cs="Arial"/>
                          <w:sz w:val="18"/>
                          <w:szCs w:val="18"/>
                        </w:rPr>
                        <w:t xml:space="preserve"> challenged TG mice. Mice challenged with </w:t>
                      </w:r>
                      <w:proofErr w:type="spellStart"/>
                      <w:r w:rsidR="00A72DE9">
                        <w:rPr>
                          <w:rFonts w:ascii="Verdana" w:hAnsi="Verdana" w:cs="Arial"/>
                          <w:sz w:val="18"/>
                          <w:szCs w:val="18"/>
                        </w:rPr>
                        <w:t>fibre</w:t>
                      </w:r>
                      <w:proofErr w:type="spellEnd"/>
                      <w:r w:rsidR="00230860">
                        <w:rPr>
                          <w:rFonts w:ascii="Verdana" w:hAnsi="Verdana" w:cs="Arial"/>
                          <w:sz w:val="18"/>
                          <w:szCs w:val="18"/>
                        </w:rPr>
                        <w:t xml:space="preserve">-deprivation and Curli exposure present </w:t>
                      </w:r>
                      <w:r w:rsidR="002A7DD6">
                        <w:rPr>
                          <w:rFonts w:ascii="Verdana" w:hAnsi="Verdana" w:cs="Arial"/>
                          <w:sz w:val="18"/>
                          <w:szCs w:val="18"/>
                        </w:rPr>
                        <w:t>a higher pS129</w:t>
                      </w:r>
                      <w:r w:rsidR="002A7DD6" w:rsidRPr="00DD5F67">
                        <w:rPr>
                          <w:rFonts w:ascii="Verdana" w:hAnsi="Verdana" w:cs="Arial"/>
                          <w:sz w:val="18"/>
                          <w:szCs w:val="18"/>
                        </w:rPr>
                        <w:t>-</w:t>
                      </w:r>
                      <w:r w:rsidR="002A7DD6">
                        <w:rPr>
                          <w:rFonts w:ascii="Verdana" w:hAnsi="Verdana" w:cs="Arial"/>
                          <w:sz w:val="18"/>
                          <w:szCs w:val="18"/>
                        </w:rPr>
                        <w:t>α</w:t>
                      </w:r>
                      <w:r w:rsidR="002A7DD6" w:rsidRPr="00DD5F67">
                        <w:rPr>
                          <w:rFonts w:ascii="Verdana" w:hAnsi="Verdana" w:cs="Arial"/>
                          <w:sz w:val="18"/>
                          <w:szCs w:val="18"/>
                        </w:rPr>
                        <w:t>Syn</w:t>
                      </w:r>
                      <w:r w:rsidR="002A7DD6">
                        <w:rPr>
                          <w:rFonts w:ascii="Verdana" w:hAnsi="Verdana" w:cs="Arial"/>
                          <w:sz w:val="18"/>
                          <w:szCs w:val="18"/>
                        </w:rPr>
                        <w:t xml:space="preserve">+ occupied area, and </w:t>
                      </w:r>
                      <w:r w:rsidR="008A4B5C">
                        <w:rPr>
                          <w:rFonts w:ascii="Verdana" w:hAnsi="Verdana" w:cs="Arial"/>
                          <w:sz w:val="18"/>
                          <w:szCs w:val="18"/>
                        </w:rPr>
                        <w:t>bigger pS129</w:t>
                      </w:r>
                      <w:r w:rsidR="008A4B5C" w:rsidRPr="00DD5F67">
                        <w:rPr>
                          <w:rFonts w:ascii="Verdana" w:hAnsi="Verdana" w:cs="Arial"/>
                          <w:sz w:val="18"/>
                          <w:szCs w:val="18"/>
                        </w:rPr>
                        <w:t>-</w:t>
                      </w:r>
                      <w:r w:rsidR="008A4B5C">
                        <w:rPr>
                          <w:rFonts w:ascii="Verdana" w:hAnsi="Verdana" w:cs="Arial"/>
                          <w:sz w:val="18"/>
                          <w:szCs w:val="18"/>
                        </w:rPr>
                        <w:t>α</w:t>
                      </w:r>
                      <w:r w:rsidR="008A4B5C" w:rsidRPr="00DD5F67">
                        <w:rPr>
                          <w:rFonts w:ascii="Verdana" w:hAnsi="Verdana" w:cs="Arial"/>
                          <w:sz w:val="18"/>
                          <w:szCs w:val="18"/>
                        </w:rPr>
                        <w:t>Syn</w:t>
                      </w:r>
                      <w:r w:rsidR="008A4B5C">
                        <w:rPr>
                          <w:rFonts w:ascii="Verdana" w:hAnsi="Verdana" w:cs="Arial"/>
                          <w:sz w:val="18"/>
                          <w:szCs w:val="18"/>
                        </w:rPr>
                        <w:t>+ particles.</w:t>
                      </w:r>
                    </w:p>
                    <w:p w14:paraId="2FE01408" w14:textId="57BB0B2F" w:rsidR="004D539B" w:rsidRPr="004D539B" w:rsidRDefault="004D539B" w:rsidP="008A4B5C">
                      <w:pPr>
                        <w:ind w:firstLine="0"/>
                        <w:jc w:val="both"/>
                      </w:pPr>
                      <w:r w:rsidRPr="00DD5F67">
                        <w:rPr>
                          <w:rFonts w:ascii="Verdana" w:hAnsi="Verdana" w:cs="Arial"/>
                          <w:sz w:val="18"/>
                          <w:szCs w:val="18"/>
                        </w:rPr>
                        <w:t>WT</w:t>
                      </w:r>
                      <w:r w:rsidR="008A4B5C">
                        <w:rPr>
                          <w:rFonts w:ascii="Verdana" w:hAnsi="Verdana" w:cs="Arial"/>
                          <w:sz w:val="18"/>
                          <w:szCs w:val="18"/>
                        </w:rPr>
                        <w:t xml:space="preserve"> =</w:t>
                      </w:r>
                      <w:r w:rsidRPr="00DD5F67">
                        <w:rPr>
                          <w:rFonts w:ascii="Verdana" w:hAnsi="Verdana" w:cs="Arial"/>
                          <w:sz w:val="18"/>
                          <w:szCs w:val="18"/>
                        </w:rPr>
                        <w:t xml:space="preserve"> wild-type littermates</w:t>
                      </w:r>
                      <w:r w:rsidR="008A4B5C">
                        <w:rPr>
                          <w:rFonts w:ascii="Verdana" w:hAnsi="Verdana" w:cs="Arial"/>
                          <w:sz w:val="18"/>
                          <w:szCs w:val="18"/>
                        </w:rPr>
                        <w:t>,</w:t>
                      </w:r>
                      <w:r w:rsidRPr="00DD5F67">
                        <w:rPr>
                          <w:rFonts w:ascii="Verdana" w:hAnsi="Verdana" w:cs="Arial"/>
                          <w:sz w:val="18"/>
                          <w:szCs w:val="18"/>
                        </w:rPr>
                        <w:t xml:space="preserve"> TG</w:t>
                      </w:r>
                      <w:r w:rsidR="008A4B5C">
                        <w:rPr>
                          <w:rFonts w:ascii="Verdana" w:hAnsi="Verdana" w:cs="Arial"/>
                          <w:sz w:val="18"/>
                          <w:szCs w:val="18"/>
                        </w:rPr>
                        <w:t xml:space="preserve"> = transgenic</w:t>
                      </w:r>
                      <w:r w:rsidRPr="00DD5F67">
                        <w:rPr>
                          <w:rFonts w:ascii="Verdana" w:hAnsi="Verdana" w:cs="Arial"/>
                          <w:sz w:val="18"/>
                          <w:szCs w:val="18"/>
                        </w:rPr>
                        <w:t xml:space="preserve"> Thy1-Syn14</w:t>
                      </w:r>
                      <w:r w:rsidR="008A4B5C">
                        <w:rPr>
                          <w:rFonts w:ascii="Verdana" w:hAnsi="Verdana" w:cs="Arial"/>
                          <w:sz w:val="18"/>
                          <w:szCs w:val="18"/>
                        </w:rPr>
                        <w:t xml:space="preserve"> animals,</w:t>
                      </w:r>
                      <w:r w:rsidRPr="00DD5F67">
                        <w:rPr>
                          <w:rFonts w:ascii="Verdana" w:hAnsi="Verdana" w:cs="Arial"/>
                          <w:sz w:val="18"/>
                          <w:szCs w:val="18"/>
                        </w:rPr>
                        <w:t xml:space="preserve"> FD</w:t>
                      </w:r>
                      <w:r w:rsidR="008A4B5C">
                        <w:rPr>
                          <w:rFonts w:ascii="Verdana" w:hAnsi="Verdana" w:cs="Arial"/>
                          <w:sz w:val="18"/>
                          <w:szCs w:val="18"/>
                        </w:rPr>
                        <w:t xml:space="preserve"> =</w:t>
                      </w:r>
                      <w:r w:rsidRPr="00DD5F67">
                        <w:rPr>
                          <w:rFonts w:ascii="Verdana" w:hAnsi="Verdana" w:cs="Arial"/>
                          <w:sz w:val="18"/>
                          <w:szCs w:val="18"/>
                        </w:rPr>
                        <w:t xml:space="preserve"> </w:t>
                      </w:r>
                      <w:proofErr w:type="spellStart"/>
                      <w:r w:rsidR="00A72DE9">
                        <w:rPr>
                          <w:rFonts w:ascii="Verdana" w:hAnsi="Verdana" w:cs="Arial"/>
                          <w:sz w:val="18"/>
                          <w:szCs w:val="18"/>
                        </w:rPr>
                        <w:t>fibre</w:t>
                      </w:r>
                      <w:proofErr w:type="spellEnd"/>
                      <w:r w:rsidRPr="00DD5F67">
                        <w:rPr>
                          <w:rFonts w:ascii="Verdana" w:hAnsi="Verdana" w:cs="Arial"/>
                          <w:sz w:val="18"/>
                          <w:szCs w:val="18"/>
                        </w:rPr>
                        <w:t xml:space="preserve"> deprived</w:t>
                      </w:r>
                      <w:r w:rsidR="008A4B5C">
                        <w:rPr>
                          <w:rFonts w:ascii="Verdana" w:hAnsi="Verdana" w:cs="Arial"/>
                          <w:sz w:val="18"/>
                          <w:szCs w:val="18"/>
                        </w:rPr>
                        <w:t xml:space="preserve"> diet, </w:t>
                      </w:r>
                      <w:r w:rsidRPr="00DD5F67">
                        <w:rPr>
                          <w:rFonts w:ascii="Verdana" w:hAnsi="Verdana" w:cs="Arial"/>
                          <w:sz w:val="18"/>
                          <w:szCs w:val="18"/>
                        </w:rPr>
                        <w:t>FR</w:t>
                      </w:r>
                      <w:r w:rsidR="008A4B5C">
                        <w:rPr>
                          <w:rFonts w:ascii="Verdana" w:hAnsi="Verdana" w:cs="Arial"/>
                          <w:sz w:val="18"/>
                          <w:szCs w:val="18"/>
                        </w:rPr>
                        <w:t xml:space="preserve"> =</w:t>
                      </w:r>
                      <w:r w:rsidRPr="00DD5F67">
                        <w:rPr>
                          <w:rFonts w:ascii="Verdana" w:hAnsi="Verdana" w:cs="Arial"/>
                          <w:sz w:val="18"/>
                          <w:szCs w:val="18"/>
                        </w:rPr>
                        <w:t xml:space="preserve"> </w:t>
                      </w:r>
                      <w:proofErr w:type="spellStart"/>
                      <w:r w:rsidR="00A72DE9">
                        <w:rPr>
                          <w:rFonts w:ascii="Verdana" w:hAnsi="Verdana" w:cs="Arial"/>
                          <w:sz w:val="18"/>
                          <w:szCs w:val="18"/>
                        </w:rPr>
                        <w:t>fibre</w:t>
                      </w:r>
                      <w:proofErr w:type="spellEnd"/>
                      <w:r w:rsidRPr="00DD5F67">
                        <w:rPr>
                          <w:rFonts w:ascii="Verdana" w:hAnsi="Verdana" w:cs="Arial"/>
                          <w:sz w:val="18"/>
                          <w:szCs w:val="18"/>
                        </w:rPr>
                        <w:t xml:space="preserve"> rich</w:t>
                      </w:r>
                      <w:r w:rsidR="008A4B5C">
                        <w:rPr>
                          <w:rFonts w:ascii="Verdana" w:hAnsi="Verdana" w:cs="Arial"/>
                          <w:sz w:val="18"/>
                          <w:szCs w:val="18"/>
                        </w:rPr>
                        <w:t xml:space="preserve"> diet or normal chow,</w:t>
                      </w:r>
                      <w:r w:rsidRPr="00DD5F67">
                        <w:rPr>
                          <w:rFonts w:ascii="Verdana" w:hAnsi="Verdana" w:cs="Arial"/>
                          <w:sz w:val="18"/>
                          <w:szCs w:val="18"/>
                        </w:rPr>
                        <w:t xml:space="preserve"> PBS</w:t>
                      </w:r>
                      <w:r w:rsidR="008A4B5C">
                        <w:rPr>
                          <w:rFonts w:ascii="Verdana" w:hAnsi="Verdana" w:cs="Arial"/>
                          <w:sz w:val="18"/>
                          <w:szCs w:val="18"/>
                        </w:rPr>
                        <w:t xml:space="preserve"> =</w:t>
                      </w:r>
                      <w:r w:rsidRPr="00DD5F67">
                        <w:rPr>
                          <w:rFonts w:ascii="Verdana" w:hAnsi="Verdana" w:cs="Arial"/>
                          <w:sz w:val="18"/>
                          <w:szCs w:val="18"/>
                        </w:rPr>
                        <w:t xml:space="preserve"> phosphate buffered saline solution</w:t>
                      </w:r>
                      <w:r w:rsidR="008A4B5C">
                        <w:rPr>
                          <w:rFonts w:ascii="Verdana" w:hAnsi="Verdana" w:cs="Arial"/>
                          <w:sz w:val="18"/>
                          <w:szCs w:val="18"/>
                        </w:rPr>
                        <w:t>,</w:t>
                      </w:r>
                      <w:r w:rsidRPr="00DD5F67">
                        <w:rPr>
                          <w:rFonts w:ascii="Verdana" w:hAnsi="Verdana" w:cs="Arial"/>
                          <w:sz w:val="18"/>
                          <w:szCs w:val="18"/>
                        </w:rPr>
                        <w:t xml:space="preserve"> </w:t>
                      </w:r>
                      <w:r>
                        <w:rPr>
                          <w:rFonts w:ascii="Times New Roman" w:hAnsi="Times New Roman" w:cs="Times New Roman"/>
                          <w:sz w:val="18"/>
                          <w:szCs w:val="18"/>
                        </w:rPr>
                        <w:t>Δ</w:t>
                      </w:r>
                      <w:r w:rsidRPr="00DD5F67">
                        <w:rPr>
                          <w:rFonts w:ascii="Verdana" w:hAnsi="Verdana" w:cs="Arial"/>
                          <w:sz w:val="18"/>
                          <w:szCs w:val="18"/>
                        </w:rPr>
                        <w:t>EC</w:t>
                      </w:r>
                      <w:r w:rsidR="008A4B5C">
                        <w:rPr>
                          <w:rFonts w:ascii="Verdana" w:hAnsi="Verdana" w:cs="Arial"/>
                          <w:sz w:val="18"/>
                          <w:szCs w:val="18"/>
                        </w:rPr>
                        <w:t xml:space="preserve"> =</w:t>
                      </w:r>
                      <w:r w:rsidRPr="00DD5F67">
                        <w:rPr>
                          <w:rFonts w:ascii="Verdana" w:hAnsi="Verdana" w:cs="Arial"/>
                          <w:sz w:val="18"/>
                          <w:szCs w:val="18"/>
                        </w:rPr>
                        <w:t xml:space="preserve"> </w:t>
                      </w:r>
                      <w:r w:rsidR="008A4B5C">
                        <w:rPr>
                          <w:rFonts w:ascii="Verdana" w:hAnsi="Verdana" w:cs="Arial"/>
                          <w:sz w:val="18"/>
                          <w:szCs w:val="18"/>
                        </w:rPr>
                        <w:t>C</w:t>
                      </w:r>
                      <w:r w:rsidRPr="00DD5F67">
                        <w:rPr>
                          <w:rFonts w:ascii="Verdana" w:hAnsi="Verdana" w:cs="Arial"/>
                          <w:sz w:val="18"/>
                          <w:szCs w:val="18"/>
                        </w:rPr>
                        <w:t xml:space="preserve">urli-KO </w:t>
                      </w:r>
                      <w:r w:rsidRPr="00523964">
                        <w:rPr>
                          <w:rFonts w:ascii="Verdana" w:hAnsi="Verdana" w:cs="Arial"/>
                          <w:i/>
                          <w:iCs/>
                          <w:sz w:val="18"/>
                          <w:szCs w:val="18"/>
                        </w:rPr>
                        <w:t>E. coli</w:t>
                      </w:r>
                      <w:r w:rsidR="008A4B5C">
                        <w:rPr>
                          <w:rFonts w:ascii="Verdana" w:hAnsi="Verdana" w:cs="Arial"/>
                          <w:sz w:val="18"/>
                          <w:szCs w:val="18"/>
                        </w:rPr>
                        <w:t xml:space="preserve">, </w:t>
                      </w:r>
                      <w:r w:rsidRPr="00DD5F67">
                        <w:rPr>
                          <w:rFonts w:ascii="Verdana" w:hAnsi="Verdana" w:cs="Arial"/>
                          <w:sz w:val="18"/>
                          <w:szCs w:val="18"/>
                        </w:rPr>
                        <w:t>EC</w:t>
                      </w:r>
                      <w:r w:rsidR="008A4B5C">
                        <w:rPr>
                          <w:rFonts w:ascii="Verdana" w:hAnsi="Verdana" w:cs="Arial"/>
                          <w:sz w:val="18"/>
                          <w:szCs w:val="18"/>
                        </w:rPr>
                        <w:t xml:space="preserve"> =</w:t>
                      </w:r>
                      <w:r w:rsidRPr="00DD5F67">
                        <w:rPr>
                          <w:rFonts w:ascii="Verdana" w:hAnsi="Verdana" w:cs="Arial"/>
                          <w:sz w:val="18"/>
                          <w:szCs w:val="18"/>
                        </w:rPr>
                        <w:t xml:space="preserve"> wild-type </w:t>
                      </w:r>
                      <w:r w:rsidR="008A4B5C">
                        <w:rPr>
                          <w:rFonts w:ascii="Verdana" w:hAnsi="Verdana" w:cs="Arial"/>
                          <w:sz w:val="18"/>
                          <w:szCs w:val="18"/>
                        </w:rPr>
                        <w:t>C</w:t>
                      </w:r>
                      <w:r w:rsidRPr="00DD5F67">
                        <w:rPr>
                          <w:rFonts w:ascii="Verdana" w:hAnsi="Verdana" w:cs="Arial"/>
                          <w:sz w:val="18"/>
                          <w:szCs w:val="18"/>
                        </w:rPr>
                        <w:t xml:space="preserve">urli expressing </w:t>
                      </w:r>
                      <w:r w:rsidRPr="00523964">
                        <w:rPr>
                          <w:rFonts w:ascii="Verdana" w:hAnsi="Verdana" w:cs="Arial"/>
                          <w:i/>
                          <w:iCs/>
                          <w:sz w:val="18"/>
                          <w:szCs w:val="18"/>
                        </w:rPr>
                        <w:t>E. coli</w:t>
                      </w:r>
                    </w:p>
                  </w:txbxContent>
                </v:textbox>
                <w10:wrap type="topAndBottom" anchorx="margin"/>
              </v:shape>
            </w:pict>
          </mc:Fallback>
        </mc:AlternateContent>
      </w:r>
      <w:r w:rsidR="008F0E32">
        <w:rPr>
          <w:rFonts w:ascii="Verdana" w:hAnsi="Verdana"/>
          <w:noProof/>
        </w:rPr>
        <mc:AlternateContent>
          <mc:Choice Requires="wpg">
            <w:drawing>
              <wp:anchor distT="0" distB="0" distL="114300" distR="114300" simplePos="0" relativeHeight="251920384" behindDoc="0" locked="0" layoutInCell="1" allowOverlap="1" wp14:anchorId="75A32D9E" wp14:editId="1DA3E9DF">
                <wp:simplePos x="0" y="0"/>
                <wp:positionH relativeFrom="margin">
                  <wp:align>right</wp:align>
                </wp:positionH>
                <wp:positionV relativeFrom="paragraph">
                  <wp:posOffset>442</wp:posOffset>
                </wp:positionV>
                <wp:extent cx="6193712" cy="2238375"/>
                <wp:effectExtent l="0" t="0" r="0" b="9525"/>
                <wp:wrapTopAndBottom/>
                <wp:docPr id="28" name="Group 28"/>
                <wp:cNvGraphicFramePr/>
                <a:graphic xmlns:a="http://schemas.openxmlformats.org/drawingml/2006/main">
                  <a:graphicData uri="http://schemas.microsoft.com/office/word/2010/wordprocessingGroup">
                    <wpg:wgp>
                      <wpg:cNvGrpSpPr/>
                      <wpg:grpSpPr>
                        <a:xfrm>
                          <a:off x="0" y="0"/>
                          <a:ext cx="6193712" cy="2238375"/>
                          <a:chOff x="-63610" y="0"/>
                          <a:chExt cx="6193712" cy="2238375"/>
                        </a:xfrm>
                      </wpg:grpSpPr>
                      <wpg:grpSp>
                        <wpg:cNvPr id="27" name="Group 27"/>
                        <wpg:cNvGrpSpPr/>
                        <wpg:grpSpPr>
                          <a:xfrm>
                            <a:off x="-63610" y="0"/>
                            <a:ext cx="6193712" cy="2238375"/>
                            <a:chOff x="-63610" y="0"/>
                            <a:chExt cx="6193712" cy="2238375"/>
                          </a:xfrm>
                        </wpg:grpSpPr>
                        <pic:pic xmlns:pic="http://schemas.openxmlformats.org/drawingml/2006/picture">
                          <pic:nvPicPr>
                            <pic:cNvPr id="92" name="Picture 92" descr="Chart&#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552262" y="0"/>
                              <a:ext cx="5577840" cy="2238375"/>
                            </a:xfrm>
                            <a:prstGeom prst="rect">
                              <a:avLst/>
                            </a:prstGeom>
                          </pic:spPr>
                        </pic:pic>
                        <wps:wsp>
                          <wps:cNvPr id="217" name="Text Box 2"/>
                          <wps:cNvSpPr txBox="1">
                            <a:spLocks noChangeArrowheads="1"/>
                          </wps:cNvSpPr>
                          <wps:spPr bwMode="auto">
                            <a:xfrm>
                              <a:off x="-63610" y="45267"/>
                              <a:ext cx="796286" cy="344347"/>
                            </a:xfrm>
                            <a:prstGeom prst="rect">
                              <a:avLst/>
                            </a:prstGeom>
                            <a:noFill/>
                            <a:ln w="9525">
                              <a:noFill/>
                              <a:miter lim="800000"/>
                              <a:headEnd/>
                              <a:tailEnd/>
                            </a:ln>
                          </wps:spPr>
                          <wps:txbx>
                            <w:txbxContent>
                              <w:p w14:paraId="1906BB7A" w14:textId="08CBFBCF" w:rsidR="008A4B5C" w:rsidRPr="008A4B5C" w:rsidRDefault="008A4B5C" w:rsidP="008A4B5C">
                                <w:pPr>
                                  <w:rPr>
                                    <w:b/>
                                    <w:bCs/>
                                  </w:rPr>
                                </w:pPr>
                                <w:r w:rsidRPr="008A4B5C">
                                  <w:rPr>
                                    <w:b/>
                                    <w:bCs/>
                                  </w:rPr>
                                  <w:t>A</w:t>
                                </w:r>
                              </w:p>
                            </w:txbxContent>
                          </wps:txbx>
                          <wps:bodyPr rot="0" vert="horz" wrap="square" lIns="91440" tIns="45720" rIns="91440" bIns="45720" anchor="t" anchorCtr="0">
                            <a:noAutofit/>
                          </wps:bodyPr>
                        </wps:wsp>
                      </wpg:grpSp>
                      <wps:wsp>
                        <wps:cNvPr id="26" name="Text Box 2"/>
                        <wps:cNvSpPr txBox="1">
                          <a:spLocks noChangeArrowheads="1"/>
                        </wps:cNvSpPr>
                        <wps:spPr bwMode="auto">
                          <a:xfrm>
                            <a:off x="2616452" y="27160"/>
                            <a:ext cx="732790" cy="316865"/>
                          </a:xfrm>
                          <a:prstGeom prst="rect">
                            <a:avLst/>
                          </a:prstGeom>
                          <a:noFill/>
                          <a:ln w="9525">
                            <a:noFill/>
                            <a:miter lim="800000"/>
                            <a:headEnd/>
                            <a:tailEnd/>
                          </a:ln>
                        </wps:spPr>
                        <wps:txbx>
                          <w:txbxContent>
                            <w:p w14:paraId="6EB4A89E" w14:textId="51A23796" w:rsidR="008A4B5C" w:rsidRPr="008A4B5C" w:rsidRDefault="008A4B5C" w:rsidP="008A4B5C">
                              <w:pPr>
                                <w:rPr>
                                  <w:b/>
                                  <w:bCs/>
                                  <w:lang w:val="en-GB"/>
                                </w:rPr>
                              </w:pPr>
                              <w:r>
                                <w:rPr>
                                  <w:b/>
                                  <w:bCs/>
                                  <w:lang w:val="en-GB"/>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A32D9E" id="Group 28" o:spid="_x0000_s1058" style="position:absolute;margin-left:436.5pt;margin-top:.05pt;width:487.7pt;height:176.25pt;z-index:251920384;mso-position-horizontal:right;mso-position-horizontal-relative:margin;mso-width-relative:margin;mso-height-relative:margin" coordorigin="-636" coordsize="61937,223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">
                <v:group id="Group 27" o:spid="_x0000_s1059" style="position:absolute;left:-636;width:61937;height:22383" coordorigin="-636" coordsize="61937,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 o:spid="_x0000_s1060" type="#_x0000_t75" alt="Chart&#10;&#10;Description automatically generated" style="position:absolute;left:5522;width:55779;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">
                    <v:imagedata r:id="rId85" o:title="Chart&#10;&#10;Description automatically generated"/>
                  </v:shape>
                  <v:shape id="Text Box 2" o:spid="_x0000_s1061" type="#_x0000_t202" style="position:absolute;left:-636;top:452;width:7962;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906BB7A" w14:textId="08CBFBCF" w:rsidR="008A4B5C" w:rsidRPr="008A4B5C" w:rsidRDefault="008A4B5C" w:rsidP="008A4B5C">
                          <w:pPr>
                            <w:rPr>
                              <w:b/>
                              <w:bCs/>
                            </w:rPr>
                          </w:pPr>
                          <w:r w:rsidRPr="008A4B5C">
                            <w:rPr>
                              <w:b/>
                              <w:bCs/>
                            </w:rPr>
                            <w:t>A</w:t>
                          </w:r>
                        </w:p>
                      </w:txbxContent>
                    </v:textbox>
                  </v:shape>
                </v:group>
                <v:shape id="Text Box 2" o:spid="_x0000_s1062" type="#_x0000_t202" style="position:absolute;left:26164;top:271;width:7328;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6EB4A89E" w14:textId="51A23796" w:rsidR="008A4B5C" w:rsidRPr="008A4B5C" w:rsidRDefault="008A4B5C" w:rsidP="008A4B5C">
                        <w:pPr>
                          <w:rPr>
                            <w:b/>
                            <w:bCs/>
                            <w:lang w:val="en-GB"/>
                          </w:rPr>
                        </w:pPr>
                        <w:r>
                          <w:rPr>
                            <w:b/>
                            <w:bCs/>
                            <w:lang w:val="en-GB"/>
                          </w:rPr>
                          <w:t>B</w:t>
                        </w:r>
                      </w:p>
                    </w:txbxContent>
                  </v:textbox>
                </v:shape>
                <w10:wrap type="topAndBottom" anchorx="margin"/>
              </v:group>
            </w:pict>
          </mc:Fallback>
        </mc:AlternateContent>
      </w:r>
      <w:r w:rsidR="008F0E32">
        <w:rPr>
          <w:lang w:val="en-GB"/>
        </w:rPr>
        <w:br w:type="page"/>
      </w:r>
    </w:p>
    <w:p w14:paraId="2BA23E20" w14:textId="5F879AED" w:rsidR="00DE3963" w:rsidRPr="00A72DE9" w:rsidRDefault="009E5729" w:rsidP="009E5729">
      <w:pPr>
        <w:pStyle w:val="Heading2"/>
        <w:spacing w:line="360" w:lineRule="auto"/>
        <w:rPr>
          <w:lang w:val="en-GB"/>
        </w:rPr>
      </w:pPr>
      <w:bookmarkStart w:id="142" w:name="_Toc130223459"/>
      <w:r>
        <w:rPr>
          <w:lang w:val="en-GB"/>
        </w:rPr>
        <w:lastRenderedPageBreak/>
        <w:t>7.6</w:t>
      </w:r>
      <w:r>
        <w:rPr>
          <w:lang w:val="en-GB"/>
        </w:rPr>
        <w:tab/>
      </w:r>
      <w:r w:rsidR="001D2CB1">
        <w:rPr>
          <w:lang w:val="en-GB"/>
        </w:rPr>
        <w:t xml:space="preserve"> </w:t>
      </w:r>
      <w:r w:rsidR="001B0A4B">
        <w:rPr>
          <w:lang w:val="en-GB"/>
        </w:rPr>
        <w:t xml:space="preserve">Alpha-synuclein overexpression is the main driver of gross motor </w:t>
      </w:r>
      <w:r w:rsidR="00092503">
        <w:rPr>
          <w:lang w:val="en-GB"/>
        </w:rPr>
        <w:t>impairments</w:t>
      </w:r>
      <w:bookmarkEnd w:id="142"/>
    </w:p>
    <w:p w14:paraId="2C76B438" w14:textId="49B01C3B" w:rsidR="00F1797B" w:rsidRPr="00E43A42" w:rsidRDefault="00D90B6A" w:rsidP="00830722">
      <w:pPr>
        <w:autoSpaceDE w:val="0"/>
        <w:autoSpaceDN w:val="0"/>
        <w:adjustRightInd w:val="0"/>
        <w:spacing w:after="0" w:line="360" w:lineRule="auto"/>
        <w:jc w:val="both"/>
        <w:rPr>
          <w:rFonts w:ascii="Verdana" w:hAnsi="Verdana"/>
          <w:lang w:val="en-GB"/>
        </w:rPr>
      </w:pPr>
      <w:r w:rsidRPr="00E43A42">
        <w:rPr>
          <w:rFonts w:ascii="Verdana" w:hAnsi="Verdana"/>
          <w:lang w:val="en-GB"/>
        </w:rPr>
        <w:t xml:space="preserve">To investigate whether the exposure to bacterial Curli and/or </w:t>
      </w:r>
      <w:r w:rsidR="00982942" w:rsidRPr="00E43A42">
        <w:rPr>
          <w:rFonts w:ascii="Verdana" w:hAnsi="Verdana"/>
          <w:lang w:val="en-GB"/>
        </w:rPr>
        <w:t>fibre</w:t>
      </w:r>
      <w:r w:rsidRPr="00E43A42">
        <w:rPr>
          <w:rFonts w:ascii="Verdana" w:hAnsi="Verdana"/>
          <w:lang w:val="en-GB"/>
        </w:rPr>
        <w:t xml:space="preserve">-deprivation would exacerbate the motor impairment shown by 9-months old transgenic Thy1-Syn14 mice (refer to chapter </w:t>
      </w:r>
      <w:r w:rsidR="008C64BC">
        <w:rPr>
          <w:rFonts w:ascii="Verdana" w:hAnsi="Verdana"/>
          <w:lang w:val="en-GB"/>
        </w:rPr>
        <w:t>7</w:t>
      </w:r>
      <w:r w:rsidRPr="00E43A42">
        <w:rPr>
          <w:rFonts w:ascii="Verdana" w:hAnsi="Verdana"/>
          <w:lang w:val="en-GB"/>
        </w:rPr>
        <w:t xml:space="preserve">.1, and Figure </w:t>
      </w:r>
      <w:r w:rsidR="00BD623E">
        <w:rPr>
          <w:rFonts w:ascii="Verdana" w:hAnsi="Verdana"/>
          <w:lang w:val="en-GB"/>
        </w:rPr>
        <w:t>30</w:t>
      </w:r>
      <w:r w:rsidRPr="00E43A42">
        <w:rPr>
          <w:rFonts w:ascii="Verdana" w:hAnsi="Verdana"/>
          <w:lang w:val="en-GB"/>
        </w:rPr>
        <w:t xml:space="preserve">), we assessed hindlimb clasping, grip strength and performance in the adhesive removal test in challenged mice. </w:t>
      </w:r>
      <w:r w:rsidR="009377ED" w:rsidRPr="00E43A42">
        <w:rPr>
          <w:rFonts w:ascii="Verdana" w:hAnsi="Verdana"/>
          <w:lang w:val="en-GB"/>
        </w:rPr>
        <w:t xml:space="preserve">WT and TG mice already presented different clasping scores already at baseline. During the </w:t>
      </w:r>
      <w:r w:rsidR="00C960EA">
        <w:rPr>
          <w:rFonts w:ascii="Verdana" w:hAnsi="Verdana"/>
          <w:lang w:val="en-GB"/>
        </w:rPr>
        <w:t>9-weeks</w:t>
      </w:r>
      <w:r w:rsidR="009377ED" w:rsidRPr="00E43A42">
        <w:rPr>
          <w:rFonts w:ascii="Verdana" w:hAnsi="Verdana"/>
          <w:lang w:val="en-GB"/>
        </w:rPr>
        <w:t xml:space="preserve"> </w:t>
      </w:r>
      <w:r w:rsidR="00032C5E" w:rsidRPr="00E43A42">
        <w:rPr>
          <w:rFonts w:ascii="Verdana" w:hAnsi="Verdana"/>
          <w:lang w:val="en-GB"/>
        </w:rPr>
        <w:t xml:space="preserve">treatment phase, WT mice did not show any change in hindlimb clasping, while TG mice </w:t>
      </w:r>
      <w:r w:rsidR="00C5468A" w:rsidRPr="00E43A42">
        <w:rPr>
          <w:rFonts w:ascii="Verdana" w:hAnsi="Verdana"/>
          <w:lang w:val="en-GB"/>
        </w:rPr>
        <w:t xml:space="preserve">worsened over time (Figure </w:t>
      </w:r>
      <w:r w:rsidR="00BD623E">
        <w:rPr>
          <w:rFonts w:ascii="Verdana" w:hAnsi="Verdana"/>
          <w:lang w:val="en-GB"/>
        </w:rPr>
        <w:t>30</w:t>
      </w:r>
      <w:r w:rsidR="00C5468A" w:rsidRPr="00E43A42">
        <w:rPr>
          <w:rFonts w:ascii="Verdana" w:hAnsi="Verdana"/>
          <w:lang w:val="en-GB"/>
        </w:rPr>
        <w:t>A)</w:t>
      </w:r>
      <w:r w:rsidR="004C5E2B" w:rsidRPr="00E43A42">
        <w:rPr>
          <w:rFonts w:ascii="Verdana" w:hAnsi="Verdana"/>
          <w:lang w:val="en-GB"/>
        </w:rPr>
        <w:t xml:space="preserve">. </w:t>
      </w:r>
      <w:r w:rsidR="00BC595A" w:rsidRPr="00E43A42">
        <w:rPr>
          <w:rFonts w:ascii="Verdana" w:hAnsi="Verdana"/>
          <w:lang w:val="en-GB"/>
        </w:rPr>
        <w:t xml:space="preserve">The same results were observed for the grip strength (Figure </w:t>
      </w:r>
      <w:r w:rsidR="00BD623E">
        <w:rPr>
          <w:rFonts w:ascii="Verdana" w:hAnsi="Verdana"/>
          <w:lang w:val="en-GB"/>
        </w:rPr>
        <w:t>30</w:t>
      </w:r>
      <w:r w:rsidR="00BC595A" w:rsidRPr="00E43A42">
        <w:rPr>
          <w:rFonts w:ascii="Verdana" w:hAnsi="Verdana"/>
          <w:lang w:val="en-GB"/>
        </w:rPr>
        <w:t xml:space="preserve">B). Nor the </w:t>
      </w:r>
      <w:r w:rsidR="00484AD8" w:rsidRPr="00E43A42">
        <w:rPr>
          <w:rFonts w:ascii="Verdana" w:hAnsi="Verdana"/>
          <w:lang w:val="en-GB"/>
        </w:rPr>
        <w:t xml:space="preserve">exposure to Curli nor the </w:t>
      </w:r>
      <w:r w:rsidR="00982942" w:rsidRPr="00E43A42">
        <w:rPr>
          <w:rFonts w:ascii="Verdana" w:hAnsi="Verdana"/>
          <w:lang w:val="en-GB"/>
        </w:rPr>
        <w:t>fibre</w:t>
      </w:r>
      <w:r w:rsidR="00484AD8" w:rsidRPr="00E43A42">
        <w:rPr>
          <w:rFonts w:ascii="Verdana" w:hAnsi="Verdana"/>
          <w:lang w:val="en-GB"/>
        </w:rPr>
        <w:t xml:space="preserve">-deprivation showed an effect on </w:t>
      </w:r>
      <w:r w:rsidR="00E43A42" w:rsidRPr="00E43A42">
        <w:rPr>
          <w:rFonts w:ascii="Verdana" w:hAnsi="Verdana"/>
          <w:lang w:val="en-GB"/>
        </w:rPr>
        <w:t>the</w:t>
      </w:r>
      <w:r w:rsidR="007B21D2">
        <w:rPr>
          <w:rFonts w:ascii="Verdana" w:hAnsi="Verdana"/>
          <w:lang w:val="en-GB"/>
        </w:rPr>
        <w:t xml:space="preserve"> motor function</w:t>
      </w:r>
      <w:r w:rsidR="00A72DE9">
        <w:rPr>
          <w:rFonts w:ascii="Verdana" w:hAnsi="Verdana"/>
          <w:lang w:val="en-GB"/>
        </w:rPr>
        <w:t xml:space="preserve">, suggesting that the </w:t>
      </w:r>
      <w:r w:rsidR="00D51BC6">
        <w:rPr>
          <w:rFonts w:ascii="Verdana" w:hAnsi="Verdana"/>
          <w:lang w:val="en-GB"/>
        </w:rPr>
        <w:t xml:space="preserve">transgenic alpha-synuclein overexpression is the main driver of </w:t>
      </w:r>
      <w:r w:rsidR="007B21D2">
        <w:rPr>
          <w:rFonts w:ascii="Verdana" w:hAnsi="Verdana"/>
          <w:lang w:val="en-GB"/>
        </w:rPr>
        <w:t>motor deficits</w:t>
      </w:r>
      <w:r w:rsidR="00D51BC6">
        <w:rPr>
          <w:rFonts w:ascii="Verdana" w:hAnsi="Verdana"/>
          <w:lang w:val="en-GB"/>
        </w:rPr>
        <w:t>.</w:t>
      </w:r>
      <w:r w:rsidR="00AF3370" w:rsidRPr="00AF3370">
        <w:rPr>
          <w:rFonts w:ascii="Verdana" w:hAnsi="Verdana"/>
          <w:lang w:val="en-GB"/>
        </w:rPr>
        <w:t xml:space="preserve"> </w:t>
      </w:r>
      <w:r w:rsidR="00AF3370">
        <w:rPr>
          <w:rFonts w:ascii="Verdana" w:hAnsi="Verdana"/>
          <w:lang w:val="en-GB"/>
        </w:rPr>
        <w:t xml:space="preserve">Latency to touch and latency to remove in the adhesive removal test showed similar results to those observed at baseline, with TG mice performing significantly worse than their WT littermates (Figure </w:t>
      </w:r>
      <w:r w:rsidR="00BD623E">
        <w:rPr>
          <w:rFonts w:ascii="Verdana" w:hAnsi="Verdana"/>
          <w:lang w:val="en-GB"/>
        </w:rPr>
        <w:t>30</w:t>
      </w:r>
      <w:r w:rsidR="00AF3370">
        <w:rPr>
          <w:rFonts w:ascii="Verdana" w:hAnsi="Verdana"/>
          <w:lang w:val="en-GB"/>
        </w:rPr>
        <w:t>C</w:t>
      </w:r>
      <w:r w:rsidR="00236F84">
        <w:rPr>
          <w:rFonts w:ascii="Verdana" w:hAnsi="Verdana"/>
          <w:lang w:val="en-GB"/>
        </w:rPr>
        <w:t xml:space="preserve"> and </w:t>
      </w:r>
      <w:r w:rsidR="000422BD">
        <w:rPr>
          <w:rFonts w:ascii="Verdana" w:hAnsi="Verdana"/>
          <w:lang w:val="en-GB"/>
        </w:rPr>
        <w:t>3</w:t>
      </w:r>
      <w:r w:rsidR="00BD623E">
        <w:rPr>
          <w:rFonts w:ascii="Verdana" w:hAnsi="Verdana"/>
          <w:lang w:val="en-GB"/>
        </w:rPr>
        <w:t>1</w:t>
      </w:r>
      <w:r w:rsidR="00236F84">
        <w:rPr>
          <w:rFonts w:ascii="Verdana" w:hAnsi="Verdana"/>
          <w:lang w:val="en-GB"/>
        </w:rPr>
        <w:t>A</w:t>
      </w:r>
      <w:r w:rsidR="00AF3370">
        <w:rPr>
          <w:rFonts w:ascii="Verdana" w:hAnsi="Verdana"/>
          <w:lang w:val="en-GB"/>
        </w:rPr>
        <w:t>). Nevertheless, when looking at the time necessary to perform the tape removal</w:t>
      </w:r>
      <w:r w:rsidR="009A38FB">
        <w:rPr>
          <w:rFonts w:ascii="Verdana" w:hAnsi="Verdana"/>
          <w:lang w:val="en-GB"/>
        </w:rPr>
        <w:t xml:space="preserve"> (</w:t>
      </w:r>
      <w:r w:rsidR="00AF3370">
        <w:rPr>
          <w:rFonts w:ascii="Verdana" w:hAnsi="Verdana"/>
          <w:lang w:val="en-GB"/>
        </w:rPr>
        <w:t>interval between touch and removal</w:t>
      </w:r>
      <w:r w:rsidR="009A38FB">
        <w:rPr>
          <w:rFonts w:ascii="Verdana" w:hAnsi="Verdana"/>
          <w:lang w:val="en-GB"/>
        </w:rPr>
        <w:t xml:space="preserve"> times)</w:t>
      </w:r>
      <w:r w:rsidR="009D5219">
        <w:rPr>
          <w:rFonts w:ascii="Verdana" w:hAnsi="Verdana"/>
          <w:lang w:val="en-GB"/>
        </w:rPr>
        <w:t>, TG mice always showed longer</w:t>
      </w:r>
      <w:r w:rsidR="00D12B88">
        <w:rPr>
          <w:rFonts w:ascii="Verdana" w:hAnsi="Verdana"/>
          <w:lang w:val="en-GB"/>
        </w:rPr>
        <w:t xml:space="preserve"> removal times</w:t>
      </w:r>
      <w:r w:rsidR="007F46D8">
        <w:rPr>
          <w:rFonts w:ascii="Verdana" w:hAnsi="Verdana"/>
          <w:lang w:val="en-GB"/>
        </w:rPr>
        <w:t xml:space="preserve"> compared to their WT littermates, and the latency to remove the tape was greater in </w:t>
      </w:r>
      <w:r w:rsidR="003C2BF7">
        <w:rPr>
          <w:rFonts w:ascii="Verdana" w:hAnsi="Verdana"/>
          <w:lang w:val="en-GB"/>
        </w:rPr>
        <w:t>the FD EC challenged group</w:t>
      </w:r>
      <w:r w:rsidR="00B600AC">
        <w:rPr>
          <w:rFonts w:ascii="Verdana" w:hAnsi="Verdana"/>
          <w:lang w:val="en-GB"/>
        </w:rPr>
        <w:t xml:space="preserve"> (Figure </w:t>
      </w:r>
      <w:r w:rsidR="000422BD">
        <w:rPr>
          <w:rFonts w:ascii="Verdana" w:hAnsi="Verdana"/>
          <w:lang w:val="en-GB"/>
        </w:rPr>
        <w:t>3</w:t>
      </w:r>
      <w:r w:rsidR="00BD623E">
        <w:rPr>
          <w:rFonts w:ascii="Verdana" w:hAnsi="Verdana"/>
          <w:lang w:val="en-GB"/>
        </w:rPr>
        <w:t>1</w:t>
      </w:r>
      <w:r w:rsidR="00B600AC">
        <w:rPr>
          <w:rFonts w:ascii="Verdana" w:hAnsi="Verdana"/>
          <w:lang w:val="en-GB"/>
        </w:rPr>
        <w:t>A)</w:t>
      </w:r>
      <w:r w:rsidR="003C2BF7">
        <w:rPr>
          <w:rFonts w:ascii="Verdana" w:hAnsi="Verdana"/>
          <w:lang w:val="en-GB"/>
        </w:rPr>
        <w:t xml:space="preserve">. Furthermore, when comparing </w:t>
      </w:r>
      <w:r w:rsidR="009A38FB">
        <w:rPr>
          <w:rFonts w:ascii="Verdana" w:hAnsi="Verdana"/>
          <w:lang w:val="en-GB"/>
        </w:rPr>
        <w:t xml:space="preserve">baseline and endpoint, </w:t>
      </w:r>
      <w:r w:rsidR="003C2BF7">
        <w:rPr>
          <w:rFonts w:ascii="Verdana" w:hAnsi="Verdana"/>
          <w:lang w:val="en-GB"/>
        </w:rPr>
        <w:t xml:space="preserve">3 out of 6 FD EC challenged TG mice showed worse performances than at baseline, while </w:t>
      </w:r>
      <w:r w:rsidR="00B600AC">
        <w:rPr>
          <w:rFonts w:ascii="Verdana" w:hAnsi="Verdana"/>
          <w:lang w:val="en-GB"/>
        </w:rPr>
        <w:t xml:space="preserve">all the other treatment groups improved compared to their initial performance (Figure </w:t>
      </w:r>
      <w:r w:rsidR="000422BD">
        <w:rPr>
          <w:rFonts w:ascii="Verdana" w:hAnsi="Verdana"/>
          <w:lang w:val="en-GB"/>
        </w:rPr>
        <w:t>3</w:t>
      </w:r>
      <w:r w:rsidR="00BD623E">
        <w:rPr>
          <w:rFonts w:ascii="Verdana" w:hAnsi="Verdana"/>
          <w:lang w:val="en-GB"/>
        </w:rPr>
        <w:t>1</w:t>
      </w:r>
      <w:r w:rsidR="00B600AC">
        <w:rPr>
          <w:rFonts w:ascii="Verdana" w:hAnsi="Verdana"/>
          <w:lang w:val="en-GB"/>
        </w:rPr>
        <w:t>B). Even if not statistically significant, these results indicate</w:t>
      </w:r>
      <w:r w:rsidR="002F0298">
        <w:rPr>
          <w:rFonts w:ascii="Verdana" w:hAnsi="Verdana"/>
          <w:lang w:val="en-GB"/>
        </w:rPr>
        <w:t xml:space="preserve"> that the combination of Curli and fibre-deprivation might exacerbate</w:t>
      </w:r>
      <w:r w:rsidR="00432858">
        <w:rPr>
          <w:rFonts w:ascii="Verdana" w:hAnsi="Verdana"/>
          <w:lang w:val="en-GB"/>
        </w:rPr>
        <w:t xml:space="preserve"> motor deficits in aged TG mice.</w:t>
      </w:r>
    </w:p>
    <w:p w14:paraId="15662DD6" w14:textId="7A200960" w:rsidR="000345F5" w:rsidRDefault="000345F5">
      <w:pPr>
        <w:ind w:firstLine="0"/>
        <w:rPr>
          <w:rFonts w:ascii="Verdana" w:hAnsi="Verdana"/>
        </w:rPr>
      </w:pPr>
      <w:r>
        <w:rPr>
          <w:rFonts w:ascii="Verdana" w:hAnsi="Verdana"/>
        </w:rPr>
        <w:br w:type="page"/>
      </w:r>
    </w:p>
    <w:p w14:paraId="3A14AF0C" w14:textId="1F812C9D" w:rsidR="002F6122" w:rsidRDefault="005C5380" w:rsidP="00432858">
      <w:pPr>
        <w:autoSpaceDE w:val="0"/>
        <w:autoSpaceDN w:val="0"/>
        <w:adjustRightInd w:val="0"/>
        <w:spacing w:after="0" w:line="360" w:lineRule="auto"/>
        <w:ind w:firstLine="0"/>
        <w:jc w:val="both"/>
        <w:rPr>
          <w:rFonts w:ascii="Verdana" w:hAnsi="Verdana"/>
        </w:rPr>
      </w:pPr>
      <w:r>
        <w:rPr>
          <w:noProof/>
        </w:rPr>
        <w:lastRenderedPageBreak/>
        <mc:AlternateContent>
          <mc:Choice Requires="wps">
            <w:drawing>
              <wp:anchor distT="0" distB="0" distL="114300" distR="114300" simplePos="0" relativeHeight="251935744" behindDoc="0" locked="0" layoutInCell="1" allowOverlap="1" wp14:anchorId="28218949" wp14:editId="2CB8D0A3">
                <wp:simplePos x="0" y="0"/>
                <wp:positionH relativeFrom="margin">
                  <wp:align>right</wp:align>
                </wp:positionH>
                <wp:positionV relativeFrom="paragraph">
                  <wp:posOffset>6975817</wp:posOffset>
                </wp:positionV>
                <wp:extent cx="5570220" cy="1884680"/>
                <wp:effectExtent l="0" t="0" r="0" b="1270"/>
                <wp:wrapTopAndBottom/>
                <wp:docPr id="31" name="Text Box 31"/>
                <wp:cNvGraphicFramePr/>
                <a:graphic xmlns:a="http://schemas.openxmlformats.org/drawingml/2006/main">
                  <a:graphicData uri="http://schemas.microsoft.com/office/word/2010/wordprocessingShape">
                    <wps:wsp>
                      <wps:cNvSpPr txBox="1"/>
                      <wps:spPr>
                        <a:xfrm>
                          <a:off x="0" y="0"/>
                          <a:ext cx="5570220" cy="1884680"/>
                        </a:xfrm>
                        <a:prstGeom prst="rect">
                          <a:avLst/>
                        </a:prstGeom>
                        <a:solidFill>
                          <a:prstClr val="white"/>
                        </a:solidFill>
                        <a:ln>
                          <a:noFill/>
                        </a:ln>
                      </wps:spPr>
                      <wps:txbx>
                        <w:txbxContent>
                          <w:p w14:paraId="3BD67C84" w14:textId="589C2A03" w:rsidR="000345F5" w:rsidRPr="00C856A0" w:rsidRDefault="000345F5" w:rsidP="005C5380">
                            <w:pPr>
                              <w:pStyle w:val="Caption"/>
                              <w:ind w:firstLine="0"/>
                              <w:jc w:val="both"/>
                              <w:rPr>
                                <w:rFonts w:ascii="Verdana" w:hAnsi="Verdana"/>
                                <w:i w:val="0"/>
                                <w:iCs w:val="0"/>
                                <w:color w:val="auto"/>
                              </w:rPr>
                            </w:pPr>
                            <w:bookmarkStart w:id="143" w:name="_Toc131412772"/>
                            <w:r w:rsidRPr="00C856A0">
                              <w:rPr>
                                <w:rFonts w:ascii="Verdana" w:hAnsi="Verdana"/>
                                <w:b/>
                                <w:bCs/>
                                <w:i w:val="0"/>
                                <w:iCs w:val="0"/>
                                <w:color w:val="auto"/>
                              </w:rPr>
                              <w:t xml:space="preserve">Figure </w:t>
                            </w:r>
                            <w:r w:rsidRPr="00C856A0">
                              <w:rPr>
                                <w:rFonts w:ascii="Verdana" w:hAnsi="Verdana"/>
                                <w:b/>
                                <w:bCs/>
                                <w:i w:val="0"/>
                                <w:iCs w:val="0"/>
                                <w:color w:val="auto"/>
                              </w:rPr>
                              <w:fldChar w:fldCharType="begin"/>
                            </w:r>
                            <w:r w:rsidRPr="00C856A0">
                              <w:rPr>
                                <w:rFonts w:ascii="Verdana" w:hAnsi="Verdana"/>
                                <w:b/>
                                <w:bCs/>
                                <w:i w:val="0"/>
                                <w:iCs w:val="0"/>
                                <w:color w:val="auto"/>
                              </w:rPr>
                              <w:instrText xml:space="preserve"> SEQ Figure \* ARABIC </w:instrText>
                            </w:r>
                            <w:r w:rsidRPr="00C856A0">
                              <w:rPr>
                                <w:rFonts w:ascii="Verdana" w:hAnsi="Verdana"/>
                                <w:b/>
                                <w:bCs/>
                                <w:i w:val="0"/>
                                <w:iCs w:val="0"/>
                                <w:color w:val="auto"/>
                              </w:rPr>
                              <w:fldChar w:fldCharType="separate"/>
                            </w:r>
                            <w:r w:rsidR="001D505F">
                              <w:rPr>
                                <w:rFonts w:ascii="Verdana" w:hAnsi="Verdana"/>
                                <w:b/>
                                <w:bCs/>
                                <w:i w:val="0"/>
                                <w:iCs w:val="0"/>
                                <w:noProof/>
                                <w:color w:val="auto"/>
                              </w:rPr>
                              <w:t>30</w:t>
                            </w:r>
                            <w:r w:rsidRPr="00C856A0">
                              <w:rPr>
                                <w:rFonts w:ascii="Verdana" w:hAnsi="Verdana"/>
                                <w:b/>
                                <w:bCs/>
                                <w:i w:val="0"/>
                                <w:iCs w:val="0"/>
                                <w:color w:val="auto"/>
                              </w:rPr>
                              <w:fldChar w:fldCharType="end"/>
                            </w:r>
                            <w:r w:rsidRPr="00C856A0">
                              <w:rPr>
                                <w:rFonts w:ascii="Verdana" w:hAnsi="Verdana"/>
                                <w:b/>
                                <w:bCs/>
                                <w:i w:val="0"/>
                                <w:iCs w:val="0"/>
                                <w:color w:val="auto"/>
                              </w:rPr>
                              <w:t xml:space="preserve"> </w:t>
                            </w:r>
                            <w:r w:rsidR="00D429A1" w:rsidRPr="00C856A0">
                              <w:rPr>
                                <w:rFonts w:ascii="Verdana" w:hAnsi="Verdana"/>
                                <w:i w:val="0"/>
                                <w:iCs w:val="0"/>
                                <w:color w:val="auto"/>
                              </w:rPr>
                              <w:t>Transgenic alpha-synuclein overexpression drives motor deficits</w:t>
                            </w:r>
                            <w:r w:rsidR="00C856A0" w:rsidRPr="00C856A0">
                              <w:rPr>
                                <w:rFonts w:ascii="Verdana" w:hAnsi="Verdana"/>
                                <w:i w:val="0"/>
                                <w:iCs w:val="0"/>
                                <w:color w:val="auto"/>
                              </w:rPr>
                              <w:t xml:space="preserve"> in TG animals</w:t>
                            </w:r>
                            <w:bookmarkEnd w:id="143"/>
                          </w:p>
                          <w:p w14:paraId="736C397A" w14:textId="28C247EC" w:rsidR="00C856A0" w:rsidRPr="00C856A0" w:rsidRDefault="00C856A0" w:rsidP="005C5380">
                            <w:pPr>
                              <w:ind w:firstLine="0"/>
                              <w:jc w:val="both"/>
                              <w:rPr>
                                <w:rFonts w:ascii="Verdana" w:hAnsi="Verdana"/>
                                <w:b/>
                                <w:bCs/>
                                <w:sz w:val="18"/>
                                <w:szCs w:val="18"/>
                              </w:rPr>
                            </w:pPr>
                            <w:r w:rsidRPr="00C856A0">
                              <w:rPr>
                                <w:rFonts w:ascii="Verdana" w:hAnsi="Verdana"/>
                                <w:b/>
                                <w:bCs/>
                                <w:sz w:val="18"/>
                                <w:szCs w:val="18"/>
                              </w:rPr>
                              <w:t xml:space="preserve">A) </w:t>
                            </w:r>
                            <w:r w:rsidR="001D66D3" w:rsidRPr="001D66D3">
                              <w:rPr>
                                <w:rFonts w:ascii="Verdana" w:hAnsi="Verdana"/>
                                <w:sz w:val="18"/>
                                <w:szCs w:val="18"/>
                              </w:rPr>
                              <w:t>Longitudinal visualization of</w:t>
                            </w:r>
                            <w:r w:rsidR="001D66D3">
                              <w:rPr>
                                <w:rFonts w:ascii="Verdana" w:hAnsi="Verdana"/>
                                <w:b/>
                                <w:bCs/>
                                <w:sz w:val="18"/>
                                <w:szCs w:val="18"/>
                              </w:rPr>
                              <w:t xml:space="preserve"> </w:t>
                            </w:r>
                            <w:r w:rsidR="001D66D3">
                              <w:rPr>
                                <w:rFonts w:ascii="Verdana" w:hAnsi="Verdana"/>
                                <w:sz w:val="18"/>
                                <w:szCs w:val="18"/>
                              </w:rPr>
                              <w:t>h</w:t>
                            </w:r>
                            <w:r w:rsidRPr="00C856A0">
                              <w:rPr>
                                <w:rFonts w:ascii="Verdana" w:hAnsi="Verdana"/>
                                <w:sz w:val="18"/>
                                <w:szCs w:val="18"/>
                              </w:rPr>
                              <w:t>indlimb clasping scores</w:t>
                            </w:r>
                            <w:r>
                              <w:rPr>
                                <w:rFonts w:ascii="Verdana" w:hAnsi="Verdana"/>
                                <w:sz w:val="18"/>
                                <w:szCs w:val="18"/>
                              </w:rPr>
                              <w:t xml:space="preserve"> </w:t>
                            </w:r>
                            <w:r w:rsidR="000C618C">
                              <w:rPr>
                                <w:rFonts w:ascii="Verdana" w:hAnsi="Verdana"/>
                                <w:sz w:val="18"/>
                                <w:szCs w:val="18"/>
                              </w:rPr>
                              <w:t xml:space="preserve">for all treatment groups (median value for each group). </w:t>
                            </w:r>
                            <w:r w:rsidR="00236105" w:rsidRPr="00236105">
                              <w:rPr>
                                <w:rFonts w:ascii="Verdana" w:hAnsi="Verdana"/>
                                <w:b/>
                                <w:bCs/>
                                <w:sz w:val="18"/>
                                <w:szCs w:val="18"/>
                              </w:rPr>
                              <w:t>B)</w:t>
                            </w:r>
                            <w:r w:rsidR="00236105">
                              <w:rPr>
                                <w:rFonts w:ascii="Verdana" w:hAnsi="Verdana"/>
                                <w:sz w:val="18"/>
                                <w:szCs w:val="18"/>
                              </w:rPr>
                              <w:t xml:space="preserve"> </w:t>
                            </w:r>
                            <w:r w:rsidR="00236105" w:rsidRPr="001D66D3">
                              <w:rPr>
                                <w:rFonts w:ascii="Verdana" w:hAnsi="Verdana"/>
                                <w:sz w:val="18"/>
                                <w:szCs w:val="18"/>
                              </w:rPr>
                              <w:t>Longitudinal visualization of</w:t>
                            </w:r>
                            <w:r w:rsidR="00236105">
                              <w:rPr>
                                <w:rFonts w:ascii="Verdana" w:hAnsi="Verdana"/>
                                <w:b/>
                                <w:bCs/>
                                <w:sz w:val="18"/>
                                <w:szCs w:val="18"/>
                              </w:rPr>
                              <w:t xml:space="preserve"> </w:t>
                            </w:r>
                            <w:r w:rsidR="00236105">
                              <w:rPr>
                                <w:rFonts w:ascii="Verdana" w:hAnsi="Verdana"/>
                                <w:sz w:val="18"/>
                                <w:szCs w:val="18"/>
                              </w:rPr>
                              <w:t xml:space="preserve">grip strength for all treatment groups (median value for each group). </w:t>
                            </w:r>
                            <w:r w:rsidR="00236105" w:rsidRPr="00C47555">
                              <w:rPr>
                                <w:rFonts w:ascii="Verdana" w:hAnsi="Verdana"/>
                                <w:b/>
                                <w:bCs/>
                                <w:sz w:val="18"/>
                                <w:szCs w:val="18"/>
                              </w:rPr>
                              <w:t>C)</w:t>
                            </w:r>
                            <w:r w:rsidR="00236105">
                              <w:rPr>
                                <w:rFonts w:ascii="Verdana" w:hAnsi="Verdana"/>
                                <w:sz w:val="18"/>
                                <w:szCs w:val="18"/>
                              </w:rPr>
                              <w:t xml:space="preserve"> Boxplots illustrating </w:t>
                            </w:r>
                            <w:r w:rsidR="00375ECC">
                              <w:rPr>
                                <w:rFonts w:ascii="Verdana" w:hAnsi="Verdana"/>
                                <w:sz w:val="18"/>
                                <w:szCs w:val="18"/>
                              </w:rPr>
                              <w:t>the latency to touch in al</w:t>
                            </w:r>
                            <w:r w:rsidR="00C47555">
                              <w:rPr>
                                <w:rFonts w:ascii="Verdana" w:hAnsi="Verdana"/>
                                <w:sz w:val="18"/>
                                <w:szCs w:val="18"/>
                              </w:rPr>
                              <w:t>l</w:t>
                            </w:r>
                            <w:r w:rsidR="00375ECC">
                              <w:rPr>
                                <w:rFonts w:ascii="Verdana" w:hAnsi="Verdana"/>
                                <w:sz w:val="18"/>
                                <w:szCs w:val="18"/>
                              </w:rPr>
                              <w:t xml:space="preserve"> groups </w:t>
                            </w:r>
                            <w:r w:rsidR="00C47555">
                              <w:rPr>
                                <w:rFonts w:ascii="Verdana" w:hAnsi="Verdana"/>
                                <w:sz w:val="18"/>
                                <w:szCs w:val="18"/>
                              </w:rPr>
                              <w:t>after the 9-week long in life treatment phase.</w:t>
                            </w:r>
                          </w:p>
                          <w:p w14:paraId="499EF2DB" w14:textId="2B0D28AE" w:rsidR="00D429A1" w:rsidRPr="005C5380" w:rsidRDefault="00166D69" w:rsidP="005C5380">
                            <w:pPr>
                              <w:ind w:firstLine="0"/>
                              <w:jc w:val="both"/>
                              <w:rPr>
                                <w:rFonts w:ascii="Verdana" w:hAnsi="Verdana"/>
                                <w:sz w:val="18"/>
                                <w:szCs w:val="18"/>
                              </w:rPr>
                            </w:pPr>
                            <w:r>
                              <w:t xml:space="preserve">Stats: Mann-Whitney U test and FDR correction. </w:t>
                            </w:r>
                            <w:r w:rsidR="00C319C3">
                              <w:t>* = p&lt; 0.05, ** = p&lt; 0.01, **** = p&lt; 0.0001</w:t>
                            </w:r>
                            <w:r w:rsidR="005322CE">
                              <w:t>.</w:t>
                            </w:r>
                            <w:r w:rsidR="00F53172">
                              <w:t xml:space="preserve"> Comparison between TG and WT groups in C) was performed by Kruskal-Wallis with FDR </w:t>
                            </w:r>
                            <w:r w:rsidR="00F53172" w:rsidRPr="005C5380">
                              <w:rPr>
                                <w:rFonts w:ascii="Verdana" w:hAnsi="Verdana"/>
                                <w:sz w:val="18"/>
                                <w:szCs w:val="18"/>
                              </w:rPr>
                              <w:t>correction</w:t>
                            </w:r>
                            <w:r w:rsidR="005C5380" w:rsidRPr="005C5380">
                              <w:rPr>
                                <w:rFonts w:ascii="Verdana" w:hAnsi="Verdana"/>
                                <w:sz w:val="18"/>
                                <w:szCs w:val="18"/>
                              </w:rPr>
                              <w:t>.</w:t>
                            </w:r>
                          </w:p>
                          <w:p w14:paraId="7731F6EB" w14:textId="753739F3" w:rsidR="000345F5" w:rsidRPr="005C5380" w:rsidRDefault="000345F5" w:rsidP="005C5380">
                            <w:pPr>
                              <w:pStyle w:val="Caption"/>
                              <w:ind w:firstLine="0"/>
                              <w:jc w:val="both"/>
                              <w:rPr>
                                <w:rFonts w:ascii="Verdana" w:hAnsi="Verdana"/>
                                <w:b/>
                                <w:bCs/>
                                <w:i w:val="0"/>
                                <w:iCs w:val="0"/>
                                <w:noProof/>
                                <w:color w:val="auto"/>
                              </w:rPr>
                            </w:pPr>
                            <w:r w:rsidRPr="005C5380">
                              <w:rPr>
                                <w:rFonts w:ascii="Verdana" w:hAnsi="Verdana"/>
                                <w:i w:val="0"/>
                                <w:iCs w:val="0"/>
                                <w:color w:val="auto"/>
                              </w:rPr>
                              <w:t>WT</w:t>
                            </w:r>
                            <w:r w:rsidR="005C5380">
                              <w:rPr>
                                <w:rFonts w:ascii="Verdana" w:hAnsi="Verdana"/>
                                <w:i w:val="0"/>
                                <w:iCs w:val="0"/>
                                <w:color w:val="auto"/>
                              </w:rPr>
                              <w:t xml:space="preserve"> =</w:t>
                            </w:r>
                            <w:r w:rsidRPr="005C5380">
                              <w:rPr>
                                <w:rFonts w:ascii="Verdana" w:hAnsi="Verdana"/>
                                <w:i w:val="0"/>
                                <w:iCs w:val="0"/>
                                <w:color w:val="auto"/>
                              </w:rPr>
                              <w:t xml:space="preserve"> wild-type littermates; TG</w:t>
                            </w:r>
                            <w:r w:rsidR="005C5380">
                              <w:rPr>
                                <w:rFonts w:ascii="Verdana" w:hAnsi="Verdana"/>
                                <w:i w:val="0"/>
                                <w:iCs w:val="0"/>
                                <w:color w:val="auto"/>
                              </w:rPr>
                              <w:t xml:space="preserve"> = transgenic</w:t>
                            </w:r>
                            <w:r w:rsidRPr="005C5380">
                              <w:rPr>
                                <w:rFonts w:ascii="Verdana" w:hAnsi="Verdana"/>
                                <w:i w:val="0"/>
                                <w:iCs w:val="0"/>
                                <w:color w:val="auto"/>
                              </w:rPr>
                              <w:t xml:space="preserve"> Thy1-Syn14</w:t>
                            </w:r>
                            <w:r w:rsidR="005C5380">
                              <w:rPr>
                                <w:rFonts w:ascii="Verdana" w:hAnsi="Verdana"/>
                                <w:i w:val="0"/>
                                <w:iCs w:val="0"/>
                                <w:color w:val="auto"/>
                              </w:rPr>
                              <w:t xml:space="preserve"> animals,</w:t>
                            </w:r>
                            <w:r w:rsidRPr="005C5380">
                              <w:rPr>
                                <w:rFonts w:ascii="Verdana" w:hAnsi="Verdana"/>
                                <w:i w:val="0"/>
                                <w:iCs w:val="0"/>
                                <w:color w:val="auto"/>
                              </w:rPr>
                              <w:t xml:space="preserve"> FD</w:t>
                            </w:r>
                            <w:r w:rsidR="005C5380">
                              <w:rPr>
                                <w:rFonts w:ascii="Verdana" w:hAnsi="Verdana"/>
                                <w:i w:val="0"/>
                                <w:iCs w:val="0"/>
                                <w:color w:val="auto"/>
                              </w:rPr>
                              <w:t xml:space="preserve"> =</w:t>
                            </w:r>
                            <w:r w:rsidRPr="005C5380">
                              <w:rPr>
                                <w:rFonts w:ascii="Verdana" w:hAnsi="Verdana"/>
                                <w:i w:val="0"/>
                                <w:iCs w:val="0"/>
                                <w:color w:val="auto"/>
                              </w:rPr>
                              <w:t xml:space="preserve"> </w:t>
                            </w:r>
                            <w:proofErr w:type="spellStart"/>
                            <w:r w:rsidRPr="005C5380">
                              <w:rPr>
                                <w:rFonts w:ascii="Verdana" w:hAnsi="Verdana"/>
                                <w:i w:val="0"/>
                                <w:iCs w:val="0"/>
                                <w:color w:val="auto"/>
                              </w:rPr>
                              <w:t>fibre</w:t>
                            </w:r>
                            <w:proofErr w:type="spellEnd"/>
                            <w:r w:rsidRPr="005C5380">
                              <w:rPr>
                                <w:rFonts w:ascii="Verdana" w:hAnsi="Verdana"/>
                                <w:i w:val="0"/>
                                <w:iCs w:val="0"/>
                                <w:color w:val="auto"/>
                              </w:rPr>
                              <w:t xml:space="preserve"> deprived</w:t>
                            </w:r>
                            <w:r w:rsidR="005C5380">
                              <w:rPr>
                                <w:rFonts w:ascii="Verdana" w:hAnsi="Verdana"/>
                                <w:i w:val="0"/>
                                <w:iCs w:val="0"/>
                                <w:color w:val="auto"/>
                              </w:rPr>
                              <w:t xml:space="preserve"> diet,</w:t>
                            </w:r>
                            <w:r w:rsidRPr="005C5380">
                              <w:rPr>
                                <w:rFonts w:ascii="Verdana" w:hAnsi="Verdana"/>
                                <w:i w:val="0"/>
                                <w:iCs w:val="0"/>
                                <w:color w:val="auto"/>
                              </w:rPr>
                              <w:t xml:space="preserve"> FR</w:t>
                            </w:r>
                            <w:r w:rsidR="005C5380">
                              <w:rPr>
                                <w:rFonts w:ascii="Verdana" w:hAnsi="Verdana"/>
                                <w:i w:val="0"/>
                                <w:iCs w:val="0"/>
                                <w:color w:val="auto"/>
                              </w:rPr>
                              <w:t xml:space="preserve"> =</w:t>
                            </w:r>
                            <w:r w:rsidRPr="005C5380">
                              <w:rPr>
                                <w:rFonts w:ascii="Verdana" w:hAnsi="Verdana"/>
                                <w:i w:val="0"/>
                                <w:iCs w:val="0"/>
                                <w:color w:val="auto"/>
                              </w:rPr>
                              <w:t xml:space="preserve"> </w:t>
                            </w:r>
                            <w:proofErr w:type="spellStart"/>
                            <w:r w:rsidRPr="005C5380">
                              <w:rPr>
                                <w:rFonts w:ascii="Verdana" w:hAnsi="Verdana"/>
                                <w:i w:val="0"/>
                                <w:iCs w:val="0"/>
                                <w:color w:val="auto"/>
                              </w:rPr>
                              <w:t>fibre</w:t>
                            </w:r>
                            <w:proofErr w:type="spellEnd"/>
                            <w:r w:rsidRPr="005C5380">
                              <w:rPr>
                                <w:rFonts w:ascii="Verdana" w:hAnsi="Verdana"/>
                                <w:i w:val="0"/>
                                <w:iCs w:val="0"/>
                                <w:color w:val="auto"/>
                              </w:rPr>
                              <w:t xml:space="preserve"> rich</w:t>
                            </w:r>
                            <w:r w:rsidR="005C5380">
                              <w:rPr>
                                <w:rFonts w:ascii="Verdana" w:hAnsi="Verdana"/>
                                <w:i w:val="0"/>
                                <w:iCs w:val="0"/>
                                <w:color w:val="auto"/>
                              </w:rPr>
                              <w:t xml:space="preserve"> diet or normal chow,</w:t>
                            </w:r>
                            <w:r w:rsidRPr="005C5380">
                              <w:rPr>
                                <w:rFonts w:ascii="Verdana" w:hAnsi="Verdana"/>
                                <w:i w:val="0"/>
                                <w:iCs w:val="0"/>
                                <w:color w:val="auto"/>
                              </w:rPr>
                              <w:t xml:space="preserve"> PBS</w:t>
                            </w:r>
                            <w:r w:rsidR="005C5380">
                              <w:rPr>
                                <w:rFonts w:ascii="Verdana" w:hAnsi="Verdana"/>
                                <w:i w:val="0"/>
                                <w:iCs w:val="0"/>
                                <w:color w:val="auto"/>
                              </w:rPr>
                              <w:t xml:space="preserve"> =</w:t>
                            </w:r>
                            <w:r w:rsidRPr="005C5380">
                              <w:rPr>
                                <w:rFonts w:ascii="Verdana" w:hAnsi="Verdana"/>
                                <w:i w:val="0"/>
                                <w:iCs w:val="0"/>
                                <w:color w:val="auto"/>
                              </w:rPr>
                              <w:t xml:space="preserve"> phosphate buffered saline solution</w:t>
                            </w:r>
                            <w:r w:rsidR="005C5380">
                              <w:rPr>
                                <w:rFonts w:ascii="Verdana" w:hAnsi="Verdana"/>
                                <w:i w:val="0"/>
                                <w:iCs w:val="0"/>
                                <w:color w:val="auto"/>
                              </w:rPr>
                              <w:t xml:space="preserve">, </w:t>
                            </w:r>
                            <w:r w:rsidRPr="005C5380">
                              <w:rPr>
                                <w:rFonts w:ascii="Verdana" w:hAnsi="Verdana" w:cs="Times New Roman"/>
                                <w:i w:val="0"/>
                                <w:iCs w:val="0"/>
                                <w:color w:val="auto"/>
                              </w:rPr>
                              <w:t>Δ</w:t>
                            </w:r>
                            <w:r w:rsidRPr="005C5380">
                              <w:rPr>
                                <w:rFonts w:ascii="Verdana" w:hAnsi="Verdana"/>
                                <w:i w:val="0"/>
                                <w:iCs w:val="0"/>
                                <w:color w:val="auto"/>
                              </w:rPr>
                              <w:t>EC</w:t>
                            </w:r>
                            <w:r w:rsidR="005C5380">
                              <w:rPr>
                                <w:rFonts w:ascii="Verdana" w:hAnsi="Verdana"/>
                                <w:i w:val="0"/>
                                <w:iCs w:val="0"/>
                                <w:color w:val="auto"/>
                              </w:rPr>
                              <w:t xml:space="preserve"> =</w:t>
                            </w:r>
                            <w:r w:rsidRPr="005C5380">
                              <w:rPr>
                                <w:rFonts w:ascii="Verdana" w:hAnsi="Verdana"/>
                                <w:i w:val="0"/>
                                <w:iCs w:val="0"/>
                                <w:color w:val="auto"/>
                              </w:rPr>
                              <w:t xml:space="preserve"> </w:t>
                            </w:r>
                            <w:r w:rsidR="005C5380">
                              <w:rPr>
                                <w:rFonts w:ascii="Verdana" w:hAnsi="Verdana"/>
                                <w:i w:val="0"/>
                                <w:iCs w:val="0"/>
                                <w:color w:val="auto"/>
                              </w:rPr>
                              <w:t>C</w:t>
                            </w:r>
                            <w:r w:rsidRPr="005C5380">
                              <w:rPr>
                                <w:rFonts w:ascii="Verdana" w:hAnsi="Verdana"/>
                                <w:i w:val="0"/>
                                <w:iCs w:val="0"/>
                                <w:color w:val="auto"/>
                              </w:rPr>
                              <w:t xml:space="preserve">urli-KO </w:t>
                            </w:r>
                            <w:r w:rsidRPr="005C5380">
                              <w:rPr>
                                <w:rFonts w:ascii="Verdana" w:hAnsi="Verdana"/>
                                <w:color w:val="auto"/>
                              </w:rPr>
                              <w:t>E. coli</w:t>
                            </w:r>
                            <w:r w:rsidR="005C5380">
                              <w:rPr>
                                <w:rFonts w:ascii="Verdana" w:hAnsi="Verdana"/>
                                <w:i w:val="0"/>
                                <w:iCs w:val="0"/>
                                <w:color w:val="auto"/>
                              </w:rPr>
                              <w:t>,</w:t>
                            </w:r>
                            <w:r w:rsidRPr="005C5380">
                              <w:rPr>
                                <w:rFonts w:ascii="Verdana" w:hAnsi="Verdana"/>
                                <w:i w:val="0"/>
                                <w:iCs w:val="0"/>
                                <w:color w:val="auto"/>
                              </w:rPr>
                              <w:t xml:space="preserve"> EC</w:t>
                            </w:r>
                            <w:r w:rsidR="005C5380">
                              <w:rPr>
                                <w:rFonts w:ascii="Verdana" w:hAnsi="Verdana"/>
                                <w:i w:val="0"/>
                                <w:iCs w:val="0"/>
                                <w:color w:val="auto"/>
                              </w:rPr>
                              <w:t xml:space="preserve"> = </w:t>
                            </w:r>
                            <w:r w:rsidRPr="005C5380">
                              <w:rPr>
                                <w:rFonts w:ascii="Verdana" w:hAnsi="Verdana"/>
                                <w:i w:val="0"/>
                                <w:iCs w:val="0"/>
                                <w:color w:val="auto"/>
                              </w:rPr>
                              <w:t xml:space="preserve">wild-type </w:t>
                            </w:r>
                            <w:r w:rsidR="005C5380">
                              <w:rPr>
                                <w:rFonts w:ascii="Verdana" w:hAnsi="Verdana"/>
                                <w:i w:val="0"/>
                                <w:iCs w:val="0"/>
                                <w:color w:val="auto"/>
                              </w:rPr>
                              <w:t>C</w:t>
                            </w:r>
                            <w:r w:rsidRPr="005C5380">
                              <w:rPr>
                                <w:rFonts w:ascii="Verdana" w:hAnsi="Verdana"/>
                                <w:i w:val="0"/>
                                <w:iCs w:val="0"/>
                                <w:color w:val="auto"/>
                              </w:rPr>
                              <w:t xml:space="preserve">urli expressing </w:t>
                            </w:r>
                            <w:r w:rsidRPr="005C5380">
                              <w:rPr>
                                <w:rFonts w:ascii="Verdana" w:hAnsi="Verdana"/>
                                <w:color w:val="auto"/>
                              </w:rPr>
                              <w:t>E. coli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18949" id="Text Box 31" o:spid="_x0000_s1063" type="#_x0000_t202" style="position:absolute;left:0;text-align:left;margin-left:387.4pt;margin-top:549.3pt;width:438.6pt;height:148.4pt;z-index:251935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" stroked="f">
                <v:textbox inset="0,0,0,0">
                  <w:txbxContent>
                    <w:p w14:paraId="3BD67C84" w14:textId="589C2A03" w:rsidR="000345F5" w:rsidRPr="00C856A0" w:rsidRDefault="000345F5" w:rsidP="005C5380">
                      <w:pPr>
                        <w:pStyle w:val="Caption"/>
                        <w:ind w:firstLine="0"/>
                        <w:jc w:val="both"/>
                        <w:rPr>
                          <w:rFonts w:ascii="Verdana" w:hAnsi="Verdana"/>
                          <w:i w:val="0"/>
                          <w:iCs w:val="0"/>
                          <w:color w:val="auto"/>
                        </w:rPr>
                      </w:pPr>
                      <w:bookmarkStart w:id="144" w:name="_Toc131412772"/>
                      <w:r w:rsidRPr="00C856A0">
                        <w:rPr>
                          <w:rFonts w:ascii="Verdana" w:hAnsi="Verdana"/>
                          <w:b/>
                          <w:bCs/>
                          <w:i w:val="0"/>
                          <w:iCs w:val="0"/>
                          <w:color w:val="auto"/>
                        </w:rPr>
                        <w:t xml:space="preserve">Figure </w:t>
                      </w:r>
                      <w:r w:rsidRPr="00C856A0">
                        <w:rPr>
                          <w:rFonts w:ascii="Verdana" w:hAnsi="Verdana"/>
                          <w:b/>
                          <w:bCs/>
                          <w:i w:val="0"/>
                          <w:iCs w:val="0"/>
                          <w:color w:val="auto"/>
                        </w:rPr>
                        <w:fldChar w:fldCharType="begin"/>
                      </w:r>
                      <w:r w:rsidRPr="00C856A0">
                        <w:rPr>
                          <w:rFonts w:ascii="Verdana" w:hAnsi="Verdana"/>
                          <w:b/>
                          <w:bCs/>
                          <w:i w:val="0"/>
                          <w:iCs w:val="0"/>
                          <w:color w:val="auto"/>
                        </w:rPr>
                        <w:instrText xml:space="preserve"> SEQ Figure \* ARABIC </w:instrText>
                      </w:r>
                      <w:r w:rsidRPr="00C856A0">
                        <w:rPr>
                          <w:rFonts w:ascii="Verdana" w:hAnsi="Verdana"/>
                          <w:b/>
                          <w:bCs/>
                          <w:i w:val="0"/>
                          <w:iCs w:val="0"/>
                          <w:color w:val="auto"/>
                        </w:rPr>
                        <w:fldChar w:fldCharType="separate"/>
                      </w:r>
                      <w:r w:rsidR="001D505F">
                        <w:rPr>
                          <w:rFonts w:ascii="Verdana" w:hAnsi="Verdana"/>
                          <w:b/>
                          <w:bCs/>
                          <w:i w:val="0"/>
                          <w:iCs w:val="0"/>
                          <w:noProof/>
                          <w:color w:val="auto"/>
                        </w:rPr>
                        <w:t>30</w:t>
                      </w:r>
                      <w:r w:rsidRPr="00C856A0">
                        <w:rPr>
                          <w:rFonts w:ascii="Verdana" w:hAnsi="Verdana"/>
                          <w:b/>
                          <w:bCs/>
                          <w:i w:val="0"/>
                          <w:iCs w:val="0"/>
                          <w:color w:val="auto"/>
                        </w:rPr>
                        <w:fldChar w:fldCharType="end"/>
                      </w:r>
                      <w:r w:rsidRPr="00C856A0">
                        <w:rPr>
                          <w:rFonts w:ascii="Verdana" w:hAnsi="Verdana"/>
                          <w:b/>
                          <w:bCs/>
                          <w:i w:val="0"/>
                          <w:iCs w:val="0"/>
                          <w:color w:val="auto"/>
                        </w:rPr>
                        <w:t xml:space="preserve"> </w:t>
                      </w:r>
                      <w:r w:rsidR="00D429A1" w:rsidRPr="00C856A0">
                        <w:rPr>
                          <w:rFonts w:ascii="Verdana" w:hAnsi="Verdana"/>
                          <w:i w:val="0"/>
                          <w:iCs w:val="0"/>
                          <w:color w:val="auto"/>
                        </w:rPr>
                        <w:t>Transgenic alpha-synuclein overexpression drives motor deficits</w:t>
                      </w:r>
                      <w:r w:rsidR="00C856A0" w:rsidRPr="00C856A0">
                        <w:rPr>
                          <w:rFonts w:ascii="Verdana" w:hAnsi="Verdana"/>
                          <w:i w:val="0"/>
                          <w:iCs w:val="0"/>
                          <w:color w:val="auto"/>
                        </w:rPr>
                        <w:t xml:space="preserve"> in TG animals</w:t>
                      </w:r>
                      <w:bookmarkEnd w:id="144"/>
                    </w:p>
                    <w:p w14:paraId="736C397A" w14:textId="28C247EC" w:rsidR="00C856A0" w:rsidRPr="00C856A0" w:rsidRDefault="00C856A0" w:rsidP="005C5380">
                      <w:pPr>
                        <w:ind w:firstLine="0"/>
                        <w:jc w:val="both"/>
                        <w:rPr>
                          <w:rFonts w:ascii="Verdana" w:hAnsi="Verdana"/>
                          <w:b/>
                          <w:bCs/>
                          <w:sz w:val="18"/>
                          <w:szCs w:val="18"/>
                        </w:rPr>
                      </w:pPr>
                      <w:r w:rsidRPr="00C856A0">
                        <w:rPr>
                          <w:rFonts w:ascii="Verdana" w:hAnsi="Verdana"/>
                          <w:b/>
                          <w:bCs/>
                          <w:sz w:val="18"/>
                          <w:szCs w:val="18"/>
                        </w:rPr>
                        <w:t xml:space="preserve">A) </w:t>
                      </w:r>
                      <w:r w:rsidR="001D66D3" w:rsidRPr="001D66D3">
                        <w:rPr>
                          <w:rFonts w:ascii="Verdana" w:hAnsi="Verdana"/>
                          <w:sz w:val="18"/>
                          <w:szCs w:val="18"/>
                        </w:rPr>
                        <w:t>Longitudinal visualization of</w:t>
                      </w:r>
                      <w:r w:rsidR="001D66D3">
                        <w:rPr>
                          <w:rFonts w:ascii="Verdana" w:hAnsi="Verdana"/>
                          <w:b/>
                          <w:bCs/>
                          <w:sz w:val="18"/>
                          <w:szCs w:val="18"/>
                        </w:rPr>
                        <w:t xml:space="preserve"> </w:t>
                      </w:r>
                      <w:r w:rsidR="001D66D3">
                        <w:rPr>
                          <w:rFonts w:ascii="Verdana" w:hAnsi="Verdana"/>
                          <w:sz w:val="18"/>
                          <w:szCs w:val="18"/>
                        </w:rPr>
                        <w:t>h</w:t>
                      </w:r>
                      <w:r w:rsidRPr="00C856A0">
                        <w:rPr>
                          <w:rFonts w:ascii="Verdana" w:hAnsi="Verdana"/>
                          <w:sz w:val="18"/>
                          <w:szCs w:val="18"/>
                        </w:rPr>
                        <w:t>indlimb clasping scores</w:t>
                      </w:r>
                      <w:r>
                        <w:rPr>
                          <w:rFonts w:ascii="Verdana" w:hAnsi="Verdana"/>
                          <w:sz w:val="18"/>
                          <w:szCs w:val="18"/>
                        </w:rPr>
                        <w:t xml:space="preserve"> </w:t>
                      </w:r>
                      <w:r w:rsidR="000C618C">
                        <w:rPr>
                          <w:rFonts w:ascii="Verdana" w:hAnsi="Verdana"/>
                          <w:sz w:val="18"/>
                          <w:szCs w:val="18"/>
                        </w:rPr>
                        <w:t xml:space="preserve">for all treatment groups (median value for each group). </w:t>
                      </w:r>
                      <w:r w:rsidR="00236105" w:rsidRPr="00236105">
                        <w:rPr>
                          <w:rFonts w:ascii="Verdana" w:hAnsi="Verdana"/>
                          <w:b/>
                          <w:bCs/>
                          <w:sz w:val="18"/>
                          <w:szCs w:val="18"/>
                        </w:rPr>
                        <w:t>B)</w:t>
                      </w:r>
                      <w:r w:rsidR="00236105">
                        <w:rPr>
                          <w:rFonts w:ascii="Verdana" w:hAnsi="Verdana"/>
                          <w:sz w:val="18"/>
                          <w:szCs w:val="18"/>
                        </w:rPr>
                        <w:t xml:space="preserve"> </w:t>
                      </w:r>
                      <w:r w:rsidR="00236105" w:rsidRPr="001D66D3">
                        <w:rPr>
                          <w:rFonts w:ascii="Verdana" w:hAnsi="Verdana"/>
                          <w:sz w:val="18"/>
                          <w:szCs w:val="18"/>
                        </w:rPr>
                        <w:t>Longitudinal visualization of</w:t>
                      </w:r>
                      <w:r w:rsidR="00236105">
                        <w:rPr>
                          <w:rFonts w:ascii="Verdana" w:hAnsi="Verdana"/>
                          <w:b/>
                          <w:bCs/>
                          <w:sz w:val="18"/>
                          <w:szCs w:val="18"/>
                        </w:rPr>
                        <w:t xml:space="preserve"> </w:t>
                      </w:r>
                      <w:r w:rsidR="00236105">
                        <w:rPr>
                          <w:rFonts w:ascii="Verdana" w:hAnsi="Verdana"/>
                          <w:sz w:val="18"/>
                          <w:szCs w:val="18"/>
                        </w:rPr>
                        <w:t xml:space="preserve">grip strength for all treatment groups (median value for each group). </w:t>
                      </w:r>
                      <w:r w:rsidR="00236105" w:rsidRPr="00C47555">
                        <w:rPr>
                          <w:rFonts w:ascii="Verdana" w:hAnsi="Verdana"/>
                          <w:b/>
                          <w:bCs/>
                          <w:sz w:val="18"/>
                          <w:szCs w:val="18"/>
                        </w:rPr>
                        <w:t>C)</w:t>
                      </w:r>
                      <w:r w:rsidR="00236105">
                        <w:rPr>
                          <w:rFonts w:ascii="Verdana" w:hAnsi="Verdana"/>
                          <w:sz w:val="18"/>
                          <w:szCs w:val="18"/>
                        </w:rPr>
                        <w:t xml:space="preserve"> Boxplots illustrating </w:t>
                      </w:r>
                      <w:r w:rsidR="00375ECC">
                        <w:rPr>
                          <w:rFonts w:ascii="Verdana" w:hAnsi="Verdana"/>
                          <w:sz w:val="18"/>
                          <w:szCs w:val="18"/>
                        </w:rPr>
                        <w:t>the latency to touch in al</w:t>
                      </w:r>
                      <w:r w:rsidR="00C47555">
                        <w:rPr>
                          <w:rFonts w:ascii="Verdana" w:hAnsi="Verdana"/>
                          <w:sz w:val="18"/>
                          <w:szCs w:val="18"/>
                        </w:rPr>
                        <w:t>l</w:t>
                      </w:r>
                      <w:r w:rsidR="00375ECC">
                        <w:rPr>
                          <w:rFonts w:ascii="Verdana" w:hAnsi="Verdana"/>
                          <w:sz w:val="18"/>
                          <w:szCs w:val="18"/>
                        </w:rPr>
                        <w:t xml:space="preserve"> groups </w:t>
                      </w:r>
                      <w:r w:rsidR="00C47555">
                        <w:rPr>
                          <w:rFonts w:ascii="Verdana" w:hAnsi="Verdana"/>
                          <w:sz w:val="18"/>
                          <w:szCs w:val="18"/>
                        </w:rPr>
                        <w:t>after the 9-week long in life treatment phase.</w:t>
                      </w:r>
                    </w:p>
                    <w:p w14:paraId="499EF2DB" w14:textId="2B0D28AE" w:rsidR="00D429A1" w:rsidRPr="005C5380" w:rsidRDefault="00166D69" w:rsidP="005C5380">
                      <w:pPr>
                        <w:ind w:firstLine="0"/>
                        <w:jc w:val="both"/>
                        <w:rPr>
                          <w:rFonts w:ascii="Verdana" w:hAnsi="Verdana"/>
                          <w:sz w:val="18"/>
                          <w:szCs w:val="18"/>
                        </w:rPr>
                      </w:pPr>
                      <w:r>
                        <w:t xml:space="preserve">Stats: Mann-Whitney U test and FDR correction. </w:t>
                      </w:r>
                      <w:r w:rsidR="00C319C3">
                        <w:t>* = p&lt; 0.05, ** = p&lt; 0.01, **** = p&lt; 0.0001</w:t>
                      </w:r>
                      <w:r w:rsidR="005322CE">
                        <w:t>.</w:t>
                      </w:r>
                      <w:r w:rsidR="00F53172">
                        <w:t xml:space="preserve"> Comparison between TG and WT groups in C) was performed by Kruskal-Wallis with FDR </w:t>
                      </w:r>
                      <w:r w:rsidR="00F53172" w:rsidRPr="005C5380">
                        <w:rPr>
                          <w:rFonts w:ascii="Verdana" w:hAnsi="Verdana"/>
                          <w:sz w:val="18"/>
                          <w:szCs w:val="18"/>
                        </w:rPr>
                        <w:t>correction</w:t>
                      </w:r>
                      <w:r w:rsidR="005C5380" w:rsidRPr="005C5380">
                        <w:rPr>
                          <w:rFonts w:ascii="Verdana" w:hAnsi="Verdana"/>
                          <w:sz w:val="18"/>
                          <w:szCs w:val="18"/>
                        </w:rPr>
                        <w:t>.</w:t>
                      </w:r>
                    </w:p>
                    <w:p w14:paraId="7731F6EB" w14:textId="753739F3" w:rsidR="000345F5" w:rsidRPr="005C5380" w:rsidRDefault="000345F5" w:rsidP="005C5380">
                      <w:pPr>
                        <w:pStyle w:val="Caption"/>
                        <w:ind w:firstLine="0"/>
                        <w:jc w:val="both"/>
                        <w:rPr>
                          <w:rFonts w:ascii="Verdana" w:hAnsi="Verdana"/>
                          <w:b/>
                          <w:bCs/>
                          <w:i w:val="0"/>
                          <w:iCs w:val="0"/>
                          <w:noProof/>
                          <w:color w:val="auto"/>
                        </w:rPr>
                      </w:pPr>
                      <w:r w:rsidRPr="005C5380">
                        <w:rPr>
                          <w:rFonts w:ascii="Verdana" w:hAnsi="Verdana"/>
                          <w:i w:val="0"/>
                          <w:iCs w:val="0"/>
                          <w:color w:val="auto"/>
                        </w:rPr>
                        <w:t>WT</w:t>
                      </w:r>
                      <w:r w:rsidR="005C5380">
                        <w:rPr>
                          <w:rFonts w:ascii="Verdana" w:hAnsi="Verdana"/>
                          <w:i w:val="0"/>
                          <w:iCs w:val="0"/>
                          <w:color w:val="auto"/>
                        </w:rPr>
                        <w:t xml:space="preserve"> =</w:t>
                      </w:r>
                      <w:r w:rsidRPr="005C5380">
                        <w:rPr>
                          <w:rFonts w:ascii="Verdana" w:hAnsi="Verdana"/>
                          <w:i w:val="0"/>
                          <w:iCs w:val="0"/>
                          <w:color w:val="auto"/>
                        </w:rPr>
                        <w:t xml:space="preserve"> wild-type littermates; TG</w:t>
                      </w:r>
                      <w:r w:rsidR="005C5380">
                        <w:rPr>
                          <w:rFonts w:ascii="Verdana" w:hAnsi="Verdana"/>
                          <w:i w:val="0"/>
                          <w:iCs w:val="0"/>
                          <w:color w:val="auto"/>
                        </w:rPr>
                        <w:t xml:space="preserve"> = transgenic</w:t>
                      </w:r>
                      <w:r w:rsidRPr="005C5380">
                        <w:rPr>
                          <w:rFonts w:ascii="Verdana" w:hAnsi="Verdana"/>
                          <w:i w:val="0"/>
                          <w:iCs w:val="0"/>
                          <w:color w:val="auto"/>
                        </w:rPr>
                        <w:t xml:space="preserve"> Thy1-Syn14</w:t>
                      </w:r>
                      <w:r w:rsidR="005C5380">
                        <w:rPr>
                          <w:rFonts w:ascii="Verdana" w:hAnsi="Verdana"/>
                          <w:i w:val="0"/>
                          <w:iCs w:val="0"/>
                          <w:color w:val="auto"/>
                        </w:rPr>
                        <w:t xml:space="preserve"> animals,</w:t>
                      </w:r>
                      <w:r w:rsidRPr="005C5380">
                        <w:rPr>
                          <w:rFonts w:ascii="Verdana" w:hAnsi="Verdana"/>
                          <w:i w:val="0"/>
                          <w:iCs w:val="0"/>
                          <w:color w:val="auto"/>
                        </w:rPr>
                        <w:t xml:space="preserve"> FD</w:t>
                      </w:r>
                      <w:r w:rsidR="005C5380">
                        <w:rPr>
                          <w:rFonts w:ascii="Verdana" w:hAnsi="Verdana"/>
                          <w:i w:val="0"/>
                          <w:iCs w:val="0"/>
                          <w:color w:val="auto"/>
                        </w:rPr>
                        <w:t xml:space="preserve"> =</w:t>
                      </w:r>
                      <w:r w:rsidRPr="005C5380">
                        <w:rPr>
                          <w:rFonts w:ascii="Verdana" w:hAnsi="Verdana"/>
                          <w:i w:val="0"/>
                          <w:iCs w:val="0"/>
                          <w:color w:val="auto"/>
                        </w:rPr>
                        <w:t xml:space="preserve"> </w:t>
                      </w:r>
                      <w:proofErr w:type="spellStart"/>
                      <w:r w:rsidRPr="005C5380">
                        <w:rPr>
                          <w:rFonts w:ascii="Verdana" w:hAnsi="Verdana"/>
                          <w:i w:val="0"/>
                          <w:iCs w:val="0"/>
                          <w:color w:val="auto"/>
                        </w:rPr>
                        <w:t>fibre</w:t>
                      </w:r>
                      <w:proofErr w:type="spellEnd"/>
                      <w:r w:rsidRPr="005C5380">
                        <w:rPr>
                          <w:rFonts w:ascii="Verdana" w:hAnsi="Verdana"/>
                          <w:i w:val="0"/>
                          <w:iCs w:val="0"/>
                          <w:color w:val="auto"/>
                        </w:rPr>
                        <w:t xml:space="preserve"> deprived</w:t>
                      </w:r>
                      <w:r w:rsidR="005C5380">
                        <w:rPr>
                          <w:rFonts w:ascii="Verdana" w:hAnsi="Verdana"/>
                          <w:i w:val="0"/>
                          <w:iCs w:val="0"/>
                          <w:color w:val="auto"/>
                        </w:rPr>
                        <w:t xml:space="preserve"> diet,</w:t>
                      </w:r>
                      <w:r w:rsidRPr="005C5380">
                        <w:rPr>
                          <w:rFonts w:ascii="Verdana" w:hAnsi="Verdana"/>
                          <w:i w:val="0"/>
                          <w:iCs w:val="0"/>
                          <w:color w:val="auto"/>
                        </w:rPr>
                        <w:t xml:space="preserve"> FR</w:t>
                      </w:r>
                      <w:r w:rsidR="005C5380">
                        <w:rPr>
                          <w:rFonts w:ascii="Verdana" w:hAnsi="Verdana"/>
                          <w:i w:val="0"/>
                          <w:iCs w:val="0"/>
                          <w:color w:val="auto"/>
                        </w:rPr>
                        <w:t xml:space="preserve"> =</w:t>
                      </w:r>
                      <w:r w:rsidRPr="005C5380">
                        <w:rPr>
                          <w:rFonts w:ascii="Verdana" w:hAnsi="Verdana"/>
                          <w:i w:val="0"/>
                          <w:iCs w:val="0"/>
                          <w:color w:val="auto"/>
                        </w:rPr>
                        <w:t xml:space="preserve"> </w:t>
                      </w:r>
                      <w:proofErr w:type="spellStart"/>
                      <w:r w:rsidRPr="005C5380">
                        <w:rPr>
                          <w:rFonts w:ascii="Verdana" w:hAnsi="Verdana"/>
                          <w:i w:val="0"/>
                          <w:iCs w:val="0"/>
                          <w:color w:val="auto"/>
                        </w:rPr>
                        <w:t>fibre</w:t>
                      </w:r>
                      <w:proofErr w:type="spellEnd"/>
                      <w:r w:rsidRPr="005C5380">
                        <w:rPr>
                          <w:rFonts w:ascii="Verdana" w:hAnsi="Verdana"/>
                          <w:i w:val="0"/>
                          <w:iCs w:val="0"/>
                          <w:color w:val="auto"/>
                        </w:rPr>
                        <w:t xml:space="preserve"> rich</w:t>
                      </w:r>
                      <w:r w:rsidR="005C5380">
                        <w:rPr>
                          <w:rFonts w:ascii="Verdana" w:hAnsi="Verdana"/>
                          <w:i w:val="0"/>
                          <w:iCs w:val="0"/>
                          <w:color w:val="auto"/>
                        </w:rPr>
                        <w:t xml:space="preserve"> diet or normal chow,</w:t>
                      </w:r>
                      <w:r w:rsidRPr="005C5380">
                        <w:rPr>
                          <w:rFonts w:ascii="Verdana" w:hAnsi="Verdana"/>
                          <w:i w:val="0"/>
                          <w:iCs w:val="0"/>
                          <w:color w:val="auto"/>
                        </w:rPr>
                        <w:t xml:space="preserve"> PBS</w:t>
                      </w:r>
                      <w:r w:rsidR="005C5380">
                        <w:rPr>
                          <w:rFonts w:ascii="Verdana" w:hAnsi="Verdana"/>
                          <w:i w:val="0"/>
                          <w:iCs w:val="0"/>
                          <w:color w:val="auto"/>
                        </w:rPr>
                        <w:t xml:space="preserve"> =</w:t>
                      </w:r>
                      <w:r w:rsidRPr="005C5380">
                        <w:rPr>
                          <w:rFonts w:ascii="Verdana" w:hAnsi="Verdana"/>
                          <w:i w:val="0"/>
                          <w:iCs w:val="0"/>
                          <w:color w:val="auto"/>
                        </w:rPr>
                        <w:t xml:space="preserve"> phosphate buffered saline solution</w:t>
                      </w:r>
                      <w:r w:rsidR="005C5380">
                        <w:rPr>
                          <w:rFonts w:ascii="Verdana" w:hAnsi="Verdana"/>
                          <w:i w:val="0"/>
                          <w:iCs w:val="0"/>
                          <w:color w:val="auto"/>
                        </w:rPr>
                        <w:t xml:space="preserve">, </w:t>
                      </w:r>
                      <w:r w:rsidRPr="005C5380">
                        <w:rPr>
                          <w:rFonts w:ascii="Verdana" w:hAnsi="Verdana" w:cs="Times New Roman"/>
                          <w:i w:val="0"/>
                          <w:iCs w:val="0"/>
                          <w:color w:val="auto"/>
                        </w:rPr>
                        <w:t>Δ</w:t>
                      </w:r>
                      <w:r w:rsidRPr="005C5380">
                        <w:rPr>
                          <w:rFonts w:ascii="Verdana" w:hAnsi="Verdana"/>
                          <w:i w:val="0"/>
                          <w:iCs w:val="0"/>
                          <w:color w:val="auto"/>
                        </w:rPr>
                        <w:t>EC</w:t>
                      </w:r>
                      <w:r w:rsidR="005C5380">
                        <w:rPr>
                          <w:rFonts w:ascii="Verdana" w:hAnsi="Verdana"/>
                          <w:i w:val="0"/>
                          <w:iCs w:val="0"/>
                          <w:color w:val="auto"/>
                        </w:rPr>
                        <w:t xml:space="preserve"> =</w:t>
                      </w:r>
                      <w:r w:rsidRPr="005C5380">
                        <w:rPr>
                          <w:rFonts w:ascii="Verdana" w:hAnsi="Verdana"/>
                          <w:i w:val="0"/>
                          <w:iCs w:val="0"/>
                          <w:color w:val="auto"/>
                        </w:rPr>
                        <w:t xml:space="preserve"> </w:t>
                      </w:r>
                      <w:r w:rsidR="005C5380">
                        <w:rPr>
                          <w:rFonts w:ascii="Verdana" w:hAnsi="Verdana"/>
                          <w:i w:val="0"/>
                          <w:iCs w:val="0"/>
                          <w:color w:val="auto"/>
                        </w:rPr>
                        <w:t>C</w:t>
                      </w:r>
                      <w:r w:rsidRPr="005C5380">
                        <w:rPr>
                          <w:rFonts w:ascii="Verdana" w:hAnsi="Verdana"/>
                          <w:i w:val="0"/>
                          <w:iCs w:val="0"/>
                          <w:color w:val="auto"/>
                        </w:rPr>
                        <w:t xml:space="preserve">urli-KO </w:t>
                      </w:r>
                      <w:r w:rsidRPr="005C5380">
                        <w:rPr>
                          <w:rFonts w:ascii="Verdana" w:hAnsi="Verdana"/>
                          <w:color w:val="auto"/>
                        </w:rPr>
                        <w:t>E. coli</w:t>
                      </w:r>
                      <w:r w:rsidR="005C5380">
                        <w:rPr>
                          <w:rFonts w:ascii="Verdana" w:hAnsi="Verdana"/>
                          <w:i w:val="0"/>
                          <w:iCs w:val="0"/>
                          <w:color w:val="auto"/>
                        </w:rPr>
                        <w:t>,</w:t>
                      </w:r>
                      <w:r w:rsidRPr="005C5380">
                        <w:rPr>
                          <w:rFonts w:ascii="Verdana" w:hAnsi="Verdana"/>
                          <w:i w:val="0"/>
                          <w:iCs w:val="0"/>
                          <w:color w:val="auto"/>
                        </w:rPr>
                        <w:t xml:space="preserve"> EC</w:t>
                      </w:r>
                      <w:r w:rsidR="005C5380">
                        <w:rPr>
                          <w:rFonts w:ascii="Verdana" w:hAnsi="Verdana"/>
                          <w:i w:val="0"/>
                          <w:iCs w:val="0"/>
                          <w:color w:val="auto"/>
                        </w:rPr>
                        <w:t xml:space="preserve"> = </w:t>
                      </w:r>
                      <w:r w:rsidRPr="005C5380">
                        <w:rPr>
                          <w:rFonts w:ascii="Verdana" w:hAnsi="Verdana"/>
                          <w:i w:val="0"/>
                          <w:iCs w:val="0"/>
                          <w:color w:val="auto"/>
                        </w:rPr>
                        <w:t xml:space="preserve">wild-type </w:t>
                      </w:r>
                      <w:r w:rsidR="005C5380">
                        <w:rPr>
                          <w:rFonts w:ascii="Verdana" w:hAnsi="Verdana"/>
                          <w:i w:val="0"/>
                          <w:iCs w:val="0"/>
                          <w:color w:val="auto"/>
                        </w:rPr>
                        <w:t>C</w:t>
                      </w:r>
                      <w:r w:rsidRPr="005C5380">
                        <w:rPr>
                          <w:rFonts w:ascii="Verdana" w:hAnsi="Verdana"/>
                          <w:i w:val="0"/>
                          <w:iCs w:val="0"/>
                          <w:color w:val="auto"/>
                        </w:rPr>
                        <w:t xml:space="preserve">urli expressing </w:t>
                      </w:r>
                      <w:r w:rsidRPr="005C5380">
                        <w:rPr>
                          <w:rFonts w:ascii="Verdana" w:hAnsi="Verdana"/>
                          <w:color w:val="auto"/>
                        </w:rPr>
                        <w:t>E. coli</w:t>
                      </w:r>
                    </w:p>
                  </w:txbxContent>
                </v:textbox>
                <w10:wrap type="topAndBottom" anchorx="margin"/>
              </v:shape>
            </w:pict>
          </mc:Fallback>
        </mc:AlternateContent>
      </w:r>
      <w:r>
        <w:rPr>
          <w:rFonts w:ascii="Verdana" w:hAnsi="Verdana"/>
          <w:noProof/>
        </w:rPr>
        <w:drawing>
          <wp:anchor distT="0" distB="0" distL="114300" distR="114300" simplePos="0" relativeHeight="251933696" behindDoc="0" locked="0" layoutInCell="1" allowOverlap="1" wp14:anchorId="6CA88DD1" wp14:editId="42ED44C9">
            <wp:simplePos x="0" y="0"/>
            <wp:positionH relativeFrom="page">
              <wp:align>center</wp:align>
            </wp:positionH>
            <wp:positionV relativeFrom="paragraph">
              <wp:posOffset>538</wp:posOffset>
            </wp:positionV>
            <wp:extent cx="3607435" cy="688594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07435" cy="6885940"/>
                    </a:xfrm>
                    <a:prstGeom prst="rect">
                      <a:avLst/>
                    </a:prstGeom>
                  </pic:spPr>
                </pic:pic>
              </a:graphicData>
            </a:graphic>
            <wp14:sizeRelH relativeFrom="margin">
              <wp14:pctWidth>0</wp14:pctWidth>
            </wp14:sizeRelH>
            <wp14:sizeRelV relativeFrom="margin">
              <wp14:pctHeight>0</wp14:pctHeight>
            </wp14:sizeRelV>
          </wp:anchor>
        </w:drawing>
      </w:r>
    </w:p>
    <w:p w14:paraId="39400D72" w14:textId="6375C079" w:rsidR="00BC2FA0" w:rsidRDefault="00BC2FA0" w:rsidP="005C5380">
      <w:pPr>
        <w:autoSpaceDE w:val="0"/>
        <w:autoSpaceDN w:val="0"/>
        <w:adjustRightInd w:val="0"/>
        <w:spacing w:after="0" w:line="360" w:lineRule="auto"/>
        <w:ind w:firstLine="0"/>
        <w:jc w:val="both"/>
        <w:rPr>
          <w:rFonts w:ascii="Verdana" w:hAnsi="Verdana"/>
          <w:lang w:val="en-GB"/>
        </w:rPr>
      </w:pPr>
      <w:r>
        <w:rPr>
          <w:noProof/>
        </w:rPr>
        <w:lastRenderedPageBreak/>
        <mc:AlternateContent>
          <mc:Choice Requires="wps">
            <w:drawing>
              <wp:anchor distT="0" distB="0" distL="114300" distR="114300" simplePos="0" relativeHeight="251937792" behindDoc="0" locked="0" layoutInCell="1" allowOverlap="1" wp14:anchorId="3DC283C2" wp14:editId="3765D19A">
                <wp:simplePos x="0" y="0"/>
                <wp:positionH relativeFrom="margin">
                  <wp:align>right</wp:align>
                </wp:positionH>
                <wp:positionV relativeFrom="paragraph">
                  <wp:posOffset>4416962</wp:posOffset>
                </wp:positionV>
                <wp:extent cx="5570220" cy="3108325"/>
                <wp:effectExtent l="0" t="0" r="0" b="6985"/>
                <wp:wrapTopAndBottom/>
                <wp:docPr id="32" name="Text Box 32"/>
                <wp:cNvGraphicFramePr/>
                <a:graphic xmlns:a="http://schemas.openxmlformats.org/drawingml/2006/main">
                  <a:graphicData uri="http://schemas.microsoft.com/office/word/2010/wordprocessingShape">
                    <wps:wsp>
                      <wps:cNvSpPr txBox="1"/>
                      <wps:spPr>
                        <a:xfrm>
                          <a:off x="0" y="0"/>
                          <a:ext cx="5570220" cy="3108325"/>
                        </a:xfrm>
                        <a:prstGeom prst="rect">
                          <a:avLst/>
                        </a:prstGeom>
                        <a:solidFill>
                          <a:prstClr val="white"/>
                        </a:solidFill>
                        <a:ln>
                          <a:noFill/>
                        </a:ln>
                      </wps:spPr>
                      <wps:txbx>
                        <w:txbxContent>
                          <w:p w14:paraId="4911C692" w14:textId="0F952216" w:rsidR="005C5380" w:rsidRDefault="005C5380" w:rsidP="00E80A65">
                            <w:pPr>
                              <w:pStyle w:val="Default"/>
                              <w:spacing w:after="120"/>
                              <w:jc w:val="both"/>
                              <w:rPr>
                                <w:rFonts w:ascii="Verdana" w:hAnsi="Verdana" w:cs="Arial"/>
                                <w:b/>
                                <w:bCs/>
                                <w:sz w:val="18"/>
                                <w:szCs w:val="18"/>
                              </w:rPr>
                            </w:pPr>
                            <w:bookmarkStart w:id="145" w:name="_Toc131412773"/>
                            <w:r w:rsidRPr="005C5380">
                              <w:rPr>
                                <w:rFonts w:ascii="Verdana" w:hAnsi="Verdana"/>
                                <w:b/>
                                <w:bCs/>
                                <w:color w:val="auto"/>
                                <w:sz w:val="18"/>
                                <w:szCs w:val="18"/>
                              </w:rPr>
                              <w:t xml:space="preserve">Figure </w:t>
                            </w:r>
                            <w:r w:rsidRPr="005C5380">
                              <w:rPr>
                                <w:rFonts w:ascii="Verdana" w:hAnsi="Verdana"/>
                                <w:b/>
                                <w:bCs/>
                                <w:color w:val="auto"/>
                                <w:sz w:val="18"/>
                                <w:szCs w:val="18"/>
                              </w:rPr>
                              <w:fldChar w:fldCharType="begin"/>
                            </w:r>
                            <w:r w:rsidRPr="005C5380">
                              <w:rPr>
                                <w:rFonts w:ascii="Verdana" w:hAnsi="Verdana"/>
                                <w:b/>
                                <w:bCs/>
                                <w:color w:val="auto"/>
                                <w:sz w:val="18"/>
                                <w:szCs w:val="18"/>
                              </w:rPr>
                              <w:instrText xml:space="preserve"> SEQ Figure \* ARABIC </w:instrText>
                            </w:r>
                            <w:r w:rsidRPr="005C5380">
                              <w:rPr>
                                <w:rFonts w:ascii="Verdana" w:hAnsi="Verdana"/>
                                <w:b/>
                                <w:bCs/>
                                <w:color w:val="auto"/>
                                <w:sz w:val="18"/>
                                <w:szCs w:val="18"/>
                              </w:rPr>
                              <w:fldChar w:fldCharType="separate"/>
                            </w:r>
                            <w:r w:rsidR="001D505F">
                              <w:rPr>
                                <w:rFonts w:ascii="Verdana" w:hAnsi="Verdana"/>
                                <w:b/>
                                <w:bCs/>
                                <w:noProof/>
                                <w:color w:val="auto"/>
                                <w:sz w:val="18"/>
                                <w:szCs w:val="18"/>
                              </w:rPr>
                              <w:t>31</w:t>
                            </w:r>
                            <w:r w:rsidRPr="005C5380">
                              <w:rPr>
                                <w:rFonts w:ascii="Verdana" w:hAnsi="Verdana"/>
                                <w:b/>
                                <w:bCs/>
                                <w:color w:val="auto"/>
                                <w:sz w:val="18"/>
                                <w:szCs w:val="18"/>
                              </w:rPr>
                              <w:fldChar w:fldCharType="end"/>
                            </w:r>
                            <w:r w:rsidRPr="005C5380">
                              <w:rPr>
                                <w:rFonts w:ascii="Verdana" w:hAnsi="Verdana"/>
                                <w:b/>
                                <w:bCs/>
                                <w:i/>
                                <w:iCs/>
                                <w:color w:val="auto"/>
                                <w:sz w:val="18"/>
                                <w:szCs w:val="18"/>
                              </w:rPr>
                              <w:t xml:space="preserve"> </w:t>
                            </w:r>
                            <w:r w:rsidRPr="005C5380">
                              <w:rPr>
                                <w:rFonts w:ascii="Verdana" w:hAnsi="Verdana" w:cs="Arial"/>
                                <w:sz w:val="18"/>
                                <w:szCs w:val="18"/>
                              </w:rPr>
                              <w:t>C</w:t>
                            </w:r>
                            <w:r w:rsidR="00460D7B">
                              <w:rPr>
                                <w:rFonts w:ascii="Verdana" w:hAnsi="Verdana" w:cs="Arial"/>
                                <w:sz w:val="18"/>
                                <w:szCs w:val="18"/>
                              </w:rPr>
                              <w:t>urli exposure and fibre-deprivation exacerbate motor phenotype in a subset of transgenic Thy1-Syn14 mice</w:t>
                            </w:r>
                            <w:bookmarkEnd w:id="145"/>
                          </w:p>
                          <w:p w14:paraId="03AC4B64" w14:textId="5925B7EF" w:rsidR="00B27A31" w:rsidRDefault="00B27A31" w:rsidP="00E80A65">
                            <w:pPr>
                              <w:pStyle w:val="Default"/>
                              <w:spacing w:after="120"/>
                              <w:jc w:val="both"/>
                              <w:rPr>
                                <w:rFonts w:ascii="Verdana" w:hAnsi="Verdana" w:cs="Arial"/>
                                <w:sz w:val="18"/>
                                <w:szCs w:val="18"/>
                              </w:rPr>
                            </w:pPr>
                            <w:r w:rsidRPr="00B27A31">
                              <w:rPr>
                                <w:rFonts w:ascii="Verdana" w:hAnsi="Verdana" w:cs="Arial"/>
                                <w:b/>
                                <w:bCs/>
                                <w:sz w:val="18"/>
                                <w:szCs w:val="18"/>
                              </w:rPr>
                              <w:t>A)</w:t>
                            </w:r>
                            <w:r>
                              <w:rPr>
                                <w:rFonts w:ascii="Verdana" w:hAnsi="Verdana" w:cs="Arial"/>
                                <w:sz w:val="18"/>
                                <w:szCs w:val="18"/>
                              </w:rPr>
                              <w:t xml:space="preserve"> Latency to removal of the adhesive tape in all treatment groups after the 9-week long in life treatment phase. </w:t>
                            </w:r>
                            <w:r w:rsidRPr="00B27A31">
                              <w:rPr>
                                <w:rFonts w:ascii="Verdana" w:hAnsi="Verdana" w:cs="Arial"/>
                                <w:b/>
                                <w:bCs/>
                                <w:sz w:val="18"/>
                                <w:szCs w:val="18"/>
                              </w:rPr>
                              <w:t>B)</w:t>
                            </w:r>
                            <w:r>
                              <w:rPr>
                                <w:rFonts w:ascii="Verdana" w:hAnsi="Verdana" w:cs="Arial"/>
                                <w:b/>
                                <w:bCs/>
                                <w:sz w:val="18"/>
                                <w:szCs w:val="18"/>
                              </w:rPr>
                              <w:t xml:space="preserve"> </w:t>
                            </w:r>
                            <w:r w:rsidR="00D93938">
                              <w:rPr>
                                <w:rFonts w:ascii="Verdana" w:hAnsi="Verdana" w:cs="Arial"/>
                                <w:sz w:val="18"/>
                                <w:szCs w:val="18"/>
                              </w:rPr>
                              <w:t>Touch to removal interval for transgenic Thy1-Syn14 mice</w:t>
                            </w:r>
                            <w:r w:rsidR="00E80A65" w:rsidRPr="00E80A65">
                              <w:rPr>
                                <w:rFonts w:ascii="Verdana" w:hAnsi="Verdana" w:cs="Arial"/>
                                <w:sz w:val="18"/>
                                <w:szCs w:val="18"/>
                              </w:rPr>
                              <w:t xml:space="preserve"> </w:t>
                            </w:r>
                            <w:r w:rsidR="00E80A65">
                              <w:rPr>
                                <w:rFonts w:ascii="Verdana" w:hAnsi="Verdana" w:cs="Arial"/>
                                <w:sz w:val="18"/>
                                <w:szCs w:val="18"/>
                              </w:rPr>
                              <w:t>(</w:t>
                            </w:r>
                            <w:r w:rsidR="00E80A65" w:rsidRPr="005C5380">
                              <w:rPr>
                                <w:rFonts w:ascii="Verdana" w:hAnsi="Verdana" w:cs="Arial"/>
                                <w:sz w:val="18"/>
                                <w:szCs w:val="18"/>
                              </w:rPr>
                              <w:t xml:space="preserve">FD PBS: n=3, FR </w:t>
                            </w:r>
                            <w:r w:rsidR="00E80A65" w:rsidRPr="005C5380">
                              <w:rPr>
                                <w:rFonts w:ascii="Verdana" w:hAnsi="Verdana" w:cs="Times New Roman"/>
                                <w:sz w:val="18"/>
                                <w:szCs w:val="18"/>
                              </w:rPr>
                              <w:t>Δ</w:t>
                            </w:r>
                            <w:r w:rsidR="00E80A65" w:rsidRPr="005C5380">
                              <w:rPr>
                                <w:rFonts w:ascii="Verdana" w:hAnsi="Verdana" w:cs="Arial"/>
                                <w:sz w:val="18"/>
                                <w:szCs w:val="18"/>
                              </w:rPr>
                              <w:t xml:space="preserve">EC: n=1, FR EC: n=5, FD </w:t>
                            </w:r>
                            <w:r w:rsidR="00E80A65" w:rsidRPr="005C5380">
                              <w:rPr>
                                <w:rFonts w:ascii="Verdana" w:hAnsi="Verdana" w:cs="Times New Roman"/>
                                <w:sz w:val="18"/>
                                <w:szCs w:val="18"/>
                              </w:rPr>
                              <w:t>Δ</w:t>
                            </w:r>
                            <w:r w:rsidR="00E80A65" w:rsidRPr="005C5380">
                              <w:rPr>
                                <w:rFonts w:ascii="Verdana" w:hAnsi="Verdana" w:cs="Arial"/>
                                <w:sz w:val="18"/>
                                <w:szCs w:val="18"/>
                              </w:rPr>
                              <w:t>EC: n=6, FD EC: n=6</w:t>
                            </w:r>
                            <w:r w:rsidR="00E80A65">
                              <w:rPr>
                                <w:rFonts w:ascii="Verdana" w:hAnsi="Verdana" w:cs="Arial"/>
                                <w:sz w:val="18"/>
                                <w:szCs w:val="18"/>
                              </w:rPr>
                              <w:t>).</w:t>
                            </w:r>
                          </w:p>
                          <w:p w14:paraId="1F81242B" w14:textId="668FEEEE" w:rsidR="00B27A31" w:rsidRDefault="005C5380" w:rsidP="00E80A65">
                            <w:pPr>
                              <w:pStyle w:val="Default"/>
                              <w:spacing w:after="120"/>
                              <w:jc w:val="both"/>
                              <w:rPr>
                                <w:rFonts w:ascii="Verdana" w:hAnsi="Verdana" w:cs="Arial"/>
                                <w:sz w:val="18"/>
                                <w:szCs w:val="18"/>
                              </w:rPr>
                            </w:pPr>
                            <w:r w:rsidRPr="005C5380">
                              <w:rPr>
                                <w:rFonts w:ascii="Verdana" w:hAnsi="Verdana" w:cs="Arial"/>
                                <w:sz w:val="18"/>
                                <w:szCs w:val="18"/>
                              </w:rPr>
                              <w:t>Stats: Mann-Whitney U test, not corrected for FDR; *, p &lt; 0.05; **, p &lt; 0.01.</w:t>
                            </w:r>
                          </w:p>
                          <w:p w14:paraId="1D5AA7AB" w14:textId="114B2C06" w:rsidR="005C5380" w:rsidRPr="00E80A65" w:rsidRDefault="005C5380" w:rsidP="00E80A65">
                            <w:pPr>
                              <w:pStyle w:val="Default"/>
                              <w:jc w:val="both"/>
                              <w:rPr>
                                <w:rFonts w:ascii="Verdana" w:hAnsi="Verdana" w:cs="Arial"/>
                                <w:sz w:val="18"/>
                                <w:szCs w:val="18"/>
                              </w:rPr>
                            </w:pPr>
                            <w:r w:rsidRPr="005C5380">
                              <w:rPr>
                                <w:rFonts w:ascii="Verdana" w:hAnsi="Verdana" w:cs="Arial"/>
                                <w:sz w:val="18"/>
                                <w:szCs w:val="18"/>
                              </w:rPr>
                              <w:t>WT</w:t>
                            </w:r>
                            <w:r w:rsidR="00E80A65">
                              <w:rPr>
                                <w:rFonts w:ascii="Verdana" w:hAnsi="Verdana" w:cs="Arial"/>
                                <w:sz w:val="18"/>
                                <w:szCs w:val="18"/>
                              </w:rPr>
                              <w:t xml:space="preserve"> =</w:t>
                            </w:r>
                            <w:r w:rsidRPr="005C5380">
                              <w:rPr>
                                <w:rFonts w:ascii="Verdana" w:hAnsi="Verdana" w:cs="Arial"/>
                                <w:sz w:val="18"/>
                                <w:szCs w:val="18"/>
                              </w:rPr>
                              <w:t xml:space="preserve"> wild-type littermates</w:t>
                            </w:r>
                            <w:r w:rsidR="00E80A65">
                              <w:rPr>
                                <w:rFonts w:ascii="Verdana" w:hAnsi="Verdana" w:cs="Arial"/>
                                <w:sz w:val="18"/>
                                <w:szCs w:val="18"/>
                              </w:rPr>
                              <w:t>,</w:t>
                            </w:r>
                            <w:r w:rsidRPr="005C5380">
                              <w:rPr>
                                <w:rFonts w:ascii="Verdana" w:hAnsi="Verdana" w:cs="Arial"/>
                                <w:sz w:val="18"/>
                                <w:szCs w:val="18"/>
                              </w:rPr>
                              <w:t xml:space="preserve"> TG</w:t>
                            </w:r>
                            <w:r w:rsidR="00E80A65">
                              <w:rPr>
                                <w:rFonts w:ascii="Verdana" w:hAnsi="Verdana" w:cs="Arial"/>
                                <w:sz w:val="18"/>
                                <w:szCs w:val="18"/>
                              </w:rPr>
                              <w:t xml:space="preserve"> = transgenic</w:t>
                            </w:r>
                            <w:r w:rsidRPr="005C5380">
                              <w:rPr>
                                <w:rFonts w:ascii="Verdana" w:hAnsi="Verdana" w:cs="Arial"/>
                                <w:sz w:val="18"/>
                                <w:szCs w:val="18"/>
                              </w:rPr>
                              <w:t xml:space="preserve"> Thy1-Syn14</w:t>
                            </w:r>
                            <w:r w:rsidR="00E80A65">
                              <w:rPr>
                                <w:rFonts w:ascii="Verdana" w:hAnsi="Verdana" w:cs="Arial"/>
                                <w:sz w:val="18"/>
                                <w:szCs w:val="18"/>
                              </w:rPr>
                              <w:t xml:space="preserve"> animals,</w:t>
                            </w:r>
                            <w:r w:rsidRPr="005C5380">
                              <w:rPr>
                                <w:rFonts w:ascii="Verdana" w:hAnsi="Verdana" w:cs="Arial"/>
                                <w:sz w:val="18"/>
                                <w:szCs w:val="18"/>
                              </w:rPr>
                              <w:t xml:space="preserve"> FD</w:t>
                            </w:r>
                            <w:r w:rsidR="00E80A65">
                              <w:rPr>
                                <w:rFonts w:ascii="Verdana" w:hAnsi="Verdana" w:cs="Arial"/>
                                <w:sz w:val="18"/>
                                <w:szCs w:val="18"/>
                              </w:rPr>
                              <w:t xml:space="preserve"> =</w:t>
                            </w:r>
                            <w:r w:rsidRPr="005C5380">
                              <w:rPr>
                                <w:rFonts w:ascii="Verdana" w:hAnsi="Verdana" w:cs="Arial"/>
                                <w:sz w:val="18"/>
                                <w:szCs w:val="18"/>
                              </w:rPr>
                              <w:t xml:space="preserve"> fibre-deprived</w:t>
                            </w:r>
                            <w:r w:rsidR="00E80A65">
                              <w:rPr>
                                <w:rFonts w:ascii="Verdana" w:hAnsi="Verdana" w:cs="Arial"/>
                                <w:sz w:val="18"/>
                                <w:szCs w:val="18"/>
                              </w:rPr>
                              <w:t xml:space="preserve"> diet,</w:t>
                            </w:r>
                            <w:r w:rsidRPr="005C5380">
                              <w:rPr>
                                <w:rFonts w:ascii="Verdana" w:hAnsi="Verdana" w:cs="Arial"/>
                                <w:sz w:val="18"/>
                                <w:szCs w:val="18"/>
                              </w:rPr>
                              <w:t xml:space="preserve"> FR</w:t>
                            </w:r>
                            <w:r w:rsidR="00E80A65">
                              <w:rPr>
                                <w:rFonts w:ascii="Verdana" w:hAnsi="Verdana" w:cs="Arial"/>
                                <w:sz w:val="18"/>
                                <w:szCs w:val="18"/>
                              </w:rPr>
                              <w:t xml:space="preserve"> =</w:t>
                            </w:r>
                            <w:r w:rsidRPr="005C5380">
                              <w:rPr>
                                <w:rFonts w:ascii="Verdana" w:hAnsi="Verdana" w:cs="Arial"/>
                                <w:sz w:val="18"/>
                                <w:szCs w:val="18"/>
                              </w:rPr>
                              <w:t xml:space="preserve"> fibre-rich</w:t>
                            </w:r>
                            <w:r w:rsidR="00E80A65">
                              <w:rPr>
                                <w:rFonts w:ascii="Verdana" w:hAnsi="Verdana" w:cs="Arial"/>
                                <w:sz w:val="18"/>
                                <w:szCs w:val="18"/>
                              </w:rPr>
                              <w:t xml:space="preserve"> diet or </w:t>
                            </w:r>
                            <w:r w:rsidRPr="005C5380">
                              <w:rPr>
                                <w:rFonts w:ascii="Verdana" w:hAnsi="Verdana" w:cs="Arial"/>
                                <w:sz w:val="18"/>
                                <w:szCs w:val="18"/>
                              </w:rPr>
                              <w:t>normal chow</w:t>
                            </w:r>
                            <w:r w:rsidR="00E80A65">
                              <w:rPr>
                                <w:rFonts w:ascii="Verdana" w:hAnsi="Verdana" w:cs="Arial"/>
                                <w:sz w:val="18"/>
                                <w:szCs w:val="18"/>
                              </w:rPr>
                              <w:t>,</w:t>
                            </w:r>
                            <w:r w:rsidRPr="005C5380">
                              <w:rPr>
                                <w:rFonts w:ascii="Verdana" w:hAnsi="Verdana" w:cs="Arial"/>
                                <w:sz w:val="18"/>
                                <w:szCs w:val="18"/>
                              </w:rPr>
                              <w:t xml:space="preserve"> PBS</w:t>
                            </w:r>
                            <w:r w:rsidR="00E80A65">
                              <w:rPr>
                                <w:rFonts w:ascii="Verdana" w:hAnsi="Verdana" w:cs="Arial"/>
                                <w:sz w:val="18"/>
                                <w:szCs w:val="18"/>
                              </w:rPr>
                              <w:t xml:space="preserve"> =</w:t>
                            </w:r>
                            <w:r w:rsidRPr="005C5380">
                              <w:rPr>
                                <w:rFonts w:ascii="Verdana" w:hAnsi="Verdana" w:cs="Arial"/>
                                <w:sz w:val="18"/>
                                <w:szCs w:val="18"/>
                              </w:rPr>
                              <w:t xml:space="preserve"> phosphate buffered saline</w:t>
                            </w:r>
                            <w:r w:rsidR="00E80A65">
                              <w:rPr>
                                <w:rFonts w:ascii="Verdana" w:hAnsi="Verdana" w:cs="Arial"/>
                                <w:sz w:val="18"/>
                                <w:szCs w:val="18"/>
                              </w:rPr>
                              <w:t xml:space="preserve"> solution,</w:t>
                            </w:r>
                            <w:r w:rsidRPr="005C5380">
                              <w:rPr>
                                <w:rFonts w:ascii="Verdana" w:hAnsi="Verdana" w:cs="Arial"/>
                                <w:sz w:val="18"/>
                                <w:szCs w:val="18"/>
                              </w:rPr>
                              <w:t xml:space="preserve"> </w:t>
                            </w:r>
                            <w:r w:rsidRPr="005C5380">
                              <w:rPr>
                                <w:rFonts w:ascii="Verdana" w:hAnsi="Verdana" w:cs="Times New Roman"/>
                                <w:sz w:val="18"/>
                                <w:szCs w:val="18"/>
                              </w:rPr>
                              <w:t>Δ</w:t>
                            </w:r>
                            <w:r w:rsidRPr="005C5380">
                              <w:rPr>
                                <w:rFonts w:ascii="Verdana" w:hAnsi="Verdana" w:cs="Arial"/>
                                <w:sz w:val="18"/>
                                <w:szCs w:val="18"/>
                              </w:rPr>
                              <w:t>EC</w:t>
                            </w:r>
                            <w:r w:rsidR="00E80A65">
                              <w:rPr>
                                <w:rFonts w:ascii="Verdana" w:hAnsi="Verdana" w:cs="Arial"/>
                                <w:sz w:val="18"/>
                                <w:szCs w:val="18"/>
                              </w:rPr>
                              <w:t xml:space="preserve"> = C</w:t>
                            </w:r>
                            <w:r w:rsidRPr="005C5380">
                              <w:rPr>
                                <w:rFonts w:ascii="Verdana" w:hAnsi="Verdana" w:cs="Arial"/>
                                <w:sz w:val="18"/>
                                <w:szCs w:val="18"/>
                              </w:rPr>
                              <w:t xml:space="preserve">urli-KO </w:t>
                            </w:r>
                            <w:r w:rsidRPr="005C5380">
                              <w:rPr>
                                <w:rFonts w:ascii="Verdana" w:hAnsi="Verdana" w:cs="Arial"/>
                                <w:i/>
                                <w:iCs/>
                                <w:sz w:val="18"/>
                                <w:szCs w:val="18"/>
                              </w:rPr>
                              <w:t>E. coli</w:t>
                            </w:r>
                            <w:r w:rsidR="00E80A65">
                              <w:rPr>
                                <w:rFonts w:ascii="Verdana" w:hAnsi="Verdana" w:cs="Arial"/>
                                <w:sz w:val="18"/>
                                <w:szCs w:val="18"/>
                              </w:rPr>
                              <w:t>,</w:t>
                            </w:r>
                            <w:r w:rsidRPr="005C5380">
                              <w:rPr>
                                <w:rFonts w:ascii="Verdana" w:hAnsi="Verdana" w:cs="Arial"/>
                                <w:sz w:val="18"/>
                                <w:szCs w:val="18"/>
                              </w:rPr>
                              <w:t xml:space="preserve"> EC</w:t>
                            </w:r>
                            <w:r w:rsidR="00E80A65">
                              <w:rPr>
                                <w:rFonts w:ascii="Verdana" w:hAnsi="Verdana" w:cs="Arial"/>
                                <w:sz w:val="18"/>
                                <w:szCs w:val="18"/>
                              </w:rPr>
                              <w:t xml:space="preserve"> =</w:t>
                            </w:r>
                            <w:r w:rsidRPr="005C5380">
                              <w:rPr>
                                <w:rFonts w:ascii="Verdana" w:hAnsi="Verdana" w:cs="Arial"/>
                                <w:sz w:val="18"/>
                                <w:szCs w:val="18"/>
                              </w:rPr>
                              <w:t xml:space="preserve"> wild-type </w:t>
                            </w:r>
                            <w:r w:rsidR="00E80A65">
                              <w:rPr>
                                <w:rFonts w:ascii="Verdana" w:hAnsi="Verdana" w:cs="Arial"/>
                                <w:sz w:val="18"/>
                                <w:szCs w:val="18"/>
                              </w:rPr>
                              <w:t>C</w:t>
                            </w:r>
                            <w:r w:rsidRPr="005C5380">
                              <w:rPr>
                                <w:rFonts w:ascii="Verdana" w:hAnsi="Verdana" w:cs="Arial"/>
                                <w:sz w:val="18"/>
                                <w:szCs w:val="18"/>
                              </w:rPr>
                              <w:t xml:space="preserve">urli expressing </w:t>
                            </w:r>
                            <w:r w:rsidRPr="005C5380">
                              <w:rPr>
                                <w:rFonts w:ascii="Verdana" w:hAnsi="Verdana" w:cs="Arial"/>
                                <w:i/>
                                <w:iCs/>
                                <w:sz w:val="18"/>
                                <w:szCs w:val="18"/>
                              </w:rPr>
                              <w:t>E. coli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C283C2" id="Text Box 32" o:spid="_x0000_s1064" type="#_x0000_t202" style="position:absolute;left:0;text-align:left;margin-left:387.4pt;margin-top:347.8pt;width:438.6pt;height:244.75pt;z-index:251937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" stroked="f">
                <v:textbox style="mso-fit-shape-to-text:t" inset="0,0,0,0">
                  <w:txbxContent>
                    <w:p w14:paraId="4911C692" w14:textId="0F952216" w:rsidR="005C5380" w:rsidRDefault="005C5380" w:rsidP="00E80A65">
                      <w:pPr>
                        <w:pStyle w:val="Default"/>
                        <w:spacing w:after="120"/>
                        <w:jc w:val="both"/>
                        <w:rPr>
                          <w:rFonts w:ascii="Verdana" w:hAnsi="Verdana" w:cs="Arial"/>
                          <w:b/>
                          <w:bCs/>
                          <w:sz w:val="18"/>
                          <w:szCs w:val="18"/>
                        </w:rPr>
                      </w:pPr>
                      <w:bookmarkStart w:id="146" w:name="_Toc131412773"/>
                      <w:r w:rsidRPr="005C5380">
                        <w:rPr>
                          <w:rFonts w:ascii="Verdana" w:hAnsi="Verdana"/>
                          <w:b/>
                          <w:bCs/>
                          <w:color w:val="auto"/>
                          <w:sz w:val="18"/>
                          <w:szCs w:val="18"/>
                        </w:rPr>
                        <w:t xml:space="preserve">Figure </w:t>
                      </w:r>
                      <w:r w:rsidRPr="005C5380">
                        <w:rPr>
                          <w:rFonts w:ascii="Verdana" w:hAnsi="Verdana"/>
                          <w:b/>
                          <w:bCs/>
                          <w:color w:val="auto"/>
                          <w:sz w:val="18"/>
                          <w:szCs w:val="18"/>
                        </w:rPr>
                        <w:fldChar w:fldCharType="begin"/>
                      </w:r>
                      <w:r w:rsidRPr="005C5380">
                        <w:rPr>
                          <w:rFonts w:ascii="Verdana" w:hAnsi="Verdana"/>
                          <w:b/>
                          <w:bCs/>
                          <w:color w:val="auto"/>
                          <w:sz w:val="18"/>
                          <w:szCs w:val="18"/>
                        </w:rPr>
                        <w:instrText xml:space="preserve"> SEQ Figure \* ARABIC </w:instrText>
                      </w:r>
                      <w:r w:rsidRPr="005C5380">
                        <w:rPr>
                          <w:rFonts w:ascii="Verdana" w:hAnsi="Verdana"/>
                          <w:b/>
                          <w:bCs/>
                          <w:color w:val="auto"/>
                          <w:sz w:val="18"/>
                          <w:szCs w:val="18"/>
                        </w:rPr>
                        <w:fldChar w:fldCharType="separate"/>
                      </w:r>
                      <w:r w:rsidR="001D505F">
                        <w:rPr>
                          <w:rFonts w:ascii="Verdana" w:hAnsi="Verdana"/>
                          <w:b/>
                          <w:bCs/>
                          <w:noProof/>
                          <w:color w:val="auto"/>
                          <w:sz w:val="18"/>
                          <w:szCs w:val="18"/>
                        </w:rPr>
                        <w:t>31</w:t>
                      </w:r>
                      <w:r w:rsidRPr="005C5380">
                        <w:rPr>
                          <w:rFonts w:ascii="Verdana" w:hAnsi="Verdana"/>
                          <w:b/>
                          <w:bCs/>
                          <w:color w:val="auto"/>
                          <w:sz w:val="18"/>
                          <w:szCs w:val="18"/>
                        </w:rPr>
                        <w:fldChar w:fldCharType="end"/>
                      </w:r>
                      <w:r w:rsidRPr="005C5380">
                        <w:rPr>
                          <w:rFonts w:ascii="Verdana" w:hAnsi="Verdana"/>
                          <w:b/>
                          <w:bCs/>
                          <w:i/>
                          <w:iCs/>
                          <w:color w:val="auto"/>
                          <w:sz w:val="18"/>
                          <w:szCs w:val="18"/>
                        </w:rPr>
                        <w:t xml:space="preserve"> </w:t>
                      </w:r>
                      <w:r w:rsidRPr="005C5380">
                        <w:rPr>
                          <w:rFonts w:ascii="Verdana" w:hAnsi="Verdana" w:cs="Arial"/>
                          <w:sz w:val="18"/>
                          <w:szCs w:val="18"/>
                        </w:rPr>
                        <w:t>C</w:t>
                      </w:r>
                      <w:r w:rsidR="00460D7B">
                        <w:rPr>
                          <w:rFonts w:ascii="Verdana" w:hAnsi="Verdana" w:cs="Arial"/>
                          <w:sz w:val="18"/>
                          <w:szCs w:val="18"/>
                        </w:rPr>
                        <w:t>urli exposure and fibre-deprivation exacerbate motor phenotype in a subset of transgenic Thy1-Syn14 mice</w:t>
                      </w:r>
                      <w:bookmarkEnd w:id="146"/>
                    </w:p>
                    <w:p w14:paraId="03AC4B64" w14:textId="5925B7EF" w:rsidR="00B27A31" w:rsidRDefault="00B27A31" w:rsidP="00E80A65">
                      <w:pPr>
                        <w:pStyle w:val="Default"/>
                        <w:spacing w:after="120"/>
                        <w:jc w:val="both"/>
                        <w:rPr>
                          <w:rFonts w:ascii="Verdana" w:hAnsi="Verdana" w:cs="Arial"/>
                          <w:sz w:val="18"/>
                          <w:szCs w:val="18"/>
                        </w:rPr>
                      </w:pPr>
                      <w:r w:rsidRPr="00B27A31">
                        <w:rPr>
                          <w:rFonts w:ascii="Verdana" w:hAnsi="Verdana" w:cs="Arial"/>
                          <w:b/>
                          <w:bCs/>
                          <w:sz w:val="18"/>
                          <w:szCs w:val="18"/>
                        </w:rPr>
                        <w:t>A)</w:t>
                      </w:r>
                      <w:r>
                        <w:rPr>
                          <w:rFonts w:ascii="Verdana" w:hAnsi="Verdana" w:cs="Arial"/>
                          <w:sz w:val="18"/>
                          <w:szCs w:val="18"/>
                        </w:rPr>
                        <w:t xml:space="preserve"> Latency to removal of the adhesive tape in all treatment groups after the 9-week long in life treatment phase. </w:t>
                      </w:r>
                      <w:r w:rsidRPr="00B27A31">
                        <w:rPr>
                          <w:rFonts w:ascii="Verdana" w:hAnsi="Verdana" w:cs="Arial"/>
                          <w:b/>
                          <w:bCs/>
                          <w:sz w:val="18"/>
                          <w:szCs w:val="18"/>
                        </w:rPr>
                        <w:t>B)</w:t>
                      </w:r>
                      <w:r>
                        <w:rPr>
                          <w:rFonts w:ascii="Verdana" w:hAnsi="Verdana" w:cs="Arial"/>
                          <w:b/>
                          <w:bCs/>
                          <w:sz w:val="18"/>
                          <w:szCs w:val="18"/>
                        </w:rPr>
                        <w:t xml:space="preserve"> </w:t>
                      </w:r>
                      <w:r w:rsidR="00D93938">
                        <w:rPr>
                          <w:rFonts w:ascii="Verdana" w:hAnsi="Verdana" w:cs="Arial"/>
                          <w:sz w:val="18"/>
                          <w:szCs w:val="18"/>
                        </w:rPr>
                        <w:t>Touch to removal interval for transgenic Thy1-Syn14 mice</w:t>
                      </w:r>
                      <w:r w:rsidR="00E80A65" w:rsidRPr="00E80A65">
                        <w:rPr>
                          <w:rFonts w:ascii="Verdana" w:hAnsi="Verdana" w:cs="Arial"/>
                          <w:sz w:val="18"/>
                          <w:szCs w:val="18"/>
                        </w:rPr>
                        <w:t xml:space="preserve"> </w:t>
                      </w:r>
                      <w:r w:rsidR="00E80A65">
                        <w:rPr>
                          <w:rFonts w:ascii="Verdana" w:hAnsi="Verdana" w:cs="Arial"/>
                          <w:sz w:val="18"/>
                          <w:szCs w:val="18"/>
                        </w:rPr>
                        <w:t>(</w:t>
                      </w:r>
                      <w:r w:rsidR="00E80A65" w:rsidRPr="005C5380">
                        <w:rPr>
                          <w:rFonts w:ascii="Verdana" w:hAnsi="Verdana" w:cs="Arial"/>
                          <w:sz w:val="18"/>
                          <w:szCs w:val="18"/>
                        </w:rPr>
                        <w:t xml:space="preserve">FD PBS: n=3, FR </w:t>
                      </w:r>
                      <w:r w:rsidR="00E80A65" w:rsidRPr="005C5380">
                        <w:rPr>
                          <w:rFonts w:ascii="Verdana" w:hAnsi="Verdana" w:cs="Times New Roman"/>
                          <w:sz w:val="18"/>
                          <w:szCs w:val="18"/>
                        </w:rPr>
                        <w:t>Δ</w:t>
                      </w:r>
                      <w:r w:rsidR="00E80A65" w:rsidRPr="005C5380">
                        <w:rPr>
                          <w:rFonts w:ascii="Verdana" w:hAnsi="Verdana" w:cs="Arial"/>
                          <w:sz w:val="18"/>
                          <w:szCs w:val="18"/>
                        </w:rPr>
                        <w:t xml:space="preserve">EC: n=1, FR EC: n=5, FD </w:t>
                      </w:r>
                      <w:r w:rsidR="00E80A65" w:rsidRPr="005C5380">
                        <w:rPr>
                          <w:rFonts w:ascii="Verdana" w:hAnsi="Verdana" w:cs="Times New Roman"/>
                          <w:sz w:val="18"/>
                          <w:szCs w:val="18"/>
                        </w:rPr>
                        <w:t>Δ</w:t>
                      </w:r>
                      <w:r w:rsidR="00E80A65" w:rsidRPr="005C5380">
                        <w:rPr>
                          <w:rFonts w:ascii="Verdana" w:hAnsi="Verdana" w:cs="Arial"/>
                          <w:sz w:val="18"/>
                          <w:szCs w:val="18"/>
                        </w:rPr>
                        <w:t>EC: n=6, FD EC: n=6</w:t>
                      </w:r>
                      <w:r w:rsidR="00E80A65">
                        <w:rPr>
                          <w:rFonts w:ascii="Verdana" w:hAnsi="Verdana" w:cs="Arial"/>
                          <w:sz w:val="18"/>
                          <w:szCs w:val="18"/>
                        </w:rPr>
                        <w:t>).</w:t>
                      </w:r>
                    </w:p>
                    <w:p w14:paraId="1F81242B" w14:textId="668FEEEE" w:rsidR="00B27A31" w:rsidRDefault="005C5380" w:rsidP="00E80A65">
                      <w:pPr>
                        <w:pStyle w:val="Default"/>
                        <w:spacing w:after="120"/>
                        <w:jc w:val="both"/>
                        <w:rPr>
                          <w:rFonts w:ascii="Verdana" w:hAnsi="Verdana" w:cs="Arial"/>
                          <w:sz w:val="18"/>
                          <w:szCs w:val="18"/>
                        </w:rPr>
                      </w:pPr>
                      <w:r w:rsidRPr="005C5380">
                        <w:rPr>
                          <w:rFonts w:ascii="Verdana" w:hAnsi="Verdana" w:cs="Arial"/>
                          <w:sz w:val="18"/>
                          <w:szCs w:val="18"/>
                        </w:rPr>
                        <w:t>Stats: Mann-Whitney U test, not corrected for FDR; *, p &lt; 0.05; **, p &lt; 0.01.</w:t>
                      </w:r>
                    </w:p>
                    <w:p w14:paraId="1D5AA7AB" w14:textId="114B2C06" w:rsidR="005C5380" w:rsidRPr="00E80A65" w:rsidRDefault="005C5380" w:rsidP="00E80A65">
                      <w:pPr>
                        <w:pStyle w:val="Default"/>
                        <w:jc w:val="both"/>
                        <w:rPr>
                          <w:rFonts w:ascii="Verdana" w:hAnsi="Verdana" w:cs="Arial"/>
                          <w:sz w:val="18"/>
                          <w:szCs w:val="18"/>
                        </w:rPr>
                      </w:pPr>
                      <w:r w:rsidRPr="005C5380">
                        <w:rPr>
                          <w:rFonts w:ascii="Verdana" w:hAnsi="Verdana" w:cs="Arial"/>
                          <w:sz w:val="18"/>
                          <w:szCs w:val="18"/>
                        </w:rPr>
                        <w:t>WT</w:t>
                      </w:r>
                      <w:r w:rsidR="00E80A65">
                        <w:rPr>
                          <w:rFonts w:ascii="Verdana" w:hAnsi="Verdana" w:cs="Arial"/>
                          <w:sz w:val="18"/>
                          <w:szCs w:val="18"/>
                        </w:rPr>
                        <w:t xml:space="preserve"> =</w:t>
                      </w:r>
                      <w:r w:rsidRPr="005C5380">
                        <w:rPr>
                          <w:rFonts w:ascii="Verdana" w:hAnsi="Verdana" w:cs="Arial"/>
                          <w:sz w:val="18"/>
                          <w:szCs w:val="18"/>
                        </w:rPr>
                        <w:t xml:space="preserve"> wild-type littermates</w:t>
                      </w:r>
                      <w:r w:rsidR="00E80A65">
                        <w:rPr>
                          <w:rFonts w:ascii="Verdana" w:hAnsi="Verdana" w:cs="Arial"/>
                          <w:sz w:val="18"/>
                          <w:szCs w:val="18"/>
                        </w:rPr>
                        <w:t>,</w:t>
                      </w:r>
                      <w:r w:rsidRPr="005C5380">
                        <w:rPr>
                          <w:rFonts w:ascii="Verdana" w:hAnsi="Verdana" w:cs="Arial"/>
                          <w:sz w:val="18"/>
                          <w:szCs w:val="18"/>
                        </w:rPr>
                        <w:t xml:space="preserve"> TG</w:t>
                      </w:r>
                      <w:r w:rsidR="00E80A65">
                        <w:rPr>
                          <w:rFonts w:ascii="Verdana" w:hAnsi="Verdana" w:cs="Arial"/>
                          <w:sz w:val="18"/>
                          <w:szCs w:val="18"/>
                        </w:rPr>
                        <w:t xml:space="preserve"> = transgenic</w:t>
                      </w:r>
                      <w:r w:rsidRPr="005C5380">
                        <w:rPr>
                          <w:rFonts w:ascii="Verdana" w:hAnsi="Verdana" w:cs="Arial"/>
                          <w:sz w:val="18"/>
                          <w:szCs w:val="18"/>
                        </w:rPr>
                        <w:t xml:space="preserve"> Thy1-Syn14</w:t>
                      </w:r>
                      <w:r w:rsidR="00E80A65">
                        <w:rPr>
                          <w:rFonts w:ascii="Verdana" w:hAnsi="Verdana" w:cs="Arial"/>
                          <w:sz w:val="18"/>
                          <w:szCs w:val="18"/>
                        </w:rPr>
                        <w:t xml:space="preserve"> animals,</w:t>
                      </w:r>
                      <w:r w:rsidRPr="005C5380">
                        <w:rPr>
                          <w:rFonts w:ascii="Verdana" w:hAnsi="Verdana" w:cs="Arial"/>
                          <w:sz w:val="18"/>
                          <w:szCs w:val="18"/>
                        </w:rPr>
                        <w:t xml:space="preserve"> FD</w:t>
                      </w:r>
                      <w:r w:rsidR="00E80A65">
                        <w:rPr>
                          <w:rFonts w:ascii="Verdana" w:hAnsi="Verdana" w:cs="Arial"/>
                          <w:sz w:val="18"/>
                          <w:szCs w:val="18"/>
                        </w:rPr>
                        <w:t xml:space="preserve"> =</w:t>
                      </w:r>
                      <w:r w:rsidRPr="005C5380">
                        <w:rPr>
                          <w:rFonts w:ascii="Verdana" w:hAnsi="Verdana" w:cs="Arial"/>
                          <w:sz w:val="18"/>
                          <w:szCs w:val="18"/>
                        </w:rPr>
                        <w:t xml:space="preserve"> fibre-deprived</w:t>
                      </w:r>
                      <w:r w:rsidR="00E80A65">
                        <w:rPr>
                          <w:rFonts w:ascii="Verdana" w:hAnsi="Verdana" w:cs="Arial"/>
                          <w:sz w:val="18"/>
                          <w:szCs w:val="18"/>
                        </w:rPr>
                        <w:t xml:space="preserve"> diet,</w:t>
                      </w:r>
                      <w:r w:rsidRPr="005C5380">
                        <w:rPr>
                          <w:rFonts w:ascii="Verdana" w:hAnsi="Verdana" w:cs="Arial"/>
                          <w:sz w:val="18"/>
                          <w:szCs w:val="18"/>
                        </w:rPr>
                        <w:t xml:space="preserve"> FR</w:t>
                      </w:r>
                      <w:r w:rsidR="00E80A65">
                        <w:rPr>
                          <w:rFonts w:ascii="Verdana" w:hAnsi="Verdana" w:cs="Arial"/>
                          <w:sz w:val="18"/>
                          <w:szCs w:val="18"/>
                        </w:rPr>
                        <w:t xml:space="preserve"> =</w:t>
                      </w:r>
                      <w:r w:rsidRPr="005C5380">
                        <w:rPr>
                          <w:rFonts w:ascii="Verdana" w:hAnsi="Verdana" w:cs="Arial"/>
                          <w:sz w:val="18"/>
                          <w:szCs w:val="18"/>
                        </w:rPr>
                        <w:t xml:space="preserve"> fibre-rich</w:t>
                      </w:r>
                      <w:r w:rsidR="00E80A65">
                        <w:rPr>
                          <w:rFonts w:ascii="Verdana" w:hAnsi="Verdana" w:cs="Arial"/>
                          <w:sz w:val="18"/>
                          <w:szCs w:val="18"/>
                        </w:rPr>
                        <w:t xml:space="preserve"> diet or </w:t>
                      </w:r>
                      <w:r w:rsidRPr="005C5380">
                        <w:rPr>
                          <w:rFonts w:ascii="Verdana" w:hAnsi="Verdana" w:cs="Arial"/>
                          <w:sz w:val="18"/>
                          <w:szCs w:val="18"/>
                        </w:rPr>
                        <w:t>normal chow</w:t>
                      </w:r>
                      <w:r w:rsidR="00E80A65">
                        <w:rPr>
                          <w:rFonts w:ascii="Verdana" w:hAnsi="Verdana" w:cs="Arial"/>
                          <w:sz w:val="18"/>
                          <w:szCs w:val="18"/>
                        </w:rPr>
                        <w:t>,</w:t>
                      </w:r>
                      <w:r w:rsidRPr="005C5380">
                        <w:rPr>
                          <w:rFonts w:ascii="Verdana" w:hAnsi="Verdana" w:cs="Arial"/>
                          <w:sz w:val="18"/>
                          <w:szCs w:val="18"/>
                        </w:rPr>
                        <w:t xml:space="preserve"> PBS</w:t>
                      </w:r>
                      <w:r w:rsidR="00E80A65">
                        <w:rPr>
                          <w:rFonts w:ascii="Verdana" w:hAnsi="Verdana" w:cs="Arial"/>
                          <w:sz w:val="18"/>
                          <w:szCs w:val="18"/>
                        </w:rPr>
                        <w:t xml:space="preserve"> =</w:t>
                      </w:r>
                      <w:r w:rsidRPr="005C5380">
                        <w:rPr>
                          <w:rFonts w:ascii="Verdana" w:hAnsi="Verdana" w:cs="Arial"/>
                          <w:sz w:val="18"/>
                          <w:szCs w:val="18"/>
                        </w:rPr>
                        <w:t xml:space="preserve"> phosphate buffered saline</w:t>
                      </w:r>
                      <w:r w:rsidR="00E80A65">
                        <w:rPr>
                          <w:rFonts w:ascii="Verdana" w:hAnsi="Verdana" w:cs="Arial"/>
                          <w:sz w:val="18"/>
                          <w:szCs w:val="18"/>
                        </w:rPr>
                        <w:t xml:space="preserve"> solution,</w:t>
                      </w:r>
                      <w:r w:rsidRPr="005C5380">
                        <w:rPr>
                          <w:rFonts w:ascii="Verdana" w:hAnsi="Verdana" w:cs="Arial"/>
                          <w:sz w:val="18"/>
                          <w:szCs w:val="18"/>
                        </w:rPr>
                        <w:t xml:space="preserve"> </w:t>
                      </w:r>
                      <w:r w:rsidRPr="005C5380">
                        <w:rPr>
                          <w:rFonts w:ascii="Verdana" w:hAnsi="Verdana" w:cs="Times New Roman"/>
                          <w:sz w:val="18"/>
                          <w:szCs w:val="18"/>
                        </w:rPr>
                        <w:t>Δ</w:t>
                      </w:r>
                      <w:r w:rsidRPr="005C5380">
                        <w:rPr>
                          <w:rFonts w:ascii="Verdana" w:hAnsi="Verdana" w:cs="Arial"/>
                          <w:sz w:val="18"/>
                          <w:szCs w:val="18"/>
                        </w:rPr>
                        <w:t>EC</w:t>
                      </w:r>
                      <w:r w:rsidR="00E80A65">
                        <w:rPr>
                          <w:rFonts w:ascii="Verdana" w:hAnsi="Verdana" w:cs="Arial"/>
                          <w:sz w:val="18"/>
                          <w:szCs w:val="18"/>
                        </w:rPr>
                        <w:t xml:space="preserve"> = C</w:t>
                      </w:r>
                      <w:r w:rsidRPr="005C5380">
                        <w:rPr>
                          <w:rFonts w:ascii="Verdana" w:hAnsi="Verdana" w:cs="Arial"/>
                          <w:sz w:val="18"/>
                          <w:szCs w:val="18"/>
                        </w:rPr>
                        <w:t xml:space="preserve">urli-KO </w:t>
                      </w:r>
                      <w:r w:rsidRPr="005C5380">
                        <w:rPr>
                          <w:rFonts w:ascii="Verdana" w:hAnsi="Verdana" w:cs="Arial"/>
                          <w:i/>
                          <w:iCs/>
                          <w:sz w:val="18"/>
                          <w:szCs w:val="18"/>
                        </w:rPr>
                        <w:t>E. coli</w:t>
                      </w:r>
                      <w:r w:rsidR="00E80A65">
                        <w:rPr>
                          <w:rFonts w:ascii="Verdana" w:hAnsi="Verdana" w:cs="Arial"/>
                          <w:sz w:val="18"/>
                          <w:szCs w:val="18"/>
                        </w:rPr>
                        <w:t>,</w:t>
                      </w:r>
                      <w:r w:rsidRPr="005C5380">
                        <w:rPr>
                          <w:rFonts w:ascii="Verdana" w:hAnsi="Verdana" w:cs="Arial"/>
                          <w:sz w:val="18"/>
                          <w:szCs w:val="18"/>
                        </w:rPr>
                        <w:t xml:space="preserve"> EC</w:t>
                      </w:r>
                      <w:r w:rsidR="00E80A65">
                        <w:rPr>
                          <w:rFonts w:ascii="Verdana" w:hAnsi="Verdana" w:cs="Arial"/>
                          <w:sz w:val="18"/>
                          <w:szCs w:val="18"/>
                        </w:rPr>
                        <w:t xml:space="preserve"> =</w:t>
                      </w:r>
                      <w:r w:rsidRPr="005C5380">
                        <w:rPr>
                          <w:rFonts w:ascii="Verdana" w:hAnsi="Verdana" w:cs="Arial"/>
                          <w:sz w:val="18"/>
                          <w:szCs w:val="18"/>
                        </w:rPr>
                        <w:t xml:space="preserve"> wild-type </w:t>
                      </w:r>
                      <w:r w:rsidR="00E80A65">
                        <w:rPr>
                          <w:rFonts w:ascii="Verdana" w:hAnsi="Verdana" w:cs="Arial"/>
                          <w:sz w:val="18"/>
                          <w:szCs w:val="18"/>
                        </w:rPr>
                        <w:t>C</w:t>
                      </w:r>
                      <w:r w:rsidRPr="005C5380">
                        <w:rPr>
                          <w:rFonts w:ascii="Verdana" w:hAnsi="Verdana" w:cs="Arial"/>
                          <w:sz w:val="18"/>
                          <w:szCs w:val="18"/>
                        </w:rPr>
                        <w:t xml:space="preserve">urli expressing </w:t>
                      </w:r>
                      <w:r w:rsidRPr="005C5380">
                        <w:rPr>
                          <w:rFonts w:ascii="Verdana" w:hAnsi="Verdana" w:cs="Arial"/>
                          <w:i/>
                          <w:iCs/>
                          <w:sz w:val="18"/>
                          <w:szCs w:val="18"/>
                        </w:rPr>
                        <w:t>E. coli</w:t>
                      </w:r>
                    </w:p>
                  </w:txbxContent>
                </v:textbox>
                <w10:wrap type="topAndBottom" anchorx="margin"/>
              </v:shape>
            </w:pict>
          </mc:Fallback>
        </mc:AlternateContent>
      </w:r>
      <w:r>
        <w:rPr>
          <w:rFonts w:ascii="Verdana" w:hAnsi="Verdana" w:cs="Calibri"/>
          <w:noProof/>
          <w:color w:val="000000"/>
          <w:sz w:val="20"/>
          <w:szCs w:val="20"/>
          <w:lang w:val="en-GB"/>
        </w:rPr>
        <w:drawing>
          <wp:anchor distT="0" distB="0" distL="114300" distR="114300" simplePos="0" relativeHeight="251927552" behindDoc="0" locked="0" layoutInCell="1" allowOverlap="1" wp14:anchorId="57D733DD" wp14:editId="55B2A1C2">
            <wp:simplePos x="0" y="0"/>
            <wp:positionH relativeFrom="margin">
              <wp:align>center</wp:align>
            </wp:positionH>
            <wp:positionV relativeFrom="paragraph">
              <wp:posOffset>1416</wp:posOffset>
            </wp:positionV>
            <wp:extent cx="2825496" cy="4206240"/>
            <wp:effectExtent l="0" t="0" r="0" b="3810"/>
            <wp:wrapTopAndBottom/>
            <wp:docPr id="96" name="Picture 9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 box and whisker chart&#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2825496" cy="4206240"/>
                    </a:xfrm>
                    <a:prstGeom prst="rect">
                      <a:avLst/>
                    </a:prstGeom>
                  </pic:spPr>
                </pic:pic>
              </a:graphicData>
            </a:graphic>
          </wp:anchor>
        </w:drawing>
      </w:r>
    </w:p>
    <w:p w14:paraId="6398FA3A" w14:textId="6D6F636A" w:rsidR="00BC2FA0" w:rsidRPr="006307C1" w:rsidRDefault="00BC2FA0" w:rsidP="006307C1">
      <w:pPr>
        <w:autoSpaceDE w:val="0"/>
        <w:autoSpaceDN w:val="0"/>
        <w:adjustRightInd w:val="0"/>
        <w:spacing w:after="0" w:line="360" w:lineRule="auto"/>
        <w:ind w:firstLine="0"/>
        <w:jc w:val="both"/>
        <w:rPr>
          <w:rFonts w:ascii="Verdana" w:hAnsi="Verdana"/>
        </w:rPr>
      </w:pPr>
      <w:r w:rsidRPr="006307C1">
        <w:rPr>
          <w:rFonts w:ascii="Verdana" w:hAnsi="Verdana"/>
          <w:lang w:val="en-GB"/>
        </w:rPr>
        <w:br w:type="page"/>
      </w:r>
    </w:p>
    <w:bookmarkStart w:id="147" w:name="_Toc130223460"/>
    <w:p w14:paraId="4794E7A0" w14:textId="78BBDE88" w:rsidR="00927CD0" w:rsidRDefault="00927CD0" w:rsidP="009E5729">
      <w:pPr>
        <w:pStyle w:val="Heading1"/>
        <w:rPr>
          <w:lang w:val="en-GB"/>
        </w:rPr>
      </w:pPr>
      <w:r>
        <w:rPr>
          <w:noProof/>
          <w:lang w:val="en-GB"/>
        </w:rPr>
        <w:lastRenderedPageBreak/>
        <mc:AlternateContent>
          <mc:Choice Requires="wps">
            <w:drawing>
              <wp:anchor distT="0" distB="0" distL="114300" distR="114300" simplePos="0" relativeHeight="251901952" behindDoc="0" locked="0" layoutInCell="1" allowOverlap="1" wp14:anchorId="3686BE5E" wp14:editId="6555D827">
                <wp:simplePos x="0" y="0"/>
                <wp:positionH relativeFrom="column">
                  <wp:posOffset>861550</wp:posOffset>
                </wp:positionH>
                <wp:positionV relativeFrom="paragraph">
                  <wp:posOffset>0</wp:posOffset>
                </wp:positionV>
                <wp:extent cx="0" cy="457200"/>
                <wp:effectExtent l="19050" t="0" r="19050" b="19050"/>
                <wp:wrapNone/>
                <wp:docPr id="135" name="Straight Connector 135"/>
                <wp:cNvGraphicFramePr/>
                <a:graphic xmlns:a="http://schemas.openxmlformats.org/drawingml/2006/main">
                  <a:graphicData uri="http://schemas.microsoft.com/office/word/2010/wordprocessingShape">
                    <wps:wsp>
                      <wps:cNvCnPr/>
                      <wps:spPr>
                        <a:xfrm>
                          <a:off x="0" y="0"/>
                          <a:ext cx="0" cy="4572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DBB850" id="Straight Connector 135"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67.85pt,0" to="67.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" strokecolor="black [3200]" strokeweight="2.25pt">
                <v:stroke joinstyle="miter"/>
              </v:line>
            </w:pict>
          </mc:Fallback>
        </mc:AlternateContent>
      </w:r>
      <w:r w:rsidR="001D2CB1">
        <w:rPr>
          <w:lang w:val="en-GB"/>
        </w:rPr>
        <w:t>8</w:t>
      </w:r>
      <w:r>
        <w:rPr>
          <w:lang w:val="en-GB"/>
        </w:rPr>
        <w:t xml:space="preserve">   </w:t>
      </w:r>
      <w:r w:rsidR="00E719DB" w:rsidRPr="00E719DB">
        <w:rPr>
          <w:i/>
          <w:iCs/>
          <w:lang w:val="en-GB"/>
        </w:rPr>
        <w:t xml:space="preserve">In vitro </w:t>
      </w:r>
      <w:r w:rsidR="00E719DB">
        <w:rPr>
          <w:lang w:val="en-GB"/>
        </w:rPr>
        <w:t>models of neuronal toxicity</w:t>
      </w:r>
      <w:bookmarkEnd w:id="147"/>
    </w:p>
    <w:p w14:paraId="2B5C1378" w14:textId="6BB4559F" w:rsidR="00FA5C22" w:rsidRDefault="00FA5C22">
      <w:pPr>
        <w:ind w:firstLine="0"/>
        <w:rPr>
          <w:rFonts w:ascii="Verdana" w:hAnsi="Verdana"/>
          <w:lang w:val="en-GB"/>
        </w:rPr>
      </w:pPr>
    </w:p>
    <w:p w14:paraId="0045AA2E" w14:textId="0B9E4C1B" w:rsidR="00E719DB" w:rsidRDefault="00E719DB">
      <w:pPr>
        <w:ind w:firstLine="0"/>
        <w:rPr>
          <w:rFonts w:ascii="Verdana" w:hAnsi="Verdana"/>
          <w:lang w:val="en-GB"/>
        </w:rPr>
      </w:pPr>
    </w:p>
    <w:p w14:paraId="52DA4D6C" w14:textId="1BD9177F" w:rsidR="00E719DB" w:rsidRDefault="00E719DB">
      <w:pPr>
        <w:ind w:firstLine="0"/>
        <w:rPr>
          <w:rFonts w:ascii="Verdana" w:hAnsi="Verdana"/>
          <w:lang w:val="en-GB"/>
        </w:rPr>
      </w:pPr>
    </w:p>
    <w:p w14:paraId="72672393" w14:textId="79CCA055" w:rsidR="00E719DB" w:rsidRDefault="00E719DB">
      <w:pPr>
        <w:ind w:firstLine="0"/>
        <w:rPr>
          <w:rFonts w:ascii="Verdana" w:hAnsi="Verdana"/>
          <w:lang w:val="en-GB"/>
        </w:rPr>
      </w:pPr>
    </w:p>
    <w:p w14:paraId="3A2FC64E" w14:textId="77777777" w:rsidR="00E719DB" w:rsidRDefault="00E719DB">
      <w:pPr>
        <w:ind w:firstLine="0"/>
        <w:rPr>
          <w:rFonts w:ascii="Verdana" w:hAnsi="Verdana"/>
          <w:lang w:val="en-GB"/>
        </w:rPr>
      </w:pPr>
    </w:p>
    <w:p w14:paraId="04C89AD4" w14:textId="77777777" w:rsidR="00E719DB" w:rsidRDefault="00E719DB">
      <w:pPr>
        <w:ind w:firstLine="0"/>
        <w:rPr>
          <w:rFonts w:ascii="Verdana" w:hAnsi="Verdana"/>
          <w:lang w:val="en-GB"/>
        </w:rPr>
      </w:pPr>
    </w:p>
    <w:p w14:paraId="4FA76BE6" w14:textId="77777777" w:rsidR="00E719DB" w:rsidRPr="00E719DB" w:rsidRDefault="00E719DB" w:rsidP="009E5729">
      <w:pPr>
        <w:pStyle w:val="Heading2"/>
        <w:rPr>
          <w:lang w:val="en-GB"/>
        </w:rPr>
      </w:pPr>
      <w:bookmarkStart w:id="148" w:name="_Toc130223461"/>
      <w:r w:rsidRPr="00E719DB">
        <w:rPr>
          <w:lang w:val="en-GB"/>
        </w:rPr>
        <w:t>Preface</w:t>
      </w:r>
      <w:bookmarkEnd w:id="148"/>
    </w:p>
    <w:p w14:paraId="64E33197" w14:textId="55D767B1" w:rsidR="00E719DB" w:rsidRDefault="00E719DB" w:rsidP="00E719DB">
      <w:pPr>
        <w:spacing w:line="360" w:lineRule="auto"/>
        <w:jc w:val="both"/>
        <w:rPr>
          <w:rFonts w:ascii="Verdana" w:hAnsi="Verdana"/>
          <w:lang w:val="en-GB"/>
        </w:rPr>
      </w:pPr>
      <w:r>
        <w:rPr>
          <w:rFonts w:ascii="Verdana" w:hAnsi="Verdana"/>
          <w:lang w:val="en-GB"/>
        </w:rPr>
        <w:t xml:space="preserve">In PD, alpha-synuclein exist in equilibrium between monomeric, oligomeric, and aggregated forms. While monomers are recognised to be non-toxic, a consensus on the biological activity of oligomers and fibrils has not been reached yet. For long, fibrils have </w:t>
      </w:r>
      <w:proofErr w:type="gramStart"/>
      <w:r>
        <w:rPr>
          <w:rFonts w:ascii="Verdana" w:hAnsi="Verdana"/>
          <w:lang w:val="en-GB"/>
        </w:rPr>
        <w:t>been considered to be</w:t>
      </w:r>
      <w:proofErr w:type="gramEnd"/>
      <w:r>
        <w:rPr>
          <w:rFonts w:ascii="Verdana" w:hAnsi="Verdana"/>
          <w:lang w:val="en-GB"/>
        </w:rPr>
        <w:t xml:space="preserve"> the toxic form of alpha-synuclein due to them being the major constituent of Lewy bodies. Nevertheless, in recent years the idea that alpha-synuclein toxicity is caused mostly by oligomeric forms, and that fibrils are the result of protective cellular mechanism processes has been advanced. The use of laboratory-synthetized alpha-synuclein proteins </w:t>
      </w:r>
      <w:r w:rsidRPr="00D34DC2">
        <w:rPr>
          <w:rFonts w:ascii="Verdana" w:hAnsi="Verdana"/>
          <w:i/>
          <w:iCs/>
          <w:lang w:val="en-GB"/>
        </w:rPr>
        <w:t>in vitro</w:t>
      </w:r>
      <w:r>
        <w:rPr>
          <w:rFonts w:ascii="Verdana" w:hAnsi="Verdana"/>
          <w:lang w:val="en-GB"/>
        </w:rPr>
        <w:t xml:space="preserve"> and </w:t>
      </w:r>
      <w:r w:rsidRPr="00D34DC2">
        <w:rPr>
          <w:rFonts w:ascii="Verdana" w:hAnsi="Verdana"/>
          <w:i/>
          <w:iCs/>
          <w:lang w:val="en-GB"/>
        </w:rPr>
        <w:t>in vivo</w:t>
      </w:r>
      <w:r>
        <w:rPr>
          <w:rFonts w:ascii="Verdana" w:hAnsi="Verdana"/>
          <w:lang w:val="en-GB"/>
        </w:rPr>
        <w:t xml:space="preserve"> can help answer these questions.</w:t>
      </w:r>
    </w:p>
    <w:p w14:paraId="75C06BF2" w14:textId="2061DBA7" w:rsidR="00E719DB" w:rsidRDefault="00C40BDA" w:rsidP="00556D86">
      <w:pPr>
        <w:spacing w:line="360" w:lineRule="auto"/>
        <w:jc w:val="both"/>
        <w:rPr>
          <w:rFonts w:ascii="Verdana" w:hAnsi="Verdana"/>
          <w:lang w:val="en-GB"/>
        </w:rPr>
      </w:pPr>
      <w:r>
        <w:rPr>
          <w:rFonts w:ascii="Verdana" w:hAnsi="Verdana"/>
          <w:lang w:val="en-GB"/>
        </w:rPr>
        <w:t xml:space="preserve">Glutamate represents the main excitatory neurotransmitter in the CNS. </w:t>
      </w:r>
      <w:r w:rsidR="00E719DB">
        <w:rPr>
          <w:rFonts w:ascii="Verdana" w:hAnsi="Verdana"/>
          <w:lang w:val="en-GB"/>
        </w:rPr>
        <w:t>Excitotoxicit</w:t>
      </w:r>
      <w:r w:rsidR="00D06D5B">
        <w:rPr>
          <w:rFonts w:ascii="Verdana" w:hAnsi="Verdana"/>
          <w:lang w:val="en-GB"/>
        </w:rPr>
        <w:t>y caused by increased levels of extracellular glutamate is a common pathological process in neurodegeneration</w:t>
      </w:r>
      <w:r w:rsidR="00755ADE">
        <w:rPr>
          <w:rFonts w:ascii="Verdana" w:hAnsi="Verdana"/>
          <w:lang w:val="en-GB"/>
        </w:rPr>
        <w:t xml:space="preserve"> following brain</w:t>
      </w:r>
      <w:r w:rsidR="005E018D">
        <w:rPr>
          <w:rFonts w:ascii="Verdana" w:hAnsi="Verdana"/>
          <w:lang w:val="en-GB"/>
        </w:rPr>
        <w:t xml:space="preserve"> trauma and</w:t>
      </w:r>
      <w:r w:rsidR="00755ADE">
        <w:rPr>
          <w:rFonts w:ascii="Verdana" w:hAnsi="Verdana"/>
          <w:lang w:val="en-GB"/>
        </w:rPr>
        <w:t xml:space="preserve"> ischemia</w:t>
      </w:r>
      <w:r w:rsidR="00D06D5B">
        <w:rPr>
          <w:rFonts w:ascii="Verdana" w:hAnsi="Verdana"/>
          <w:lang w:val="en-GB"/>
        </w:rPr>
        <w:t xml:space="preserve">. </w:t>
      </w:r>
      <w:r w:rsidR="00DA1AE1">
        <w:rPr>
          <w:rFonts w:ascii="Verdana" w:hAnsi="Verdana"/>
          <w:lang w:val="en-GB"/>
        </w:rPr>
        <w:t>We hypothesize</w:t>
      </w:r>
      <w:r w:rsidR="00556D86">
        <w:rPr>
          <w:rFonts w:ascii="Verdana" w:hAnsi="Verdana"/>
          <w:lang w:val="en-GB"/>
        </w:rPr>
        <w:t xml:space="preserve"> that genetic factors causing PD, such as the loss of function of the DJ-1 protein, </w:t>
      </w:r>
      <w:r w:rsidR="00DA1AE1">
        <w:rPr>
          <w:rFonts w:ascii="Verdana" w:hAnsi="Verdana"/>
          <w:lang w:val="en-GB"/>
        </w:rPr>
        <w:t xml:space="preserve">could lead to an increased sensitivity to glutamate excitotoxicity, </w:t>
      </w:r>
      <w:r w:rsidR="00556D86">
        <w:rPr>
          <w:rFonts w:ascii="Verdana" w:hAnsi="Verdana"/>
          <w:lang w:val="en-GB"/>
        </w:rPr>
        <w:t>thus contributing to PD pathogenesis.</w:t>
      </w:r>
    </w:p>
    <w:p w14:paraId="43B1C479" w14:textId="77089282" w:rsidR="00E719DB" w:rsidRDefault="00E719DB" w:rsidP="0000147C">
      <w:pPr>
        <w:spacing w:line="360" w:lineRule="auto"/>
        <w:jc w:val="both"/>
        <w:rPr>
          <w:rFonts w:ascii="Verdana" w:hAnsi="Verdana"/>
          <w:lang w:val="en-GB"/>
        </w:rPr>
      </w:pPr>
      <w:r>
        <w:rPr>
          <w:rFonts w:ascii="Verdana" w:hAnsi="Verdana"/>
          <w:lang w:val="en-GB"/>
        </w:rPr>
        <w:t>The results presented in this Chapter are part of a side project that was, unfortunately, dramatically hit by the SARS-CO</w:t>
      </w:r>
      <w:r w:rsidR="0000147C">
        <w:rPr>
          <w:rFonts w:ascii="Verdana" w:hAnsi="Verdana"/>
          <w:lang w:val="en-GB"/>
        </w:rPr>
        <w:t xml:space="preserve">V-2 pandemic. </w:t>
      </w:r>
      <w:r w:rsidR="00D057B5">
        <w:rPr>
          <w:rFonts w:ascii="Verdana" w:hAnsi="Verdana"/>
          <w:lang w:val="en-GB"/>
        </w:rPr>
        <w:t xml:space="preserve">They should have included </w:t>
      </w:r>
      <w:r w:rsidR="00BE086B">
        <w:rPr>
          <w:rFonts w:ascii="Verdana" w:hAnsi="Verdana"/>
          <w:lang w:val="en-GB"/>
        </w:rPr>
        <w:t>transcriptomic analyses</w:t>
      </w:r>
      <w:r w:rsidR="00D057B5">
        <w:rPr>
          <w:rFonts w:ascii="Verdana" w:hAnsi="Verdana"/>
          <w:lang w:val="en-GB"/>
        </w:rPr>
        <w:t xml:space="preserve"> following </w:t>
      </w:r>
      <w:r w:rsidR="00664CF2">
        <w:rPr>
          <w:rFonts w:ascii="Verdana" w:hAnsi="Verdana"/>
          <w:lang w:val="en-GB"/>
        </w:rPr>
        <w:t>alpha-synuclein and glutamate treatment</w:t>
      </w:r>
      <w:r w:rsidR="00BE086B">
        <w:rPr>
          <w:rFonts w:ascii="Verdana" w:hAnsi="Verdana"/>
          <w:lang w:val="en-GB"/>
        </w:rPr>
        <w:t xml:space="preserve"> of wild-type and DJ-1 knock-down cells</w:t>
      </w:r>
      <w:r w:rsidR="00664CF2">
        <w:rPr>
          <w:rFonts w:ascii="Verdana" w:hAnsi="Verdana"/>
          <w:lang w:val="en-GB"/>
        </w:rPr>
        <w:t xml:space="preserve">, but they ended up being suspended </w:t>
      </w:r>
      <w:r w:rsidR="00F10B81">
        <w:rPr>
          <w:rFonts w:ascii="Verdana" w:hAnsi="Verdana"/>
          <w:lang w:val="en-GB"/>
        </w:rPr>
        <w:t xml:space="preserve">at the stages of initial characterisation. Therefore, results are </w:t>
      </w:r>
      <w:r w:rsidR="0000147C">
        <w:rPr>
          <w:rFonts w:ascii="Verdana" w:hAnsi="Verdana"/>
          <w:lang w:val="en-GB"/>
        </w:rPr>
        <w:t>incomplete, and the conclusions that can be taken are only preliminary.</w:t>
      </w:r>
    </w:p>
    <w:p w14:paraId="38F65A61" w14:textId="39905B58" w:rsidR="00FA5C22" w:rsidRDefault="0000147C" w:rsidP="00FA0860">
      <w:pPr>
        <w:spacing w:line="360" w:lineRule="auto"/>
        <w:jc w:val="both"/>
        <w:rPr>
          <w:rFonts w:ascii="Verdana" w:hAnsi="Verdana"/>
          <w:lang w:val="en-GB"/>
        </w:rPr>
      </w:pPr>
      <w:r>
        <w:rPr>
          <w:rFonts w:ascii="Verdana" w:hAnsi="Verdana"/>
          <w:lang w:val="en-GB"/>
        </w:rPr>
        <w:lastRenderedPageBreak/>
        <w:t xml:space="preserve">Alpha-synuclein moieties were either purchased from </w:t>
      </w:r>
      <w:proofErr w:type="spellStart"/>
      <w:r>
        <w:rPr>
          <w:rFonts w:ascii="Verdana" w:hAnsi="Verdana"/>
          <w:lang w:val="en-GB"/>
        </w:rPr>
        <w:t>StressMarq</w:t>
      </w:r>
      <w:proofErr w:type="spellEnd"/>
      <w:r>
        <w:rPr>
          <w:rFonts w:ascii="Verdana" w:hAnsi="Verdana"/>
          <w:lang w:val="en-GB"/>
        </w:rPr>
        <w:t xml:space="preserve"> or kindly donated by </w:t>
      </w:r>
      <w:r w:rsidR="00EF6A8B">
        <w:rPr>
          <w:rFonts w:ascii="Verdana" w:hAnsi="Verdana"/>
          <w:lang w:val="en-GB"/>
        </w:rPr>
        <w:t>ETAP-Lab</w:t>
      </w:r>
      <w:r w:rsidR="00C56BB8">
        <w:rPr>
          <w:rFonts w:ascii="Verdana" w:hAnsi="Verdana"/>
          <w:lang w:val="en-GB"/>
        </w:rPr>
        <w:t xml:space="preserve"> and </w:t>
      </w:r>
      <w:proofErr w:type="spellStart"/>
      <w:r w:rsidR="00C56BB8">
        <w:rPr>
          <w:rFonts w:ascii="Verdana" w:hAnsi="Verdana"/>
          <w:lang w:val="en-GB"/>
        </w:rPr>
        <w:t>Cantabio</w:t>
      </w:r>
      <w:proofErr w:type="spellEnd"/>
      <w:r w:rsidR="00FA0860">
        <w:rPr>
          <w:rFonts w:ascii="Verdana" w:hAnsi="Verdana"/>
          <w:lang w:val="en-GB"/>
        </w:rPr>
        <w:t xml:space="preserve"> Pharmaceuticals Inc</w:t>
      </w:r>
      <w:r w:rsidR="00EF6A8B">
        <w:rPr>
          <w:rFonts w:ascii="Verdana" w:hAnsi="Verdana"/>
          <w:lang w:val="en-GB"/>
        </w:rPr>
        <w:t xml:space="preserve">. LUHMES wild-type and DJ-1 knock-down cells were provided by the </w:t>
      </w:r>
      <w:r w:rsidR="00FA0860">
        <w:rPr>
          <w:rFonts w:ascii="Verdana" w:hAnsi="Verdana"/>
          <w:lang w:val="en-GB"/>
        </w:rPr>
        <w:t xml:space="preserve">Integrative Cell </w:t>
      </w:r>
      <w:proofErr w:type="spellStart"/>
      <w:r w:rsidR="00FA0860">
        <w:rPr>
          <w:rFonts w:ascii="Verdana" w:hAnsi="Verdana"/>
          <w:lang w:val="en-GB"/>
        </w:rPr>
        <w:t>Signaling</w:t>
      </w:r>
      <w:proofErr w:type="spellEnd"/>
      <w:r w:rsidR="00FA0860">
        <w:rPr>
          <w:rFonts w:ascii="Verdana" w:hAnsi="Verdana"/>
          <w:lang w:val="en-GB"/>
        </w:rPr>
        <w:t xml:space="preserve"> group at the Luxembourg Centre for Systems Biomedicine. I performed all described experiments</w:t>
      </w:r>
      <w:r w:rsidR="00BF4F90">
        <w:rPr>
          <w:rFonts w:ascii="Verdana" w:hAnsi="Verdana"/>
          <w:lang w:val="en-GB"/>
        </w:rPr>
        <w:t>,</w:t>
      </w:r>
      <w:r w:rsidR="00FA0860">
        <w:rPr>
          <w:rFonts w:ascii="Verdana" w:hAnsi="Verdana"/>
          <w:lang w:val="en-GB"/>
        </w:rPr>
        <w:t xml:space="preserve"> </w:t>
      </w:r>
      <w:proofErr w:type="gramStart"/>
      <w:r w:rsidR="00FA0860">
        <w:rPr>
          <w:rFonts w:ascii="Verdana" w:hAnsi="Verdana"/>
          <w:lang w:val="en-GB"/>
        </w:rPr>
        <w:t>with the exception of</w:t>
      </w:r>
      <w:proofErr w:type="gramEnd"/>
      <w:r w:rsidR="00FA0860">
        <w:rPr>
          <w:rFonts w:ascii="Verdana" w:hAnsi="Verdana"/>
          <w:lang w:val="en-GB"/>
        </w:rPr>
        <w:t xml:space="preserve"> the electron microscopy imaging which was performed by Felix Kleine-Borgmann.</w:t>
      </w:r>
      <w:r w:rsidR="00EB53AE">
        <w:rPr>
          <w:rFonts w:ascii="Verdana" w:hAnsi="Verdana"/>
          <w:lang w:val="en-GB"/>
        </w:rPr>
        <w:t xml:space="preserve"> I</w:t>
      </w:r>
      <w:r w:rsidR="00E83CF3">
        <w:rPr>
          <w:rFonts w:ascii="Verdana" w:hAnsi="Verdana"/>
          <w:lang w:val="en-GB"/>
        </w:rPr>
        <w:t xml:space="preserve"> </w:t>
      </w:r>
      <w:r w:rsidR="00EB53AE">
        <w:rPr>
          <w:rFonts w:ascii="Verdana" w:hAnsi="Verdana"/>
          <w:lang w:val="en-GB"/>
        </w:rPr>
        <w:t xml:space="preserve">made a composite of </w:t>
      </w:r>
      <w:r w:rsidR="00E83CF3">
        <w:rPr>
          <w:rFonts w:ascii="Verdana" w:hAnsi="Verdana"/>
          <w:lang w:val="en-GB"/>
        </w:rPr>
        <w:t xml:space="preserve">EM images acquired by Felix Kleine-Borgmann in Figure </w:t>
      </w:r>
      <w:r w:rsidR="00F20905">
        <w:rPr>
          <w:rFonts w:ascii="Verdana" w:hAnsi="Verdana"/>
          <w:lang w:val="en-GB"/>
        </w:rPr>
        <w:t>3</w:t>
      </w:r>
      <w:r w:rsidR="00BD623E">
        <w:rPr>
          <w:rFonts w:ascii="Verdana" w:hAnsi="Verdana"/>
          <w:lang w:val="en-GB"/>
        </w:rPr>
        <w:t>2</w:t>
      </w:r>
      <w:r w:rsidR="00E83CF3">
        <w:rPr>
          <w:rFonts w:ascii="Verdana" w:hAnsi="Verdana"/>
          <w:lang w:val="en-GB"/>
        </w:rPr>
        <w:t>, and entirely generated Figures 3</w:t>
      </w:r>
      <w:r w:rsidR="00BD623E">
        <w:rPr>
          <w:rFonts w:ascii="Verdana" w:hAnsi="Verdana"/>
          <w:lang w:val="en-GB"/>
        </w:rPr>
        <w:t>3</w:t>
      </w:r>
      <w:r w:rsidR="00E83CF3">
        <w:rPr>
          <w:rFonts w:ascii="Verdana" w:hAnsi="Verdana"/>
          <w:lang w:val="en-GB"/>
        </w:rPr>
        <w:t xml:space="preserve"> and 3</w:t>
      </w:r>
      <w:r w:rsidR="00BD623E">
        <w:rPr>
          <w:rFonts w:ascii="Verdana" w:hAnsi="Verdana"/>
          <w:lang w:val="en-GB"/>
        </w:rPr>
        <w:t>4</w:t>
      </w:r>
      <w:r w:rsidR="00E83CF3">
        <w:rPr>
          <w:rFonts w:ascii="Verdana" w:hAnsi="Verdana"/>
          <w:lang w:val="en-GB"/>
        </w:rPr>
        <w:t xml:space="preserve">. </w:t>
      </w:r>
      <w:r w:rsidR="00FA5C22">
        <w:rPr>
          <w:rFonts w:ascii="Verdana" w:hAnsi="Verdana"/>
          <w:lang w:val="en-GB"/>
        </w:rPr>
        <w:br w:type="page"/>
      </w:r>
    </w:p>
    <w:p w14:paraId="538C4A72" w14:textId="03A1333E" w:rsidR="005E00C2" w:rsidRPr="00F3041E" w:rsidRDefault="009E5729" w:rsidP="009E5729">
      <w:pPr>
        <w:pStyle w:val="Heading2"/>
        <w:spacing w:line="360" w:lineRule="auto"/>
        <w:rPr>
          <w:lang w:val="en-GB"/>
        </w:rPr>
      </w:pPr>
      <w:bookmarkStart w:id="149" w:name="_Toc130223462"/>
      <w:r>
        <w:rPr>
          <w:lang w:val="en-GB"/>
        </w:rPr>
        <w:lastRenderedPageBreak/>
        <w:t xml:space="preserve">8.1 </w:t>
      </w:r>
      <w:r>
        <w:rPr>
          <w:lang w:val="en-GB"/>
        </w:rPr>
        <w:tab/>
      </w:r>
      <w:r w:rsidR="005E00C2" w:rsidRPr="00F3041E">
        <w:rPr>
          <w:lang w:val="en-GB"/>
        </w:rPr>
        <w:t>Characterisation of alpha-synuclein m</w:t>
      </w:r>
      <w:r w:rsidR="00F3041E" w:rsidRPr="00F3041E">
        <w:rPr>
          <w:lang w:val="en-GB"/>
        </w:rPr>
        <w:t>oieties by electron microscopy</w:t>
      </w:r>
      <w:bookmarkEnd w:id="149"/>
    </w:p>
    <w:p w14:paraId="4F5D49E7" w14:textId="7B9158CF" w:rsidR="00E726ED" w:rsidRDefault="00D34DC2" w:rsidP="00C37B52">
      <w:pPr>
        <w:spacing w:line="360" w:lineRule="auto"/>
        <w:jc w:val="both"/>
        <w:rPr>
          <w:rFonts w:ascii="Verdana" w:hAnsi="Verdana"/>
          <w:lang w:val="en-GB"/>
        </w:rPr>
      </w:pPr>
      <w:r>
        <w:rPr>
          <w:rFonts w:ascii="Verdana" w:hAnsi="Verdana"/>
          <w:lang w:val="en-GB"/>
        </w:rPr>
        <w:t xml:space="preserve">We have characterised commercially </w:t>
      </w:r>
      <w:r w:rsidR="0024312B">
        <w:rPr>
          <w:rFonts w:ascii="Verdana" w:hAnsi="Verdana"/>
          <w:lang w:val="en-GB"/>
        </w:rPr>
        <w:t>and non-commercially available</w:t>
      </w:r>
      <w:r>
        <w:rPr>
          <w:rFonts w:ascii="Verdana" w:hAnsi="Verdana"/>
          <w:lang w:val="en-GB"/>
        </w:rPr>
        <w:t xml:space="preserve"> alpha-synuclein </w:t>
      </w:r>
      <w:r w:rsidR="0024312B">
        <w:rPr>
          <w:rFonts w:ascii="Verdana" w:hAnsi="Verdana"/>
          <w:lang w:val="en-GB"/>
        </w:rPr>
        <w:t>mo</w:t>
      </w:r>
      <w:r w:rsidR="00AD6FA6">
        <w:rPr>
          <w:rFonts w:ascii="Verdana" w:hAnsi="Verdana"/>
          <w:lang w:val="en-GB"/>
        </w:rPr>
        <w:t>nomers, oligomers</w:t>
      </w:r>
      <w:r w:rsidR="001A7672">
        <w:rPr>
          <w:rFonts w:ascii="Verdana" w:hAnsi="Verdana"/>
          <w:lang w:val="en-GB"/>
        </w:rPr>
        <w:t>,</w:t>
      </w:r>
      <w:r w:rsidR="00AD6FA6">
        <w:rPr>
          <w:rFonts w:ascii="Verdana" w:hAnsi="Verdana"/>
          <w:lang w:val="en-GB"/>
        </w:rPr>
        <w:t xml:space="preserve"> and pre-formed fibrils (PFFs). A list of the investigated alpha-synuclein moieties can be find in Table</w:t>
      </w:r>
      <w:r w:rsidR="00E726ED">
        <w:rPr>
          <w:rFonts w:ascii="Verdana" w:hAnsi="Verdana"/>
          <w:lang w:val="en-GB"/>
        </w:rPr>
        <w:t xml:space="preserve"> </w:t>
      </w:r>
      <w:r w:rsidR="001A7672">
        <w:rPr>
          <w:rFonts w:ascii="Verdana" w:hAnsi="Verdana"/>
          <w:lang w:val="en-GB"/>
        </w:rPr>
        <w:t>2</w:t>
      </w:r>
      <w:r w:rsidR="00E726ED">
        <w:rPr>
          <w:rFonts w:ascii="Verdana" w:hAnsi="Verdana"/>
          <w:lang w:val="en-GB"/>
        </w:rPr>
        <w:t>.</w:t>
      </w:r>
    </w:p>
    <w:p w14:paraId="049D6DB2" w14:textId="12B39F63" w:rsidR="001A7672" w:rsidRDefault="00FA1BD9" w:rsidP="002917A9">
      <w:pPr>
        <w:spacing w:line="360" w:lineRule="auto"/>
        <w:jc w:val="both"/>
        <w:rPr>
          <w:rFonts w:ascii="Verdana" w:hAnsi="Verdana"/>
          <w:lang w:val="en-GB"/>
        </w:rPr>
      </w:pPr>
      <w:r>
        <w:rPr>
          <w:rFonts w:ascii="Verdana" w:hAnsi="Verdana"/>
          <w:lang w:val="en-GB"/>
        </w:rPr>
        <w:t xml:space="preserve">All the analysed monomers presented a similar </w:t>
      </w:r>
      <w:r w:rsidR="00BB63AE">
        <w:rPr>
          <w:rFonts w:ascii="Verdana" w:hAnsi="Verdana"/>
          <w:lang w:val="en-GB"/>
        </w:rPr>
        <w:t xml:space="preserve">circular shape, although the type 1 monomers from </w:t>
      </w:r>
      <w:proofErr w:type="spellStart"/>
      <w:r w:rsidR="00BB63AE">
        <w:rPr>
          <w:rFonts w:ascii="Verdana" w:hAnsi="Verdana"/>
          <w:lang w:val="en-GB"/>
        </w:rPr>
        <w:t>StressMarq</w:t>
      </w:r>
      <w:proofErr w:type="spellEnd"/>
      <w:r w:rsidR="00BB63AE">
        <w:rPr>
          <w:rFonts w:ascii="Verdana" w:hAnsi="Verdana"/>
          <w:lang w:val="en-GB"/>
        </w:rPr>
        <w:t xml:space="preserve"> were smaller compared to both the type 2 from the same vendor, and monomers provided by ETAP-Lab</w:t>
      </w:r>
      <w:r w:rsidR="00166FCB">
        <w:rPr>
          <w:rFonts w:ascii="Verdana" w:hAnsi="Verdana"/>
          <w:lang w:val="en-GB"/>
        </w:rPr>
        <w:t xml:space="preserve"> (Figure </w:t>
      </w:r>
      <w:r w:rsidR="008B6EF0">
        <w:rPr>
          <w:rFonts w:ascii="Verdana" w:hAnsi="Verdana"/>
          <w:lang w:val="en-GB"/>
        </w:rPr>
        <w:t>3</w:t>
      </w:r>
      <w:r w:rsidR="00BD623E">
        <w:rPr>
          <w:rFonts w:ascii="Verdana" w:hAnsi="Verdana"/>
          <w:lang w:val="en-GB"/>
        </w:rPr>
        <w:t>2</w:t>
      </w:r>
      <w:r w:rsidR="00166FCB">
        <w:rPr>
          <w:rFonts w:ascii="Verdana" w:hAnsi="Verdana"/>
          <w:lang w:val="en-GB"/>
        </w:rPr>
        <w:t>A)</w:t>
      </w:r>
      <w:r w:rsidR="00BB63AE">
        <w:rPr>
          <w:rFonts w:ascii="Verdana" w:hAnsi="Verdana"/>
          <w:lang w:val="en-GB"/>
        </w:rPr>
        <w:t>.</w:t>
      </w:r>
      <w:r w:rsidR="008F3C8F">
        <w:rPr>
          <w:rFonts w:ascii="Verdana" w:hAnsi="Verdana"/>
          <w:lang w:val="en-GB"/>
        </w:rPr>
        <w:t xml:space="preserve"> Furthermore, ETAP-Lab monomer</w:t>
      </w:r>
      <w:r w:rsidR="00166FCB">
        <w:rPr>
          <w:rFonts w:ascii="Verdana" w:hAnsi="Verdana"/>
          <w:lang w:val="en-GB"/>
        </w:rPr>
        <w:t xml:space="preserve"> preparation also included some bigger rod-structure, suggesting they could be a mix of monomers and oligomers. </w:t>
      </w:r>
      <w:r w:rsidR="00A4637D">
        <w:rPr>
          <w:rFonts w:ascii="Verdana" w:hAnsi="Verdana"/>
          <w:lang w:val="en-GB"/>
        </w:rPr>
        <w:t xml:space="preserve">The two analysed alpha-synuclein oligomers preparation showed the highest variability. Oligomers from </w:t>
      </w:r>
      <w:proofErr w:type="spellStart"/>
      <w:r w:rsidR="00A4637D">
        <w:rPr>
          <w:rFonts w:ascii="Verdana" w:hAnsi="Verdana"/>
          <w:lang w:val="en-GB"/>
        </w:rPr>
        <w:t>StressMarq</w:t>
      </w:r>
      <w:proofErr w:type="spellEnd"/>
      <w:r w:rsidR="00A4637D">
        <w:rPr>
          <w:rFonts w:ascii="Verdana" w:hAnsi="Verdana"/>
          <w:lang w:val="en-GB"/>
        </w:rPr>
        <w:t xml:space="preserve"> overall resembled monomers both in shape and size</w:t>
      </w:r>
      <w:r w:rsidR="007B144B">
        <w:rPr>
          <w:rFonts w:ascii="Verdana" w:hAnsi="Verdana"/>
          <w:lang w:val="en-GB"/>
        </w:rPr>
        <w:t xml:space="preserve"> (Figure </w:t>
      </w:r>
      <w:r w:rsidR="008B6EF0">
        <w:rPr>
          <w:rFonts w:ascii="Verdana" w:hAnsi="Verdana"/>
          <w:lang w:val="en-GB"/>
        </w:rPr>
        <w:t>3</w:t>
      </w:r>
      <w:r w:rsidR="00BD623E">
        <w:rPr>
          <w:rFonts w:ascii="Verdana" w:hAnsi="Verdana"/>
          <w:lang w:val="en-GB"/>
        </w:rPr>
        <w:t>2</w:t>
      </w:r>
      <w:r w:rsidR="007B144B">
        <w:rPr>
          <w:rFonts w:ascii="Verdana" w:hAnsi="Verdana"/>
          <w:lang w:val="en-GB"/>
        </w:rPr>
        <w:t>B, left)</w:t>
      </w:r>
      <w:r w:rsidR="00A4637D">
        <w:rPr>
          <w:rFonts w:ascii="Verdana" w:hAnsi="Verdana"/>
          <w:lang w:val="en-GB"/>
        </w:rPr>
        <w:t>.</w:t>
      </w:r>
      <w:r w:rsidR="007B144B">
        <w:rPr>
          <w:rFonts w:ascii="Verdana" w:hAnsi="Verdana"/>
          <w:lang w:val="en-GB"/>
        </w:rPr>
        <w:t xml:space="preserve"> On the other hand, oligomers from ETAP-Lab formed bigger, intertwined structures, resembling what is typically observed for fibrils (Figure </w:t>
      </w:r>
      <w:r w:rsidR="008B6EF0">
        <w:rPr>
          <w:rFonts w:ascii="Verdana" w:hAnsi="Verdana"/>
          <w:lang w:val="en-GB"/>
        </w:rPr>
        <w:t>3</w:t>
      </w:r>
      <w:r w:rsidR="00BD623E">
        <w:rPr>
          <w:rFonts w:ascii="Verdana" w:hAnsi="Verdana"/>
          <w:lang w:val="en-GB"/>
        </w:rPr>
        <w:t>2</w:t>
      </w:r>
      <w:r w:rsidR="007B144B">
        <w:rPr>
          <w:rFonts w:ascii="Verdana" w:hAnsi="Verdana"/>
          <w:lang w:val="en-GB"/>
        </w:rPr>
        <w:t xml:space="preserve">B, right). Finally, we analysed three pre-formed fibrils preparation, </w:t>
      </w:r>
      <w:r w:rsidR="00AA462B">
        <w:rPr>
          <w:rFonts w:ascii="Verdana" w:hAnsi="Verdana"/>
          <w:lang w:val="en-GB"/>
        </w:rPr>
        <w:t xml:space="preserve">with or without sonication before imaging. All three preparations showed similar elongated structures reaching over 300nm in length (Figure </w:t>
      </w:r>
      <w:r w:rsidR="002441FE">
        <w:rPr>
          <w:rFonts w:ascii="Verdana" w:hAnsi="Verdana"/>
          <w:lang w:val="en-GB"/>
        </w:rPr>
        <w:t>3</w:t>
      </w:r>
      <w:r w:rsidR="00BD623E">
        <w:rPr>
          <w:rFonts w:ascii="Verdana" w:hAnsi="Verdana"/>
          <w:lang w:val="en-GB"/>
        </w:rPr>
        <w:t>2</w:t>
      </w:r>
      <w:r w:rsidR="00AA462B">
        <w:rPr>
          <w:rFonts w:ascii="Verdana" w:hAnsi="Verdana"/>
          <w:lang w:val="en-GB"/>
        </w:rPr>
        <w:t>C</w:t>
      </w:r>
      <w:r w:rsidR="00685FDD">
        <w:rPr>
          <w:rFonts w:ascii="Verdana" w:hAnsi="Verdana"/>
          <w:lang w:val="en-GB"/>
        </w:rPr>
        <w:t>, top</w:t>
      </w:r>
      <w:r w:rsidR="00AA462B">
        <w:rPr>
          <w:rFonts w:ascii="Verdana" w:hAnsi="Verdana"/>
          <w:lang w:val="en-GB"/>
        </w:rPr>
        <w:t>).</w:t>
      </w:r>
      <w:r w:rsidR="00A4637D">
        <w:rPr>
          <w:rFonts w:ascii="Verdana" w:hAnsi="Verdana"/>
          <w:lang w:val="en-GB"/>
        </w:rPr>
        <w:t xml:space="preserve"> </w:t>
      </w:r>
      <w:r w:rsidR="000C0C18">
        <w:rPr>
          <w:rFonts w:ascii="Verdana" w:hAnsi="Verdana"/>
          <w:lang w:val="en-GB"/>
        </w:rPr>
        <w:t xml:space="preserve">Sonication did not seem to affect </w:t>
      </w:r>
      <w:proofErr w:type="spellStart"/>
      <w:r w:rsidR="000C0C18">
        <w:rPr>
          <w:rFonts w:ascii="Verdana" w:hAnsi="Verdana"/>
          <w:lang w:val="en-GB"/>
        </w:rPr>
        <w:t>Cantabio</w:t>
      </w:r>
      <w:proofErr w:type="spellEnd"/>
      <w:r w:rsidR="000C0C18">
        <w:rPr>
          <w:rFonts w:ascii="Verdana" w:hAnsi="Verdana"/>
          <w:lang w:val="en-GB"/>
        </w:rPr>
        <w:t xml:space="preserve"> PFFs much, while it </w:t>
      </w:r>
      <w:r w:rsidR="00685FDD">
        <w:rPr>
          <w:rFonts w:ascii="Verdana" w:hAnsi="Verdana"/>
          <w:lang w:val="en-GB"/>
        </w:rPr>
        <w:t xml:space="preserve">causes the breaking up of fibrils in shorter structures in both the </w:t>
      </w:r>
      <w:proofErr w:type="spellStart"/>
      <w:r w:rsidR="00685FDD">
        <w:rPr>
          <w:rFonts w:ascii="Verdana" w:hAnsi="Verdana"/>
          <w:lang w:val="en-GB"/>
        </w:rPr>
        <w:t>StressMarq</w:t>
      </w:r>
      <w:proofErr w:type="spellEnd"/>
      <w:r w:rsidR="00685FDD">
        <w:rPr>
          <w:rFonts w:ascii="Verdana" w:hAnsi="Verdana"/>
          <w:lang w:val="en-GB"/>
        </w:rPr>
        <w:t xml:space="preserve"> type 1 and type 2 fibrils (Figure </w:t>
      </w:r>
      <w:r w:rsidR="00615873">
        <w:rPr>
          <w:rFonts w:ascii="Verdana" w:hAnsi="Verdana"/>
          <w:lang w:val="en-GB"/>
        </w:rPr>
        <w:t>3</w:t>
      </w:r>
      <w:r w:rsidR="00BD623E">
        <w:rPr>
          <w:rFonts w:ascii="Verdana" w:hAnsi="Verdana"/>
          <w:lang w:val="en-GB"/>
        </w:rPr>
        <w:t>2</w:t>
      </w:r>
      <w:r w:rsidR="00685FDD">
        <w:rPr>
          <w:rFonts w:ascii="Verdana" w:hAnsi="Verdana"/>
          <w:lang w:val="en-GB"/>
        </w:rPr>
        <w:t xml:space="preserve">C, bottom). Overall, </w:t>
      </w:r>
      <w:r w:rsidR="002733AF">
        <w:rPr>
          <w:rFonts w:ascii="Verdana" w:hAnsi="Verdana"/>
          <w:lang w:val="en-GB"/>
        </w:rPr>
        <w:t>we confirmed that alpha-synuclein moieties’ characteristics appear to vary from one preparation to the other, potentially contributing to</w:t>
      </w:r>
      <w:r w:rsidR="002917A9">
        <w:rPr>
          <w:rFonts w:ascii="Verdana" w:hAnsi="Verdana"/>
          <w:lang w:val="en-GB"/>
        </w:rPr>
        <w:t xml:space="preserve"> variability and reproducibility issues in </w:t>
      </w:r>
      <w:r w:rsidR="002917A9" w:rsidRPr="002917A9">
        <w:rPr>
          <w:rFonts w:ascii="Verdana" w:hAnsi="Verdana"/>
          <w:i/>
          <w:iCs/>
          <w:lang w:val="en-GB"/>
        </w:rPr>
        <w:t>in vivo</w:t>
      </w:r>
      <w:r w:rsidR="002917A9">
        <w:rPr>
          <w:rFonts w:ascii="Verdana" w:hAnsi="Verdana"/>
          <w:lang w:val="en-GB"/>
        </w:rPr>
        <w:t xml:space="preserve"> and </w:t>
      </w:r>
      <w:r w:rsidR="002917A9" w:rsidRPr="002917A9">
        <w:rPr>
          <w:rFonts w:ascii="Verdana" w:hAnsi="Verdana"/>
          <w:i/>
          <w:iCs/>
          <w:lang w:val="en-GB"/>
        </w:rPr>
        <w:t>in vitro</w:t>
      </w:r>
      <w:r w:rsidR="002917A9">
        <w:rPr>
          <w:rFonts w:ascii="Verdana" w:hAnsi="Verdana"/>
          <w:lang w:val="en-GB"/>
        </w:rPr>
        <w:t xml:space="preserve"> studies.</w:t>
      </w:r>
    </w:p>
    <w:p w14:paraId="77D5E19F" w14:textId="697C4C0D" w:rsidR="00E726ED" w:rsidRDefault="00E006D8">
      <w:pPr>
        <w:ind w:firstLine="0"/>
        <w:rPr>
          <w:rFonts w:ascii="Verdana" w:hAnsi="Verdana"/>
          <w:lang w:val="en-GB"/>
        </w:rPr>
      </w:pPr>
      <w:r>
        <w:rPr>
          <w:noProof/>
        </w:rPr>
        <w:lastRenderedPageBreak/>
        <w:drawing>
          <wp:anchor distT="0" distB="0" distL="114300" distR="114300" simplePos="0" relativeHeight="251978752" behindDoc="0" locked="0" layoutInCell="1" allowOverlap="1" wp14:anchorId="6CCE7313" wp14:editId="33C814F9">
            <wp:simplePos x="0" y="0"/>
            <wp:positionH relativeFrom="margin">
              <wp:align>left</wp:align>
            </wp:positionH>
            <wp:positionV relativeFrom="paragraph">
              <wp:posOffset>3259234</wp:posOffset>
            </wp:positionV>
            <wp:extent cx="5390515" cy="4328160"/>
            <wp:effectExtent l="0" t="0" r="635"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90515" cy="43281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77728" behindDoc="0" locked="0" layoutInCell="1" allowOverlap="1" wp14:anchorId="7122478E" wp14:editId="1DD75580">
                <wp:simplePos x="0" y="0"/>
                <wp:positionH relativeFrom="margin">
                  <wp:align>right</wp:align>
                </wp:positionH>
                <wp:positionV relativeFrom="paragraph">
                  <wp:posOffset>7643357</wp:posOffset>
                </wp:positionV>
                <wp:extent cx="5580380" cy="635"/>
                <wp:effectExtent l="0" t="0" r="1270" b="635"/>
                <wp:wrapTopAndBottom/>
                <wp:docPr id="41" name="Text Box 41"/>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3D41B01B" w14:textId="0251FA2D" w:rsidR="002917A9" w:rsidRPr="00D579AF" w:rsidRDefault="002917A9" w:rsidP="00D579AF">
                            <w:pPr>
                              <w:pStyle w:val="Caption"/>
                              <w:ind w:firstLine="0"/>
                              <w:jc w:val="both"/>
                              <w:rPr>
                                <w:rFonts w:ascii="Verdana" w:hAnsi="Verdana"/>
                                <w:i w:val="0"/>
                                <w:iCs w:val="0"/>
                                <w:color w:val="auto"/>
                              </w:rPr>
                            </w:pPr>
                            <w:bookmarkStart w:id="150" w:name="_Toc131412774"/>
                            <w:r w:rsidRPr="00D579AF">
                              <w:rPr>
                                <w:rFonts w:ascii="Verdana" w:hAnsi="Verdana"/>
                                <w:b/>
                                <w:bCs/>
                                <w:i w:val="0"/>
                                <w:iCs w:val="0"/>
                                <w:color w:val="auto"/>
                              </w:rPr>
                              <w:t xml:space="preserve">Figure </w:t>
                            </w:r>
                            <w:r w:rsidRPr="00D579AF">
                              <w:rPr>
                                <w:rFonts w:ascii="Verdana" w:hAnsi="Verdana"/>
                                <w:b/>
                                <w:bCs/>
                                <w:i w:val="0"/>
                                <w:iCs w:val="0"/>
                                <w:color w:val="auto"/>
                              </w:rPr>
                              <w:fldChar w:fldCharType="begin"/>
                            </w:r>
                            <w:r w:rsidRPr="00D579AF">
                              <w:rPr>
                                <w:rFonts w:ascii="Verdana" w:hAnsi="Verdana"/>
                                <w:b/>
                                <w:bCs/>
                                <w:i w:val="0"/>
                                <w:iCs w:val="0"/>
                                <w:color w:val="auto"/>
                              </w:rPr>
                              <w:instrText xml:space="preserve"> SEQ Figure \* ARABIC </w:instrText>
                            </w:r>
                            <w:r w:rsidRPr="00D579AF">
                              <w:rPr>
                                <w:rFonts w:ascii="Verdana" w:hAnsi="Verdana"/>
                                <w:b/>
                                <w:bCs/>
                                <w:i w:val="0"/>
                                <w:iCs w:val="0"/>
                                <w:color w:val="auto"/>
                              </w:rPr>
                              <w:fldChar w:fldCharType="separate"/>
                            </w:r>
                            <w:r w:rsidR="001D505F">
                              <w:rPr>
                                <w:rFonts w:ascii="Verdana" w:hAnsi="Verdana"/>
                                <w:b/>
                                <w:bCs/>
                                <w:i w:val="0"/>
                                <w:iCs w:val="0"/>
                                <w:noProof/>
                                <w:color w:val="auto"/>
                              </w:rPr>
                              <w:t>32</w:t>
                            </w:r>
                            <w:r w:rsidRPr="00D579AF">
                              <w:rPr>
                                <w:rFonts w:ascii="Verdana" w:hAnsi="Verdana"/>
                                <w:b/>
                                <w:bCs/>
                                <w:i w:val="0"/>
                                <w:iCs w:val="0"/>
                                <w:color w:val="auto"/>
                              </w:rPr>
                              <w:fldChar w:fldCharType="end"/>
                            </w:r>
                            <w:r w:rsidRPr="00D579AF">
                              <w:rPr>
                                <w:rFonts w:ascii="Verdana" w:hAnsi="Verdana"/>
                                <w:b/>
                                <w:bCs/>
                                <w:i w:val="0"/>
                                <w:iCs w:val="0"/>
                                <w:color w:val="auto"/>
                              </w:rPr>
                              <w:t xml:space="preserve"> </w:t>
                            </w:r>
                            <w:r w:rsidRPr="00D579AF">
                              <w:rPr>
                                <w:rFonts w:ascii="Verdana" w:hAnsi="Verdana"/>
                                <w:i w:val="0"/>
                                <w:iCs w:val="0"/>
                                <w:color w:val="auto"/>
                              </w:rPr>
                              <w:t>Electron Microscopy imaging of alpha-synuclein moieties</w:t>
                            </w:r>
                            <w:bookmarkEnd w:id="150"/>
                          </w:p>
                          <w:p w14:paraId="276E9FD1" w14:textId="0D802EB1" w:rsidR="002917A9" w:rsidRPr="00D579AF" w:rsidRDefault="002917A9" w:rsidP="00D579AF">
                            <w:pPr>
                              <w:ind w:firstLine="0"/>
                              <w:jc w:val="both"/>
                              <w:rPr>
                                <w:rFonts w:ascii="Verdana" w:hAnsi="Verdana"/>
                                <w:sz w:val="18"/>
                                <w:szCs w:val="18"/>
                              </w:rPr>
                            </w:pPr>
                            <w:r w:rsidRPr="00D579AF">
                              <w:rPr>
                                <w:rFonts w:ascii="Verdana" w:hAnsi="Verdana"/>
                                <w:b/>
                                <w:bCs/>
                                <w:sz w:val="18"/>
                                <w:szCs w:val="18"/>
                              </w:rPr>
                              <w:t>A)</w:t>
                            </w:r>
                            <w:r w:rsidRPr="00D579AF">
                              <w:rPr>
                                <w:rFonts w:ascii="Verdana" w:hAnsi="Verdana"/>
                                <w:sz w:val="18"/>
                                <w:szCs w:val="18"/>
                              </w:rPr>
                              <w:t xml:space="preserve"> Representative images for alpha-synuclein monomers from each provider.</w:t>
                            </w:r>
                            <w:r w:rsidR="00DB40BF" w:rsidRPr="00D579AF">
                              <w:rPr>
                                <w:rFonts w:ascii="Verdana" w:hAnsi="Verdana"/>
                                <w:sz w:val="18"/>
                                <w:szCs w:val="18"/>
                              </w:rPr>
                              <w:t xml:space="preserve"> All </w:t>
                            </w:r>
                            <w:r w:rsidR="00AE081D" w:rsidRPr="00D579AF">
                              <w:rPr>
                                <w:rFonts w:ascii="Verdana" w:hAnsi="Verdana"/>
                                <w:sz w:val="18"/>
                                <w:szCs w:val="18"/>
                              </w:rPr>
                              <w:t>preparations were non sonicated.</w:t>
                            </w:r>
                            <w:r w:rsidRPr="00D579AF">
                              <w:rPr>
                                <w:rFonts w:ascii="Verdana" w:hAnsi="Verdana"/>
                                <w:b/>
                                <w:bCs/>
                                <w:sz w:val="18"/>
                                <w:szCs w:val="18"/>
                              </w:rPr>
                              <w:t xml:space="preserve"> B)</w:t>
                            </w:r>
                            <w:r w:rsidRPr="00D579AF">
                              <w:rPr>
                                <w:rFonts w:ascii="Verdana" w:hAnsi="Verdana"/>
                                <w:sz w:val="18"/>
                                <w:szCs w:val="18"/>
                              </w:rPr>
                              <w:t xml:space="preserve"> Representative images for alpha-synuclein oligomers for each provider. </w:t>
                            </w:r>
                            <w:r w:rsidR="00AE081D" w:rsidRPr="00D579AF">
                              <w:rPr>
                                <w:rFonts w:ascii="Verdana" w:hAnsi="Verdana"/>
                                <w:sz w:val="18"/>
                                <w:szCs w:val="18"/>
                              </w:rPr>
                              <w:t xml:space="preserve">All were non sonicated. </w:t>
                            </w:r>
                            <w:r w:rsidRPr="00D579AF">
                              <w:rPr>
                                <w:rFonts w:ascii="Verdana" w:hAnsi="Verdana"/>
                                <w:b/>
                                <w:bCs/>
                                <w:sz w:val="18"/>
                                <w:szCs w:val="18"/>
                              </w:rPr>
                              <w:t>C)</w:t>
                            </w:r>
                            <w:r w:rsidRPr="00D579AF">
                              <w:rPr>
                                <w:rFonts w:ascii="Verdana" w:hAnsi="Verdana"/>
                                <w:sz w:val="18"/>
                                <w:szCs w:val="18"/>
                              </w:rPr>
                              <w:t xml:space="preserve"> Representative images for alpha-synuclein </w:t>
                            </w:r>
                            <w:r w:rsidR="00DB40BF" w:rsidRPr="00D579AF">
                              <w:rPr>
                                <w:rFonts w:ascii="Verdana" w:hAnsi="Verdana"/>
                                <w:sz w:val="18"/>
                                <w:szCs w:val="18"/>
                              </w:rPr>
                              <w:t>pre-formed fibrils for each provider, with (top) or without (bottom) sonication.</w:t>
                            </w:r>
                          </w:p>
                          <w:p w14:paraId="098BF5ED" w14:textId="7624BA40" w:rsidR="00AE081D" w:rsidRPr="00D579AF" w:rsidRDefault="002A74E2" w:rsidP="00D579AF">
                            <w:pPr>
                              <w:ind w:firstLine="0"/>
                              <w:jc w:val="both"/>
                              <w:rPr>
                                <w:rFonts w:ascii="Verdana" w:hAnsi="Verdana"/>
                                <w:sz w:val="18"/>
                                <w:szCs w:val="18"/>
                              </w:rPr>
                            </w:pPr>
                            <w:r w:rsidRPr="00D579AF">
                              <w:rPr>
                                <w:rFonts w:ascii="Verdana" w:hAnsi="Verdana"/>
                                <w:sz w:val="18"/>
                                <w:szCs w:val="18"/>
                              </w:rPr>
                              <w:t xml:space="preserve">Scale bars: Pink, 40nm; White, 100nm; </w:t>
                            </w:r>
                            <w:r w:rsidR="006D52AC" w:rsidRPr="00D579AF">
                              <w:rPr>
                                <w:rFonts w:ascii="Verdana" w:hAnsi="Verdana"/>
                                <w:sz w:val="18"/>
                                <w:szCs w:val="18"/>
                              </w:rPr>
                              <w:t>Yellow, 200nm; Blue, 300nm.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22478E" id="Text Box 41" o:spid="_x0000_s1065" type="#_x0000_t202" style="position:absolute;margin-left:388.2pt;margin-top:601.85pt;width:439.4pt;height:.05pt;z-index:251977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" stroked="f">
                <v:textbox style="mso-fit-shape-to-text:t" inset="0,0,0,0">
                  <w:txbxContent>
                    <w:p w14:paraId="3D41B01B" w14:textId="0251FA2D" w:rsidR="002917A9" w:rsidRPr="00D579AF" w:rsidRDefault="002917A9" w:rsidP="00D579AF">
                      <w:pPr>
                        <w:pStyle w:val="Caption"/>
                        <w:ind w:firstLine="0"/>
                        <w:jc w:val="both"/>
                        <w:rPr>
                          <w:rFonts w:ascii="Verdana" w:hAnsi="Verdana"/>
                          <w:i w:val="0"/>
                          <w:iCs w:val="0"/>
                          <w:color w:val="auto"/>
                        </w:rPr>
                      </w:pPr>
                      <w:bookmarkStart w:id="151" w:name="_Toc131412774"/>
                      <w:r w:rsidRPr="00D579AF">
                        <w:rPr>
                          <w:rFonts w:ascii="Verdana" w:hAnsi="Verdana"/>
                          <w:b/>
                          <w:bCs/>
                          <w:i w:val="0"/>
                          <w:iCs w:val="0"/>
                          <w:color w:val="auto"/>
                        </w:rPr>
                        <w:t xml:space="preserve">Figure </w:t>
                      </w:r>
                      <w:r w:rsidRPr="00D579AF">
                        <w:rPr>
                          <w:rFonts w:ascii="Verdana" w:hAnsi="Verdana"/>
                          <w:b/>
                          <w:bCs/>
                          <w:i w:val="0"/>
                          <w:iCs w:val="0"/>
                          <w:color w:val="auto"/>
                        </w:rPr>
                        <w:fldChar w:fldCharType="begin"/>
                      </w:r>
                      <w:r w:rsidRPr="00D579AF">
                        <w:rPr>
                          <w:rFonts w:ascii="Verdana" w:hAnsi="Verdana"/>
                          <w:b/>
                          <w:bCs/>
                          <w:i w:val="0"/>
                          <w:iCs w:val="0"/>
                          <w:color w:val="auto"/>
                        </w:rPr>
                        <w:instrText xml:space="preserve"> SEQ Figure \* ARABIC </w:instrText>
                      </w:r>
                      <w:r w:rsidRPr="00D579AF">
                        <w:rPr>
                          <w:rFonts w:ascii="Verdana" w:hAnsi="Verdana"/>
                          <w:b/>
                          <w:bCs/>
                          <w:i w:val="0"/>
                          <w:iCs w:val="0"/>
                          <w:color w:val="auto"/>
                        </w:rPr>
                        <w:fldChar w:fldCharType="separate"/>
                      </w:r>
                      <w:r w:rsidR="001D505F">
                        <w:rPr>
                          <w:rFonts w:ascii="Verdana" w:hAnsi="Verdana"/>
                          <w:b/>
                          <w:bCs/>
                          <w:i w:val="0"/>
                          <w:iCs w:val="0"/>
                          <w:noProof/>
                          <w:color w:val="auto"/>
                        </w:rPr>
                        <w:t>32</w:t>
                      </w:r>
                      <w:r w:rsidRPr="00D579AF">
                        <w:rPr>
                          <w:rFonts w:ascii="Verdana" w:hAnsi="Verdana"/>
                          <w:b/>
                          <w:bCs/>
                          <w:i w:val="0"/>
                          <w:iCs w:val="0"/>
                          <w:color w:val="auto"/>
                        </w:rPr>
                        <w:fldChar w:fldCharType="end"/>
                      </w:r>
                      <w:r w:rsidRPr="00D579AF">
                        <w:rPr>
                          <w:rFonts w:ascii="Verdana" w:hAnsi="Verdana"/>
                          <w:b/>
                          <w:bCs/>
                          <w:i w:val="0"/>
                          <w:iCs w:val="0"/>
                          <w:color w:val="auto"/>
                        </w:rPr>
                        <w:t xml:space="preserve"> </w:t>
                      </w:r>
                      <w:r w:rsidRPr="00D579AF">
                        <w:rPr>
                          <w:rFonts w:ascii="Verdana" w:hAnsi="Verdana"/>
                          <w:i w:val="0"/>
                          <w:iCs w:val="0"/>
                          <w:color w:val="auto"/>
                        </w:rPr>
                        <w:t>Electron Microscopy imaging of alpha-synuclein moieties</w:t>
                      </w:r>
                      <w:bookmarkEnd w:id="151"/>
                    </w:p>
                    <w:p w14:paraId="276E9FD1" w14:textId="0D802EB1" w:rsidR="002917A9" w:rsidRPr="00D579AF" w:rsidRDefault="002917A9" w:rsidP="00D579AF">
                      <w:pPr>
                        <w:ind w:firstLine="0"/>
                        <w:jc w:val="both"/>
                        <w:rPr>
                          <w:rFonts w:ascii="Verdana" w:hAnsi="Verdana"/>
                          <w:sz w:val="18"/>
                          <w:szCs w:val="18"/>
                        </w:rPr>
                      </w:pPr>
                      <w:r w:rsidRPr="00D579AF">
                        <w:rPr>
                          <w:rFonts w:ascii="Verdana" w:hAnsi="Verdana"/>
                          <w:b/>
                          <w:bCs/>
                          <w:sz w:val="18"/>
                          <w:szCs w:val="18"/>
                        </w:rPr>
                        <w:t>A)</w:t>
                      </w:r>
                      <w:r w:rsidRPr="00D579AF">
                        <w:rPr>
                          <w:rFonts w:ascii="Verdana" w:hAnsi="Verdana"/>
                          <w:sz w:val="18"/>
                          <w:szCs w:val="18"/>
                        </w:rPr>
                        <w:t xml:space="preserve"> Representative images for alpha-synuclein monomers from each provider.</w:t>
                      </w:r>
                      <w:r w:rsidR="00DB40BF" w:rsidRPr="00D579AF">
                        <w:rPr>
                          <w:rFonts w:ascii="Verdana" w:hAnsi="Verdana"/>
                          <w:sz w:val="18"/>
                          <w:szCs w:val="18"/>
                        </w:rPr>
                        <w:t xml:space="preserve"> All </w:t>
                      </w:r>
                      <w:r w:rsidR="00AE081D" w:rsidRPr="00D579AF">
                        <w:rPr>
                          <w:rFonts w:ascii="Verdana" w:hAnsi="Verdana"/>
                          <w:sz w:val="18"/>
                          <w:szCs w:val="18"/>
                        </w:rPr>
                        <w:t>preparations were non sonicated.</w:t>
                      </w:r>
                      <w:r w:rsidRPr="00D579AF">
                        <w:rPr>
                          <w:rFonts w:ascii="Verdana" w:hAnsi="Verdana"/>
                          <w:b/>
                          <w:bCs/>
                          <w:sz w:val="18"/>
                          <w:szCs w:val="18"/>
                        </w:rPr>
                        <w:t xml:space="preserve"> B)</w:t>
                      </w:r>
                      <w:r w:rsidRPr="00D579AF">
                        <w:rPr>
                          <w:rFonts w:ascii="Verdana" w:hAnsi="Verdana"/>
                          <w:sz w:val="18"/>
                          <w:szCs w:val="18"/>
                        </w:rPr>
                        <w:t xml:space="preserve"> Representative images for alpha-synuclein oligomers for each provider. </w:t>
                      </w:r>
                      <w:r w:rsidR="00AE081D" w:rsidRPr="00D579AF">
                        <w:rPr>
                          <w:rFonts w:ascii="Verdana" w:hAnsi="Verdana"/>
                          <w:sz w:val="18"/>
                          <w:szCs w:val="18"/>
                        </w:rPr>
                        <w:t xml:space="preserve">All were non sonicated. </w:t>
                      </w:r>
                      <w:r w:rsidRPr="00D579AF">
                        <w:rPr>
                          <w:rFonts w:ascii="Verdana" w:hAnsi="Verdana"/>
                          <w:b/>
                          <w:bCs/>
                          <w:sz w:val="18"/>
                          <w:szCs w:val="18"/>
                        </w:rPr>
                        <w:t>C)</w:t>
                      </w:r>
                      <w:r w:rsidRPr="00D579AF">
                        <w:rPr>
                          <w:rFonts w:ascii="Verdana" w:hAnsi="Verdana"/>
                          <w:sz w:val="18"/>
                          <w:szCs w:val="18"/>
                        </w:rPr>
                        <w:t xml:space="preserve"> Representative images for alpha-synuclein </w:t>
                      </w:r>
                      <w:r w:rsidR="00DB40BF" w:rsidRPr="00D579AF">
                        <w:rPr>
                          <w:rFonts w:ascii="Verdana" w:hAnsi="Verdana"/>
                          <w:sz w:val="18"/>
                          <w:szCs w:val="18"/>
                        </w:rPr>
                        <w:t>pre-formed fibrils for each provider, with (top) or without (bottom) sonication.</w:t>
                      </w:r>
                    </w:p>
                    <w:p w14:paraId="098BF5ED" w14:textId="7624BA40" w:rsidR="00AE081D" w:rsidRPr="00D579AF" w:rsidRDefault="002A74E2" w:rsidP="00D579AF">
                      <w:pPr>
                        <w:ind w:firstLine="0"/>
                        <w:jc w:val="both"/>
                        <w:rPr>
                          <w:rFonts w:ascii="Verdana" w:hAnsi="Verdana"/>
                          <w:sz w:val="18"/>
                          <w:szCs w:val="18"/>
                        </w:rPr>
                      </w:pPr>
                      <w:r w:rsidRPr="00D579AF">
                        <w:rPr>
                          <w:rFonts w:ascii="Verdana" w:hAnsi="Verdana"/>
                          <w:sz w:val="18"/>
                          <w:szCs w:val="18"/>
                        </w:rPr>
                        <w:t xml:space="preserve">Scale bars: Pink, 40nm; White, 100nm; </w:t>
                      </w:r>
                      <w:r w:rsidR="006D52AC" w:rsidRPr="00D579AF">
                        <w:rPr>
                          <w:rFonts w:ascii="Verdana" w:hAnsi="Verdana"/>
                          <w:sz w:val="18"/>
                          <w:szCs w:val="18"/>
                        </w:rPr>
                        <w:t>Yellow, 200nm; Blue, 300nm.</w:t>
                      </w:r>
                    </w:p>
                  </w:txbxContent>
                </v:textbox>
                <w10:wrap type="topAndBottom" anchorx="margin"/>
              </v:shape>
            </w:pict>
          </mc:Fallback>
        </mc:AlternateContent>
      </w:r>
      <w:r>
        <w:rPr>
          <w:rFonts w:ascii="Verdana" w:hAnsi="Verdana"/>
          <w:noProof/>
          <w:lang w:val="en-GB"/>
        </w:rPr>
        <w:drawing>
          <wp:anchor distT="0" distB="0" distL="114300" distR="114300" simplePos="0" relativeHeight="251973632" behindDoc="0" locked="0" layoutInCell="1" allowOverlap="1" wp14:anchorId="017A2BA4" wp14:editId="5177F6F0">
            <wp:simplePos x="0" y="0"/>
            <wp:positionH relativeFrom="margin">
              <wp:posOffset>-1878</wp:posOffset>
            </wp:positionH>
            <wp:positionV relativeFrom="paragraph">
              <wp:posOffset>415</wp:posOffset>
            </wp:positionV>
            <wp:extent cx="5580380" cy="2756535"/>
            <wp:effectExtent l="0" t="0" r="1270" b="5715"/>
            <wp:wrapTopAndBottom/>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80380" cy="2756535"/>
                    </a:xfrm>
                    <a:prstGeom prst="rect">
                      <a:avLst/>
                    </a:prstGeom>
                  </pic:spPr>
                </pic:pic>
              </a:graphicData>
            </a:graphic>
          </wp:anchor>
        </w:drawing>
      </w:r>
      <w:r w:rsidR="00AA28B9">
        <w:rPr>
          <w:noProof/>
        </w:rPr>
        <mc:AlternateContent>
          <mc:Choice Requires="wps">
            <w:drawing>
              <wp:anchor distT="0" distB="0" distL="114300" distR="114300" simplePos="0" relativeHeight="252000256" behindDoc="0" locked="0" layoutInCell="1" allowOverlap="1" wp14:anchorId="6EA5C39B" wp14:editId="2A15AE11">
                <wp:simplePos x="0" y="0"/>
                <wp:positionH relativeFrom="margin">
                  <wp:posOffset>-1270</wp:posOffset>
                </wp:positionH>
                <wp:positionV relativeFrom="paragraph">
                  <wp:posOffset>2779414</wp:posOffset>
                </wp:positionV>
                <wp:extent cx="5580380" cy="457200"/>
                <wp:effectExtent l="0" t="0" r="1270" b="0"/>
                <wp:wrapTopAndBottom/>
                <wp:docPr id="59" name="Text Box 59"/>
                <wp:cNvGraphicFramePr/>
                <a:graphic xmlns:a="http://schemas.openxmlformats.org/drawingml/2006/main">
                  <a:graphicData uri="http://schemas.microsoft.com/office/word/2010/wordprocessingShape">
                    <wps:wsp>
                      <wps:cNvSpPr txBox="1"/>
                      <wps:spPr>
                        <a:xfrm>
                          <a:off x="0" y="0"/>
                          <a:ext cx="5580380" cy="457200"/>
                        </a:xfrm>
                        <a:prstGeom prst="rect">
                          <a:avLst/>
                        </a:prstGeom>
                        <a:solidFill>
                          <a:prstClr val="white"/>
                        </a:solidFill>
                        <a:ln>
                          <a:noFill/>
                        </a:ln>
                      </wps:spPr>
                      <wps:txbx>
                        <w:txbxContent>
                          <w:p w14:paraId="40FE2046" w14:textId="14710AB5" w:rsidR="00AA28B9" w:rsidRPr="00AA28B9" w:rsidRDefault="00AA28B9" w:rsidP="00AA28B9">
                            <w:pPr>
                              <w:pStyle w:val="Caption"/>
                              <w:ind w:firstLine="0"/>
                              <w:rPr>
                                <w:rFonts w:ascii="Verdana" w:hAnsi="Verdana"/>
                                <w:i w:val="0"/>
                                <w:iCs w:val="0"/>
                                <w:noProof/>
                                <w:color w:val="auto"/>
                              </w:rPr>
                            </w:pPr>
                            <w:bookmarkStart w:id="152" w:name="_Toc127123002"/>
                            <w:r w:rsidRPr="00AA28B9">
                              <w:rPr>
                                <w:rFonts w:ascii="Verdana" w:hAnsi="Verdana"/>
                                <w:b/>
                                <w:bCs/>
                                <w:i w:val="0"/>
                                <w:iCs w:val="0"/>
                                <w:color w:val="auto"/>
                              </w:rPr>
                              <w:t xml:space="preserve">Table </w:t>
                            </w:r>
                            <w:r w:rsidRPr="00AA28B9">
                              <w:rPr>
                                <w:rFonts w:ascii="Verdana" w:hAnsi="Verdana"/>
                                <w:b/>
                                <w:bCs/>
                                <w:i w:val="0"/>
                                <w:iCs w:val="0"/>
                                <w:color w:val="auto"/>
                              </w:rPr>
                              <w:fldChar w:fldCharType="begin"/>
                            </w:r>
                            <w:r w:rsidRPr="00AA28B9">
                              <w:rPr>
                                <w:rFonts w:ascii="Verdana" w:hAnsi="Verdana"/>
                                <w:b/>
                                <w:bCs/>
                                <w:i w:val="0"/>
                                <w:iCs w:val="0"/>
                                <w:color w:val="auto"/>
                              </w:rPr>
                              <w:instrText xml:space="preserve"> SEQ Table \* ARABIC </w:instrText>
                            </w:r>
                            <w:r w:rsidRPr="00AA28B9">
                              <w:rPr>
                                <w:rFonts w:ascii="Verdana" w:hAnsi="Verdana"/>
                                <w:b/>
                                <w:bCs/>
                                <w:i w:val="0"/>
                                <w:iCs w:val="0"/>
                                <w:color w:val="auto"/>
                              </w:rPr>
                              <w:fldChar w:fldCharType="separate"/>
                            </w:r>
                            <w:r w:rsidR="001D505F">
                              <w:rPr>
                                <w:rFonts w:ascii="Verdana" w:hAnsi="Verdana"/>
                                <w:b/>
                                <w:bCs/>
                                <w:i w:val="0"/>
                                <w:iCs w:val="0"/>
                                <w:noProof/>
                                <w:color w:val="auto"/>
                              </w:rPr>
                              <w:t>2</w:t>
                            </w:r>
                            <w:r w:rsidRPr="00AA28B9">
                              <w:rPr>
                                <w:rFonts w:ascii="Verdana" w:hAnsi="Verdana"/>
                                <w:b/>
                                <w:bCs/>
                                <w:i w:val="0"/>
                                <w:iCs w:val="0"/>
                                <w:color w:val="auto"/>
                              </w:rPr>
                              <w:fldChar w:fldCharType="end"/>
                            </w:r>
                            <w:r w:rsidRPr="00AA28B9">
                              <w:rPr>
                                <w:rFonts w:ascii="Verdana" w:hAnsi="Verdana"/>
                                <w:i w:val="0"/>
                                <w:iCs w:val="0"/>
                                <w:color w:val="auto"/>
                              </w:rPr>
                              <w:t xml:space="preserve"> List of alpha-synuclein moieties </w:t>
                            </w:r>
                            <w:proofErr w:type="spellStart"/>
                            <w:r w:rsidRPr="00AA28B9">
                              <w:rPr>
                                <w:rFonts w:ascii="Verdana" w:hAnsi="Verdana"/>
                                <w:i w:val="0"/>
                                <w:iCs w:val="0"/>
                                <w:color w:val="auto"/>
                              </w:rPr>
                              <w:t>analysed</w:t>
                            </w:r>
                            <w:proofErr w:type="spellEnd"/>
                            <w:r w:rsidRPr="00AA28B9">
                              <w:rPr>
                                <w:rFonts w:ascii="Verdana" w:hAnsi="Verdana"/>
                                <w:i w:val="0"/>
                                <w:iCs w:val="0"/>
                                <w:color w:val="auto"/>
                              </w:rPr>
                              <w:t>. The indicated concentration is that of the initial stock.</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EA5C39B" id="Text Box 59" o:spid="_x0000_s1066" type="#_x0000_t202" style="position:absolute;margin-left:-.1pt;margin-top:218.85pt;width:439.4pt;height:36pt;z-index:252000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" stroked="f">
                <v:textbox inset="0,0,0,0">
                  <w:txbxContent>
                    <w:p w14:paraId="40FE2046" w14:textId="14710AB5" w:rsidR="00AA28B9" w:rsidRPr="00AA28B9" w:rsidRDefault="00AA28B9" w:rsidP="00AA28B9">
                      <w:pPr>
                        <w:pStyle w:val="Caption"/>
                        <w:ind w:firstLine="0"/>
                        <w:rPr>
                          <w:rFonts w:ascii="Verdana" w:hAnsi="Verdana"/>
                          <w:i w:val="0"/>
                          <w:iCs w:val="0"/>
                          <w:noProof/>
                          <w:color w:val="auto"/>
                        </w:rPr>
                      </w:pPr>
                      <w:bookmarkStart w:id="153" w:name="_Toc127123002"/>
                      <w:r w:rsidRPr="00AA28B9">
                        <w:rPr>
                          <w:rFonts w:ascii="Verdana" w:hAnsi="Verdana"/>
                          <w:b/>
                          <w:bCs/>
                          <w:i w:val="0"/>
                          <w:iCs w:val="0"/>
                          <w:color w:val="auto"/>
                        </w:rPr>
                        <w:t xml:space="preserve">Table </w:t>
                      </w:r>
                      <w:r w:rsidRPr="00AA28B9">
                        <w:rPr>
                          <w:rFonts w:ascii="Verdana" w:hAnsi="Verdana"/>
                          <w:b/>
                          <w:bCs/>
                          <w:i w:val="0"/>
                          <w:iCs w:val="0"/>
                          <w:color w:val="auto"/>
                        </w:rPr>
                        <w:fldChar w:fldCharType="begin"/>
                      </w:r>
                      <w:r w:rsidRPr="00AA28B9">
                        <w:rPr>
                          <w:rFonts w:ascii="Verdana" w:hAnsi="Verdana"/>
                          <w:b/>
                          <w:bCs/>
                          <w:i w:val="0"/>
                          <w:iCs w:val="0"/>
                          <w:color w:val="auto"/>
                        </w:rPr>
                        <w:instrText xml:space="preserve"> SEQ Table \* ARABIC </w:instrText>
                      </w:r>
                      <w:r w:rsidRPr="00AA28B9">
                        <w:rPr>
                          <w:rFonts w:ascii="Verdana" w:hAnsi="Verdana"/>
                          <w:b/>
                          <w:bCs/>
                          <w:i w:val="0"/>
                          <w:iCs w:val="0"/>
                          <w:color w:val="auto"/>
                        </w:rPr>
                        <w:fldChar w:fldCharType="separate"/>
                      </w:r>
                      <w:r w:rsidR="001D505F">
                        <w:rPr>
                          <w:rFonts w:ascii="Verdana" w:hAnsi="Verdana"/>
                          <w:b/>
                          <w:bCs/>
                          <w:i w:val="0"/>
                          <w:iCs w:val="0"/>
                          <w:noProof/>
                          <w:color w:val="auto"/>
                        </w:rPr>
                        <w:t>2</w:t>
                      </w:r>
                      <w:r w:rsidRPr="00AA28B9">
                        <w:rPr>
                          <w:rFonts w:ascii="Verdana" w:hAnsi="Verdana"/>
                          <w:b/>
                          <w:bCs/>
                          <w:i w:val="0"/>
                          <w:iCs w:val="0"/>
                          <w:color w:val="auto"/>
                        </w:rPr>
                        <w:fldChar w:fldCharType="end"/>
                      </w:r>
                      <w:r w:rsidRPr="00AA28B9">
                        <w:rPr>
                          <w:rFonts w:ascii="Verdana" w:hAnsi="Verdana"/>
                          <w:i w:val="0"/>
                          <w:iCs w:val="0"/>
                          <w:color w:val="auto"/>
                        </w:rPr>
                        <w:t xml:space="preserve"> List of alpha-synuclein moieties </w:t>
                      </w:r>
                      <w:proofErr w:type="spellStart"/>
                      <w:r w:rsidRPr="00AA28B9">
                        <w:rPr>
                          <w:rFonts w:ascii="Verdana" w:hAnsi="Verdana"/>
                          <w:i w:val="0"/>
                          <w:iCs w:val="0"/>
                          <w:color w:val="auto"/>
                        </w:rPr>
                        <w:t>analysed</w:t>
                      </w:r>
                      <w:proofErr w:type="spellEnd"/>
                      <w:r w:rsidRPr="00AA28B9">
                        <w:rPr>
                          <w:rFonts w:ascii="Verdana" w:hAnsi="Verdana"/>
                          <w:i w:val="0"/>
                          <w:iCs w:val="0"/>
                          <w:color w:val="auto"/>
                        </w:rPr>
                        <w:t>. The indicated concentration is that of the initial stock.</w:t>
                      </w:r>
                      <w:bookmarkEnd w:id="153"/>
                    </w:p>
                  </w:txbxContent>
                </v:textbox>
                <w10:wrap type="topAndBottom" anchorx="margin"/>
              </v:shape>
            </w:pict>
          </mc:Fallback>
        </mc:AlternateContent>
      </w:r>
      <w:r w:rsidR="00E726ED">
        <w:rPr>
          <w:rFonts w:ascii="Verdana" w:hAnsi="Verdana"/>
          <w:lang w:val="en-GB"/>
        </w:rPr>
        <w:br w:type="page"/>
      </w:r>
    </w:p>
    <w:p w14:paraId="3D6CC5BA" w14:textId="02C77885" w:rsidR="001A7672" w:rsidRPr="00D057B5" w:rsidRDefault="009E5729" w:rsidP="009E5729">
      <w:pPr>
        <w:pStyle w:val="Heading2"/>
        <w:spacing w:line="360" w:lineRule="auto"/>
        <w:rPr>
          <w:lang w:val="en-GB"/>
        </w:rPr>
      </w:pPr>
      <w:bookmarkStart w:id="154" w:name="_Toc130223463"/>
      <w:r>
        <w:rPr>
          <w:lang w:val="en-GB"/>
        </w:rPr>
        <w:lastRenderedPageBreak/>
        <w:t xml:space="preserve">8.2 </w:t>
      </w:r>
      <w:r>
        <w:rPr>
          <w:lang w:val="en-GB"/>
        </w:rPr>
        <w:tab/>
      </w:r>
      <w:r w:rsidR="00D057B5" w:rsidRPr="00D057B5">
        <w:rPr>
          <w:lang w:val="en-GB"/>
        </w:rPr>
        <w:t>Alpha-synuclein oligomers and PFFs cause a dose-dependent cytotoxicity in LUHMES cells</w:t>
      </w:r>
      <w:bookmarkEnd w:id="154"/>
    </w:p>
    <w:p w14:paraId="6662C285" w14:textId="48BC5295" w:rsidR="00D057B5" w:rsidRDefault="00131B85" w:rsidP="00C91C96">
      <w:pPr>
        <w:spacing w:line="360" w:lineRule="auto"/>
        <w:jc w:val="both"/>
        <w:rPr>
          <w:rFonts w:ascii="Verdana" w:hAnsi="Verdana"/>
          <w:lang w:val="en-GB"/>
        </w:rPr>
      </w:pPr>
      <w:r>
        <w:rPr>
          <w:rFonts w:ascii="Verdana" w:hAnsi="Verdana"/>
          <w:lang w:val="en-GB"/>
        </w:rPr>
        <w:t>Cytotoxicity was evaluated for all</w:t>
      </w:r>
      <w:r w:rsidR="00453AF2">
        <w:rPr>
          <w:rFonts w:ascii="Verdana" w:hAnsi="Verdana"/>
          <w:lang w:val="en-GB"/>
        </w:rPr>
        <w:t xml:space="preserve"> </w:t>
      </w:r>
      <w:proofErr w:type="spellStart"/>
      <w:r w:rsidR="00453AF2">
        <w:rPr>
          <w:rFonts w:ascii="Verdana" w:hAnsi="Verdana"/>
          <w:lang w:val="en-GB"/>
        </w:rPr>
        <w:t>StressMarq</w:t>
      </w:r>
      <w:proofErr w:type="spellEnd"/>
      <w:r w:rsidR="00453AF2">
        <w:rPr>
          <w:rFonts w:ascii="Verdana" w:hAnsi="Verdana"/>
          <w:lang w:val="en-GB"/>
        </w:rPr>
        <w:t xml:space="preserve"> alpha-synuclein</w:t>
      </w:r>
      <w:r>
        <w:rPr>
          <w:rFonts w:ascii="Verdana" w:hAnsi="Verdana"/>
          <w:lang w:val="en-GB"/>
        </w:rPr>
        <w:t xml:space="preserve"> moieties</w:t>
      </w:r>
      <w:r w:rsidR="00453AF2">
        <w:rPr>
          <w:rFonts w:ascii="Verdana" w:hAnsi="Verdana"/>
          <w:lang w:val="en-GB"/>
        </w:rPr>
        <w:t xml:space="preserve">, and for </w:t>
      </w:r>
      <w:proofErr w:type="spellStart"/>
      <w:r w:rsidR="00453AF2">
        <w:rPr>
          <w:rFonts w:ascii="Verdana" w:hAnsi="Verdana"/>
          <w:lang w:val="en-GB"/>
        </w:rPr>
        <w:t>Cantabio</w:t>
      </w:r>
      <w:proofErr w:type="spellEnd"/>
      <w:r w:rsidR="00453AF2">
        <w:rPr>
          <w:rFonts w:ascii="Verdana" w:hAnsi="Verdana"/>
          <w:lang w:val="en-GB"/>
        </w:rPr>
        <w:t xml:space="preserve"> PFFs</w:t>
      </w:r>
      <w:r>
        <w:rPr>
          <w:rFonts w:ascii="Verdana" w:hAnsi="Verdana"/>
          <w:lang w:val="en-GB"/>
        </w:rPr>
        <w:t xml:space="preserve"> on</w:t>
      </w:r>
      <w:r w:rsidR="008D4FD2">
        <w:rPr>
          <w:rFonts w:ascii="Verdana" w:hAnsi="Verdana"/>
          <w:lang w:val="en-GB"/>
        </w:rPr>
        <w:t xml:space="preserve"> neuronally differentiated</w:t>
      </w:r>
      <w:r w:rsidR="00453AF2">
        <w:rPr>
          <w:rFonts w:ascii="Verdana" w:hAnsi="Verdana"/>
          <w:lang w:val="en-GB"/>
        </w:rPr>
        <w:t xml:space="preserve"> LUHMES wild-type cells. </w:t>
      </w:r>
      <w:r w:rsidR="001050A1">
        <w:rPr>
          <w:rFonts w:ascii="Verdana" w:hAnsi="Verdana"/>
          <w:lang w:val="en-GB"/>
        </w:rPr>
        <w:t>Only one experiment was performed for type 1 and type 2 monomers (Figure 3</w:t>
      </w:r>
      <w:r w:rsidR="00BD623E">
        <w:rPr>
          <w:rFonts w:ascii="Verdana" w:hAnsi="Verdana"/>
          <w:lang w:val="en-GB"/>
        </w:rPr>
        <w:t>3</w:t>
      </w:r>
      <w:r w:rsidR="001050A1">
        <w:rPr>
          <w:rFonts w:ascii="Verdana" w:hAnsi="Verdana"/>
          <w:lang w:val="en-GB"/>
        </w:rPr>
        <w:t>A). Monomers were tested in concentrations ranging from 0.0005 to 5</w:t>
      </w:r>
      <w:r w:rsidR="001050A1" w:rsidRPr="00B77A7A">
        <w:rPr>
          <w:rFonts w:ascii="Verdana" w:hAnsi="Verdana" w:cs="Calibri"/>
          <w:lang w:val="en-GB"/>
        </w:rPr>
        <w:t>µ</w:t>
      </w:r>
      <w:r w:rsidR="001050A1">
        <w:rPr>
          <w:rFonts w:ascii="Verdana" w:hAnsi="Verdana"/>
          <w:lang w:val="en-GB"/>
        </w:rPr>
        <w:t>M</w:t>
      </w:r>
      <w:r w:rsidR="00A26A03">
        <w:rPr>
          <w:rFonts w:ascii="Verdana" w:hAnsi="Verdana"/>
          <w:lang w:val="en-GB"/>
        </w:rPr>
        <w:t xml:space="preserve">, for a </w:t>
      </w:r>
      <w:r w:rsidR="009C00B8">
        <w:rPr>
          <w:rFonts w:ascii="Verdana" w:hAnsi="Verdana"/>
          <w:lang w:val="en-GB"/>
        </w:rPr>
        <w:t>5-day exposure treatment</w:t>
      </w:r>
      <w:r w:rsidR="001050A1">
        <w:rPr>
          <w:rFonts w:ascii="Verdana" w:hAnsi="Verdana"/>
          <w:lang w:val="en-GB"/>
        </w:rPr>
        <w:t>.</w:t>
      </w:r>
      <w:r w:rsidR="003643B3">
        <w:rPr>
          <w:rFonts w:ascii="Verdana" w:hAnsi="Verdana"/>
          <w:lang w:val="en-GB"/>
        </w:rPr>
        <w:t xml:space="preserve"> For all concentration, no cytotoxic effect was observed. </w:t>
      </w:r>
      <w:proofErr w:type="spellStart"/>
      <w:r w:rsidR="003643B3">
        <w:rPr>
          <w:rFonts w:ascii="Verdana" w:hAnsi="Verdana"/>
          <w:lang w:val="en-GB"/>
        </w:rPr>
        <w:t>StressMarq</w:t>
      </w:r>
      <w:proofErr w:type="spellEnd"/>
      <w:r w:rsidR="003643B3">
        <w:rPr>
          <w:rFonts w:ascii="Verdana" w:hAnsi="Verdana"/>
          <w:lang w:val="en-GB"/>
        </w:rPr>
        <w:t xml:space="preserve"> oligomers were characterised a bit more extensively. Two dose-response experiments assessing oligomers’ effect on cell viability</w:t>
      </w:r>
      <w:r w:rsidR="009C00B8">
        <w:rPr>
          <w:rFonts w:ascii="Verdana" w:hAnsi="Verdana"/>
          <w:lang w:val="en-GB"/>
        </w:rPr>
        <w:t xml:space="preserve"> after 24h</w:t>
      </w:r>
      <w:r w:rsidR="003643B3">
        <w:rPr>
          <w:rFonts w:ascii="Verdana" w:hAnsi="Verdana"/>
          <w:lang w:val="en-GB"/>
        </w:rPr>
        <w:t xml:space="preserve"> for concentrations ranging from 0.0001 to 1</w:t>
      </w:r>
      <w:r w:rsidR="00C91C96" w:rsidRPr="00B77A7A">
        <w:rPr>
          <w:rFonts w:ascii="Verdana" w:hAnsi="Verdana" w:cs="Calibri"/>
          <w:lang w:val="en-GB"/>
        </w:rPr>
        <w:t>µ</w:t>
      </w:r>
      <w:r w:rsidR="00C91C96">
        <w:rPr>
          <w:rFonts w:ascii="Verdana" w:hAnsi="Verdana"/>
          <w:lang w:val="en-GB"/>
        </w:rPr>
        <w:t xml:space="preserve">M were performed. </w:t>
      </w:r>
      <w:r w:rsidR="00145125">
        <w:rPr>
          <w:rFonts w:ascii="Verdana" w:hAnsi="Verdana"/>
          <w:lang w:val="en-GB"/>
        </w:rPr>
        <w:t>Even despite a rather big variability before the two replicates, a trend for increased toxicity with dosage can be observed (Figure 3</w:t>
      </w:r>
      <w:r w:rsidR="00BD623E">
        <w:rPr>
          <w:rFonts w:ascii="Verdana" w:hAnsi="Verdana"/>
          <w:lang w:val="en-GB"/>
        </w:rPr>
        <w:t>3</w:t>
      </w:r>
      <w:r w:rsidR="00145125">
        <w:rPr>
          <w:rFonts w:ascii="Verdana" w:hAnsi="Verdana"/>
          <w:lang w:val="en-GB"/>
        </w:rPr>
        <w:t xml:space="preserve">B). Cytotoxicity for </w:t>
      </w:r>
      <w:r w:rsidR="000278D2">
        <w:rPr>
          <w:rFonts w:ascii="Verdana" w:hAnsi="Verdana"/>
          <w:lang w:val="en-GB"/>
        </w:rPr>
        <w:t xml:space="preserve">2, 12 and 24h exposure to </w:t>
      </w:r>
      <w:r w:rsidR="00145125">
        <w:rPr>
          <w:rFonts w:ascii="Verdana" w:hAnsi="Verdana"/>
          <w:lang w:val="en-GB"/>
        </w:rPr>
        <w:t>0.5 and 1</w:t>
      </w:r>
      <w:r w:rsidR="00145125" w:rsidRPr="00B77A7A">
        <w:rPr>
          <w:rFonts w:ascii="Verdana" w:hAnsi="Verdana" w:cs="Calibri"/>
          <w:lang w:val="en-GB"/>
        </w:rPr>
        <w:t>µ</w:t>
      </w:r>
      <w:r w:rsidR="00145125">
        <w:rPr>
          <w:rFonts w:ascii="Verdana" w:hAnsi="Verdana"/>
          <w:lang w:val="en-GB"/>
        </w:rPr>
        <w:t>M concentrations w</w:t>
      </w:r>
      <w:r w:rsidR="000278D2">
        <w:rPr>
          <w:rFonts w:ascii="Verdana" w:hAnsi="Verdana"/>
          <w:lang w:val="en-GB"/>
        </w:rPr>
        <w:t>as also evaluated. Again, there was some variability between the two replicates</w:t>
      </w:r>
      <w:r w:rsidR="0042672D">
        <w:rPr>
          <w:rFonts w:ascii="Verdana" w:hAnsi="Verdana"/>
          <w:lang w:val="en-GB"/>
        </w:rPr>
        <w:t>. Overall, the 0.5</w:t>
      </w:r>
      <w:r w:rsidR="0042672D" w:rsidRPr="00B77A7A">
        <w:rPr>
          <w:rFonts w:ascii="Verdana" w:hAnsi="Verdana" w:cs="Calibri"/>
          <w:lang w:val="en-GB"/>
        </w:rPr>
        <w:t>µ</w:t>
      </w:r>
      <w:r w:rsidR="0042672D">
        <w:rPr>
          <w:rFonts w:ascii="Verdana" w:hAnsi="Verdana"/>
          <w:lang w:val="en-GB"/>
        </w:rPr>
        <w:t xml:space="preserve">M treatment did not seem to induce toxicity at any of the </w:t>
      </w:r>
      <w:r w:rsidR="008B733F">
        <w:rPr>
          <w:rFonts w:ascii="Verdana" w:hAnsi="Verdana"/>
          <w:lang w:val="en-GB"/>
        </w:rPr>
        <w:t>timepoints (Figure 3</w:t>
      </w:r>
      <w:r w:rsidR="00BD623E">
        <w:rPr>
          <w:rFonts w:ascii="Verdana" w:hAnsi="Verdana"/>
          <w:lang w:val="en-GB"/>
        </w:rPr>
        <w:t>3</w:t>
      </w:r>
      <w:r w:rsidR="008B733F">
        <w:rPr>
          <w:rFonts w:ascii="Verdana" w:hAnsi="Verdana"/>
          <w:lang w:val="en-GB"/>
        </w:rPr>
        <w:t>C, left), while 1</w:t>
      </w:r>
      <w:r w:rsidR="008B733F" w:rsidRPr="00B77A7A">
        <w:rPr>
          <w:rFonts w:ascii="Verdana" w:hAnsi="Verdana" w:cs="Calibri"/>
          <w:lang w:val="en-GB"/>
        </w:rPr>
        <w:t>µ</w:t>
      </w:r>
      <w:r w:rsidR="008B733F">
        <w:rPr>
          <w:rFonts w:ascii="Verdana" w:hAnsi="Verdana"/>
          <w:lang w:val="en-GB"/>
        </w:rPr>
        <w:t>M oligomers treatment was toxic already at 2h (about 20% reduced cell viabilit</w:t>
      </w:r>
      <w:r w:rsidR="00F348BD">
        <w:rPr>
          <w:rFonts w:ascii="Verdana" w:hAnsi="Verdana"/>
          <w:lang w:val="en-GB"/>
        </w:rPr>
        <w:t>y</w:t>
      </w:r>
      <w:r w:rsidR="008B733F">
        <w:rPr>
          <w:rFonts w:ascii="Verdana" w:hAnsi="Verdana"/>
          <w:lang w:val="en-GB"/>
        </w:rPr>
        <w:t>), with the highest toxicity detected at 24h</w:t>
      </w:r>
      <w:r w:rsidR="00F348BD">
        <w:rPr>
          <w:rFonts w:ascii="Verdana" w:hAnsi="Verdana"/>
          <w:lang w:val="en-GB"/>
        </w:rPr>
        <w:t xml:space="preserve"> (Figure 3</w:t>
      </w:r>
      <w:r w:rsidR="00BD623E">
        <w:rPr>
          <w:rFonts w:ascii="Verdana" w:hAnsi="Verdana"/>
          <w:lang w:val="en-GB"/>
        </w:rPr>
        <w:t>3</w:t>
      </w:r>
      <w:r w:rsidR="00F348BD">
        <w:rPr>
          <w:rFonts w:ascii="Verdana" w:hAnsi="Verdana"/>
          <w:lang w:val="en-GB"/>
        </w:rPr>
        <w:t xml:space="preserve">C, right). </w:t>
      </w:r>
      <w:r w:rsidR="00BB48D9">
        <w:rPr>
          <w:rFonts w:ascii="Verdana" w:hAnsi="Verdana"/>
          <w:lang w:val="en-GB"/>
        </w:rPr>
        <w:t xml:space="preserve">Overall, concentration more than exposure time seems to be the </w:t>
      </w:r>
      <w:r w:rsidR="00C32758">
        <w:rPr>
          <w:rFonts w:ascii="Verdana" w:hAnsi="Verdana"/>
          <w:lang w:val="en-GB"/>
        </w:rPr>
        <w:t xml:space="preserve">driving factor of oligomers’ cytotoxicity. </w:t>
      </w:r>
      <w:r w:rsidR="00CF4EB9">
        <w:rPr>
          <w:rFonts w:ascii="Verdana" w:hAnsi="Verdana"/>
          <w:lang w:val="en-GB"/>
        </w:rPr>
        <w:t>To note, a 24h treatment with 1</w:t>
      </w:r>
      <w:r w:rsidR="00CF4EB9" w:rsidRPr="00B77A7A">
        <w:rPr>
          <w:rFonts w:ascii="Verdana" w:hAnsi="Verdana" w:cs="Calibri"/>
          <w:lang w:val="en-GB"/>
        </w:rPr>
        <w:t>µ</w:t>
      </w:r>
      <w:r w:rsidR="00CF4EB9">
        <w:rPr>
          <w:rFonts w:ascii="Verdana" w:hAnsi="Verdana"/>
          <w:lang w:val="en-GB"/>
        </w:rPr>
        <w:t xml:space="preserve">M oligomers seemed to produce an average of 50% of reduction in cell variability both </w:t>
      </w:r>
      <w:r w:rsidR="000602BA">
        <w:rPr>
          <w:rFonts w:ascii="Verdana" w:hAnsi="Verdana"/>
          <w:lang w:val="en-GB"/>
        </w:rPr>
        <w:t>Figure 3</w:t>
      </w:r>
      <w:r w:rsidR="00BD623E">
        <w:rPr>
          <w:rFonts w:ascii="Verdana" w:hAnsi="Verdana"/>
          <w:lang w:val="en-GB"/>
        </w:rPr>
        <w:t>3</w:t>
      </w:r>
      <w:r w:rsidR="000602BA">
        <w:rPr>
          <w:rFonts w:ascii="Verdana" w:hAnsi="Verdana"/>
          <w:lang w:val="en-GB"/>
        </w:rPr>
        <w:t>B and 3</w:t>
      </w:r>
      <w:r w:rsidR="00BD623E">
        <w:rPr>
          <w:rFonts w:ascii="Verdana" w:hAnsi="Verdana"/>
          <w:lang w:val="en-GB"/>
        </w:rPr>
        <w:t>3</w:t>
      </w:r>
      <w:r w:rsidR="000602BA">
        <w:rPr>
          <w:rFonts w:ascii="Verdana" w:hAnsi="Verdana"/>
          <w:lang w:val="en-GB"/>
        </w:rPr>
        <w:t>C displaying a total of 4 independent experiments, suggesting that the toxic effect of the oligomeric moieties is indeed real.</w:t>
      </w:r>
      <w:r w:rsidR="00645026">
        <w:rPr>
          <w:rFonts w:ascii="Verdana" w:hAnsi="Verdana"/>
          <w:lang w:val="en-GB"/>
        </w:rPr>
        <w:t xml:space="preserve"> </w:t>
      </w:r>
      <w:r w:rsidR="002B5882">
        <w:rPr>
          <w:rFonts w:ascii="Verdana" w:hAnsi="Verdana"/>
          <w:lang w:val="en-GB"/>
        </w:rPr>
        <w:t>Only one experiment was available for pre-formed fibrils. PFFs were tested in serial dilutions ranging from 5 to 0.005</w:t>
      </w:r>
      <w:r w:rsidR="00C31124" w:rsidRPr="001A414C">
        <w:rPr>
          <w:rFonts w:ascii="Verdana" w:hAnsi="Verdana" w:cs="Calibri"/>
          <w:lang w:val="en-GB"/>
        </w:rPr>
        <w:t>µ</w:t>
      </w:r>
      <w:r w:rsidR="00C31124">
        <w:rPr>
          <w:rFonts w:ascii="Verdana" w:hAnsi="Verdana"/>
          <w:lang w:val="en-GB"/>
        </w:rPr>
        <w:t>M</w:t>
      </w:r>
      <w:r w:rsidR="009C00B8">
        <w:rPr>
          <w:rFonts w:ascii="Verdana" w:hAnsi="Verdana"/>
          <w:lang w:val="en-GB"/>
        </w:rPr>
        <w:t>, for a 5-day treatment</w:t>
      </w:r>
      <w:r w:rsidR="00C31124">
        <w:rPr>
          <w:rFonts w:ascii="Verdana" w:hAnsi="Verdana"/>
          <w:lang w:val="en-GB"/>
        </w:rPr>
        <w:t xml:space="preserve">. Both type 1 (yellow) and type 2 (orange) PFFs from </w:t>
      </w:r>
      <w:proofErr w:type="spellStart"/>
      <w:r w:rsidR="00C31124">
        <w:rPr>
          <w:rFonts w:ascii="Verdana" w:hAnsi="Verdana"/>
          <w:lang w:val="en-GB"/>
        </w:rPr>
        <w:t>StressMarq</w:t>
      </w:r>
      <w:proofErr w:type="spellEnd"/>
      <w:r w:rsidR="00C31124">
        <w:rPr>
          <w:rFonts w:ascii="Verdana" w:hAnsi="Verdana"/>
          <w:lang w:val="en-GB"/>
        </w:rPr>
        <w:t xml:space="preserve"> were not toxic at the lowest </w:t>
      </w:r>
      <w:proofErr w:type="gramStart"/>
      <w:r w:rsidR="00C31124">
        <w:rPr>
          <w:rFonts w:ascii="Verdana" w:hAnsi="Verdana"/>
          <w:lang w:val="en-GB"/>
        </w:rPr>
        <w:t>concentration, and</w:t>
      </w:r>
      <w:proofErr w:type="gramEnd"/>
      <w:r w:rsidR="00C31124">
        <w:rPr>
          <w:rFonts w:ascii="Verdana" w:hAnsi="Verdana"/>
          <w:lang w:val="en-GB"/>
        </w:rPr>
        <w:t xml:space="preserve"> showed to induce a dose-dependent cytotoxicity with a rapid decline to respectively 60 and 30% reduced viability at 0.5</w:t>
      </w:r>
      <w:r w:rsidR="00C31124" w:rsidRPr="001A414C">
        <w:rPr>
          <w:rFonts w:ascii="Verdana" w:hAnsi="Verdana" w:cs="Calibri"/>
          <w:lang w:val="en-GB"/>
        </w:rPr>
        <w:t>µ</w:t>
      </w:r>
      <w:r w:rsidR="00C31124">
        <w:rPr>
          <w:rFonts w:ascii="Verdana" w:hAnsi="Verdana"/>
          <w:lang w:val="en-GB"/>
        </w:rPr>
        <w:t xml:space="preserve">M and only </w:t>
      </w:r>
      <w:r w:rsidR="002C34D4">
        <w:rPr>
          <w:rFonts w:ascii="Verdana" w:hAnsi="Verdana"/>
          <w:lang w:val="en-GB"/>
        </w:rPr>
        <w:t xml:space="preserve">20 and 10% </w:t>
      </w:r>
      <w:r w:rsidR="009C00B8">
        <w:rPr>
          <w:rFonts w:ascii="Verdana" w:hAnsi="Verdana"/>
          <w:lang w:val="en-GB"/>
        </w:rPr>
        <w:t xml:space="preserve">residual </w:t>
      </w:r>
      <w:r w:rsidR="002C34D4">
        <w:rPr>
          <w:rFonts w:ascii="Verdana" w:hAnsi="Verdana"/>
          <w:lang w:val="en-GB"/>
        </w:rPr>
        <w:t xml:space="preserve">viability at the highest tested dose </w:t>
      </w:r>
      <w:r w:rsidR="00C31124">
        <w:rPr>
          <w:rFonts w:ascii="Verdana" w:hAnsi="Verdana"/>
          <w:lang w:val="en-GB"/>
        </w:rPr>
        <w:t>(Figure 3</w:t>
      </w:r>
      <w:r w:rsidR="00BD623E">
        <w:rPr>
          <w:rFonts w:ascii="Verdana" w:hAnsi="Verdana"/>
          <w:lang w:val="en-GB"/>
        </w:rPr>
        <w:t>3</w:t>
      </w:r>
      <w:r w:rsidR="00C31124">
        <w:rPr>
          <w:rFonts w:ascii="Verdana" w:hAnsi="Verdana"/>
          <w:lang w:val="en-GB"/>
        </w:rPr>
        <w:t>D).</w:t>
      </w:r>
      <w:r w:rsidR="002C34D4">
        <w:rPr>
          <w:rFonts w:ascii="Verdana" w:hAnsi="Verdana"/>
          <w:lang w:val="en-GB"/>
        </w:rPr>
        <w:t xml:space="preserve"> Fibrils from </w:t>
      </w:r>
      <w:proofErr w:type="spellStart"/>
      <w:r w:rsidR="002C34D4">
        <w:rPr>
          <w:rFonts w:ascii="Verdana" w:hAnsi="Verdana"/>
          <w:lang w:val="en-GB"/>
        </w:rPr>
        <w:t>Cantabio</w:t>
      </w:r>
      <w:proofErr w:type="spellEnd"/>
      <w:r w:rsidR="002C34D4">
        <w:rPr>
          <w:rFonts w:ascii="Verdana" w:hAnsi="Verdana"/>
          <w:lang w:val="en-GB"/>
        </w:rPr>
        <w:t xml:space="preserve"> (red) showed a</w:t>
      </w:r>
      <w:r w:rsidR="00BB48D9">
        <w:rPr>
          <w:rFonts w:ascii="Verdana" w:hAnsi="Verdana"/>
          <w:lang w:val="en-GB"/>
        </w:rPr>
        <w:t xml:space="preserve"> high toxic effect </w:t>
      </w:r>
      <w:r w:rsidR="00C32758">
        <w:rPr>
          <w:rFonts w:ascii="Verdana" w:hAnsi="Verdana"/>
          <w:lang w:val="en-GB"/>
        </w:rPr>
        <w:t xml:space="preserve">already at the lowest concentration, and cytotoxicity levels </w:t>
      </w:r>
      <w:r w:rsidR="00927DC7">
        <w:rPr>
          <w:rFonts w:ascii="Verdana" w:hAnsi="Verdana"/>
          <w:lang w:val="en-GB"/>
        </w:rPr>
        <w:t>remained rather constant for all concentrations tested (Figure 3</w:t>
      </w:r>
      <w:r w:rsidR="00BD623E">
        <w:rPr>
          <w:rFonts w:ascii="Verdana" w:hAnsi="Verdana"/>
          <w:lang w:val="en-GB"/>
        </w:rPr>
        <w:t>3</w:t>
      </w:r>
      <w:r w:rsidR="00927DC7">
        <w:rPr>
          <w:rFonts w:ascii="Verdana" w:hAnsi="Verdana"/>
          <w:lang w:val="en-GB"/>
        </w:rPr>
        <w:t xml:space="preserve">D). Previous reports on </w:t>
      </w:r>
      <w:proofErr w:type="spellStart"/>
      <w:r w:rsidR="009D6BA7">
        <w:rPr>
          <w:rFonts w:ascii="Verdana" w:hAnsi="Verdana"/>
          <w:lang w:val="en-GB"/>
        </w:rPr>
        <w:t>Cantabio</w:t>
      </w:r>
      <w:proofErr w:type="spellEnd"/>
      <w:r w:rsidR="009D6BA7">
        <w:rPr>
          <w:rFonts w:ascii="Verdana" w:hAnsi="Verdana"/>
          <w:lang w:val="en-GB"/>
        </w:rPr>
        <w:t xml:space="preserve"> PFFs action showed only a mild effect after 5 days of treatment, and thus are in contradiction with our findings</w:t>
      </w:r>
      <w:r w:rsidR="001C47E3">
        <w:rPr>
          <w:rFonts w:ascii="Verdana" w:hAnsi="Verdana"/>
          <w:lang w:val="en-GB"/>
        </w:rPr>
        <w:t>. Th</w:t>
      </w:r>
      <w:r w:rsidR="009C00B8">
        <w:rPr>
          <w:rFonts w:ascii="Verdana" w:hAnsi="Verdana"/>
          <w:lang w:val="en-GB"/>
        </w:rPr>
        <w:t>erefore, th</w:t>
      </w:r>
      <w:r w:rsidR="003874A1">
        <w:rPr>
          <w:rFonts w:ascii="Verdana" w:hAnsi="Verdana"/>
          <w:lang w:val="en-GB"/>
        </w:rPr>
        <w:t>is test would need to be repeated to understand if the differences observed are resulting from a technical issue or</w:t>
      </w:r>
      <w:r w:rsidR="009C7475">
        <w:rPr>
          <w:rFonts w:ascii="Verdana" w:hAnsi="Verdana"/>
          <w:lang w:val="en-GB"/>
        </w:rPr>
        <w:t xml:space="preserve"> are</w:t>
      </w:r>
      <w:r w:rsidR="003874A1">
        <w:rPr>
          <w:rFonts w:ascii="Verdana" w:hAnsi="Verdana"/>
          <w:lang w:val="en-GB"/>
        </w:rPr>
        <w:t xml:space="preserve"> a real biological consequence linked to the different cell type used.</w:t>
      </w:r>
    </w:p>
    <w:p w14:paraId="7FDDCAAE" w14:textId="750657AA" w:rsidR="003643B3" w:rsidRDefault="00D53940" w:rsidP="00D057B5">
      <w:pPr>
        <w:ind w:left="567" w:firstLine="0"/>
        <w:rPr>
          <w:rFonts w:ascii="Verdana" w:hAnsi="Verdana"/>
          <w:lang w:val="en-GB"/>
        </w:rPr>
      </w:pPr>
      <w:r>
        <w:rPr>
          <w:noProof/>
        </w:rPr>
        <w:lastRenderedPageBreak/>
        <mc:AlternateContent>
          <mc:Choice Requires="wps">
            <w:drawing>
              <wp:anchor distT="0" distB="0" distL="114300" distR="114300" simplePos="0" relativeHeight="251981824" behindDoc="0" locked="0" layoutInCell="1" allowOverlap="1" wp14:anchorId="57A3C2FA" wp14:editId="0F5E115E">
                <wp:simplePos x="0" y="0"/>
                <wp:positionH relativeFrom="margin">
                  <wp:align>right</wp:align>
                </wp:positionH>
                <wp:positionV relativeFrom="paragraph">
                  <wp:posOffset>7124700</wp:posOffset>
                </wp:positionV>
                <wp:extent cx="5577840" cy="635"/>
                <wp:effectExtent l="0" t="0" r="3810" b="0"/>
                <wp:wrapTopAndBottom/>
                <wp:docPr id="44" name="Text Box 44"/>
                <wp:cNvGraphicFramePr/>
                <a:graphic xmlns:a="http://schemas.openxmlformats.org/drawingml/2006/main">
                  <a:graphicData uri="http://schemas.microsoft.com/office/word/2010/wordprocessingShape">
                    <wps:wsp>
                      <wps:cNvSpPr txBox="1"/>
                      <wps:spPr>
                        <a:xfrm>
                          <a:off x="0" y="0"/>
                          <a:ext cx="5577840" cy="635"/>
                        </a:xfrm>
                        <a:prstGeom prst="rect">
                          <a:avLst/>
                        </a:prstGeom>
                        <a:solidFill>
                          <a:prstClr val="white"/>
                        </a:solidFill>
                        <a:ln>
                          <a:noFill/>
                        </a:ln>
                      </wps:spPr>
                      <wps:txbx>
                        <w:txbxContent>
                          <w:p w14:paraId="3BCABBBA" w14:textId="1DB6BEFC" w:rsidR="001259C1" w:rsidRPr="00137616" w:rsidRDefault="001259C1" w:rsidP="00D53940">
                            <w:pPr>
                              <w:pStyle w:val="Caption"/>
                              <w:ind w:firstLine="0"/>
                              <w:jc w:val="both"/>
                              <w:rPr>
                                <w:rFonts w:ascii="Verdana" w:hAnsi="Verdana"/>
                                <w:b/>
                                <w:bCs/>
                                <w:i w:val="0"/>
                                <w:iCs w:val="0"/>
                                <w:color w:val="auto"/>
                              </w:rPr>
                            </w:pPr>
                            <w:bookmarkStart w:id="155" w:name="_Toc131412775"/>
                            <w:r w:rsidRPr="00137616">
                              <w:rPr>
                                <w:rFonts w:ascii="Verdana" w:hAnsi="Verdana"/>
                                <w:b/>
                                <w:bCs/>
                                <w:i w:val="0"/>
                                <w:iCs w:val="0"/>
                                <w:color w:val="auto"/>
                              </w:rPr>
                              <w:t xml:space="preserve">Figure </w:t>
                            </w:r>
                            <w:r w:rsidRPr="00137616">
                              <w:rPr>
                                <w:rFonts w:ascii="Verdana" w:hAnsi="Verdana"/>
                                <w:b/>
                                <w:bCs/>
                                <w:i w:val="0"/>
                                <w:iCs w:val="0"/>
                                <w:color w:val="auto"/>
                              </w:rPr>
                              <w:fldChar w:fldCharType="begin"/>
                            </w:r>
                            <w:r w:rsidRPr="00137616">
                              <w:rPr>
                                <w:rFonts w:ascii="Verdana" w:hAnsi="Verdana"/>
                                <w:b/>
                                <w:bCs/>
                                <w:i w:val="0"/>
                                <w:iCs w:val="0"/>
                                <w:color w:val="auto"/>
                              </w:rPr>
                              <w:instrText xml:space="preserve"> SEQ Figure \* ARABIC </w:instrText>
                            </w:r>
                            <w:r w:rsidRPr="00137616">
                              <w:rPr>
                                <w:rFonts w:ascii="Verdana" w:hAnsi="Verdana"/>
                                <w:b/>
                                <w:bCs/>
                                <w:i w:val="0"/>
                                <w:iCs w:val="0"/>
                                <w:color w:val="auto"/>
                              </w:rPr>
                              <w:fldChar w:fldCharType="separate"/>
                            </w:r>
                            <w:r w:rsidR="001D505F">
                              <w:rPr>
                                <w:rFonts w:ascii="Verdana" w:hAnsi="Verdana"/>
                                <w:b/>
                                <w:bCs/>
                                <w:i w:val="0"/>
                                <w:iCs w:val="0"/>
                                <w:noProof/>
                                <w:color w:val="auto"/>
                              </w:rPr>
                              <w:t>33</w:t>
                            </w:r>
                            <w:r w:rsidRPr="00137616">
                              <w:rPr>
                                <w:rFonts w:ascii="Verdana" w:hAnsi="Verdana"/>
                                <w:b/>
                                <w:bCs/>
                                <w:i w:val="0"/>
                                <w:iCs w:val="0"/>
                                <w:color w:val="auto"/>
                              </w:rPr>
                              <w:fldChar w:fldCharType="end"/>
                            </w:r>
                            <w:r w:rsidRPr="00137616">
                              <w:rPr>
                                <w:rFonts w:ascii="Verdana" w:hAnsi="Verdana"/>
                                <w:i w:val="0"/>
                                <w:iCs w:val="0"/>
                                <w:color w:val="auto"/>
                              </w:rPr>
                              <w:t xml:space="preserve"> Oligomers and PFFs show dose-dependent toxicity on LUHMES WT cells</w:t>
                            </w:r>
                            <w:bookmarkEnd w:id="155"/>
                          </w:p>
                          <w:p w14:paraId="447AB0B1" w14:textId="25A1100A" w:rsidR="001259C1" w:rsidRPr="00137616" w:rsidRDefault="001259C1" w:rsidP="00D53940">
                            <w:pPr>
                              <w:ind w:firstLine="0"/>
                              <w:jc w:val="both"/>
                              <w:rPr>
                                <w:rFonts w:ascii="Verdana" w:hAnsi="Verdana"/>
                                <w:sz w:val="18"/>
                                <w:szCs w:val="18"/>
                              </w:rPr>
                            </w:pPr>
                            <w:r w:rsidRPr="00137616">
                              <w:rPr>
                                <w:rFonts w:ascii="Verdana" w:hAnsi="Verdana"/>
                                <w:b/>
                                <w:bCs/>
                                <w:sz w:val="18"/>
                                <w:szCs w:val="18"/>
                              </w:rPr>
                              <w:t>A)</w:t>
                            </w:r>
                            <w:r w:rsidRPr="00137616">
                              <w:rPr>
                                <w:rFonts w:ascii="Verdana" w:hAnsi="Verdana"/>
                                <w:sz w:val="18"/>
                                <w:szCs w:val="18"/>
                              </w:rPr>
                              <w:t xml:space="preserve"> MTT test results for type 1 and type 2 monomers from </w:t>
                            </w:r>
                            <w:proofErr w:type="spellStart"/>
                            <w:r w:rsidRPr="00137616">
                              <w:rPr>
                                <w:rFonts w:ascii="Verdana" w:hAnsi="Verdana"/>
                                <w:sz w:val="18"/>
                                <w:szCs w:val="18"/>
                              </w:rPr>
                              <w:t>StressMarq</w:t>
                            </w:r>
                            <w:proofErr w:type="spellEnd"/>
                            <w:r w:rsidR="00915FCA" w:rsidRPr="00137616">
                              <w:rPr>
                                <w:rFonts w:ascii="Verdana" w:hAnsi="Verdana"/>
                                <w:sz w:val="18"/>
                                <w:szCs w:val="18"/>
                              </w:rPr>
                              <w:t>. Treatment was 5-days long.</w:t>
                            </w:r>
                            <w:r w:rsidR="00915FCA" w:rsidRPr="00137616">
                              <w:rPr>
                                <w:rFonts w:ascii="Verdana" w:hAnsi="Verdana"/>
                                <w:b/>
                                <w:bCs/>
                                <w:sz w:val="18"/>
                                <w:szCs w:val="18"/>
                              </w:rPr>
                              <w:t xml:space="preserve"> B)</w:t>
                            </w:r>
                            <w:r w:rsidR="00915FCA" w:rsidRPr="00137616">
                              <w:rPr>
                                <w:rFonts w:ascii="Verdana" w:hAnsi="Verdana"/>
                                <w:sz w:val="18"/>
                                <w:szCs w:val="18"/>
                              </w:rPr>
                              <w:t xml:space="preserve"> MTT test result for </w:t>
                            </w:r>
                            <w:proofErr w:type="spellStart"/>
                            <w:r w:rsidR="0093012D" w:rsidRPr="00137616">
                              <w:rPr>
                                <w:rFonts w:ascii="Verdana" w:hAnsi="Verdana"/>
                                <w:sz w:val="18"/>
                                <w:szCs w:val="18"/>
                              </w:rPr>
                              <w:t>StressMarq</w:t>
                            </w:r>
                            <w:proofErr w:type="spellEnd"/>
                            <w:r w:rsidR="0093012D" w:rsidRPr="00137616">
                              <w:rPr>
                                <w:rFonts w:ascii="Verdana" w:hAnsi="Verdana"/>
                                <w:sz w:val="18"/>
                                <w:szCs w:val="18"/>
                              </w:rPr>
                              <w:t xml:space="preserve"> oligomers after 24h treatment.</w:t>
                            </w:r>
                            <w:r w:rsidR="00B5738C" w:rsidRPr="00137616">
                              <w:rPr>
                                <w:rFonts w:ascii="Verdana" w:hAnsi="Verdana"/>
                                <w:sz w:val="18"/>
                                <w:szCs w:val="18"/>
                              </w:rPr>
                              <w:t xml:space="preserve"> </w:t>
                            </w:r>
                            <w:r w:rsidR="00B5738C" w:rsidRPr="00137616">
                              <w:rPr>
                                <w:rFonts w:ascii="Verdana" w:hAnsi="Verdana"/>
                                <w:b/>
                                <w:bCs/>
                                <w:sz w:val="18"/>
                                <w:szCs w:val="18"/>
                              </w:rPr>
                              <w:t>C)</w:t>
                            </w:r>
                            <w:r w:rsidR="00B5738C" w:rsidRPr="00137616">
                              <w:rPr>
                                <w:rFonts w:ascii="Verdana" w:hAnsi="Verdana"/>
                                <w:sz w:val="18"/>
                                <w:szCs w:val="18"/>
                              </w:rPr>
                              <w:t xml:space="preserve"> MTT tests results of </w:t>
                            </w:r>
                            <w:r w:rsidR="00311095" w:rsidRPr="00137616">
                              <w:rPr>
                                <w:rFonts w:ascii="Verdana" w:hAnsi="Verdana"/>
                                <w:sz w:val="18"/>
                                <w:szCs w:val="18"/>
                              </w:rPr>
                              <w:t xml:space="preserve">2-, 12- and 24-hours treatment with 0.5 (left) or 1 (right) </w:t>
                            </w:r>
                            <w:r w:rsidR="00311095" w:rsidRPr="00137616">
                              <w:rPr>
                                <w:rFonts w:ascii="Verdana" w:hAnsi="Verdana" w:cstheme="minorHAnsi"/>
                                <w:sz w:val="18"/>
                                <w:szCs w:val="18"/>
                              </w:rPr>
                              <w:t>µ</w:t>
                            </w:r>
                            <w:r w:rsidR="00311095" w:rsidRPr="00137616">
                              <w:rPr>
                                <w:rFonts w:ascii="Verdana" w:hAnsi="Verdana"/>
                                <w:sz w:val="18"/>
                                <w:szCs w:val="18"/>
                              </w:rPr>
                              <w:t xml:space="preserve">M </w:t>
                            </w:r>
                            <w:proofErr w:type="spellStart"/>
                            <w:r w:rsidR="00311095" w:rsidRPr="00137616">
                              <w:rPr>
                                <w:rFonts w:ascii="Verdana" w:hAnsi="Verdana"/>
                                <w:sz w:val="18"/>
                                <w:szCs w:val="18"/>
                              </w:rPr>
                              <w:t>StressMarq</w:t>
                            </w:r>
                            <w:proofErr w:type="spellEnd"/>
                            <w:r w:rsidR="00311095" w:rsidRPr="00137616">
                              <w:rPr>
                                <w:rFonts w:ascii="Verdana" w:hAnsi="Verdana"/>
                                <w:sz w:val="18"/>
                                <w:szCs w:val="18"/>
                              </w:rPr>
                              <w:t xml:space="preserve"> oligomers. </w:t>
                            </w:r>
                            <w:r w:rsidR="00311095" w:rsidRPr="00137616">
                              <w:rPr>
                                <w:rFonts w:ascii="Verdana" w:hAnsi="Verdana"/>
                                <w:b/>
                                <w:bCs/>
                                <w:sz w:val="18"/>
                                <w:szCs w:val="18"/>
                              </w:rPr>
                              <w:t>D)</w:t>
                            </w:r>
                            <w:r w:rsidR="00311095" w:rsidRPr="00137616">
                              <w:rPr>
                                <w:rFonts w:ascii="Verdana" w:hAnsi="Verdana"/>
                                <w:sz w:val="18"/>
                                <w:szCs w:val="18"/>
                              </w:rPr>
                              <w:t xml:space="preserve"> </w:t>
                            </w:r>
                            <w:r w:rsidR="00137616" w:rsidRPr="00137616">
                              <w:rPr>
                                <w:rFonts w:ascii="Verdana" w:hAnsi="Verdana"/>
                                <w:sz w:val="18"/>
                                <w:szCs w:val="18"/>
                              </w:rPr>
                              <w:t>MTT test results for a 5-day treatment with different concentrations of PFFs.</w:t>
                            </w:r>
                            <w:r w:rsidR="00872C87">
                              <w:rPr>
                                <w:rFonts w:ascii="Verdana" w:hAnsi="Verdana"/>
                                <w:sz w:val="18"/>
                                <w:szCs w:val="18"/>
                              </w:rPr>
                              <w:t xml:space="preserve"> </w:t>
                            </w:r>
                            <w:r w:rsidR="00872C87">
                              <w:t>Each point represents a replicate, and each replicate is obtained by averaging the values of 4 wells of a 96-wells plate.</w:t>
                            </w:r>
                          </w:p>
                          <w:p w14:paraId="0ABEF807" w14:textId="45EF4D33" w:rsidR="00915FCA" w:rsidRPr="00137616" w:rsidRDefault="00915FCA" w:rsidP="00D53940">
                            <w:pPr>
                              <w:ind w:firstLine="0"/>
                              <w:jc w:val="both"/>
                              <w:rPr>
                                <w:rFonts w:ascii="Verdana" w:hAnsi="Verdana"/>
                                <w:sz w:val="18"/>
                                <w:szCs w:val="18"/>
                              </w:rPr>
                            </w:pPr>
                            <w:r w:rsidRPr="00137616">
                              <w:rPr>
                                <w:rFonts w:ascii="Verdana" w:hAnsi="Verdana"/>
                                <w:sz w:val="18"/>
                                <w:szCs w:val="18"/>
                              </w:rPr>
                              <w:t>CTRL- = negative control (untreated cells)</w:t>
                            </w:r>
                            <w:r w:rsidR="00D72A3E" w:rsidRPr="00137616">
                              <w:rPr>
                                <w:rFonts w:ascii="Verdana" w:hAnsi="Verdana"/>
                                <w:sz w:val="18"/>
                                <w:szCs w:val="18"/>
                              </w:rPr>
                              <w:t>,</w:t>
                            </w:r>
                            <w:r w:rsidR="0093012D" w:rsidRPr="00137616">
                              <w:rPr>
                                <w:rFonts w:ascii="Verdana" w:hAnsi="Verdana"/>
                                <w:sz w:val="18"/>
                                <w:szCs w:val="18"/>
                              </w:rPr>
                              <w:t xml:space="preserve"> Exp1 = experiment/replicate 1</w:t>
                            </w:r>
                            <w:r w:rsidR="00D72A3E" w:rsidRPr="00137616">
                              <w:rPr>
                                <w:rFonts w:ascii="Verdana" w:hAnsi="Verdana"/>
                                <w:sz w:val="18"/>
                                <w:szCs w:val="18"/>
                              </w:rPr>
                              <w:t>, Exp2 = experiment/replicate 2, 2h = 2 hours treatment, 12h = 12 hours treatment, 24h = 24 hours treatment.</w:t>
                            </w:r>
                            <w:r w:rsidR="00B5738C" w:rsidRPr="00137616">
                              <w:rPr>
                                <w:rFonts w:ascii="Verdana" w:hAnsi="Verdana"/>
                                <w:sz w:val="18"/>
                                <w:szCs w:val="18"/>
                              </w:rPr>
                              <w:t xml:space="preserve"> References for alpha-synuclein moieties’ names are found in Table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A3C2FA" id="Text Box 44" o:spid="_x0000_s1067" type="#_x0000_t202" style="position:absolute;left:0;text-align:left;margin-left:388pt;margin-top:561pt;width:439.2pt;height:.05pt;z-index:251981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" stroked="f">
                <v:textbox style="mso-fit-shape-to-text:t" inset="0,0,0,0">
                  <w:txbxContent>
                    <w:p w14:paraId="3BCABBBA" w14:textId="1DB6BEFC" w:rsidR="001259C1" w:rsidRPr="00137616" w:rsidRDefault="001259C1" w:rsidP="00D53940">
                      <w:pPr>
                        <w:pStyle w:val="Caption"/>
                        <w:ind w:firstLine="0"/>
                        <w:jc w:val="both"/>
                        <w:rPr>
                          <w:rFonts w:ascii="Verdana" w:hAnsi="Verdana"/>
                          <w:b/>
                          <w:bCs/>
                          <w:i w:val="0"/>
                          <w:iCs w:val="0"/>
                          <w:color w:val="auto"/>
                        </w:rPr>
                      </w:pPr>
                      <w:bookmarkStart w:id="156" w:name="_Toc131412775"/>
                      <w:r w:rsidRPr="00137616">
                        <w:rPr>
                          <w:rFonts w:ascii="Verdana" w:hAnsi="Verdana"/>
                          <w:b/>
                          <w:bCs/>
                          <w:i w:val="0"/>
                          <w:iCs w:val="0"/>
                          <w:color w:val="auto"/>
                        </w:rPr>
                        <w:t xml:space="preserve">Figure </w:t>
                      </w:r>
                      <w:r w:rsidRPr="00137616">
                        <w:rPr>
                          <w:rFonts w:ascii="Verdana" w:hAnsi="Verdana"/>
                          <w:b/>
                          <w:bCs/>
                          <w:i w:val="0"/>
                          <w:iCs w:val="0"/>
                          <w:color w:val="auto"/>
                        </w:rPr>
                        <w:fldChar w:fldCharType="begin"/>
                      </w:r>
                      <w:r w:rsidRPr="00137616">
                        <w:rPr>
                          <w:rFonts w:ascii="Verdana" w:hAnsi="Verdana"/>
                          <w:b/>
                          <w:bCs/>
                          <w:i w:val="0"/>
                          <w:iCs w:val="0"/>
                          <w:color w:val="auto"/>
                        </w:rPr>
                        <w:instrText xml:space="preserve"> SEQ Figure \* ARABIC </w:instrText>
                      </w:r>
                      <w:r w:rsidRPr="00137616">
                        <w:rPr>
                          <w:rFonts w:ascii="Verdana" w:hAnsi="Verdana"/>
                          <w:b/>
                          <w:bCs/>
                          <w:i w:val="0"/>
                          <w:iCs w:val="0"/>
                          <w:color w:val="auto"/>
                        </w:rPr>
                        <w:fldChar w:fldCharType="separate"/>
                      </w:r>
                      <w:r w:rsidR="001D505F">
                        <w:rPr>
                          <w:rFonts w:ascii="Verdana" w:hAnsi="Verdana"/>
                          <w:b/>
                          <w:bCs/>
                          <w:i w:val="0"/>
                          <w:iCs w:val="0"/>
                          <w:noProof/>
                          <w:color w:val="auto"/>
                        </w:rPr>
                        <w:t>33</w:t>
                      </w:r>
                      <w:r w:rsidRPr="00137616">
                        <w:rPr>
                          <w:rFonts w:ascii="Verdana" w:hAnsi="Verdana"/>
                          <w:b/>
                          <w:bCs/>
                          <w:i w:val="0"/>
                          <w:iCs w:val="0"/>
                          <w:color w:val="auto"/>
                        </w:rPr>
                        <w:fldChar w:fldCharType="end"/>
                      </w:r>
                      <w:r w:rsidRPr="00137616">
                        <w:rPr>
                          <w:rFonts w:ascii="Verdana" w:hAnsi="Verdana"/>
                          <w:i w:val="0"/>
                          <w:iCs w:val="0"/>
                          <w:color w:val="auto"/>
                        </w:rPr>
                        <w:t xml:space="preserve"> Oligomers and PFFs show dose-dependent toxicity on LUHMES WT cells</w:t>
                      </w:r>
                      <w:bookmarkEnd w:id="156"/>
                    </w:p>
                    <w:p w14:paraId="447AB0B1" w14:textId="25A1100A" w:rsidR="001259C1" w:rsidRPr="00137616" w:rsidRDefault="001259C1" w:rsidP="00D53940">
                      <w:pPr>
                        <w:ind w:firstLine="0"/>
                        <w:jc w:val="both"/>
                        <w:rPr>
                          <w:rFonts w:ascii="Verdana" w:hAnsi="Verdana"/>
                          <w:sz w:val="18"/>
                          <w:szCs w:val="18"/>
                        </w:rPr>
                      </w:pPr>
                      <w:r w:rsidRPr="00137616">
                        <w:rPr>
                          <w:rFonts w:ascii="Verdana" w:hAnsi="Verdana"/>
                          <w:b/>
                          <w:bCs/>
                          <w:sz w:val="18"/>
                          <w:szCs w:val="18"/>
                        </w:rPr>
                        <w:t>A)</w:t>
                      </w:r>
                      <w:r w:rsidRPr="00137616">
                        <w:rPr>
                          <w:rFonts w:ascii="Verdana" w:hAnsi="Verdana"/>
                          <w:sz w:val="18"/>
                          <w:szCs w:val="18"/>
                        </w:rPr>
                        <w:t xml:space="preserve"> MTT test results for type 1 and type 2 monomers from </w:t>
                      </w:r>
                      <w:proofErr w:type="spellStart"/>
                      <w:r w:rsidRPr="00137616">
                        <w:rPr>
                          <w:rFonts w:ascii="Verdana" w:hAnsi="Verdana"/>
                          <w:sz w:val="18"/>
                          <w:szCs w:val="18"/>
                        </w:rPr>
                        <w:t>StressMarq</w:t>
                      </w:r>
                      <w:proofErr w:type="spellEnd"/>
                      <w:r w:rsidR="00915FCA" w:rsidRPr="00137616">
                        <w:rPr>
                          <w:rFonts w:ascii="Verdana" w:hAnsi="Verdana"/>
                          <w:sz w:val="18"/>
                          <w:szCs w:val="18"/>
                        </w:rPr>
                        <w:t>. Treatment was 5-days long.</w:t>
                      </w:r>
                      <w:r w:rsidR="00915FCA" w:rsidRPr="00137616">
                        <w:rPr>
                          <w:rFonts w:ascii="Verdana" w:hAnsi="Verdana"/>
                          <w:b/>
                          <w:bCs/>
                          <w:sz w:val="18"/>
                          <w:szCs w:val="18"/>
                        </w:rPr>
                        <w:t xml:space="preserve"> B)</w:t>
                      </w:r>
                      <w:r w:rsidR="00915FCA" w:rsidRPr="00137616">
                        <w:rPr>
                          <w:rFonts w:ascii="Verdana" w:hAnsi="Verdana"/>
                          <w:sz w:val="18"/>
                          <w:szCs w:val="18"/>
                        </w:rPr>
                        <w:t xml:space="preserve"> MTT test result for </w:t>
                      </w:r>
                      <w:proofErr w:type="spellStart"/>
                      <w:r w:rsidR="0093012D" w:rsidRPr="00137616">
                        <w:rPr>
                          <w:rFonts w:ascii="Verdana" w:hAnsi="Verdana"/>
                          <w:sz w:val="18"/>
                          <w:szCs w:val="18"/>
                        </w:rPr>
                        <w:t>StressMarq</w:t>
                      </w:r>
                      <w:proofErr w:type="spellEnd"/>
                      <w:r w:rsidR="0093012D" w:rsidRPr="00137616">
                        <w:rPr>
                          <w:rFonts w:ascii="Verdana" w:hAnsi="Verdana"/>
                          <w:sz w:val="18"/>
                          <w:szCs w:val="18"/>
                        </w:rPr>
                        <w:t xml:space="preserve"> oligomers after 24h treatment.</w:t>
                      </w:r>
                      <w:r w:rsidR="00B5738C" w:rsidRPr="00137616">
                        <w:rPr>
                          <w:rFonts w:ascii="Verdana" w:hAnsi="Verdana"/>
                          <w:sz w:val="18"/>
                          <w:szCs w:val="18"/>
                        </w:rPr>
                        <w:t xml:space="preserve"> </w:t>
                      </w:r>
                      <w:r w:rsidR="00B5738C" w:rsidRPr="00137616">
                        <w:rPr>
                          <w:rFonts w:ascii="Verdana" w:hAnsi="Verdana"/>
                          <w:b/>
                          <w:bCs/>
                          <w:sz w:val="18"/>
                          <w:szCs w:val="18"/>
                        </w:rPr>
                        <w:t>C)</w:t>
                      </w:r>
                      <w:r w:rsidR="00B5738C" w:rsidRPr="00137616">
                        <w:rPr>
                          <w:rFonts w:ascii="Verdana" w:hAnsi="Verdana"/>
                          <w:sz w:val="18"/>
                          <w:szCs w:val="18"/>
                        </w:rPr>
                        <w:t xml:space="preserve"> MTT tests results of </w:t>
                      </w:r>
                      <w:r w:rsidR="00311095" w:rsidRPr="00137616">
                        <w:rPr>
                          <w:rFonts w:ascii="Verdana" w:hAnsi="Verdana"/>
                          <w:sz w:val="18"/>
                          <w:szCs w:val="18"/>
                        </w:rPr>
                        <w:t xml:space="preserve">2-, 12- and 24-hours treatment with 0.5 (left) or 1 (right) </w:t>
                      </w:r>
                      <w:r w:rsidR="00311095" w:rsidRPr="00137616">
                        <w:rPr>
                          <w:rFonts w:ascii="Verdana" w:hAnsi="Verdana" w:cstheme="minorHAnsi"/>
                          <w:sz w:val="18"/>
                          <w:szCs w:val="18"/>
                        </w:rPr>
                        <w:t>µ</w:t>
                      </w:r>
                      <w:r w:rsidR="00311095" w:rsidRPr="00137616">
                        <w:rPr>
                          <w:rFonts w:ascii="Verdana" w:hAnsi="Verdana"/>
                          <w:sz w:val="18"/>
                          <w:szCs w:val="18"/>
                        </w:rPr>
                        <w:t xml:space="preserve">M </w:t>
                      </w:r>
                      <w:proofErr w:type="spellStart"/>
                      <w:r w:rsidR="00311095" w:rsidRPr="00137616">
                        <w:rPr>
                          <w:rFonts w:ascii="Verdana" w:hAnsi="Verdana"/>
                          <w:sz w:val="18"/>
                          <w:szCs w:val="18"/>
                        </w:rPr>
                        <w:t>StressMarq</w:t>
                      </w:r>
                      <w:proofErr w:type="spellEnd"/>
                      <w:r w:rsidR="00311095" w:rsidRPr="00137616">
                        <w:rPr>
                          <w:rFonts w:ascii="Verdana" w:hAnsi="Verdana"/>
                          <w:sz w:val="18"/>
                          <w:szCs w:val="18"/>
                        </w:rPr>
                        <w:t xml:space="preserve"> oligomers. </w:t>
                      </w:r>
                      <w:r w:rsidR="00311095" w:rsidRPr="00137616">
                        <w:rPr>
                          <w:rFonts w:ascii="Verdana" w:hAnsi="Verdana"/>
                          <w:b/>
                          <w:bCs/>
                          <w:sz w:val="18"/>
                          <w:szCs w:val="18"/>
                        </w:rPr>
                        <w:t>D)</w:t>
                      </w:r>
                      <w:r w:rsidR="00311095" w:rsidRPr="00137616">
                        <w:rPr>
                          <w:rFonts w:ascii="Verdana" w:hAnsi="Verdana"/>
                          <w:sz w:val="18"/>
                          <w:szCs w:val="18"/>
                        </w:rPr>
                        <w:t xml:space="preserve"> </w:t>
                      </w:r>
                      <w:r w:rsidR="00137616" w:rsidRPr="00137616">
                        <w:rPr>
                          <w:rFonts w:ascii="Verdana" w:hAnsi="Verdana"/>
                          <w:sz w:val="18"/>
                          <w:szCs w:val="18"/>
                        </w:rPr>
                        <w:t>MTT test results for a 5-day treatment with different concentrations of PFFs.</w:t>
                      </w:r>
                      <w:r w:rsidR="00872C87">
                        <w:rPr>
                          <w:rFonts w:ascii="Verdana" w:hAnsi="Verdana"/>
                          <w:sz w:val="18"/>
                          <w:szCs w:val="18"/>
                        </w:rPr>
                        <w:t xml:space="preserve"> </w:t>
                      </w:r>
                      <w:r w:rsidR="00872C87">
                        <w:t>Each point represents a replicate, and each replicate is obtained by averaging the values of 4 wells of a 96-wells plate.</w:t>
                      </w:r>
                    </w:p>
                    <w:p w14:paraId="0ABEF807" w14:textId="45EF4D33" w:rsidR="00915FCA" w:rsidRPr="00137616" w:rsidRDefault="00915FCA" w:rsidP="00D53940">
                      <w:pPr>
                        <w:ind w:firstLine="0"/>
                        <w:jc w:val="both"/>
                        <w:rPr>
                          <w:rFonts w:ascii="Verdana" w:hAnsi="Verdana"/>
                          <w:sz w:val="18"/>
                          <w:szCs w:val="18"/>
                        </w:rPr>
                      </w:pPr>
                      <w:r w:rsidRPr="00137616">
                        <w:rPr>
                          <w:rFonts w:ascii="Verdana" w:hAnsi="Verdana"/>
                          <w:sz w:val="18"/>
                          <w:szCs w:val="18"/>
                        </w:rPr>
                        <w:t>CTRL- = negative control (untreated cells)</w:t>
                      </w:r>
                      <w:r w:rsidR="00D72A3E" w:rsidRPr="00137616">
                        <w:rPr>
                          <w:rFonts w:ascii="Verdana" w:hAnsi="Verdana"/>
                          <w:sz w:val="18"/>
                          <w:szCs w:val="18"/>
                        </w:rPr>
                        <w:t>,</w:t>
                      </w:r>
                      <w:r w:rsidR="0093012D" w:rsidRPr="00137616">
                        <w:rPr>
                          <w:rFonts w:ascii="Verdana" w:hAnsi="Verdana"/>
                          <w:sz w:val="18"/>
                          <w:szCs w:val="18"/>
                        </w:rPr>
                        <w:t xml:space="preserve"> Exp1 = experiment/replicate 1</w:t>
                      </w:r>
                      <w:r w:rsidR="00D72A3E" w:rsidRPr="00137616">
                        <w:rPr>
                          <w:rFonts w:ascii="Verdana" w:hAnsi="Verdana"/>
                          <w:sz w:val="18"/>
                          <w:szCs w:val="18"/>
                        </w:rPr>
                        <w:t>, Exp2 = experiment/replicate 2, 2h = 2 hours treatment, 12h = 12 hours treatment, 24h = 24 hours treatment.</w:t>
                      </w:r>
                      <w:r w:rsidR="00B5738C" w:rsidRPr="00137616">
                        <w:rPr>
                          <w:rFonts w:ascii="Verdana" w:hAnsi="Verdana"/>
                          <w:sz w:val="18"/>
                          <w:szCs w:val="18"/>
                        </w:rPr>
                        <w:t xml:space="preserve"> References for alpha-synuclein moieties’ names are found in Table 2.</w:t>
                      </w:r>
                    </w:p>
                  </w:txbxContent>
                </v:textbox>
                <w10:wrap type="topAndBottom" anchorx="margin"/>
              </v:shape>
            </w:pict>
          </mc:Fallback>
        </mc:AlternateContent>
      </w:r>
      <w:r>
        <w:rPr>
          <w:rFonts w:ascii="Verdana" w:hAnsi="Verdana"/>
          <w:noProof/>
          <w:lang w:val="en-GB"/>
        </w:rPr>
        <w:drawing>
          <wp:anchor distT="0" distB="0" distL="114300" distR="114300" simplePos="0" relativeHeight="251979776" behindDoc="0" locked="0" layoutInCell="1" allowOverlap="1" wp14:anchorId="47D6DE38" wp14:editId="0BB7130C">
            <wp:simplePos x="0" y="0"/>
            <wp:positionH relativeFrom="page">
              <wp:align>center</wp:align>
            </wp:positionH>
            <wp:positionV relativeFrom="paragraph">
              <wp:posOffset>586</wp:posOffset>
            </wp:positionV>
            <wp:extent cx="4951730" cy="6744335"/>
            <wp:effectExtent l="0" t="0" r="1270" b="0"/>
            <wp:wrapTopAndBottom/>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951730" cy="6744335"/>
                    </a:xfrm>
                    <a:prstGeom prst="rect">
                      <a:avLst/>
                    </a:prstGeom>
                  </pic:spPr>
                </pic:pic>
              </a:graphicData>
            </a:graphic>
            <wp14:sizeRelH relativeFrom="margin">
              <wp14:pctWidth>0</wp14:pctWidth>
            </wp14:sizeRelH>
            <wp14:sizeRelV relativeFrom="margin">
              <wp14:pctHeight>0</wp14:pctHeight>
            </wp14:sizeRelV>
          </wp:anchor>
        </w:drawing>
      </w:r>
    </w:p>
    <w:p w14:paraId="65AB8DB7" w14:textId="7DA04E61" w:rsidR="00D057B5" w:rsidRPr="006D06A7" w:rsidRDefault="009E5729" w:rsidP="009E5729">
      <w:pPr>
        <w:pStyle w:val="Heading2"/>
        <w:rPr>
          <w:lang w:val="en-GB"/>
        </w:rPr>
      </w:pPr>
      <w:bookmarkStart w:id="157" w:name="_Toc130223464"/>
      <w:r>
        <w:rPr>
          <w:lang w:val="en-GB"/>
        </w:rPr>
        <w:lastRenderedPageBreak/>
        <w:t xml:space="preserve">8.3 </w:t>
      </w:r>
      <w:r>
        <w:rPr>
          <w:lang w:val="en-GB"/>
        </w:rPr>
        <w:tab/>
      </w:r>
      <w:r w:rsidR="006D06A7" w:rsidRPr="006D06A7">
        <w:rPr>
          <w:lang w:val="en-GB"/>
        </w:rPr>
        <w:t>Glutamate excitotoxicity on LUHMES WT and DJ-1 cells</w:t>
      </w:r>
      <w:bookmarkEnd w:id="157"/>
    </w:p>
    <w:p w14:paraId="1D3A0821" w14:textId="04EB40C6" w:rsidR="006D06A7" w:rsidRDefault="006D06A7" w:rsidP="008D4FD2">
      <w:pPr>
        <w:spacing w:line="360" w:lineRule="auto"/>
        <w:jc w:val="both"/>
        <w:rPr>
          <w:rFonts w:ascii="Verdana" w:hAnsi="Verdana"/>
          <w:lang w:val="en-GB"/>
        </w:rPr>
      </w:pPr>
      <w:r>
        <w:rPr>
          <w:rFonts w:ascii="Verdana" w:hAnsi="Verdana"/>
          <w:lang w:val="en-GB"/>
        </w:rPr>
        <w:t xml:space="preserve">To investigate whether DJ-1 loss would predispose to neuronal excitotoxicity, we treated </w:t>
      </w:r>
      <w:r w:rsidR="008D4FD2">
        <w:rPr>
          <w:rFonts w:ascii="Verdana" w:hAnsi="Verdana"/>
          <w:lang w:val="en-GB"/>
        </w:rPr>
        <w:t xml:space="preserve">neuronally differentiated </w:t>
      </w:r>
      <w:r>
        <w:rPr>
          <w:rFonts w:ascii="Verdana" w:hAnsi="Verdana"/>
          <w:lang w:val="en-GB"/>
        </w:rPr>
        <w:t>LUHMES</w:t>
      </w:r>
      <w:r w:rsidR="008D4FD2">
        <w:rPr>
          <w:rFonts w:ascii="Verdana" w:hAnsi="Verdana"/>
          <w:lang w:val="en-GB"/>
        </w:rPr>
        <w:t xml:space="preserve"> wild-type (WT) and DJ-1 knock-down (DJ-1 KD) cells with glutamate. As a first step in our </w:t>
      </w:r>
      <w:r w:rsidR="003E0322">
        <w:rPr>
          <w:rFonts w:ascii="Verdana" w:hAnsi="Verdana"/>
          <w:lang w:val="en-GB"/>
        </w:rPr>
        <w:t>study, we confirmed the DJ-1 KD phenotype by RT-qPCR. DJ-1 KD cells showed reduced DJ-1 expression (</w:t>
      </w:r>
      <w:r w:rsidR="008F0811">
        <w:rPr>
          <w:rFonts w:ascii="Verdana" w:hAnsi="Verdana"/>
          <w:lang w:val="en-GB"/>
        </w:rPr>
        <w:t>~</w:t>
      </w:r>
      <w:r w:rsidR="003E0322">
        <w:rPr>
          <w:rFonts w:ascii="Verdana" w:hAnsi="Verdana"/>
          <w:lang w:val="en-GB"/>
        </w:rPr>
        <w:t xml:space="preserve">20% of the WT) </w:t>
      </w:r>
      <w:r w:rsidR="008F0811">
        <w:rPr>
          <w:rFonts w:ascii="Verdana" w:hAnsi="Verdana"/>
          <w:lang w:val="en-GB"/>
        </w:rPr>
        <w:t>at all differentiation stages, while expression in WT cells decreased with the differentiation process (Figure 3</w:t>
      </w:r>
      <w:r w:rsidR="00BD623E">
        <w:rPr>
          <w:rFonts w:ascii="Verdana" w:hAnsi="Verdana"/>
          <w:lang w:val="en-GB"/>
        </w:rPr>
        <w:t>4</w:t>
      </w:r>
      <w:r w:rsidR="008F0811">
        <w:rPr>
          <w:rFonts w:ascii="Verdana" w:hAnsi="Verdana"/>
          <w:lang w:val="en-GB"/>
        </w:rPr>
        <w:t xml:space="preserve">A). Next, we checked that both DJ-1 KD and WT cells were differentiating in comparable ways, by </w:t>
      </w:r>
      <w:r w:rsidR="00A443A2">
        <w:rPr>
          <w:rFonts w:ascii="Verdana" w:hAnsi="Verdana"/>
          <w:lang w:val="en-GB"/>
        </w:rPr>
        <w:t xml:space="preserve">measuring transcript levels of the differentiation markers </w:t>
      </w:r>
      <w:r w:rsidR="000E2C0D">
        <w:rPr>
          <w:rFonts w:ascii="Verdana" w:hAnsi="Verdana"/>
          <w:lang w:val="en-GB"/>
        </w:rPr>
        <w:t>neuronal nuclei (</w:t>
      </w:r>
      <w:proofErr w:type="spellStart"/>
      <w:r w:rsidR="00A443A2">
        <w:rPr>
          <w:rFonts w:ascii="Verdana" w:hAnsi="Verdana"/>
          <w:lang w:val="en-GB"/>
        </w:rPr>
        <w:t>NeuN</w:t>
      </w:r>
      <w:proofErr w:type="spellEnd"/>
      <w:r w:rsidR="000E2C0D">
        <w:rPr>
          <w:rFonts w:ascii="Verdana" w:hAnsi="Verdana"/>
          <w:lang w:val="en-GB"/>
        </w:rPr>
        <w:t xml:space="preserve">), </w:t>
      </w:r>
      <w:r w:rsidR="00F01B5E">
        <w:rPr>
          <w:rFonts w:ascii="Verdana" w:hAnsi="Verdana"/>
          <w:lang w:val="en-GB"/>
        </w:rPr>
        <w:t>synapsin-1 (Syn1) and beta-tubulin III (Tuj1).</w:t>
      </w:r>
      <w:r w:rsidR="00A004C3">
        <w:rPr>
          <w:rFonts w:ascii="Verdana" w:hAnsi="Verdana"/>
          <w:lang w:val="en-GB"/>
        </w:rPr>
        <w:t xml:space="preserve"> </w:t>
      </w:r>
      <w:proofErr w:type="spellStart"/>
      <w:r w:rsidR="00A004C3">
        <w:rPr>
          <w:rFonts w:ascii="Verdana" w:hAnsi="Verdana"/>
          <w:lang w:val="en-GB"/>
        </w:rPr>
        <w:t>NeuN</w:t>
      </w:r>
      <w:proofErr w:type="spellEnd"/>
      <w:r w:rsidR="00A004C3">
        <w:rPr>
          <w:rFonts w:ascii="Verdana" w:hAnsi="Verdana"/>
          <w:lang w:val="en-GB"/>
        </w:rPr>
        <w:t xml:space="preserve"> and Syn1 </w:t>
      </w:r>
      <w:r w:rsidR="006C5403">
        <w:rPr>
          <w:rFonts w:ascii="Verdana" w:hAnsi="Verdana"/>
          <w:lang w:val="en-GB"/>
        </w:rPr>
        <w:t>were expressed only a</w:t>
      </w:r>
      <w:r w:rsidR="00B10A16">
        <w:rPr>
          <w:rFonts w:ascii="Verdana" w:hAnsi="Verdana"/>
          <w:lang w:val="en-GB"/>
        </w:rPr>
        <w:t>t</w:t>
      </w:r>
      <w:r w:rsidR="006C5403">
        <w:rPr>
          <w:rFonts w:ascii="Verdana" w:hAnsi="Verdana"/>
          <w:lang w:val="en-GB"/>
        </w:rPr>
        <w:t xml:space="preserve"> low levels in undifferentiated and pre-differentiated</w:t>
      </w:r>
      <w:r w:rsidR="00A004C3">
        <w:rPr>
          <w:rFonts w:ascii="Verdana" w:hAnsi="Verdana"/>
          <w:lang w:val="en-GB"/>
        </w:rPr>
        <w:t xml:space="preserve"> WT and DJ-1 KD</w:t>
      </w:r>
      <w:r w:rsidR="006C5403">
        <w:rPr>
          <w:rFonts w:ascii="Verdana" w:hAnsi="Verdana"/>
          <w:lang w:val="en-GB"/>
        </w:rPr>
        <w:t xml:space="preserve"> cells</w:t>
      </w:r>
      <w:r w:rsidR="00A004C3">
        <w:rPr>
          <w:rFonts w:ascii="Verdana" w:hAnsi="Verdana"/>
          <w:lang w:val="en-GB"/>
        </w:rPr>
        <w:t>, and their expression increased significantly at the end of the differentiation process</w:t>
      </w:r>
      <w:r w:rsidR="00F91C30">
        <w:rPr>
          <w:rFonts w:ascii="Verdana" w:hAnsi="Verdana"/>
          <w:lang w:val="en-GB"/>
        </w:rPr>
        <w:t xml:space="preserve"> (Figure 3</w:t>
      </w:r>
      <w:r w:rsidR="00BD623E">
        <w:rPr>
          <w:rFonts w:ascii="Verdana" w:hAnsi="Verdana"/>
          <w:lang w:val="en-GB"/>
        </w:rPr>
        <w:t>4</w:t>
      </w:r>
      <w:r w:rsidR="00F91C30">
        <w:rPr>
          <w:rFonts w:ascii="Verdana" w:hAnsi="Verdana"/>
          <w:lang w:val="en-GB"/>
        </w:rPr>
        <w:t>B, left and middle panels)</w:t>
      </w:r>
      <w:r w:rsidR="00A004C3">
        <w:rPr>
          <w:rFonts w:ascii="Verdana" w:hAnsi="Verdana"/>
          <w:lang w:val="en-GB"/>
        </w:rPr>
        <w:t xml:space="preserve">. </w:t>
      </w:r>
      <w:r w:rsidR="00B10A16">
        <w:rPr>
          <w:rFonts w:ascii="Verdana" w:hAnsi="Verdana"/>
          <w:lang w:val="en-GB"/>
        </w:rPr>
        <w:t>Tuj1 expression levels showed a gradual increase along the differentiation process</w:t>
      </w:r>
      <w:r w:rsidR="00F91C30">
        <w:rPr>
          <w:rFonts w:ascii="Verdana" w:hAnsi="Verdana"/>
          <w:lang w:val="en-GB"/>
        </w:rPr>
        <w:t xml:space="preserve"> (Figure 3</w:t>
      </w:r>
      <w:r w:rsidR="00153FD6">
        <w:rPr>
          <w:rFonts w:ascii="Verdana" w:hAnsi="Verdana"/>
          <w:lang w:val="en-GB"/>
        </w:rPr>
        <w:t>3</w:t>
      </w:r>
      <w:r w:rsidR="00F91C30">
        <w:rPr>
          <w:rFonts w:ascii="Verdana" w:hAnsi="Verdana"/>
          <w:lang w:val="en-GB"/>
        </w:rPr>
        <w:t xml:space="preserve">B, right). </w:t>
      </w:r>
      <w:r w:rsidR="0002121D">
        <w:rPr>
          <w:rFonts w:ascii="Verdana" w:hAnsi="Verdana"/>
          <w:lang w:val="en-GB"/>
        </w:rPr>
        <w:t xml:space="preserve">Expression </w:t>
      </w:r>
      <w:r w:rsidR="00BD6254">
        <w:rPr>
          <w:rFonts w:ascii="Verdana" w:hAnsi="Verdana"/>
          <w:lang w:val="en-GB"/>
        </w:rPr>
        <w:t>of</w:t>
      </w:r>
      <w:r w:rsidR="0002121D">
        <w:rPr>
          <w:rFonts w:ascii="Verdana" w:hAnsi="Verdana"/>
          <w:lang w:val="en-GB"/>
        </w:rPr>
        <w:t xml:space="preserve"> Tuj1 </w:t>
      </w:r>
      <w:r w:rsidR="00BD6254">
        <w:rPr>
          <w:rFonts w:ascii="Verdana" w:hAnsi="Verdana"/>
          <w:lang w:val="en-GB"/>
        </w:rPr>
        <w:t>was also confirmed at the protein level through immunofluorescence (Figure 3</w:t>
      </w:r>
      <w:r w:rsidR="00BD623E">
        <w:rPr>
          <w:rFonts w:ascii="Verdana" w:hAnsi="Verdana"/>
          <w:lang w:val="en-GB"/>
        </w:rPr>
        <w:t>4</w:t>
      </w:r>
      <w:r w:rsidR="00BD6254">
        <w:rPr>
          <w:rFonts w:ascii="Verdana" w:hAnsi="Verdana"/>
          <w:lang w:val="en-GB"/>
        </w:rPr>
        <w:t>C).</w:t>
      </w:r>
      <w:r w:rsidR="00E02A16">
        <w:rPr>
          <w:rFonts w:ascii="Verdana" w:hAnsi="Verdana"/>
          <w:lang w:val="en-GB"/>
        </w:rPr>
        <w:t xml:space="preserve"> Cells </w:t>
      </w:r>
      <w:r w:rsidR="00DE6421">
        <w:rPr>
          <w:rFonts w:ascii="Verdana" w:hAnsi="Verdana"/>
          <w:lang w:val="en-GB"/>
        </w:rPr>
        <w:t>present a ramified appear</w:t>
      </w:r>
      <w:r w:rsidR="00AE22FF">
        <w:rPr>
          <w:rFonts w:ascii="Verdana" w:hAnsi="Verdana"/>
          <w:lang w:val="en-GB"/>
        </w:rPr>
        <w:t>a</w:t>
      </w:r>
      <w:r w:rsidR="00DE6421">
        <w:rPr>
          <w:rFonts w:ascii="Verdana" w:hAnsi="Verdana"/>
          <w:lang w:val="en-GB"/>
        </w:rPr>
        <w:t>nce, indicative of their differentiation into neuronal cell types.</w:t>
      </w:r>
      <w:r w:rsidR="00BD6254">
        <w:rPr>
          <w:rFonts w:ascii="Verdana" w:hAnsi="Verdana"/>
          <w:lang w:val="en-GB"/>
        </w:rPr>
        <w:t xml:space="preserve"> </w:t>
      </w:r>
      <w:r w:rsidR="0002121D">
        <w:rPr>
          <w:rFonts w:ascii="Verdana" w:hAnsi="Verdana"/>
          <w:lang w:val="en-GB"/>
        </w:rPr>
        <w:t>Despite some intra-group variability, e</w:t>
      </w:r>
      <w:r w:rsidR="00F91C30">
        <w:rPr>
          <w:rFonts w:ascii="Verdana" w:hAnsi="Verdana"/>
          <w:lang w:val="en-GB"/>
        </w:rPr>
        <w:t>xpression levels</w:t>
      </w:r>
      <w:r w:rsidR="0002121D">
        <w:rPr>
          <w:rFonts w:ascii="Verdana" w:hAnsi="Verdana"/>
          <w:lang w:val="en-GB"/>
        </w:rPr>
        <w:t xml:space="preserve"> were not significatively different between WT and DJ-1 KD cells, confirming that cells of both genotypes differentiate correctly and in an equal fashion.</w:t>
      </w:r>
    </w:p>
    <w:p w14:paraId="22810A05" w14:textId="4426EE31" w:rsidR="00CA0052" w:rsidRPr="006D06A7" w:rsidRDefault="00CA0052" w:rsidP="008D4FD2">
      <w:pPr>
        <w:spacing w:line="360" w:lineRule="auto"/>
        <w:jc w:val="both"/>
        <w:rPr>
          <w:rFonts w:ascii="Verdana" w:hAnsi="Verdana"/>
          <w:lang w:val="en-GB"/>
        </w:rPr>
      </w:pPr>
      <w:r>
        <w:rPr>
          <w:rFonts w:ascii="Verdana" w:hAnsi="Verdana"/>
          <w:lang w:val="en-GB"/>
        </w:rPr>
        <w:t>Glutamate excitotoxicity was tested for a 24h treatment with 0.01, 0.1, 1 and 10</w:t>
      </w:r>
      <w:r w:rsidR="0021379D">
        <w:rPr>
          <w:rFonts w:ascii="Verdana" w:hAnsi="Verdana" w:cs="Calibri"/>
          <w:lang w:val="en-GB"/>
        </w:rPr>
        <w:t>m</w:t>
      </w:r>
      <w:r>
        <w:rPr>
          <w:rFonts w:ascii="Verdana" w:hAnsi="Verdana"/>
          <w:lang w:val="en-GB"/>
        </w:rPr>
        <w:t>M concentration. T</w:t>
      </w:r>
      <w:r w:rsidR="007177CD">
        <w:rPr>
          <w:rFonts w:ascii="Verdana" w:hAnsi="Verdana"/>
          <w:lang w:val="en-GB"/>
        </w:rPr>
        <w:t>reatment with</w:t>
      </w:r>
      <w:r>
        <w:rPr>
          <w:rFonts w:ascii="Verdana" w:hAnsi="Verdana"/>
          <w:lang w:val="en-GB"/>
        </w:rPr>
        <w:t xml:space="preserve"> 0.</w:t>
      </w:r>
      <w:r w:rsidR="007177CD">
        <w:rPr>
          <w:rFonts w:ascii="Verdana" w:hAnsi="Verdana"/>
          <w:lang w:val="en-GB"/>
        </w:rPr>
        <w:t>01 and 0.1</w:t>
      </w:r>
      <w:r w:rsidR="0021379D">
        <w:rPr>
          <w:rFonts w:ascii="Verdana" w:hAnsi="Verdana" w:cs="Calibri"/>
          <w:lang w:val="en-GB"/>
        </w:rPr>
        <w:t>m</w:t>
      </w:r>
      <w:r w:rsidR="007177CD">
        <w:rPr>
          <w:rFonts w:ascii="Verdana" w:hAnsi="Verdana"/>
          <w:lang w:val="en-GB"/>
        </w:rPr>
        <w:t xml:space="preserve">M concentrations was not toxic in WT cells, although it </w:t>
      </w:r>
      <w:proofErr w:type="gramStart"/>
      <w:r w:rsidR="007177CD">
        <w:rPr>
          <w:rFonts w:ascii="Verdana" w:hAnsi="Verdana"/>
          <w:lang w:val="en-GB"/>
        </w:rPr>
        <w:t>has to</w:t>
      </w:r>
      <w:proofErr w:type="gramEnd"/>
      <w:r w:rsidR="007177CD">
        <w:rPr>
          <w:rFonts w:ascii="Verdana" w:hAnsi="Verdana"/>
          <w:lang w:val="en-GB"/>
        </w:rPr>
        <w:t xml:space="preserve"> be kept in mind that only one experiment was available for this set-up (Figure 3</w:t>
      </w:r>
      <w:r w:rsidR="00BD623E">
        <w:rPr>
          <w:rFonts w:ascii="Verdana" w:hAnsi="Verdana"/>
          <w:lang w:val="en-GB"/>
        </w:rPr>
        <w:t>4</w:t>
      </w:r>
      <w:r w:rsidR="007177CD">
        <w:rPr>
          <w:rFonts w:ascii="Verdana" w:hAnsi="Verdana"/>
          <w:lang w:val="en-GB"/>
        </w:rPr>
        <w:t>D). More replicates were available for the 1 and 10</w:t>
      </w:r>
      <w:r w:rsidR="0021379D">
        <w:rPr>
          <w:rFonts w:ascii="Verdana" w:hAnsi="Verdana" w:cs="Calibri"/>
          <w:lang w:val="en-GB"/>
        </w:rPr>
        <w:t>m</w:t>
      </w:r>
      <w:r w:rsidR="007177CD">
        <w:rPr>
          <w:rFonts w:ascii="Verdana" w:hAnsi="Verdana"/>
          <w:lang w:val="en-GB"/>
        </w:rPr>
        <w:t>M concentrations. WT cells did not show reduction in cell viability following a 24h treatment with 1</w:t>
      </w:r>
      <w:r w:rsidR="0021379D">
        <w:rPr>
          <w:rFonts w:ascii="Verdana" w:hAnsi="Verdana" w:cs="Calibri"/>
          <w:lang w:val="en-GB"/>
        </w:rPr>
        <w:t>m</w:t>
      </w:r>
      <w:r w:rsidR="007177CD">
        <w:rPr>
          <w:rFonts w:ascii="Verdana" w:hAnsi="Verdana"/>
          <w:lang w:val="en-GB"/>
        </w:rPr>
        <w:t>M Glu, while the results were highly variable at 10</w:t>
      </w:r>
      <w:r w:rsidR="0021379D">
        <w:rPr>
          <w:rFonts w:ascii="Verdana" w:hAnsi="Verdana" w:cs="Calibri"/>
          <w:lang w:val="en-GB"/>
        </w:rPr>
        <w:t>m</w:t>
      </w:r>
      <w:r w:rsidR="007177CD">
        <w:rPr>
          <w:rFonts w:ascii="Verdana" w:hAnsi="Verdana"/>
          <w:lang w:val="en-GB"/>
        </w:rPr>
        <w:t>M, with some replicates showing no effect and others showing elevated cytotoxicity levels (Figure 3</w:t>
      </w:r>
      <w:r w:rsidR="00BD623E">
        <w:rPr>
          <w:rFonts w:ascii="Verdana" w:hAnsi="Verdana"/>
          <w:lang w:val="en-GB"/>
        </w:rPr>
        <w:t>4</w:t>
      </w:r>
      <w:r w:rsidR="007177CD">
        <w:rPr>
          <w:rFonts w:ascii="Verdana" w:hAnsi="Verdana"/>
          <w:lang w:val="en-GB"/>
        </w:rPr>
        <w:t>D). Four replicates were available for glutamate treatment of DJ-1 KD cells. Surprisingly, DJ-1 KD cells consistently show</w:t>
      </w:r>
      <w:r w:rsidR="00153FD6">
        <w:rPr>
          <w:rFonts w:ascii="Verdana" w:hAnsi="Verdana"/>
          <w:lang w:val="en-GB"/>
        </w:rPr>
        <w:t>ed</w:t>
      </w:r>
      <w:r w:rsidR="007177CD">
        <w:rPr>
          <w:rFonts w:ascii="Verdana" w:hAnsi="Verdana"/>
          <w:lang w:val="en-GB"/>
        </w:rPr>
        <w:t xml:space="preserve"> a 50% toxicity with the lowest dose of glutamate, while the 0.1, 1 and 10</w:t>
      </w:r>
      <w:r w:rsidR="0021379D">
        <w:rPr>
          <w:rFonts w:ascii="Verdana" w:hAnsi="Verdana" w:cs="Calibri"/>
          <w:lang w:val="en-GB"/>
        </w:rPr>
        <w:t>m</w:t>
      </w:r>
      <w:r w:rsidR="007177CD">
        <w:rPr>
          <w:rFonts w:ascii="Verdana" w:hAnsi="Verdana"/>
          <w:lang w:val="en-GB"/>
        </w:rPr>
        <w:t>M concentrations seemed to be moderately toxic</w:t>
      </w:r>
      <w:r w:rsidR="0008393B">
        <w:rPr>
          <w:rFonts w:ascii="Verdana" w:hAnsi="Verdana"/>
          <w:lang w:val="en-GB"/>
        </w:rPr>
        <w:t xml:space="preserve"> (Figure 3</w:t>
      </w:r>
      <w:r w:rsidR="00BD623E">
        <w:rPr>
          <w:rFonts w:ascii="Verdana" w:hAnsi="Verdana"/>
          <w:lang w:val="en-GB"/>
        </w:rPr>
        <w:t>4</w:t>
      </w:r>
      <w:r w:rsidR="0008393B">
        <w:rPr>
          <w:rFonts w:ascii="Verdana" w:hAnsi="Verdana"/>
          <w:lang w:val="en-GB"/>
        </w:rPr>
        <w:t>D)</w:t>
      </w:r>
      <w:r w:rsidR="007177CD">
        <w:rPr>
          <w:rFonts w:ascii="Verdana" w:hAnsi="Verdana"/>
          <w:lang w:val="en-GB"/>
        </w:rPr>
        <w:t>. Even if only preliminary, these results suggest</w:t>
      </w:r>
      <w:r w:rsidR="00147CA9">
        <w:rPr>
          <w:rFonts w:ascii="Verdana" w:hAnsi="Verdana"/>
          <w:lang w:val="en-GB"/>
        </w:rPr>
        <w:t xml:space="preserve"> that DJ-1 KD cells might present higher susceptibility to </w:t>
      </w:r>
      <w:r w:rsidR="00933B0D">
        <w:rPr>
          <w:rFonts w:ascii="Verdana" w:hAnsi="Verdana"/>
          <w:lang w:val="en-GB"/>
        </w:rPr>
        <w:t xml:space="preserve">glutamate excitotoxicity, with cytotoxic effect shown already at </w:t>
      </w:r>
      <w:r w:rsidR="00933B0D">
        <w:rPr>
          <w:rFonts w:ascii="Verdana" w:hAnsi="Verdana"/>
          <w:lang w:val="en-GB"/>
        </w:rPr>
        <w:lastRenderedPageBreak/>
        <w:t>low doses of Glu exposure. Conversely, at high doses</w:t>
      </w:r>
      <w:r w:rsidR="00F97B17">
        <w:rPr>
          <w:rFonts w:ascii="Verdana" w:hAnsi="Verdana"/>
          <w:lang w:val="en-GB"/>
        </w:rPr>
        <w:t xml:space="preserve"> of Glu</w:t>
      </w:r>
      <w:r w:rsidR="00933B0D">
        <w:rPr>
          <w:rFonts w:ascii="Verdana" w:hAnsi="Verdana"/>
          <w:lang w:val="en-GB"/>
        </w:rPr>
        <w:t xml:space="preserve"> (10</w:t>
      </w:r>
      <w:r w:rsidR="0021379D">
        <w:rPr>
          <w:rFonts w:ascii="Verdana" w:hAnsi="Verdana" w:cs="Calibri"/>
          <w:lang w:val="en-GB"/>
        </w:rPr>
        <w:t>m</w:t>
      </w:r>
      <w:r w:rsidR="00933B0D">
        <w:rPr>
          <w:rFonts w:ascii="Verdana" w:hAnsi="Verdana"/>
          <w:lang w:val="en-GB"/>
        </w:rPr>
        <w:t>M in our case</w:t>
      </w:r>
      <w:r w:rsidR="00AE22FF">
        <w:rPr>
          <w:rFonts w:ascii="Verdana" w:hAnsi="Verdana"/>
          <w:lang w:val="en-GB"/>
        </w:rPr>
        <w:t>), glutamate</w:t>
      </w:r>
      <w:r w:rsidR="00F97B17">
        <w:rPr>
          <w:rFonts w:ascii="Verdana" w:hAnsi="Verdana"/>
          <w:lang w:val="en-GB"/>
        </w:rPr>
        <w:t xml:space="preserve"> mediated excitotoxicity appears to affect WT and</w:t>
      </w:r>
      <w:r w:rsidR="00153FD6">
        <w:rPr>
          <w:rFonts w:ascii="Verdana" w:hAnsi="Verdana"/>
          <w:lang w:val="en-GB"/>
        </w:rPr>
        <w:t xml:space="preserve"> DJ-1</w:t>
      </w:r>
      <w:r w:rsidR="00F97B17">
        <w:rPr>
          <w:rFonts w:ascii="Verdana" w:hAnsi="Verdana"/>
          <w:lang w:val="en-GB"/>
        </w:rPr>
        <w:t xml:space="preserve"> KD cells </w:t>
      </w:r>
      <w:r w:rsidR="00D15265">
        <w:rPr>
          <w:rFonts w:ascii="Verdana" w:hAnsi="Verdana"/>
          <w:lang w:val="en-GB"/>
        </w:rPr>
        <w:t xml:space="preserve">at similar levels, suggesting that protective mechanisms in WT cells can only compensate for low levels of </w:t>
      </w:r>
      <w:r w:rsidR="007B1644">
        <w:rPr>
          <w:rFonts w:ascii="Verdana" w:hAnsi="Verdana"/>
          <w:lang w:val="en-GB"/>
        </w:rPr>
        <w:t>glutamate stress.</w:t>
      </w:r>
    </w:p>
    <w:p w14:paraId="25A647E3" w14:textId="5D5395AC" w:rsidR="00D057B5" w:rsidRDefault="00EC4352" w:rsidP="00D057B5">
      <w:pPr>
        <w:ind w:left="567" w:firstLine="0"/>
        <w:rPr>
          <w:rFonts w:ascii="Verdana" w:hAnsi="Verdana"/>
          <w:color w:val="FF0000"/>
          <w:lang w:val="en-GB"/>
        </w:rPr>
      </w:pPr>
      <w:r>
        <w:rPr>
          <w:noProof/>
        </w:rPr>
        <mc:AlternateContent>
          <mc:Choice Requires="wps">
            <w:drawing>
              <wp:anchor distT="0" distB="0" distL="114300" distR="114300" simplePos="0" relativeHeight="251984896" behindDoc="0" locked="0" layoutInCell="1" allowOverlap="1" wp14:anchorId="4299DFFA" wp14:editId="6AA1DEC5">
                <wp:simplePos x="0" y="0"/>
                <wp:positionH relativeFrom="margin">
                  <wp:align>right</wp:align>
                </wp:positionH>
                <wp:positionV relativeFrom="paragraph">
                  <wp:posOffset>4595288</wp:posOffset>
                </wp:positionV>
                <wp:extent cx="5585460" cy="635"/>
                <wp:effectExtent l="0" t="0" r="0" b="0"/>
                <wp:wrapTopAndBottom/>
                <wp:docPr id="46" name="Text Box 46"/>
                <wp:cNvGraphicFramePr/>
                <a:graphic xmlns:a="http://schemas.openxmlformats.org/drawingml/2006/main">
                  <a:graphicData uri="http://schemas.microsoft.com/office/word/2010/wordprocessingShape">
                    <wps:wsp>
                      <wps:cNvSpPr txBox="1"/>
                      <wps:spPr>
                        <a:xfrm>
                          <a:off x="0" y="0"/>
                          <a:ext cx="5585460" cy="635"/>
                        </a:xfrm>
                        <a:prstGeom prst="rect">
                          <a:avLst/>
                        </a:prstGeom>
                        <a:solidFill>
                          <a:prstClr val="white"/>
                        </a:solidFill>
                        <a:ln>
                          <a:noFill/>
                        </a:ln>
                      </wps:spPr>
                      <wps:txbx>
                        <w:txbxContent>
                          <w:p w14:paraId="570F0E37" w14:textId="4F273541" w:rsidR="008447C2" w:rsidRPr="0003339E" w:rsidRDefault="008447C2" w:rsidP="0003339E">
                            <w:pPr>
                              <w:pStyle w:val="Caption"/>
                              <w:ind w:firstLine="0"/>
                              <w:rPr>
                                <w:rFonts w:ascii="Verdana" w:hAnsi="Verdana"/>
                                <w:i w:val="0"/>
                                <w:iCs w:val="0"/>
                                <w:color w:val="auto"/>
                              </w:rPr>
                            </w:pPr>
                            <w:bookmarkStart w:id="158" w:name="_Toc131412776"/>
                            <w:r w:rsidRPr="0003339E">
                              <w:rPr>
                                <w:rFonts w:ascii="Verdana" w:hAnsi="Verdana"/>
                                <w:b/>
                                <w:bCs/>
                                <w:i w:val="0"/>
                                <w:iCs w:val="0"/>
                                <w:color w:val="auto"/>
                              </w:rPr>
                              <w:t xml:space="preserve">Figure </w:t>
                            </w:r>
                            <w:r w:rsidRPr="0003339E">
                              <w:rPr>
                                <w:rFonts w:ascii="Verdana" w:hAnsi="Verdana"/>
                                <w:b/>
                                <w:bCs/>
                                <w:i w:val="0"/>
                                <w:iCs w:val="0"/>
                                <w:color w:val="auto"/>
                              </w:rPr>
                              <w:fldChar w:fldCharType="begin"/>
                            </w:r>
                            <w:r w:rsidRPr="0003339E">
                              <w:rPr>
                                <w:rFonts w:ascii="Verdana" w:hAnsi="Verdana"/>
                                <w:b/>
                                <w:bCs/>
                                <w:i w:val="0"/>
                                <w:iCs w:val="0"/>
                                <w:color w:val="auto"/>
                              </w:rPr>
                              <w:instrText xml:space="preserve"> SEQ Figure \* ARABIC </w:instrText>
                            </w:r>
                            <w:r w:rsidRPr="0003339E">
                              <w:rPr>
                                <w:rFonts w:ascii="Verdana" w:hAnsi="Verdana"/>
                                <w:b/>
                                <w:bCs/>
                                <w:i w:val="0"/>
                                <w:iCs w:val="0"/>
                                <w:color w:val="auto"/>
                              </w:rPr>
                              <w:fldChar w:fldCharType="separate"/>
                            </w:r>
                            <w:r w:rsidR="001D505F">
                              <w:rPr>
                                <w:rFonts w:ascii="Verdana" w:hAnsi="Verdana"/>
                                <w:b/>
                                <w:bCs/>
                                <w:i w:val="0"/>
                                <w:iCs w:val="0"/>
                                <w:noProof/>
                                <w:color w:val="auto"/>
                              </w:rPr>
                              <w:t>34</w:t>
                            </w:r>
                            <w:r w:rsidRPr="0003339E">
                              <w:rPr>
                                <w:rFonts w:ascii="Verdana" w:hAnsi="Verdana"/>
                                <w:b/>
                                <w:bCs/>
                                <w:i w:val="0"/>
                                <w:iCs w:val="0"/>
                                <w:color w:val="auto"/>
                              </w:rPr>
                              <w:fldChar w:fldCharType="end"/>
                            </w:r>
                            <w:r w:rsidRPr="0003339E">
                              <w:rPr>
                                <w:rFonts w:ascii="Verdana" w:hAnsi="Verdana"/>
                                <w:b/>
                                <w:bCs/>
                                <w:i w:val="0"/>
                                <w:iCs w:val="0"/>
                                <w:color w:val="auto"/>
                              </w:rPr>
                              <w:t xml:space="preserve"> </w:t>
                            </w:r>
                            <w:r w:rsidRPr="0003339E">
                              <w:rPr>
                                <w:rFonts w:ascii="Verdana" w:hAnsi="Verdana"/>
                                <w:i w:val="0"/>
                                <w:iCs w:val="0"/>
                                <w:color w:val="auto"/>
                              </w:rPr>
                              <w:t xml:space="preserve">DJ-1 KD </w:t>
                            </w:r>
                            <w:r w:rsidR="0003339E">
                              <w:rPr>
                                <w:rFonts w:ascii="Verdana" w:hAnsi="Verdana"/>
                                <w:i w:val="0"/>
                                <w:iCs w:val="0"/>
                                <w:color w:val="auto"/>
                              </w:rPr>
                              <w:t>might determine</w:t>
                            </w:r>
                            <w:r w:rsidR="00D87E18" w:rsidRPr="0003339E">
                              <w:rPr>
                                <w:rFonts w:ascii="Verdana" w:hAnsi="Verdana"/>
                                <w:i w:val="0"/>
                                <w:iCs w:val="0"/>
                                <w:color w:val="auto"/>
                              </w:rPr>
                              <w:t xml:space="preserve"> increased susceptibility to low levels glutamate stress</w:t>
                            </w:r>
                            <w:bookmarkEnd w:id="158"/>
                          </w:p>
                          <w:p w14:paraId="7BD5BE08" w14:textId="682813AF" w:rsidR="00D87E18" w:rsidRPr="0003339E" w:rsidRDefault="00872C87" w:rsidP="00872C87">
                            <w:pPr>
                              <w:ind w:firstLine="0"/>
                              <w:rPr>
                                <w:rFonts w:ascii="Verdana" w:hAnsi="Verdana"/>
                                <w:sz w:val="18"/>
                                <w:szCs w:val="18"/>
                              </w:rPr>
                            </w:pPr>
                            <w:r w:rsidRPr="005A5E92">
                              <w:rPr>
                                <w:rFonts w:ascii="Verdana" w:hAnsi="Verdana"/>
                                <w:b/>
                                <w:bCs/>
                                <w:sz w:val="18"/>
                                <w:szCs w:val="18"/>
                              </w:rPr>
                              <w:t>A)</w:t>
                            </w:r>
                            <w:r w:rsidRPr="0003339E">
                              <w:rPr>
                                <w:rFonts w:ascii="Verdana" w:hAnsi="Verdana"/>
                                <w:sz w:val="18"/>
                                <w:szCs w:val="18"/>
                              </w:rPr>
                              <w:t xml:space="preserve"> </w:t>
                            </w:r>
                            <w:r w:rsidR="00D87E18" w:rsidRPr="0003339E">
                              <w:rPr>
                                <w:rFonts w:ascii="Verdana" w:hAnsi="Verdana"/>
                                <w:sz w:val="18"/>
                                <w:szCs w:val="18"/>
                              </w:rPr>
                              <w:t xml:space="preserve">Relative mRNA expression of DJ-1 in WT and DJ-1 KD LUHMES cells. </w:t>
                            </w:r>
                            <w:r w:rsidR="00626884" w:rsidRPr="0003339E">
                              <w:rPr>
                                <w:rFonts w:ascii="Verdana" w:hAnsi="Verdana"/>
                                <w:sz w:val="18"/>
                                <w:szCs w:val="18"/>
                              </w:rPr>
                              <w:t>Stats: Wilcoxon test, *** = p&lt; 0.0</w:t>
                            </w:r>
                            <w:r w:rsidR="00295496" w:rsidRPr="0003339E">
                              <w:rPr>
                                <w:rFonts w:ascii="Verdana" w:hAnsi="Verdana"/>
                                <w:sz w:val="18"/>
                                <w:szCs w:val="18"/>
                              </w:rPr>
                              <w:t xml:space="preserve">1. </w:t>
                            </w:r>
                            <w:r w:rsidR="00295496" w:rsidRPr="005A5E92">
                              <w:rPr>
                                <w:rFonts w:ascii="Verdana" w:hAnsi="Verdana"/>
                                <w:b/>
                                <w:bCs/>
                                <w:sz w:val="18"/>
                                <w:szCs w:val="18"/>
                              </w:rPr>
                              <w:t>B)</w:t>
                            </w:r>
                            <w:r w:rsidR="00295496" w:rsidRPr="0003339E">
                              <w:rPr>
                                <w:rFonts w:ascii="Verdana" w:hAnsi="Verdana"/>
                                <w:sz w:val="18"/>
                                <w:szCs w:val="18"/>
                              </w:rPr>
                              <w:t xml:space="preserve"> Relative mRNA expression levels for </w:t>
                            </w:r>
                            <w:proofErr w:type="spellStart"/>
                            <w:r w:rsidR="00295496" w:rsidRPr="0003339E">
                              <w:rPr>
                                <w:rFonts w:ascii="Verdana" w:hAnsi="Verdana"/>
                                <w:sz w:val="18"/>
                                <w:szCs w:val="18"/>
                              </w:rPr>
                              <w:t>NeuN</w:t>
                            </w:r>
                            <w:proofErr w:type="spellEnd"/>
                            <w:r w:rsidR="00295496" w:rsidRPr="0003339E">
                              <w:rPr>
                                <w:rFonts w:ascii="Verdana" w:hAnsi="Verdana"/>
                                <w:sz w:val="18"/>
                                <w:szCs w:val="18"/>
                              </w:rPr>
                              <w:t xml:space="preserve">, Syp1 and Tuj1 in WT and DJ-1 KD LUHMES cells. Stats: Wilcoxon test, </w:t>
                            </w:r>
                            <w:r w:rsidR="00CA40AC" w:rsidRPr="0003339E">
                              <w:rPr>
                                <w:rFonts w:ascii="Verdana" w:hAnsi="Verdana"/>
                                <w:sz w:val="18"/>
                                <w:szCs w:val="18"/>
                              </w:rPr>
                              <w:t xml:space="preserve">*** = p&lt; 0.01. </w:t>
                            </w:r>
                            <w:r w:rsidR="00CA40AC" w:rsidRPr="005A5E92">
                              <w:rPr>
                                <w:rFonts w:ascii="Verdana" w:hAnsi="Verdana"/>
                                <w:b/>
                                <w:bCs/>
                                <w:sz w:val="18"/>
                                <w:szCs w:val="18"/>
                              </w:rPr>
                              <w:t>C)</w:t>
                            </w:r>
                            <w:r w:rsidR="00CA40AC" w:rsidRPr="0003339E">
                              <w:rPr>
                                <w:rFonts w:ascii="Verdana" w:hAnsi="Verdana"/>
                                <w:sz w:val="18"/>
                                <w:szCs w:val="18"/>
                              </w:rPr>
                              <w:t xml:space="preserve"> Representative immunofluorescence images for Tuj1</w:t>
                            </w:r>
                            <w:r w:rsidR="00E02A16" w:rsidRPr="0003339E">
                              <w:rPr>
                                <w:rFonts w:ascii="Verdana" w:hAnsi="Verdana"/>
                                <w:sz w:val="18"/>
                                <w:szCs w:val="18"/>
                              </w:rPr>
                              <w:t xml:space="preserve"> staining in differentiated WT and DJ-1 cells.</w:t>
                            </w:r>
                            <w:r w:rsidR="00DE6421" w:rsidRPr="0003339E">
                              <w:rPr>
                                <w:rFonts w:ascii="Verdana" w:hAnsi="Verdana"/>
                                <w:sz w:val="18"/>
                                <w:szCs w:val="18"/>
                              </w:rPr>
                              <w:t xml:space="preserve"> 20X magnification. </w:t>
                            </w:r>
                            <w:r w:rsidR="00DE6421" w:rsidRPr="005A5E92">
                              <w:rPr>
                                <w:rFonts w:ascii="Verdana" w:hAnsi="Verdana"/>
                                <w:b/>
                                <w:bCs/>
                                <w:sz w:val="18"/>
                                <w:szCs w:val="18"/>
                              </w:rPr>
                              <w:t>D)</w:t>
                            </w:r>
                            <w:r w:rsidR="00DE6421" w:rsidRPr="0003339E">
                              <w:rPr>
                                <w:rFonts w:ascii="Verdana" w:hAnsi="Verdana"/>
                                <w:sz w:val="18"/>
                                <w:szCs w:val="18"/>
                              </w:rPr>
                              <w:t xml:space="preserve"> </w:t>
                            </w:r>
                            <w:r w:rsidR="00AD3148" w:rsidRPr="0003339E">
                              <w:rPr>
                                <w:rFonts w:ascii="Verdana" w:hAnsi="Verdana"/>
                                <w:sz w:val="18"/>
                                <w:szCs w:val="18"/>
                              </w:rPr>
                              <w:t xml:space="preserve">MTT test results showing glutamate excitotoxicity at 24h of treatment. Each point represents a </w:t>
                            </w:r>
                            <w:r w:rsidRPr="0003339E">
                              <w:rPr>
                                <w:rFonts w:ascii="Verdana" w:hAnsi="Verdana"/>
                                <w:sz w:val="18"/>
                                <w:szCs w:val="18"/>
                              </w:rPr>
                              <w:t>replicate, and each replicate is obtained by averaging the values of 4 wells of a 96-wells plate.</w:t>
                            </w:r>
                            <w:r w:rsidR="00EC4352">
                              <w:rPr>
                                <w:rFonts w:ascii="Verdana" w:hAnsi="Verdana"/>
                                <w:sz w:val="18"/>
                                <w:szCs w:val="18"/>
                              </w:rPr>
                              <w:t xml:space="preserve"> Stats: </w:t>
                            </w:r>
                            <w:proofErr w:type="spellStart"/>
                            <w:r w:rsidR="00EC4352">
                              <w:rPr>
                                <w:rFonts w:ascii="Verdana" w:hAnsi="Verdana"/>
                                <w:sz w:val="18"/>
                                <w:szCs w:val="18"/>
                              </w:rPr>
                              <w:t>Kruskall</w:t>
                            </w:r>
                            <w:proofErr w:type="spellEnd"/>
                            <w:r w:rsidR="00EC4352">
                              <w:rPr>
                                <w:rFonts w:ascii="Verdana" w:hAnsi="Verdana"/>
                                <w:sz w:val="18"/>
                                <w:szCs w:val="18"/>
                              </w:rPr>
                              <w:t>-Wallis</w:t>
                            </w:r>
                            <w:r w:rsidR="0083063A">
                              <w:rPr>
                                <w:rFonts w:ascii="Verdana" w:hAnsi="Verdana"/>
                                <w:sz w:val="18"/>
                                <w:szCs w:val="18"/>
                              </w:rPr>
                              <w:t>, non-significant.</w:t>
                            </w:r>
                          </w:p>
                          <w:p w14:paraId="1F51FCEE" w14:textId="5D055799" w:rsidR="00872C87" w:rsidRPr="0003339E" w:rsidRDefault="00810684" w:rsidP="00872C87">
                            <w:pPr>
                              <w:ind w:firstLine="0"/>
                              <w:rPr>
                                <w:rFonts w:ascii="Verdana" w:hAnsi="Verdana"/>
                                <w:sz w:val="18"/>
                                <w:szCs w:val="18"/>
                              </w:rPr>
                            </w:pPr>
                            <w:r w:rsidRPr="0003339E">
                              <w:rPr>
                                <w:rFonts w:ascii="Verdana" w:hAnsi="Verdana"/>
                                <w:sz w:val="18"/>
                                <w:szCs w:val="18"/>
                              </w:rPr>
                              <w:t xml:space="preserve">WT = LUHMES wild-type cells, DJ-1 KD = LUHMES cells with stable knock-down of DJ-1, </w:t>
                            </w:r>
                            <w:r w:rsidR="00B01D2C" w:rsidRPr="0003339E">
                              <w:rPr>
                                <w:rFonts w:ascii="Verdana" w:hAnsi="Verdana"/>
                                <w:sz w:val="18"/>
                                <w:szCs w:val="18"/>
                              </w:rPr>
                              <w:t xml:space="preserve">u = undifferentiated, P = pre-differentiated, D = differentiated, </w:t>
                            </w:r>
                            <w:proofErr w:type="spellStart"/>
                            <w:r w:rsidR="001B020F" w:rsidRPr="0003339E">
                              <w:rPr>
                                <w:rFonts w:ascii="Verdana" w:hAnsi="Verdana"/>
                                <w:sz w:val="18"/>
                                <w:szCs w:val="18"/>
                              </w:rPr>
                              <w:t>NeuN</w:t>
                            </w:r>
                            <w:proofErr w:type="spellEnd"/>
                            <w:r w:rsidR="001B020F" w:rsidRPr="0003339E">
                              <w:rPr>
                                <w:rFonts w:ascii="Verdana" w:hAnsi="Verdana"/>
                                <w:sz w:val="18"/>
                                <w:szCs w:val="18"/>
                              </w:rPr>
                              <w:t xml:space="preserve"> = neuronal nuclei, Syn1 = synapsin</w:t>
                            </w:r>
                            <w:r w:rsidR="00AE22FF">
                              <w:rPr>
                                <w:rFonts w:ascii="Verdana" w:hAnsi="Verdana"/>
                                <w:sz w:val="18"/>
                                <w:szCs w:val="18"/>
                              </w:rPr>
                              <w:t>-</w:t>
                            </w:r>
                            <w:r w:rsidR="001B020F" w:rsidRPr="0003339E">
                              <w:rPr>
                                <w:rFonts w:ascii="Verdana" w:hAnsi="Verdana"/>
                                <w:sz w:val="18"/>
                                <w:szCs w:val="18"/>
                              </w:rPr>
                              <w:t>1, Tuj1 = beta-tubulin III</w:t>
                            </w:r>
                            <w:r w:rsidR="0003339E" w:rsidRPr="0003339E">
                              <w:rPr>
                                <w:rFonts w:ascii="Verdana" w:hAnsi="Verdana"/>
                                <w:sz w:val="18"/>
                                <w:szCs w:val="18"/>
                              </w:rPr>
                              <w:t>, CTRL- = negative control (untreated cells)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99DFFA" id="Text Box 46" o:spid="_x0000_s1068" type="#_x0000_t202" style="position:absolute;left:0;text-align:left;margin-left:388.6pt;margin-top:361.85pt;width:439.8pt;height:.05pt;z-index:2519848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B23GwIAAEAEAAAOAAAAZHJzL2Uyb0RvYy54bWysU8Fu2zAMvQ/YPwi6L07aJei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" stroked="f">
                <v:textbox style="mso-fit-shape-to-text:t" inset="0,0,0,0">
                  <w:txbxContent>
                    <w:p w14:paraId="570F0E37" w14:textId="4F273541" w:rsidR="008447C2" w:rsidRPr="0003339E" w:rsidRDefault="008447C2" w:rsidP="0003339E">
                      <w:pPr>
                        <w:pStyle w:val="Caption"/>
                        <w:ind w:firstLine="0"/>
                        <w:rPr>
                          <w:rFonts w:ascii="Verdana" w:hAnsi="Verdana"/>
                          <w:i w:val="0"/>
                          <w:iCs w:val="0"/>
                          <w:color w:val="auto"/>
                        </w:rPr>
                      </w:pPr>
                      <w:bookmarkStart w:id="159" w:name="_Toc131412776"/>
                      <w:r w:rsidRPr="0003339E">
                        <w:rPr>
                          <w:rFonts w:ascii="Verdana" w:hAnsi="Verdana"/>
                          <w:b/>
                          <w:bCs/>
                          <w:i w:val="0"/>
                          <w:iCs w:val="0"/>
                          <w:color w:val="auto"/>
                        </w:rPr>
                        <w:t xml:space="preserve">Figure </w:t>
                      </w:r>
                      <w:r w:rsidRPr="0003339E">
                        <w:rPr>
                          <w:rFonts w:ascii="Verdana" w:hAnsi="Verdana"/>
                          <w:b/>
                          <w:bCs/>
                          <w:i w:val="0"/>
                          <w:iCs w:val="0"/>
                          <w:color w:val="auto"/>
                        </w:rPr>
                        <w:fldChar w:fldCharType="begin"/>
                      </w:r>
                      <w:r w:rsidRPr="0003339E">
                        <w:rPr>
                          <w:rFonts w:ascii="Verdana" w:hAnsi="Verdana"/>
                          <w:b/>
                          <w:bCs/>
                          <w:i w:val="0"/>
                          <w:iCs w:val="0"/>
                          <w:color w:val="auto"/>
                        </w:rPr>
                        <w:instrText xml:space="preserve"> SEQ Figure \* ARABIC </w:instrText>
                      </w:r>
                      <w:r w:rsidRPr="0003339E">
                        <w:rPr>
                          <w:rFonts w:ascii="Verdana" w:hAnsi="Verdana"/>
                          <w:b/>
                          <w:bCs/>
                          <w:i w:val="0"/>
                          <w:iCs w:val="0"/>
                          <w:color w:val="auto"/>
                        </w:rPr>
                        <w:fldChar w:fldCharType="separate"/>
                      </w:r>
                      <w:r w:rsidR="001D505F">
                        <w:rPr>
                          <w:rFonts w:ascii="Verdana" w:hAnsi="Verdana"/>
                          <w:b/>
                          <w:bCs/>
                          <w:i w:val="0"/>
                          <w:iCs w:val="0"/>
                          <w:noProof/>
                          <w:color w:val="auto"/>
                        </w:rPr>
                        <w:t>34</w:t>
                      </w:r>
                      <w:r w:rsidRPr="0003339E">
                        <w:rPr>
                          <w:rFonts w:ascii="Verdana" w:hAnsi="Verdana"/>
                          <w:b/>
                          <w:bCs/>
                          <w:i w:val="0"/>
                          <w:iCs w:val="0"/>
                          <w:color w:val="auto"/>
                        </w:rPr>
                        <w:fldChar w:fldCharType="end"/>
                      </w:r>
                      <w:r w:rsidRPr="0003339E">
                        <w:rPr>
                          <w:rFonts w:ascii="Verdana" w:hAnsi="Verdana"/>
                          <w:b/>
                          <w:bCs/>
                          <w:i w:val="0"/>
                          <w:iCs w:val="0"/>
                          <w:color w:val="auto"/>
                        </w:rPr>
                        <w:t xml:space="preserve"> </w:t>
                      </w:r>
                      <w:r w:rsidRPr="0003339E">
                        <w:rPr>
                          <w:rFonts w:ascii="Verdana" w:hAnsi="Verdana"/>
                          <w:i w:val="0"/>
                          <w:iCs w:val="0"/>
                          <w:color w:val="auto"/>
                        </w:rPr>
                        <w:t xml:space="preserve">DJ-1 KD </w:t>
                      </w:r>
                      <w:r w:rsidR="0003339E">
                        <w:rPr>
                          <w:rFonts w:ascii="Verdana" w:hAnsi="Verdana"/>
                          <w:i w:val="0"/>
                          <w:iCs w:val="0"/>
                          <w:color w:val="auto"/>
                        </w:rPr>
                        <w:t>might determine</w:t>
                      </w:r>
                      <w:r w:rsidR="00D87E18" w:rsidRPr="0003339E">
                        <w:rPr>
                          <w:rFonts w:ascii="Verdana" w:hAnsi="Verdana"/>
                          <w:i w:val="0"/>
                          <w:iCs w:val="0"/>
                          <w:color w:val="auto"/>
                        </w:rPr>
                        <w:t xml:space="preserve"> increased susceptibility to low levels glutamate stress</w:t>
                      </w:r>
                      <w:bookmarkEnd w:id="159"/>
                    </w:p>
                    <w:p w14:paraId="7BD5BE08" w14:textId="682813AF" w:rsidR="00D87E18" w:rsidRPr="0003339E" w:rsidRDefault="00872C87" w:rsidP="00872C87">
                      <w:pPr>
                        <w:ind w:firstLine="0"/>
                        <w:rPr>
                          <w:rFonts w:ascii="Verdana" w:hAnsi="Verdana"/>
                          <w:sz w:val="18"/>
                          <w:szCs w:val="18"/>
                        </w:rPr>
                      </w:pPr>
                      <w:r w:rsidRPr="005A5E92">
                        <w:rPr>
                          <w:rFonts w:ascii="Verdana" w:hAnsi="Verdana"/>
                          <w:b/>
                          <w:bCs/>
                          <w:sz w:val="18"/>
                          <w:szCs w:val="18"/>
                        </w:rPr>
                        <w:t>A)</w:t>
                      </w:r>
                      <w:r w:rsidRPr="0003339E">
                        <w:rPr>
                          <w:rFonts w:ascii="Verdana" w:hAnsi="Verdana"/>
                          <w:sz w:val="18"/>
                          <w:szCs w:val="18"/>
                        </w:rPr>
                        <w:t xml:space="preserve"> </w:t>
                      </w:r>
                      <w:r w:rsidR="00D87E18" w:rsidRPr="0003339E">
                        <w:rPr>
                          <w:rFonts w:ascii="Verdana" w:hAnsi="Verdana"/>
                          <w:sz w:val="18"/>
                          <w:szCs w:val="18"/>
                        </w:rPr>
                        <w:t xml:space="preserve">Relative mRNA expression of DJ-1 in WT and DJ-1 KD LUHMES cells. </w:t>
                      </w:r>
                      <w:r w:rsidR="00626884" w:rsidRPr="0003339E">
                        <w:rPr>
                          <w:rFonts w:ascii="Verdana" w:hAnsi="Verdana"/>
                          <w:sz w:val="18"/>
                          <w:szCs w:val="18"/>
                        </w:rPr>
                        <w:t>Stats: Wilcoxon test, *** = p&lt; 0.0</w:t>
                      </w:r>
                      <w:r w:rsidR="00295496" w:rsidRPr="0003339E">
                        <w:rPr>
                          <w:rFonts w:ascii="Verdana" w:hAnsi="Verdana"/>
                          <w:sz w:val="18"/>
                          <w:szCs w:val="18"/>
                        </w:rPr>
                        <w:t xml:space="preserve">1. </w:t>
                      </w:r>
                      <w:r w:rsidR="00295496" w:rsidRPr="005A5E92">
                        <w:rPr>
                          <w:rFonts w:ascii="Verdana" w:hAnsi="Verdana"/>
                          <w:b/>
                          <w:bCs/>
                          <w:sz w:val="18"/>
                          <w:szCs w:val="18"/>
                        </w:rPr>
                        <w:t>B)</w:t>
                      </w:r>
                      <w:r w:rsidR="00295496" w:rsidRPr="0003339E">
                        <w:rPr>
                          <w:rFonts w:ascii="Verdana" w:hAnsi="Verdana"/>
                          <w:sz w:val="18"/>
                          <w:szCs w:val="18"/>
                        </w:rPr>
                        <w:t xml:space="preserve"> Relative mRNA expression levels for </w:t>
                      </w:r>
                      <w:proofErr w:type="spellStart"/>
                      <w:r w:rsidR="00295496" w:rsidRPr="0003339E">
                        <w:rPr>
                          <w:rFonts w:ascii="Verdana" w:hAnsi="Verdana"/>
                          <w:sz w:val="18"/>
                          <w:szCs w:val="18"/>
                        </w:rPr>
                        <w:t>NeuN</w:t>
                      </w:r>
                      <w:proofErr w:type="spellEnd"/>
                      <w:r w:rsidR="00295496" w:rsidRPr="0003339E">
                        <w:rPr>
                          <w:rFonts w:ascii="Verdana" w:hAnsi="Verdana"/>
                          <w:sz w:val="18"/>
                          <w:szCs w:val="18"/>
                        </w:rPr>
                        <w:t xml:space="preserve">, Syp1 and Tuj1 in WT and DJ-1 KD LUHMES cells. Stats: Wilcoxon test, </w:t>
                      </w:r>
                      <w:r w:rsidR="00CA40AC" w:rsidRPr="0003339E">
                        <w:rPr>
                          <w:rFonts w:ascii="Verdana" w:hAnsi="Verdana"/>
                          <w:sz w:val="18"/>
                          <w:szCs w:val="18"/>
                        </w:rPr>
                        <w:t xml:space="preserve">*** = p&lt; 0.01. </w:t>
                      </w:r>
                      <w:r w:rsidR="00CA40AC" w:rsidRPr="005A5E92">
                        <w:rPr>
                          <w:rFonts w:ascii="Verdana" w:hAnsi="Verdana"/>
                          <w:b/>
                          <w:bCs/>
                          <w:sz w:val="18"/>
                          <w:szCs w:val="18"/>
                        </w:rPr>
                        <w:t>C)</w:t>
                      </w:r>
                      <w:r w:rsidR="00CA40AC" w:rsidRPr="0003339E">
                        <w:rPr>
                          <w:rFonts w:ascii="Verdana" w:hAnsi="Verdana"/>
                          <w:sz w:val="18"/>
                          <w:szCs w:val="18"/>
                        </w:rPr>
                        <w:t xml:space="preserve"> Representative immunofluorescence images for Tuj1</w:t>
                      </w:r>
                      <w:r w:rsidR="00E02A16" w:rsidRPr="0003339E">
                        <w:rPr>
                          <w:rFonts w:ascii="Verdana" w:hAnsi="Verdana"/>
                          <w:sz w:val="18"/>
                          <w:szCs w:val="18"/>
                        </w:rPr>
                        <w:t xml:space="preserve"> staining in differentiated WT and DJ-1 cells.</w:t>
                      </w:r>
                      <w:r w:rsidR="00DE6421" w:rsidRPr="0003339E">
                        <w:rPr>
                          <w:rFonts w:ascii="Verdana" w:hAnsi="Verdana"/>
                          <w:sz w:val="18"/>
                          <w:szCs w:val="18"/>
                        </w:rPr>
                        <w:t xml:space="preserve"> 20X magnification. </w:t>
                      </w:r>
                      <w:r w:rsidR="00DE6421" w:rsidRPr="005A5E92">
                        <w:rPr>
                          <w:rFonts w:ascii="Verdana" w:hAnsi="Verdana"/>
                          <w:b/>
                          <w:bCs/>
                          <w:sz w:val="18"/>
                          <w:szCs w:val="18"/>
                        </w:rPr>
                        <w:t>D)</w:t>
                      </w:r>
                      <w:r w:rsidR="00DE6421" w:rsidRPr="0003339E">
                        <w:rPr>
                          <w:rFonts w:ascii="Verdana" w:hAnsi="Verdana"/>
                          <w:sz w:val="18"/>
                          <w:szCs w:val="18"/>
                        </w:rPr>
                        <w:t xml:space="preserve"> </w:t>
                      </w:r>
                      <w:r w:rsidR="00AD3148" w:rsidRPr="0003339E">
                        <w:rPr>
                          <w:rFonts w:ascii="Verdana" w:hAnsi="Verdana"/>
                          <w:sz w:val="18"/>
                          <w:szCs w:val="18"/>
                        </w:rPr>
                        <w:t xml:space="preserve">MTT test results showing glutamate excitotoxicity at 24h of treatment. Each point represents a </w:t>
                      </w:r>
                      <w:r w:rsidRPr="0003339E">
                        <w:rPr>
                          <w:rFonts w:ascii="Verdana" w:hAnsi="Verdana"/>
                          <w:sz w:val="18"/>
                          <w:szCs w:val="18"/>
                        </w:rPr>
                        <w:t>replicate, and each replicate is obtained by averaging the values of 4 wells of a 96-wells plate.</w:t>
                      </w:r>
                      <w:r w:rsidR="00EC4352">
                        <w:rPr>
                          <w:rFonts w:ascii="Verdana" w:hAnsi="Verdana"/>
                          <w:sz w:val="18"/>
                          <w:szCs w:val="18"/>
                        </w:rPr>
                        <w:t xml:space="preserve"> Stats: </w:t>
                      </w:r>
                      <w:proofErr w:type="spellStart"/>
                      <w:r w:rsidR="00EC4352">
                        <w:rPr>
                          <w:rFonts w:ascii="Verdana" w:hAnsi="Verdana"/>
                          <w:sz w:val="18"/>
                          <w:szCs w:val="18"/>
                        </w:rPr>
                        <w:t>Kruskall</w:t>
                      </w:r>
                      <w:proofErr w:type="spellEnd"/>
                      <w:r w:rsidR="00EC4352">
                        <w:rPr>
                          <w:rFonts w:ascii="Verdana" w:hAnsi="Verdana"/>
                          <w:sz w:val="18"/>
                          <w:szCs w:val="18"/>
                        </w:rPr>
                        <w:t>-Wallis</w:t>
                      </w:r>
                      <w:r w:rsidR="0083063A">
                        <w:rPr>
                          <w:rFonts w:ascii="Verdana" w:hAnsi="Verdana"/>
                          <w:sz w:val="18"/>
                          <w:szCs w:val="18"/>
                        </w:rPr>
                        <w:t>, non-significant.</w:t>
                      </w:r>
                    </w:p>
                    <w:p w14:paraId="1F51FCEE" w14:textId="5D055799" w:rsidR="00872C87" w:rsidRPr="0003339E" w:rsidRDefault="00810684" w:rsidP="00872C87">
                      <w:pPr>
                        <w:ind w:firstLine="0"/>
                        <w:rPr>
                          <w:rFonts w:ascii="Verdana" w:hAnsi="Verdana"/>
                          <w:sz w:val="18"/>
                          <w:szCs w:val="18"/>
                        </w:rPr>
                      </w:pPr>
                      <w:r w:rsidRPr="0003339E">
                        <w:rPr>
                          <w:rFonts w:ascii="Verdana" w:hAnsi="Verdana"/>
                          <w:sz w:val="18"/>
                          <w:szCs w:val="18"/>
                        </w:rPr>
                        <w:t xml:space="preserve">WT = LUHMES wild-type cells, DJ-1 KD = LUHMES cells with stable knock-down of DJ-1, </w:t>
                      </w:r>
                      <w:r w:rsidR="00B01D2C" w:rsidRPr="0003339E">
                        <w:rPr>
                          <w:rFonts w:ascii="Verdana" w:hAnsi="Verdana"/>
                          <w:sz w:val="18"/>
                          <w:szCs w:val="18"/>
                        </w:rPr>
                        <w:t xml:space="preserve">u = undifferentiated, P = pre-differentiated, D = differentiated, </w:t>
                      </w:r>
                      <w:proofErr w:type="spellStart"/>
                      <w:r w:rsidR="001B020F" w:rsidRPr="0003339E">
                        <w:rPr>
                          <w:rFonts w:ascii="Verdana" w:hAnsi="Verdana"/>
                          <w:sz w:val="18"/>
                          <w:szCs w:val="18"/>
                        </w:rPr>
                        <w:t>NeuN</w:t>
                      </w:r>
                      <w:proofErr w:type="spellEnd"/>
                      <w:r w:rsidR="001B020F" w:rsidRPr="0003339E">
                        <w:rPr>
                          <w:rFonts w:ascii="Verdana" w:hAnsi="Verdana"/>
                          <w:sz w:val="18"/>
                          <w:szCs w:val="18"/>
                        </w:rPr>
                        <w:t xml:space="preserve"> = neuronal nuclei, Syn1 = synapsin</w:t>
                      </w:r>
                      <w:r w:rsidR="00AE22FF">
                        <w:rPr>
                          <w:rFonts w:ascii="Verdana" w:hAnsi="Verdana"/>
                          <w:sz w:val="18"/>
                          <w:szCs w:val="18"/>
                        </w:rPr>
                        <w:t>-</w:t>
                      </w:r>
                      <w:r w:rsidR="001B020F" w:rsidRPr="0003339E">
                        <w:rPr>
                          <w:rFonts w:ascii="Verdana" w:hAnsi="Verdana"/>
                          <w:sz w:val="18"/>
                          <w:szCs w:val="18"/>
                        </w:rPr>
                        <w:t>1, Tuj1 = beta-tubulin III</w:t>
                      </w:r>
                      <w:r w:rsidR="0003339E" w:rsidRPr="0003339E">
                        <w:rPr>
                          <w:rFonts w:ascii="Verdana" w:hAnsi="Verdana"/>
                          <w:sz w:val="18"/>
                          <w:szCs w:val="18"/>
                        </w:rPr>
                        <w:t>, CTRL- = negative control (untreated cells)</w:t>
                      </w:r>
                    </w:p>
                  </w:txbxContent>
                </v:textbox>
                <w10:wrap type="topAndBottom" anchorx="margin"/>
              </v:shape>
            </w:pict>
          </mc:Fallback>
        </mc:AlternateContent>
      </w:r>
      <w:r>
        <w:rPr>
          <w:rFonts w:ascii="Verdana" w:hAnsi="Verdana"/>
          <w:noProof/>
          <w:lang w:val="en-GB"/>
        </w:rPr>
        <w:drawing>
          <wp:anchor distT="0" distB="0" distL="114300" distR="114300" simplePos="0" relativeHeight="251985920" behindDoc="0" locked="0" layoutInCell="1" allowOverlap="1" wp14:anchorId="6FEE2A5D" wp14:editId="4852CEBB">
            <wp:simplePos x="0" y="0"/>
            <wp:positionH relativeFrom="margin">
              <wp:posOffset>-1270</wp:posOffset>
            </wp:positionH>
            <wp:positionV relativeFrom="paragraph">
              <wp:posOffset>436880</wp:posOffset>
            </wp:positionV>
            <wp:extent cx="5580380" cy="4071620"/>
            <wp:effectExtent l="0" t="0" r="1270" b="0"/>
            <wp:wrapTopAndBottom/>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80380" cy="4071620"/>
                    </a:xfrm>
                    <a:prstGeom prst="rect">
                      <a:avLst/>
                    </a:prstGeom>
                  </pic:spPr>
                </pic:pic>
              </a:graphicData>
            </a:graphic>
          </wp:anchor>
        </w:drawing>
      </w:r>
    </w:p>
    <w:p w14:paraId="1A46944C" w14:textId="717330B7" w:rsidR="00EC4352" w:rsidRPr="00401065" w:rsidRDefault="00EC4352" w:rsidP="00EC4352">
      <w:pPr>
        <w:rPr>
          <w:rFonts w:ascii="Verdana" w:hAnsi="Verdana"/>
          <w:color w:val="FF0000"/>
          <w:lang w:val="en-GB"/>
        </w:rPr>
      </w:pPr>
    </w:p>
    <w:p w14:paraId="1A8ECD36" w14:textId="174C1879" w:rsidR="00986AAB" w:rsidRPr="00F3041E" w:rsidRDefault="005F4811" w:rsidP="00C37B52">
      <w:pPr>
        <w:spacing w:line="360" w:lineRule="auto"/>
        <w:jc w:val="both"/>
        <w:rPr>
          <w:rFonts w:ascii="Verdana" w:hAnsi="Verdana"/>
          <w:lang w:val="en-GB"/>
        </w:rPr>
      </w:pPr>
      <w:r w:rsidRPr="00F3041E">
        <w:rPr>
          <w:rFonts w:ascii="Verdana" w:hAnsi="Verdana"/>
          <w:lang w:val="en-GB"/>
        </w:rPr>
        <w:br w:type="page"/>
      </w:r>
    </w:p>
    <w:p w14:paraId="3D8ED844" w14:textId="77777777" w:rsidR="00C75A61" w:rsidRDefault="00C75A61" w:rsidP="00F3041E">
      <w:pPr>
        <w:pStyle w:val="Title"/>
        <w:ind w:firstLine="0"/>
        <w:rPr>
          <w:rFonts w:ascii="Verdana" w:hAnsi="Verdana"/>
          <w:sz w:val="44"/>
          <w:szCs w:val="44"/>
          <w:lang w:val="en-GB"/>
        </w:rPr>
        <w:sectPr w:rsidR="00C75A61" w:rsidSect="00C75A61">
          <w:pgSz w:w="11907" w:h="16840" w:code="9"/>
          <w:pgMar w:top="1440" w:right="1418" w:bottom="1440" w:left="1701" w:header="720" w:footer="720" w:gutter="0"/>
          <w:cols w:space="720"/>
          <w:docGrid w:linePitch="360"/>
        </w:sectPr>
      </w:pPr>
    </w:p>
    <w:p w14:paraId="5765C6F3" w14:textId="4C60E2C8" w:rsidR="00986AAB" w:rsidRPr="00735402" w:rsidRDefault="00986AAB" w:rsidP="00986AAB">
      <w:pPr>
        <w:pStyle w:val="Title"/>
        <w:jc w:val="center"/>
        <w:rPr>
          <w:rFonts w:ascii="Verdana" w:hAnsi="Verdana"/>
          <w:sz w:val="44"/>
          <w:szCs w:val="44"/>
          <w:lang w:val="en-GB"/>
        </w:rPr>
      </w:pPr>
    </w:p>
    <w:p w14:paraId="768E47FE" w14:textId="732E46EB" w:rsidR="00986AAB" w:rsidRPr="00BE791C" w:rsidRDefault="00BE791C" w:rsidP="00BE791C">
      <w:pPr>
        <w:pStyle w:val="Title"/>
        <w:jc w:val="center"/>
        <w:rPr>
          <w:rFonts w:ascii="Verdana" w:hAnsi="Verdana"/>
          <w:sz w:val="44"/>
          <w:szCs w:val="44"/>
          <w:lang w:val="en-GB"/>
        </w:rPr>
      </w:pPr>
      <w:r w:rsidRPr="00735402">
        <w:rPr>
          <w:rFonts w:ascii="Verdana" w:hAnsi="Verdana"/>
          <w:sz w:val="44"/>
          <w:szCs w:val="44"/>
          <w:lang w:val="en-GB"/>
        </w:rPr>
        <w:t xml:space="preserve">Part </w:t>
      </w:r>
      <w:r>
        <w:rPr>
          <w:rFonts w:ascii="Verdana" w:hAnsi="Verdana"/>
          <w:sz w:val="44"/>
          <w:szCs w:val="44"/>
          <w:lang w:val="en-GB"/>
        </w:rPr>
        <w:t>V</w:t>
      </w:r>
    </w:p>
    <w:p w14:paraId="4B6CD4CF" w14:textId="0625B47E" w:rsidR="00986AAB" w:rsidRDefault="00986AAB" w:rsidP="009E5729">
      <w:pPr>
        <w:pStyle w:val="Heading1"/>
        <w:jc w:val="center"/>
        <w:rPr>
          <w:lang w:val="en-GB"/>
        </w:rPr>
      </w:pPr>
      <w:bookmarkStart w:id="160" w:name="_Toc130223465"/>
      <w:r>
        <w:rPr>
          <w:lang w:val="en-GB"/>
        </w:rPr>
        <w:t>Discussion</w:t>
      </w:r>
      <w:bookmarkEnd w:id="160"/>
    </w:p>
    <w:p w14:paraId="2C0B85D7" w14:textId="77777777" w:rsidR="00C75A61" w:rsidRDefault="00C75A61">
      <w:pPr>
        <w:ind w:firstLine="0"/>
        <w:rPr>
          <w:rFonts w:ascii="Verdana" w:hAnsi="Verdana"/>
          <w:lang w:val="en-GB"/>
        </w:rPr>
        <w:sectPr w:rsidR="00C75A61" w:rsidSect="00C75A61">
          <w:pgSz w:w="11907" w:h="16840" w:code="9"/>
          <w:pgMar w:top="1440" w:right="1418" w:bottom="1440" w:left="1701" w:header="720" w:footer="720" w:gutter="0"/>
          <w:cols w:space="720"/>
          <w:vAlign w:val="center"/>
          <w:docGrid w:linePitch="360"/>
        </w:sectPr>
      </w:pPr>
    </w:p>
    <w:p w14:paraId="24E42FA4" w14:textId="2E6D33E9" w:rsidR="001C1DAF" w:rsidRDefault="001C1DAF">
      <w:pPr>
        <w:ind w:firstLine="0"/>
        <w:rPr>
          <w:rFonts w:ascii="Verdana" w:hAnsi="Verdana"/>
          <w:lang w:val="en-GB"/>
        </w:rPr>
      </w:pPr>
      <w:r>
        <w:rPr>
          <w:rFonts w:ascii="Verdana" w:hAnsi="Verdana"/>
          <w:lang w:val="en-GB"/>
        </w:rPr>
        <w:lastRenderedPageBreak/>
        <w:br w:type="page"/>
      </w:r>
    </w:p>
    <w:p w14:paraId="357DE273" w14:textId="77777777" w:rsidR="000E1722" w:rsidRDefault="000E1722" w:rsidP="000E1722">
      <w:pPr>
        <w:spacing w:line="360" w:lineRule="auto"/>
        <w:jc w:val="both"/>
        <w:rPr>
          <w:rFonts w:ascii="Verdana" w:hAnsi="Verdana"/>
          <w:lang w:val="en-GB"/>
        </w:rPr>
      </w:pPr>
    </w:p>
    <w:p w14:paraId="39651AF0" w14:textId="77777777" w:rsidR="000E1722" w:rsidRDefault="000E1722" w:rsidP="000E1722">
      <w:pPr>
        <w:spacing w:line="360" w:lineRule="auto"/>
        <w:jc w:val="both"/>
        <w:rPr>
          <w:rFonts w:ascii="Verdana" w:hAnsi="Verdana"/>
          <w:lang w:val="en-GB"/>
        </w:rPr>
      </w:pPr>
    </w:p>
    <w:p w14:paraId="76C735C3" w14:textId="77777777" w:rsidR="000E1722" w:rsidRDefault="000E1722" w:rsidP="000E1722">
      <w:pPr>
        <w:spacing w:line="360" w:lineRule="auto"/>
        <w:jc w:val="both"/>
        <w:rPr>
          <w:rFonts w:ascii="Verdana" w:hAnsi="Verdana"/>
          <w:lang w:val="en-GB"/>
        </w:rPr>
      </w:pPr>
    </w:p>
    <w:p w14:paraId="53666C1B" w14:textId="77777777" w:rsidR="000E1722" w:rsidRDefault="000E1722" w:rsidP="000E1722">
      <w:pPr>
        <w:spacing w:line="360" w:lineRule="auto"/>
        <w:jc w:val="both"/>
        <w:rPr>
          <w:rFonts w:ascii="Verdana" w:hAnsi="Verdana"/>
          <w:lang w:val="en-GB"/>
        </w:rPr>
      </w:pPr>
    </w:p>
    <w:p w14:paraId="1B4E21CD" w14:textId="77777777" w:rsidR="000E1722" w:rsidRDefault="000E1722" w:rsidP="000E1722">
      <w:pPr>
        <w:spacing w:line="360" w:lineRule="auto"/>
        <w:jc w:val="both"/>
        <w:rPr>
          <w:rFonts w:ascii="Verdana" w:hAnsi="Verdana"/>
          <w:lang w:val="en-GB"/>
        </w:rPr>
      </w:pPr>
    </w:p>
    <w:p w14:paraId="1F736EB8" w14:textId="77777777" w:rsidR="000E1722" w:rsidRDefault="000E1722" w:rsidP="000E1722">
      <w:pPr>
        <w:spacing w:line="360" w:lineRule="auto"/>
        <w:jc w:val="both"/>
        <w:rPr>
          <w:rFonts w:ascii="Verdana" w:hAnsi="Verdana"/>
          <w:lang w:val="en-GB"/>
        </w:rPr>
      </w:pPr>
    </w:p>
    <w:p w14:paraId="2A6B59FE" w14:textId="77777777" w:rsidR="000E1722" w:rsidRDefault="000E1722" w:rsidP="000E1722">
      <w:pPr>
        <w:spacing w:line="360" w:lineRule="auto"/>
        <w:jc w:val="both"/>
        <w:rPr>
          <w:rFonts w:ascii="Verdana" w:hAnsi="Verdana"/>
          <w:lang w:val="en-GB"/>
        </w:rPr>
      </w:pPr>
      <w:r>
        <w:rPr>
          <w:rFonts w:ascii="Verdana" w:hAnsi="Verdana"/>
          <w:lang w:val="en-GB"/>
        </w:rPr>
        <w:t xml:space="preserve">Given its complexity and multifaceted presentation, the investigation of Parkinson’s disease’s pathological mechanisms is currently a challenge. On one hand, human samples are only available </w:t>
      </w:r>
      <w:r>
        <w:rPr>
          <w:rFonts w:ascii="Verdana" w:hAnsi="Verdana"/>
          <w:i/>
          <w:iCs/>
          <w:lang w:val="en-GB"/>
        </w:rPr>
        <w:t>post-mortem</w:t>
      </w:r>
      <w:r>
        <w:rPr>
          <w:rFonts w:ascii="Verdana" w:hAnsi="Verdana"/>
          <w:lang w:val="en-GB"/>
        </w:rPr>
        <w:t xml:space="preserve">, representing in </w:t>
      </w:r>
      <w:proofErr w:type="gramStart"/>
      <w:r>
        <w:rPr>
          <w:rFonts w:ascii="Verdana" w:hAnsi="Verdana"/>
          <w:lang w:val="en-GB"/>
        </w:rPr>
        <w:t>the vast majority of</w:t>
      </w:r>
      <w:proofErr w:type="gramEnd"/>
      <w:r>
        <w:rPr>
          <w:rFonts w:ascii="Verdana" w:hAnsi="Verdana"/>
          <w:lang w:val="en-GB"/>
        </w:rPr>
        <w:t xml:space="preserve"> cases the terminal endpoint of the pathology. This not only makes impossible to investigate the early phases of the disease, and how pathological and compensatory mechanisms interact over time, but also gives out an extremely complicated clinical image, made up by an overlap of protein aggregation, neurodegeneration, neuroinflammation and multi-level dysfunctions, that is challenging to analyse to say the least. On the other hand, </w:t>
      </w:r>
      <w:r>
        <w:rPr>
          <w:rFonts w:ascii="Verdana" w:hAnsi="Verdana"/>
          <w:i/>
          <w:iCs/>
          <w:lang w:val="en-GB"/>
        </w:rPr>
        <w:t>in vivo</w:t>
      </w:r>
      <w:r>
        <w:rPr>
          <w:rFonts w:ascii="Verdana" w:hAnsi="Verdana"/>
          <w:lang w:val="en-GB"/>
        </w:rPr>
        <w:t xml:space="preserve"> and </w:t>
      </w:r>
      <w:r>
        <w:rPr>
          <w:rFonts w:ascii="Verdana" w:hAnsi="Verdana"/>
          <w:i/>
          <w:iCs/>
          <w:lang w:val="en-GB"/>
        </w:rPr>
        <w:t>in vitro</w:t>
      </w:r>
      <w:r>
        <w:rPr>
          <w:rFonts w:ascii="Verdana" w:hAnsi="Verdana"/>
          <w:lang w:val="en-GB"/>
        </w:rPr>
        <w:t xml:space="preserve"> approaches allow for the selective investigation of specific pathways and their longitudinal contribution to PD pathogenesis, but with the risk of stepping into an oversimplification, thus resulting poorly translatable to the human medicine.</w:t>
      </w:r>
    </w:p>
    <w:p w14:paraId="7FA93FF5" w14:textId="40F4CD66" w:rsidR="000E1722" w:rsidRDefault="000E1722" w:rsidP="00DA3429">
      <w:pPr>
        <w:spacing w:line="360" w:lineRule="auto"/>
        <w:jc w:val="both"/>
        <w:rPr>
          <w:rFonts w:ascii="Verdana" w:hAnsi="Verdana"/>
          <w:lang w:val="en-GB"/>
        </w:rPr>
      </w:pPr>
      <w:r>
        <w:rPr>
          <w:rFonts w:ascii="Verdana" w:hAnsi="Verdana"/>
          <w:lang w:val="en-GB"/>
        </w:rPr>
        <w:t xml:space="preserve">PD patients start to experience a variety of non-motor symptoms several years before diagnosis, suggesting that even if not clinically evident, PD pathology starts as early as two decades before a diagnosis can be made. At the appearance of motor symptoms, 60% of dopaminergic neurons in the Substantia Nigra are already lost </w:t>
      </w:r>
      <w:r w:rsidR="001D685B">
        <w:rPr>
          <w:rFonts w:ascii="Verdana" w:hAnsi="Verdana"/>
          <w:lang w:val="en-GB"/>
        </w:rPr>
        <w:fldChar w:fldCharType="begin"/>
      </w:r>
      <w:r w:rsidR="001D685B">
        <w:rPr>
          <w:rFonts w:ascii="Verdana" w:hAnsi="Verdana"/>
          <w:lang w:val="en-GB"/>
        </w:rPr>
        <w:instrText xml:space="preserve"> ADDIN ZOTERO_ITEM CSL_CITATION {"citationID":"3uQNdYkZ","properties":{"formattedCitation":"(Fearnley and Lees 1990)","plainCitation":"(Fearnley and Lees 1990)","noteIndex":0},"citationItems":[{"id":2154,"uris":["http://zotero.org/users/9330673/items/B43MABLG"],"itemData":{"id":2154,"type":"article-journal","abstract":"The clinical and pathological features of 10 cases of striatonigral degeneration are described: 5 were misdiagnosed in life as Parkinson's disease. Retrospectively, helpful early pointers to the diagnosis in these cases included unexplained falls, autonomic dysfunction, absence of rest tremor and failure to respond to L-dopa, but these were not always present. The pathological diagnosis could not be excluded on macroscopic examination of the striatum. Relative preservation of the putamen occurred in the 4 patients who benefited from L-dopa. The caudate nucleus was involved in all cases and there was no sparing of the large striatal neurons. In mild cases, involvement of the putamen was confined to its posterior twothirds, dorsolaterally. With increasing severity this extended in a dorsal to ventral and posterior to anterior direction. Seven of the cases had evidence of olivopontocerebellar damage, but only 2 of these had clinical evidence of cerebellar disease. Correlation was found between the neuronal counts in caudate:putamen, striatum:nigra compacta, globus pallidus:nigra compacta, nigra compacta:locus coeruleus. The most severely involved part of the substantia nigra pars compacta was the ventrolateral zone, which projects to the dorsal putamen, the earliest site of striatal disease.","container-title":"Brain","DOI":"10.1093/brain/113.6.1823","ISSN":"0006-8950, 1460-2156","issue":"6","journalAbbreviation":"Brain","language":"en","page":"1823-1842","source":"DOI.org (Crossref)","title":"STRIATONIGRAL DEGENERATION: A CLINICOPATHOLOGICAL STUDY","title-short":"STRIATONIGRAL DEGENERATION","volume":"113","author":[{"family":"Fearnley","given":"J. M."},{"family":"Lees","given":"A. J."}],"issued":{"date-parts":[["1990"]]}}}],"schema":"https://github.com/citation-style-language/schema/raw/master/csl-citation.json"} </w:instrText>
      </w:r>
      <w:r w:rsidR="001D685B">
        <w:rPr>
          <w:rFonts w:ascii="Verdana" w:hAnsi="Verdana"/>
          <w:lang w:val="en-GB"/>
        </w:rPr>
        <w:fldChar w:fldCharType="separate"/>
      </w:r>
      <w:r w:rsidR="001D685B" w:rsidRPr="001D685B">
        <w:rPr>
          <w:rFonts w:ascii="Verdana" w:hAnsi="Verdana"/>
        </w:rPr>
        <w:t>(Fearnley and Lees 1990)</w:t>
      </w:r>
      <w:r w:rsidR="001D685B">
        <w:rPr>
          <w:rFonts w:ascii="Verdana" w:hAnsi="Verdana"/>
          <w:lang w:val="en-GB"/>
        </w:rPr>
        <w:fldChar w:fldCharType="end"/>
      </w:r>
      <w:r>
        <w:rPr>
          <w:rFonts w:ascii="Verdana" w:hAnsi="Verdana"/>
          <w:lang w:val="en-GB"/>
        </w:rPr>
        <w:t xml:space="preserve">, meaning that studies which aim to understand the molecular mechanisms that lead to dopaminergic degeneration should focus on the prodromal phase of the disease. Since human tissue from the early stages of PD is for obvious reasons scarcely available, </w:t>
      </w:r>
      <w:proofErr w:type="gramStart"/>
      <w:r>
        <w:rPr>
          <w:rFonts w:ascii="Verdana" w:hAnsi="Verdana"/>
          <w:lang w:val="en-GB"/>
        </w:rPr>
        <w:t>animal</w:t>
      </w:r>
      <w:proofErr w:type="gramEnd"/>
      <w:r>
        <w:rPr>
          <w:rFonts w:ascii="Verdana" w:hAnsi="Verdana"/>
          <w:lang w:val="en-GB"/>
        </w:rPr>
        <w:t xml:space="preserve"> and cellular models are still an essential tool to investigate the longitudinal progression of PD phenotypes. </w:t>
      </w:r>
      <w:r w:rsidR="00B201F1">
        <w:rPr>
          <w:rFonts w:ascii="Verdana" w:hAnsi="Verdana"/>
          <w:lang w:val="en-GB"/>
        </w:rPr>
        <w:t>Furthermore,</w:t>
      </w:r>
      <w:r w:rsidR="008A76BB">
        <w:rPr>
          <w:rFonts w:ascii="Verdana" w:hAnsi="Verdana"/>
          <w:lang w:val="en-GB"/>
        </w:rPr>
        <w:t xml:space="preserve"> animal models allow for the dissection of complex diseases into individual contributing factors,</w:t>
      </w:r>
      <w:r w:rsidR="0002000B">
        <w:rPr>
          <w:rFonts w:ascii="Verdana" w:hAnsi="Verdana"/>
          <w:lang w:val="en-GB"/>
        </w:rPr>
        <w:t xml:space="preserve"> thus bringing us to a better understanding of phenotypes otherwise too complex to be interpreted</w:t>
      </w:r>
      <w:r w:rsidR="00C92CE5">
        <w:rPr>
          <w:rFonts w:ascii="Verdana" w:hAnsi="Verdana"/>
          <w:lang w:val="en-GB"/>
        </w:rPr>
        <w:t xml:space="preserve">. </w:t>
      </w:r>
      <w:r>
        <w:rPr>
          <w:rFonts w:ascii="Verdana" w:hAnsi="Verdana"/>
          <w:lang w:val="en-GB"/>
        </w:rPr>
        <w:t xml:space="preserve">Nevertheless, we must not forget that such models present a </w:t>
      </w:r>
      <w:r>
        <w:rPr>
          <w:rFonts w:ascii="Verdana" w:hAnsi="Verdana"/>
          <w:lang w:val="en-GB"/>
        </w:rPr>
        <w:lastRenderedPageBreak/>
        <w:t>series of limitations</w:t>
      </w:r>
      <w:r w:rsidR="00881631">
        <w:rPr>
          <w:rFonts w:ascii="Verdana" w:hAnsi="Verdana"/>
          <w:lang w:val="en-GB"/>
        </w:rPr>
        <w:t xml:space="preserve">. </w:t>
      </w:r>
      <w:proofErr w:type="gramStart"/>
      <w:r w:rsidR="00881631">
        <w:rPr>
          <w:rFonts w:ascii="Verdana" w:hAnsi="Verdana"/>
          <w:lang w:val="en-GB"/>
        </w:rPr>
        <w:t>First of all</w:t>
      </w:r>
      <w:proofErr w:type="gramEnd"/>
      <w:r w:rsidR="00881631">
        <w:rPr>
          <w:rFonts w:ascii="Verdana" w:hAnsi="Verdana"/>
          <w:lang w:val="en-GB"/>
        </w:rPr>
        <w:t>, mice present a 2-year lifespan and can be exposed to only a limited number o</w:t>
      </w:r>
      <w:r w:rsidR="00C92CE5">
        <w:rPr>
          <w:rFonts w:ascii="Verdana" w:hAnsi="Verdana"/>
          <w:lang w:val="en-GB"/>
        </w:rPr>
        <w:t>f controlled challenges, while the human pathology takes decades to develop and results from the combination of genetic, environmental and lifestyle factors.</w:t>
      </w:r>
      <w:r>
        <w:rPr>
          <w:rFonts w:ascii="Verdana" w:hAnsi="Verdana"/>
          <w:lang w:val="en-GB"/>
        </w:rPr>
        <w:t xml:space="preserve"> </w:t>
      </w:r>
      <w:r w:rsidR="009A57EF">
        <w:rPr>
          <w:rFonts w:ascii="Verdana" w:hAnsi="Verdana"/>
          <w:lang w:val="en-GB"/>
        </w:rPr>
        <w:t>T</w:t>
      </w:r>
      <w:r>
        <w:rPr>
          <w:rFonts w:ascii="Verdana" w:hAnsi="Verdana"/>
          <w:lang w:val="en-GB"/>
        </w:rPr>
        <w:t>he ability to reproduce only partially the complexity of the human disease</w:t>
      </w:r>
      <w:r w:rsidR="009A57EF">
        <w:rPr>
          <w:rFonts w:ascii="Verdana" w:hAnsi="Verdana"/>
          <w:lang w:val="en-GB"/>
        </w:rPr>
        <w:t xml:space="preserve"> can be a strength as well as a limitation of such models,</w:t>
      </w:r>
      <w:r>
        <w:rPr>
          <w:rFonts w:ascii="Verdana" w:hAnsi="Verdana"/>
          <w:lang w:val="en-GB"/>
        </w:rPr>
        <w:t xml:space="preserve"> and a non-negligible inter-model variability</w:t>
      </w:r>
      <w:r w:rsidR="009A57EF">
        <w:rPr>
          <w:rFonts w:ascii="Verdana" w:hAnsi="Verdana"/>
          <w:lang w:val="en-GB"/>
        </w:rPr>
        <w:t xml:space="preserve"> can </w:t>
      </w:r>
      <w:r w:rsidR="00167405">
        <w:rPr>
          <w:rFonts w:ascii="Verdana" w:hAnsi="Verdana"/>
          <w:lang w:val="en-GB"/>
        </w:rPr>
        <w:t>be</w:t>
      </w:r>
      <w:r w:rsidR="000A664B">
        <w:rPr>
          <w:rFonts w:ascii="Verdana" w:hAnsi="Verdana"/>
          <w:lang w:val="en-GB"/>
        </w:rPr>
        <w:t xml:space="preserve"> a challenge when trying to translate experimental observations to the human condition</w:t>
      </w:r>
      <w:r>
        <w:rPr>
          <w:rFonts w:ascii="Verdana" w:hAnsi="Verdana"/>
          <w:lang w:val="en-GB"/>
        </w:rPr>
        <w:t>. Fundamentally, the reproducibility of some changes across different models will strengthen the relevance of such processes in disease pathogenesis. From this point of view, a good approach to avoid model artefacts and obtain more valuable results would be to investigate the same processes in, for example, alpha-synuclein dependent and independent models. Furthermore, different models are suitable for different purposes, making the choice of the most appropriate model perhaps the most important step in each research projects.</w:t>
      </w:r>
    </w:p>
    <w:p w14:paraId="1B078993" w14:textId="77777777" w:rsidR="000E1722" w:rsidRDefault="000E1722" w:rsidP="000E1722">
      <w:pPr>
        <w:spacing w:line="360" w:lineRule="auto"/>
        <w:jc w:val="both"/>
        <w:rPr>
          <w:rFonts w:ascii="Verdana" w:hAnsi="Verdana"/>
          <w:lang w:val="en-GB"/>
        </w:rPr>
      </w:pPr>
      <w:r>
        <w:rPr>
          <w:rFonts w:ascii="Verdana" w:hAnsi="Verdana"/>
          <w:lang w:val="en-GB"/>
        </w:rPr>
        <w:t>In this thesis, we have investigated three different mouse models and, partially, a cellular model of PD. We detail how each model presents specific and shared characteristics with the others, and how each one of them can be used in a different context to investigate specific aspects of PD pathogenesis.</w:t>
      </w:r>
    </w:p>
    <w:p w14:paraId="0B3591B7" w14:textId="77777777" w:rsidR="000E1722" w:rsidRDefault="000E1722" w:rsidP="000E1722">
      <w:pPr>
        <w:spacing w:line="360" w:lineRule="auto"/>
        <w:jc w:val="both"/>
        <w:rPr>
          <w:rFonts w:ascii="Verdana" w:hAnsi="Verdana"/>
          <w:lang w:val="en-GB"/>
        </w:rPr>
      </w:pPr>
    </w:p>
    <w:p w14:paraId="2123CDA2" w14:textId="77777777" w:rsidR="000E1722" w:rsidRDefault="000E1722" w:rsidP="000E1722">
      <w:pPr>
        <w:spacing w:line="360" w:lineRule="auto"/>
        <w:jc w:val="both"/>
        <w:rPr>
          <w:rFonts w:ascii="Verdana" w:hAnsi="Verdana"/>
          <w:b/>
          <w:bCs/>
          <w:lang w:val="en-GB"/>
        </w:rPr>
      </w:pPr>
      <w:r>
        <w:rPr>
          <w:rFonts w:ascii="Verdana" w:hAnsi="Verdana"/>
          <w:b/>
          <w:bCs/>
          <w:lang w:val="en-GB"/>
        </w:rPr>
        <w:t>The SNCA*E46K mouse model of early PD</w:t>
      </w:r>
    </w:p>
    <w:p w14:paraId="75948382" w14:textId="2B847B01" w:rsidR="000E1722" w:rsidRDefault="000E1722" w:rsidP="000E1722">
      <w:pPr>
        <w:spacing w:line="360" w:lineRule="auto"/>
        <w:jc w:val="both"/>
        <w:rPr>
          <w:rFonts w:ascii="Verdana" w:hAnsi="Verdana"/>
          <w:lang w:val="en-GB"/>
        </w:rPr>
      </w:pPr>
      <w:r>
        <w:rPr>
          <w:rFonts w:ascii="Verdana" w:hAnsi="Verdana"/>
          <w:lang w:val="en-GB"/>
        </w:rPr>
        <w:t xml:space="preserve">Several regions of interest exist in the brain relative to PD pathology. The </w:t>
      </w:r>
      <w:r w:rsidR="00977047">
        <w:rPr>
          <w:rFonts w:ascii="Verdana" w:hAnsi="Verdana"/>
          <w:lang w:val="en-GB"/>
        </w:rPr>
        <w:t>nigrostriatal</w:t>
      </w:r>
      <w:r>
        <w:rPr>
          <w:rFonts w:ascii="Verdana" w:hAnsi="Verdana"/>
          <w:lang w:val="en-GB"/>
        </w:rPr>
        <w:t xml:space="preserve"> pathway is an obvious choice, considering that its degeneration represents the main pathological feature of PD, and major cause of its classical motor symptoms. But PD pathological presentation is not only limited to motor symptoms, and particularly relevant are also cognitive features, especially when considering that 90% of PD patients presents at least one neuropsychiatric symptom </w:t>
      </w:r>
      <w:r>
        <w:rPr>
          <w:rFonts w:ascii="Verdana" w:hAnsi="Verdana"/>
          <w:lang w:val="en-GB"/>
        </w:rPr>
        <w:fldChar w:fldCharType="begin"/>
      </w:r>
      <w:r w:rsidR="001D685B">
        <w:rPr>
          <w:rFonts w:ascii="Verdana" w:hAnsi="Verdana"/>
          <w:lang w:val="en-GB"/>
        </w:rPr>
        <w:instrText xml:space="preserve"> ADDIN ZOTERO_ITEM CSL_CITATION {"citationID":"ztINQk4k","properties":{"formattedCitation":"(D Aarsland et al. 2007)","plainCitation":"(D Aarsland et al. 2007)","noteIndex":0},"citationItems":[{"id":411,"uris":["http://zotero.org/users/9330673/items/VC9346UF"],"itemData":{"id":411,"type":"article-journal","abstract":"Objective: To explore the profile of neuropsychiatric symptoms in patients with dementia associated with Parkinson’s disease (PDD).\nMethods: 537 patients with PDD drawn from an international multicentre clinical trial of rivastigmine were assessed using the 10-item Neuropsychiatric Inventory (NPI). A cluster analysis was used to investigate the inter-relationship of NPI items. Associations between the clusters and demographic and clinical variables were analysed.\nResults: 89% of the patients presented at least one symptom on the NPI, 77% had two or more symptoms and 64% had at least one symptom with a score &gt;4. The most common symptoms were depression (58%), apathy (54%), anxiety (49%) and hallucinations (44%). Patients with more severe dementia and advanced Parkinson’s disease had more neuropsychiatric symptoms. Nearly 60% of the care givers reported at least one NPI symptom to be of at least moderate severe distress. Five NPI clusters were identified: one group with few and mild symptoms (52%); a mood cluster (11%, high scores on depression, anxiety and apathy); apathy (24%; high apathy and low scores on other items); agitation (5%, high score on agitation and high total NPI score); and a psychosis cluster (8%; high scores on delusions and hallucinations). The psychosis and agitation clusters had the lowest Mini-Mental State Examination score and the highest Unified Parkinson’s Disease Rating Scale and care giver distress scores.\nConclusion: Neuropsychiatric symptoms are common in patients with PDD. The profile of these symptoms differs from that in other types of dementia. Subgroups with different neuropsychiatric profiles were identified. These subgroups may be associated with distinct neurobiological changes, which should be explored in future studies.","container-title":"Journal of Neurology, Neurosurgery &amp; Psychiatry","DOI":"10.1136/jnnp.2005.083113","ISSN":"0022-3050","issue":"1","journalAbbreviation":"Journal of Neurology, Neurosurgery &amp; Psychiatry","language":"en","page":"36-42","source":"DOI.org (Crossref)","title":"Neuropsychiatric symptoms in patients with Parkinson's disease and dementia: frequency, profile and associated care giver stress","title-short":"Neuropsychiatric symptoms in patients with Parkinson's disease and dementia","volume":"78","author":[{"family":"Aarsland","given":"D"},{"family":"Bronnick","given":"K"},{"family":"Ehrt","given":"U"},{"family":"De Deyn","given":"P P"},{"family":"Tekin","given":"S"},{"family":"Emre","given":"M"},{"family":"Cummings","given":"J L"}],"issued":{"date-parts":[["2007",1,1]]}}}],"schema":"https://github.com/citation-style-language/schema/raw/master/csl-citation.json"} </w:instrText>
      </w:r>
      <w:r>
        <w:rPr>
          <w:rFonts w:ascii="Verdana" w:hAnsi="Verdana"/>
          <w:lang w:val="en-GB"/>
        </w:rPr>
        <w:fldChar w:fldCharType="separate"/>
      </w:r>
      <w:r w:rsidR="001D685B" w:rsidRPr="001D685B">
        <w:rPr>
          <w:rFonts w:ascii="Verdana" w:hAnsi="Verdana"/>
        </w:rPr>
        <w:t>(D Aarsland et al. 2007)</w:t>
      </w:r>
      <w:r>
        <w:rPr>
          <w:rFonts w:ascii="Verdana" w:hAnsi="Verdana"/>
          <w:lang w:val="en-GB"/>
        </w:rPr>
        <w:fldChar w:fldCharType="end"/>
      </w:r>
      <w:r>
        <w:rPr>
          <w:rFonts w:ascii="Verdana" w:hAnsi="Verdana"/>
          <w:lang w:val="en-GB"/>
        </w:rPr>
        <w:t>. In this regard, another important brain region worth investigating is the hippocampus.</w:t>
      </w:r>
    </w:p>
    <w:p w14:paraId="4361316A" w14:textId="77777777" w:rsidR="00236070" w:rsidRDefault="00EC6461" w:rsidP="00236070">
      <w:pPr>
        <w:spacing w:line="360" w:lineRule="auto"/>
        <w:jc w:val="both"/>
        <w:rPr>
          <w:rFonts w:ascii="Verdana" w:hAnsi="Verdana"/>
          <w:lang w:val="en-GB"/>
        </w:rPr>
      </w:pPr>
      <w:r>
        <w:rPr>
          <w:rFonts w:ascii="Verdana" w:hAnsi="Verdana"/>
          <w:lang w:val="en-GB"/>
        </w:rPr>
        <w:t xml:space="preserve">SNCA*E46K transgenic mice expressed </w:t>
      </w:r>
      <w:r w:rsidR="006427DD">
        <w:rPr>
          <w:rFonts w:ascii="Verdana" w:hAnsi="Verdana"/>
          <w:lang w:val="en-GB"/>
        </w:rPr>
        <w:t xml:space="preserve">the human alpha-synuclein in both midbrain and hippocampus, with higher expression levels for both </w:t>
      </w:r>
      <w:r w:rsidR="006427DD" w:rsidRPr="006427DD">
        <w:rPr>
          <w:rFonts w:ascii="Verdana" w:hAnsi="Verdana"/>
          <w:i/>
          <w:iCs/>
          <w:lang w:val="en-GB"/>
        </w:rPr>
        <w:t>SNCA</w:t>
      </w:r>
      <w:r w:rsidR="006427DD">
        <w:rPr>
          <w:rFonts w:ascii="Verdana" w:hAnsi="Verdana"/>
          <w:lang w:val="en-GB"/>
        </w:rPr>
        <w:t xml:space="preserve"> mRNA and protein detected in the latter.</w:t>
      </w:r>
      <w:r w:rsidR="00331771">
        <w:rPr>
          <w:rFonts w:ascii="Verdana" w:hAnsi="Verdana"/>
          <w:lang w:val="en-GB"/>
        </w:rPr>
        <w:t xml:space="preserve"> When both genders </w:t>
      </w:r>
      <w:r w:rsidR="00696997">
        <w:rPr>
          <w:rFonts w:ascii="Verdana" w:hAnsi="Verdana"/>
          <w:lang w:val="en-GB"/>
        </w:rPr>
        <w:t xml:space="preserve">and more time points were investigated, </w:t>
      </w:r>
      <w:r w:rsidR="00696997" w:rsidRPr="00716EB1">
        <w:rPr>
          <w:rFonts w:ascii="Verdana" w:hAnsi="Verdana"/>
          <w:i/>
          <w:iCs/>
          <w:lang w:val="en-GB"/>
        </w:rPr>
        <w:t>SNCA</w:t>
      </w:r>
      <w:r w:rsidR="00696997">
        <w:rPr>
          <w:rFonts w:ascii="Verdana" w:hAnsi="Verdana"/>
          <w:lang w:val="en-GB"/>
        </w:rPr>
        <w:t xml:space="preserve"> mRNA levels appeared to increase</w:t>
      </w:r>
      <w:r w:rsidR="00CE5DAD">
        <w:rPr>
          <w:rFonts w:ascii="Verdana" w:hAnsi="Verdana"/>
          <w:lang w:val="en-GB"/>
        </w:rPr>
        <w:t xml:space="preserve">, albeit not significantly, over time in both male and female mice, while protein levels </w:t>
      </w:r>
      <w:r w:rsidR="00CE5DAD">
        <w:rPr>
          <w:rFonts w:ascii="Verdana" w:hAnsi="Verdana"/>
          <w:lang w:val="en-GB"/>
        </w:rPr>
        <w:lastRenderedPageBreak/>
        <w:t xml:space="preserve">increased only in </w:t>
      </w:r>
      <w:r w:rsidR="006C7496">
        <w:rPr>
          <w:rFonts w:ascii="Verdana" w:hAnsi="Verdana"/>
          <w:lang w:val="en-GB"/>
        </w:rPr>
        <w:t>females.</w:t>
      </w:r>
      <w:r w:rsidR="00FB3DB8">
        <w:rPr>
          <w:rFonts w:ascii="Verdana" w:hAnsi="Verdana"/>
          <w:lang w:val="en-GB"/>
        </w:rPr>
        <w:t xml:space="preserve"> Since murine </w:t>
      </w:r>
      <w:proofErr w:type="spellStart"/>
      <w:r w:rsidR="00FB3DB8" w:rsidRPr="00BF3A60">
        <w:rPr>
          <w:rFonts w:ascii="Verdana" w:hAnsi="Verdana"/>
          <w:i/>
          <w:iCs/>
          <w:lang w:val="en-GB"/>
        </w:rPr>
        <w:t>Snca</w:t>
      </w:r>
      <w:proofErr w:type="spellEnd"/>
      <w:r w:rsidR="00FB3DB8">
        <w:rPr>
          <w:rFonts w:ascii="Verdana" w:hAnsi="Verdana"/>
          <w:lang w:val="en-GB"/>
        </w:rPr>
        <w:t xml:space="preserve"> levels did not change between genotypes nor age groups, the</w:t>
      </w:r>
      <w:r w:rsidR="000E1722">
        <w:rPr>
          <w:rFonts w:ascii="Verdana" w:hAnsi="Verdana"/>
          <w:lang w:val="en-GB"/>
        </w:rPr>
        <w:t xml:space="preserve"> differences observed in neurodegeneration and behavioural tests are to be attributed to the overexpression of transgenic alpha-synuclein only.</w:t>
      </w:r>
    </w:p>
    <w:p w14:paraId="7B9D765B" w14:textId="66F80485" w:rsidR="000E1722" w:rsidRDefault="000E1722" w:rsidP="00DB7674">
      <w:pPr>
        <w:spacing w:line="360" w:lineRule="auto"/>
        <w:jc w:val="both"/>
        <w:rPr>
          <w:rFonts w:ascii="Verdana" w:hAnsi="Verdana"/>
          <w:lang w:val="en-GB"/>
        </w:rPr>
      </w:pPr>
      <w:r>
        <w:rPr>
          <w:rFonts w:ascii="Verdana" w:hAnsi="Verdana"/>
          <w:lang w:val="en-GB"/>
        </w:rPr>
        <w:t>Dopaminergic neurons (</w:t>
      </w:r>
      <w:proofErr w:type="spellStart"/>
      <w:r>
        <w:rPr>
          <w:rFonts w:ascii="Verdana" w:hAnsi="Verdana"/>
          <w:lang w:val="en-GB"/>
        </w:rPr>
        <w:t>DAn</w:t>
      </w:r>
      <w:proofErr w:type="spellEnd"/>
      <w:r>
        <w:rPr>
          <w:rFonts w:ascii="Verdana" w:hAnsi="Verdana"/>
          <w:lang w:val="en-GB"/>
        </w:rPr>
        <w:t xml:space="preserve">) degeneration has been shown to start at the axon terminals in the striatum and retrogradely progress to the Substantia Nigra, resulting in </w:t>
      </w:r>
      <w:proofErr w:type="spellStart"/>
      <w:r>
        <w:rPr>
          <w:rFonts w:ascii="Verdana" w:hAnsi="Verdana"/>
          <w:lang w:val="en-GB"/>
        </w:rPr>
        <w:t>DAn</w:t>
      </w:r>
      <w:proofErr w:type="spellEnd"/>
      <w:r>
        <w:rPr>
          <w:rFonts w:ascii="Verdana" w:hAnsi="Verdana"/>
          <w:lang w:val="en-GB"/>
        </w:rPr>
        <w:t xml:space="preserve"> loss </w:t>
      </w:r>
      <w:r>
        <w:rPr>
          <w:rFonts w:ascii="Verdana" w:hAnsi="Verdana"/>
          <w:lang w:val="en-GB"/>
        </w:rPr>
        <w:fldChar w:fldCharType="begin"/>
      </w:r>
      <w:r>
        <w:rPr>
          <w:rFonts w:ascii="Verdana" w:hAnsi="Verdana"/>
          <w:lang w:val="en-GB"/>
        </w:rPr>
        <w:instrText xml:space="preserve"> ADDIN ZOTERO_ITEM CSL_CITATION {"citationID":"0xe1Ifkj","properties":{"formattedCitation":"(Cheng, Ulane, and Burke 2010)","plainCitation":"(Cheng, Ulane, and Burke 2010)","noteIndex":0},"citationItems":[{"id":2076,"uris":["http://zotero.org/users/9330673/items/U8UENXJ4"],"itemData":{"id":2076,"type":"article-journal","abstract":"In spite of tremendous growth in recent years in our knowledge of the molecular basis of Parkinson's disease and the molecular pathways of cell injury and death, we remain without therapies that forestall disease progression. While there are many possible explanations for this lack of success, one is that experimental therapeutics to date have not adequately focused on an important component of the disease process, that of axon degeneration. It remains unknown what neuronal compartment, either the soma or the axon, is involved at disease onset, although some have proposed that it is the axons and their terminals that take the initial brunt of injury. Nevertheless, this concept has not been formally incorporated into many of the current theories of disease pathogenesis, and it has not achieved a wide consensus. More importantly, in view of growing evidence that the molecular mechanisms of axon degeneration are separate and distinct from the canonical pathways of programmed cell death that mediate soma destruction, the possibility of early involvement of axons in PD has not been adequately emphasized as a rationale to explore the neurobiology of axons for novel therapeutic targets. We propose that it is ongoing degeneration of axons, not cell bodies, that is the primary determinant of clinically apparent progression of disease, and that future experimental therapeutics intended to forestall disease progression will benefit from a new focus on the distinct mechanisms of axon degeneration.","container-title":"Annals of Neurology","DOI":"10.1002/ana.21995","ISSN":"03645134, 15318249","issue":"6","journalAbbreviation":"Ann Neurol.","language":"en","page":"715-725","source":"DOI.org (Crossref)","title":"Clinical progression in Parkinson disease and the neurobiology of axons","volume":"67","author":[{"family":"Cheng","given":"Hsiao-Chun"},{"family":"Ulane","given":"Christina M."},{"family":"Burke","given":"Robert E."}],"issued":{"date-parts":[["2010",6]]}}}],"schema":"https://github.com/citation-style-language/schema/raw/master/csl-citation.json"} </w:instrText>
      </w:r>
      <w:r>
        <w:rPr>
          <w:rFonts w:ascii="Verdana" w:hAnsi="Verdana"/>
          <w:lang w:val="en-GB"/>
        </w:rPr>
        <w:fldChar w:fldCharType="separate"/>
      </w:r>
      <w:r>
        <w:rPr>
          <w:rFonts w:ascii="Verdana" w:hAnsi="Verdana"/>
        </w:rPr>
        <w:t>(Cheng, Ulane, and Burke 2010)</w:t>
      </w:r>
      <w:r>
        <w:rPr>
          <w:rFonts w:ascii="Verdana" w:hAnsi="Verdana"/>
          <w:lang w:val="en-GB"/>
        </w:rPr>
        <w:fldChar w:fldCharType="end"/>
      </w:r>
      <w:r>
        <w:rPr>
          <w:rFonts w:ascii="Verdana" w:hAnsi="Verdana"/>
          <w:lang w:val="en-GB"/>
        </w:rPr>
        <w:t xml:space="preserve">. Compared to humans, </w:t>
      </w:r>
      <w:proofErr w:type="spellStart"/>
      <w:r>
        <w:rPr>
          <w:rFonts w:ascii="Verdana" w:hAnsi="Verdana"/>
          <w:lang w:val="en-GB"/>
        </w:rPr>
        <w:t>DAn</w:t>
      </w:r>
      <w:proofErr w:type="spellEnd"/>
      <w:r>
        <w:rPr>
          <w:rFonts w:ascii="Verdana" w:hAnsi="Verdana"/>
          <w:lang w:val="en-GB"/>
        </w:rPr>
        <w:t xml:space="preserve"> cell death appears to be harder to achieve in rodents, and to require a strong pathological insult such as neurotoxin treatment</w:t>
      </w:r>
      <w:r w:rsidR="001268DA">
        <w:rPr>
          <w:rFonts w:ascii="Verdana" w:hAnsi="Verdana"/>
          <w:lang w:val="en-GB"/>
        </w:rPr>
        <w:t xml:space="preserve"> or pre-formed fibrils injection</w:t>
      </w:r>
      <w:r w:rsidR="00EE3B0D">
        <w:rPr>
          <w:rFonts w:ascii="Verdana" w:hAnsi="Verdana"/>
          <w:lang w:val="en-GB"/>
        </w:rPr>
        <w:t xml:space="preserve"> (</w:t>
      </w:r>
      <w:proofErr w:type="spellStart"/>
      <w:r w:rsidR="007A05B2">
        <w:rPr>
          <w:rFonts w:ascii="Verdana" w:hAnsi="Verdana"/>
          <w:lang w:val="en-GB"/>
        </w:rPr>
        <w:t>Betarbet</w:t>
      </w:r>
      <w:proofErr w:type="spellEnd"/>
      <w:r w:rsidR="007A05B2">
        <w:rPr>
          <w:rFonts w:ascii="Verdana" w:hAnsi="Verdana"/>
          <w:lang w:val="en-GB"/>
        </w:rPr>
        <w:t xml:space="preserve"> et al. 2000; </w:t>
      </w:r>
      <w:proofErr w:type="spellStart"/>
      <w:r w:rsidR="00913955">
        <w:rPr>
          <w:rFonts w:ascii="Verdana" w:hAnsi="Verdana"/>
          <w:lang w:val="en-GB"/>
        </w:rPr>
        <w:t>Fornai</w:t>
      </w:r>
      <w:proofErr w:type="spellEnd"/>
      <w:r w:rsidR="00913955">
        <w:rPr>
          <w:rFonts w:ascii="Verdana" w:hAnsi="Verdana"/>
          <w:lang w:val="en-GB"/>
        </w:rPr>
        <w:t xml:space="preserve"> et al. </w:t>
      </w:r>
      <w:r w:rsidR="00702C15">
        <w:rPr>
          <w:rFonts w:ascii="Verdana" w:hAnsi="Verdana"/>
          <w:lang w:val="en-GB"/>
        </w:rPr>
        <w:t>2005; Garcia et al. 2020;</w:t>
      </w:r>
      <w:r w:rsidR="005B426F">
        <w:rPr>
          <w:rFonts w:ascii="Verdana" w:hAnsi="Verdana"/>
          <w:lang w:val="en-GB"/>
        </w:rPr>
        <w:t xml:space="preserve"> </w:t>
      </w:r>
      <w:r w:rsidR="008B13A4">
        <w:rPr>
          <w:rFonts w:ascii="Verdana" w:hAnsi="Verdana"/>
          <w:lang w:val="en-GB"/>
        </w:rPr>
        <w:t xml:space="preserve">Hernandez-Baltazar, </w:t>
      </w:r>
      <w:r w:rsidR="00FF5689">
        <w:rPr>
          <w:rFonts w:ascii="Verdana" w:hAnsi="Verdana"/>
          <w:lang w:val="en-GB"/>
        </w:rPr>
        <w:t>Zavala-Flores, and Villanueva-Olivo 201</w:t>
      </w:r>
      <w:r w:rsidR="00DB2CDE">
        <w:rPr>
          <w:rFonts w:ascii="Verdana" w:hAnsi="Verdana"/>
          <w:lang w:val="en-GB"/>
        </w:rPr>
        <w:t>7</w:t>
      </w:r>
      <w:r w:rsidR="001268DA">
        <w:rPr>
          <w:rFonts w:ascii="Verdana" w:hAnsi="Verdana"/>
          <w:lang w:val="en-GB"/>
        </w:rPr>
        <w:t>)</w:t>
      </w:r>
      <w:r>
        <w:rPr>
          <w:rFonts w:ascii="Verdana" w:hAnsi="Verdana"/>
          <w:lang w:val="en-GB"/>
        </w:rPr>
        <w:t xml:space="preserve">. </w:t>
      </w:r>
      <w:r w:rsidR="00DB7674">
        <w:rPr>
          <w:rFonts w:ascii="Verdana" w:hAnsi="Verdana"/>
          <w:lang w:val="en-GB"/>
        </w:rPr>
        <w:t xml:space="preserve">When it comes to </w:t>
      </w:r>
      <w:r w:rsidR="00B9130D" w:rsidRPr="00B9130D">
        <w:rPr>
          <w:rFonts w:ascii="Verdana" w:hAnsi="Verdana"/>
          <w:i/>
          <w:iCs/>
          <w:lang w:val="en-GB"/>
        </w:rPr>
        <w:t>SNCA</w:t>
      </w:r>
      <w:r w:rsidR="00B9130D">
        <w:rPr>
          <w:rFonts w:ascii="Verdana" w:hAnsi="Verdana"/>
          <w:lang w:val="en-GB"/>
        </w:rPr>
        <w:t xml:space="preserve"> </w:t>
      </w:r>
      <w:r w:rsidR="00DB7674">
        <w:rPr>
          <w:rFonts w:ascii="Verdana" w:hAnsi="Verdana"/>
          <w:lang w:val="en-GB"/>
        </w:rPr>
        <w:t>genetic models of PD</w:t>
      </w:r>
      <w:r>
        <w:rPr>
          <w:rFonts w:ascii="Verdana" w:hAnsi="Verdana"/>
          <w:lang w:val="en-GB"/>
        </w:rPr>
        <w:t xml:space="preserve">, </w:t>
      </w:r>
      <w:proofErr w:type="spellStart"/>
      <w:r>
        <w:rPr>
          <w:rFonts w:ascii="Verdana" w:hAnsi="Verdana"/>
          <w:lang w:val="en-GB"/>
        </w:rPr>
        <w:t>DAn</w:t>
      </w:r>
      <w:proofErr w:type="spellEnd"/>
      <w:r>
        <w:rPr>
          <w:rFonts w:ascii="Verdana" w:hAnsi="Verdana"/>
          <w:lang w:val="en-GB"/>
        </w:rPr>
        <w:t xml:space="preserve"> loss is not observed even in high </w:t>
      </w:r>
      <w:proofErr w:type="spellStart"/>
      <w:r>
        <w:rPr>
          <w:rFonts w:ascii="Verdana" w:hAnsi="Verdana"/>
          <w:lang w:val="en-GB"/>
        </w:rPr>
        <w:t>overexpressors</w:t>
      </w:r>
      <w:proofErr w:type="spellEnd"/>
      <w:r>
        <w:rPr>
          <w:rFonts w:ascii="Verdana" w:hAnsi="Verdana"/>
          <w:lang w:val="en-GB"/>
        </w:rPr>
        <w:t xml:space="preserve"> such as the “Line 61” model, despite the elevated striatal axonal loss and the strong motor phenotype </w:t>
      </w:r>
      <w:r>
        <w:rPr>
          <w:rFonts w:ascii="Verdana" w:hAnsi="Verdana"/>
          <w:lang w:val="en-GB"/>
        </w:rPr>
        <w:fldChar w:fldCharType="begin"/>
      </w:r>
      <w:r>
        <w:rPr>
          <w:rFonts w:ascii="Verdana" w:hAnsi="Verdana"/>
          <w:lang w:val="en-GB"/>
        </w:rPr>
        <w:instrText xml:space="preserve"> ADDIN ZOTERO_ITEM CSL_CITATION {"citationID":"D963LsMu","properties":{"formattedCitation":"(Chesselet et al. 2012)","plainCitation":"(Chesselet et al. 2012)","noteIndex":0},"citationItems":[{"id":290,"uris":["http://zotero.org/users/9330673/items/D5UGAYYS"],"itemData":{"id":290,"type":"article-journal","abstract":"Identification of mutations that cause rare familial forms of Parkinson’s disease (PD) and subsequent studies of genetic risk factors for sporadic PD have led to an improved understanding of the pathological mechanisms that may cause nonfamilial PD. In particular, genetic and pathological studies strongly suggest that alpha-synuclein, albeit very rarely mutated in PD patients, plays a critical role in the vast majority of individuals with the sporadic form of the disease. We have extensively characterized a mouse model over-expressing full-length, human, wild-type alpha-synuclein under the Thy-1 promoter. We have also shown that this model reproduces many features of sporadic PD, including progressive changes in dopamine release and striatal content, alphasynuclein pathology, deficits in motor and nonmotor functions that are affected in pre-manifest and manifest phases of PD, inflammation, and biochemical and molecular changes similar to those observed in PD. Preclinical studies have already demonstrated improvement with promising new drugs in this model, which provides an opportunity to test novel neuroprotective strategies during different phases of the disorder using endpoint measures with high power to detect drug effects.","container-title":"Neurotherapeutics","DOI":"10.1007/s13311-012-0104-2","ISSN":"1933-7213, 1878-7479","issue":"2","journalAbbreviation":"Neurotherapeutics","language":"en","page":"297-314","source":"DOI.org (Crossref)","title":"A Progressive Mouse Model of Parkinson’s Disease: The Thy1-aSyn (“Line 61”) Mice","title-short":"A Progressive Mouse Model of Parkinson’s Disease","volume":"9","author":[{"family":"Chesselet","given":"Marie-Francoise"},{"family":"Richter","given":"Franziska"},{"family":"Zhu","given":"Chunni"},{"family":"Magen","given":"Iddo"},{"family":"Watson","given":"Melanie B."},{"family":"Subramaniam","given":"Sudhakar R."}],"issued":{"date-parts":[["2012",4]]}}}],"schema":"https://github.com/citation-style-language/schema/raw/master/csl-citation.json"} </w:instrText>
      </w:r>
      <w:r>
        <w:rPr>
          <w:rFonts w:ascii="Verdana" w:hAnsi="Verdana"/>
          <w:lang w:val="en-GB"/>
        </w:rPr>
        <w:fldChar w:fldCharType="separate"/>
      </w:r>
      <w:r>
        <w:rPr>
          <w:rFonts w:ascii="Verdana" w:hAnsi="Verdana"/>
        </w:rPr>
        <w:t>(Chesselet et al. 2012)</w:t>
      </w:r>
      <w:r>
        <w:rPr>
          <w:rFonts w:ascii="Verdana" w:hAnsi="Verdana"/>
          <w:lang w:val="en-GB"/>
        </w:rPr>
        <w:fldChar w:fldCharType="end"/>
      </w:r>
      <w:r>
        <w:rPr>
          <w:rFonts w:ascii="Verdana" w:hAnsi="Verdana"/>
          <w:lang w:val="en-GB"/>
        </w:rPr>
        <w:t>. Considering that acute neurotoxic events are rarely a cause for PD, and that the pathology evolves over time through the accumulation of smaller pathological insults, the use of milder models appears to be more translatable to the human condition. In milder</w:t>
      </w:r>
      <w:r w:rsidR="007A5EFB">
        <w:rPr>
          <w:rFonts w:ascii="Verdana" w:hAnsi="Verdana"/>
          <w:lang w:val="en-GB"/>
        </w:rPr>
        <w:t xml:space="preserve"> genetic</w:t>
      </w:r>
      <w:r w:rsidR="00764DF7">
        <w:rPr>
          <w:rFonts w:ascii="Verdana" w:hAnsi="Verdana"/>
          <w:lang w:val="en-GB"/>
        </w:rPr>
        <w:t xml:space="preserve"> mouse</w:t>
      </w:r>
      <w:r>
        <w:rPr>
          <w:rFonts w:ascii="Verdana" w:hAnsi="Verdana"/>
          <w:lang w:val="en-GB"/>
        </w:rPr>
        <w:t xml:space="preserve"> models, </w:t>
      </w:r>
      <w:proofErr w:type="spellStart"/>
      <w:r>
        <w:rPr>
          <w:rFonts w:ascii="Verdana" w:hAnsi="Verdana"/>
          <w:lang w:val="en-GB"/>
        </w:rPr>
        <w:t>DAn</w:t>
      </w:r>
      <w:proofErr w:type="spellEnd"/>
      <w:r>
        <w:rPr>
          <w:rFonts w:ascii="Verdana" w:hAnsi="Verdana"/>
          <w:lang w:val="en-GB"/>
        </w:rPr>
        <w:t xml:space="preserve"> cell loss is rarely observed, but various degrees of degeneration in tyrosine hydroxylase (TH) positive fibres and dopamine transporter (DAT) positive axons can be present. Given that neurodegeneration in these mice does not extend beyond the striatum, they are generally considered as appropriate models for the early stages of neurodegeneration. We have shown that the SNCA*E46K appears to be one of such models, showing in female HET mice an age-dependent neurodegeneration in the striatum with significant fibres loss starting </w:t>
      </w:r>
      <w:r w:rsidR="00E21B0C">
        <w:rPr>
          <w:rFonts w:ascii="Verdana" w:hAnsi="Verdana"/>
          <w:lang w:val="en-GB"/>
        </w:rPr>
        <w:t>from</w:t>
      </w:r>
      <w:r>
        <w:rPr>
          <w:rFonts w:ascii="Verdana" w:hAnsi="Verdana"/>
          <w:lang w:val="en-GB"/>
        </w:rPr>
        <w:t xml:space="preserve"> 9-months of age, in absence of </w:t>
      </w:r>
      <w:proofErr w:type="spellStart"/>
      <w:r>
        <w:rPr>
          <w:rFonts w:ascii="Verdana" w:hAnsi="Verdana"/>
          <w:lang w:val="en-GB"/>
        </w:rPr>
        <w:t>DAn</w:t>
      </w:r>
      <w:proofErr w:type="spellEnd"/>
      <w:r>
        <w:rPr>
          <w:rFonts w:ascii="Verdana" w:hAnsi="Verdana"/>
          <w:lang w:val="en-GB"/>
        </w:rPr>
        <w:t xml:space="preserve"> loss in the substantia nigra.</w:t>
      </w:r>
    </w:p>
    <w:p w14:paraId="62D287C7" w14:textId="1BFD9B65" w:rsidR="000E1722" w:rsidRPr="007D6592" w:rsidRDefault="005740F3" w:rsidP="008A3692">
      <w:pPr>
        <w:spacing w:line="360" w:lineRule="auto"/>
        <w:jc w:val="both"/>
        <w:rPr>
          <w:rFonts w:ascii="Verdana" w:hAnsi="Verdana"/>
          <w:lang w:val="en-GB"/>
        </w:rPr>
      </w:pPr>
      <w:proofErr w:type="gramStart"/>
      <w:r>
        <w:rPr>
          <w:rFonts w:ascii="Verdana" w:hAnsi="Verdana"/>
          <w:lang w:val="en-GB"/>
        </w:rPr>
        <w:t>Accordingly</w:t>
      </w:r>
      <w:proofErr w:type="gramEnd"/>
      <w:r>
        <w:rPr>
          <w:rFonts w:ascii="Verdana" w:hAnsi="Verdana"/>
          <w:lang w:val="en-GB"/>
        </w:rPr>
        <w:t xml:space="preserve"> to the characteristics of early-PD model and the mild neurodegeneration, HET mice did not present sensory-motor impairments</w:t>
      </w:r>
      <w:r w:rsidR="006A7926">
        <w:rPr>
          <w:rFonts w:ascii="Verdana" w:hAnsi="Verdana"/>
          <w:lang w:val="en-GB"/>
        </w:rPr>
        <w:t>, the only exception being</w:t>
      </w:r>
      <w:r w:rsidR="008A3692">
        <w:rPr>
          <w:rFonts w:ascii="Verdana" w:hAnsi="Verdana"/>
          <w:lang w:val="en-GB"/>
        </w:rPr>
        <w:t xml:space="preserve"> 8-months old</w:t>
      </w:r>
      <w:r w:rsidR="006A7926">
        <w:rPr>
          <w:rFonts w:ascii="Verdana" w:hAnsi="Verdana"/>
          <w:lang w:val="en-GB"/>
        </w:rPr>
        <w:t xml:space="preserve"> HET males</w:t>
      </w:r>
      <w:r w:rsidR="008A3692">
        <w:rPr>
          <w:rFonts w:ascii="Verdana" w:hAnsi="Verdana"/>
          <w:lang w:val="en-GB"/>
        </w:rPr>
        <w:t xml:space="preserve">. </w:t>
      </w:r>
      <w:r w:rsidR="000E1722">
        <w:rPr>
          <w:rFonts w:ascii="Verdana" w:hAnsi="Verdana"/>
          <w:lang w:val="en-GB"/>
        </w:rPr>
        <w:t xml:space="preserve">Whereas a technical problem for this specific timepoint cannot be excluded, it is striking how male and female mice behaviour differ from one another, with female mice showing consistently better performances not only compared to WT females but also to HET males, especially at young ages. Even if this difference does not reach significance, it is a trend worth taking into consideration. It is possible that the differences in </w:t>
      </w:r>
      <w:r w:rsidR="002D7E8C">
        <w:rPr>
          <w:rFonts w:ascii="Verdana" w:hAnsi="Verdana"/>
          <w:lang w:val="en-GB"/>
        </w:rPr>
        <w:lastRenderedPageBreak/>
        <w:t>alpha-synuclein</w:t>
      </w:r>
      <w:r w:rsidR="000E1722">
        <w:rPr>
          <w:rFonts w:ascii="Verdana" w:hAnsi="Verdana"/>
          <w:lang w:val="en-GB"/>
        </w:rPr>
        <w:t xml:space="preserve"> protein levels observed between male and female HET mice for the hippocampus are also present in the SN and/or the striatum; if </w:t>
      </w:r>
      <w:proofErr w:type="gramStart"/>
      <w:r w:rsidR="000E1722">
        <w:rPr>
          <w:rFonts w:ascii="Verdana" w:hAnsi="Verdana"/>
          <w:lang w:val="en-GB"/>
        </w:rPr>
        <w:t>similarly</w:t>
      </w:r>
      <w:proofErr w:type="gramEnd"/>
      <w:r w:rsidR="000E1722">
        <w:rPr>
          <w:rFonts w:ascii="Verdana" w:hAnsi="Verdana"/>
          <w:lang w:val="en-GB"/>
        </w:rPr>
        <w:t xml:space="preserve"> to the hippocampus females were to show lower </w:t>
      </w:r>
      <w:r w:rsidR="009E134B">
        <w:rPr>
          <w:rFonts w:ascii="Verdana" w:hAnsi="Verdana"/>
          <w:lang w:val="en-GB"/>
        </w:rPr>
        <w:t>alpha-synuclein</w:t>
      </w:r>
      <w:r w:rsidR="000E1722">
        <w:rPr>
          <w:rFonts w:ascii="Verdana" w:hAnsi="Verdana"/>
          <w:lang w:val="en-GB"/>
        </w:rPr>
        <w:t xml:space="preserve"> levels at 3-months of age compared to males, this could explain the better performance in adhesive detection at a young age. Furthermore, sex could play a role in the response to alpha-synuclein overexpression, with male showing a worse response and thus a tendentially stronger</w:t>
      </w:r>
      <w:r w:rsidR="00C818F7">
        <w:rPr>
          <w:rFonts w:ascii="Verdana" w:hAnsi="Verdana"/>
          <w:lang w:val="en-GB"/>
        </w:rPr>
        <w:t xml:space="preserve"> sensory</w:t>
      </w:r>
      <w:r w:rsidR="000E1722">
        <w:rPr>
          <w:rFonts w:ascii="Verdana" w:hAnsi="Verdana"/>
          <w:lang w:val="en-GB"/>
        </w:rPr>
        <w:t xml:space="preserve"> phenotype.  At the oldest age of 17-months, both male and female HET mice perform equally to each other and equally to their wild-type littermates, virtually eliminating any difference that was observed at the earlier time points. Compensatory mechanisms to alpha-synuclein overexpression could be particularly active in male mice, allowing them to recover their</w:t>
      </w:r>
      <w:r w:rsidR="00C818F7">
        <w:rPr>
          <w:rFonts w:ascii="Verdana" w:hAnsi="Verdana"/>
          <w:lang w:val="en-GB"/>
        </w:rPr>
        <w:t xml:space="preserve"> sensory</w:t>
      </w:r>
      <w:r w:rsidR="000E1722">
        <w:rPr>
          <w:rFonts w:ascii="Verdana" w:hAnsi="Verdana"/>
          <w:lang w:val="en-GB"/>
        </w:rPr>
        <w:t xml:space="preserve"> performance at later timepoints.</w:t>
      </w:r>
      <w:r w:rsidR="006A29E3">
        <w:rPr>
          <w:rFonts w:ascii="Verdana" w:hAnsi="Verdana"/>
          <w:lang w:val="en-GB"/>
        </w:rPr>
        <w:t xml:space="preserve"> </w:t>
      </w:r>
      <w:r w:rsidR="006520D2">
        <w:rPr>
          <w:rFonts w:ascii="Verdana" w:hAnsi="Verdana"/>
          <w:lang w:val="en-GB"/>
        </w:rPr>
        <w:t>S</w:t>
      </w:r>
      <w:r w:rsidR="00FF7A73">
        <w:rPr>
          <w:rFonts w:ascii="Verdana" w:hAnsi="Verdana"/>
          <w:lang w:val="en-GB"/>
        </w:rPr>
        <w:t>omatos</w:t>
      </w:r>
      <w:r w:rsidR="006520D2">
        <w:rPr>
          <w:rFonts w:ascii="Verdana" w:hAnsi="Verdana"/>
          <w:lang w:val="en-GB"/>
        </w:rPr>
        <w:t xml:space="preserve">ensory deficits </w:t>
      </w:r>
      <w:r w:rsidR="0052728D">
        <w:rPr>
          <w:rFonts w:ascii="Verdana" w:hAnsi="Verdana"/>
          <w:lang w:val="en-GB"/>
        </w:rPr>
        <w:t xml:space="preserve">constitute a </w:t>
      </w:r>
      <w:r w:rsidR="00405652">
        <w:rPr>
          <w:rFonts w:ascii="Verdana" w:hAnsi="Verdana"/>
          <w:lang w:val="en-GB"/>
        </w:rPr>
        <w:t>well-known</w:t>
      </w:r>
      <w:r w:rsidR="0052728D">
        <w:rPr>
          <w:rFonts w:ascii="Verdana" w:hAnsi="Verdana"/>
          <w:lang w:val="en-GB"/>
        </w:rPr>
        <w:t xml:space="preserve"> non-motor symptom of PD</w:t>
      </w:r>
      <w:r w:rsidR="00755ED0">
        <w:rPr>
          <w:rFonts w:ascii="Verdana" w:hAnsi="Verdana"/>
          <w:lang w:val="en-GB"/>
        </w:rPr>
        <w:t>, and are considered to be</w:t>
      </w:r>
      <w:r w:rsidR="00925AD9">
        <w:rPr>
          <w:rFonts w:ascii="Verdana" w:hAnsi="Verdana"/>
          <w:lang w:val="en-GB"/>
        </w:rPr>
        <w:t xml:space="preserve"> caused</w:t>
      </w:r>
      <w:r w:rsidR="00755ED0">
        <w:rPr>
          <w:rFonts w:ascii="Verdana" w:hAnsi="Verdana"/>
          <w:lang w:val="en-GB"/>
        </w:rPr>
        <w:t xml:space="preserve"> by </w:t>
      </w:r>
      <w:r w:rsidR="0064275C">
        <w:rPr>
          <w:rFonts w:ascii="Verdana" w:hAnsi="Verdana"/>
          <w:lang w:val="en-GB"/>
        </w:rPr>
        <w:t xml:space="preserve">a dysfunction of the basal ganglia </w:t>
      </w:r>
      <w:r w:rsidR="006C6FF6">
        <w:rPr>
          <w:rFonts w:ascii="Verdana" w:hAnsi="Verdana"/>
          <w:lang w:val="en-GB"/>
        </w:rPr>
        <w:fldChar w:fldCharType="begin"/>
      </w:r>
      <w:r w:rsidR="006C6FF6">
        <w:rPr>
          <w:rFonts w:ascii="Verdana" w:hAnsi="Verdana"/>
          <w:lang w:val="en-GB"/>
        </w:rPr>
        <w:instrText xml:space="preserve"> ADDIN ZOTERO_ITEM CSL_CITATION {"citationID":"H7ChQewa","properties":{"formattedCitation":"(Juri, Rodriguez-Oroz, and Obeso 2010)","plainCitation":"(Juri, Rodriguez-Oroz, and Obeso 2010)","noteIndex":0},"citationItems":[{"id":2352,"uris":["http://zotero.org/users/9330673/items/44LUIVLQ"],"itemData":{"id":2352,"type":"article-journal","abstract":"The diagnosis of Parkinson's disease (PD) is still based on the recognition of the cardinal motor features. However, it is now recognized that non-motor manifestations (NMM) may actually precede the emergence of motor manifestations. NMM are very frequently present in the overall population of PD patients and are a major determinant of their quality of life. In this article we discuss the origin of sensory manifestations in PD, particularly focus on pain mechanisms, which is the most frequent and better studied NMM.","container-title":"Journal of the Neurological Sciences","DOI":"10.1016/j.jns.2009.08.018","ISSN":"0022510X","issue":"1-2","journalAbbreviation":"Journal of the Neurological Sciences","language":"en","page":"60-65","source":"DOI.org (Crossref)","title":"The pathophysiological basis of sensory disturbances in Parkinson's disease","volume":"289","author":[{"family":"Juri","given":"Carlos"},{"family":"Rodriguez-Oroz","given":"MariCruz"},{"family":"Obeso","given":"Jose A."}],"issued":{"date-parts":[["2010",2]]}}}],"schema":"https://github.com/citation-style-language/schema/raw/master/csl-citation.json"} </w:instrText>
      </w:r>
      <w:r w:rsidR="006C6FF6">
        <w:rPr>
          <w:rFonts w:ascii="Verdana" w:hAnsi="Verdana"/>
          <w:lang w:val="en-GB"/>
        </w:rPr>
        <w:fldChar w:fldCharType="separate"/>
      </w:r>
      <w:r w:rsidR="006C6FF6" w:rsidRPr="006C6FF6">
        <w:rPr>
          <w:rFonts w:ascii="Verdana" w:hAnsi="Verdana"/>
        </w:rPr>
        <w:t>(Juri, Rodriguez-Oroz, and Obeso 2010)</w:t>
      </w:r>
      <w:r w:rsidR="006C6FF6">
        <w:rPr>
          <w:rFonts w:ascii="Verdana" w:hAnsi="Verdana"/>
          <w:lang w:val="en-GB"/>
        </w:rPr>
        <w:fldChar w:fldCharType="end"/>
      </w:r>
      <w:r w:rsidR="00405652">
        <w:rPr>
          <w:rFonts w:ascii="Verdana" w:hAnsi="Verdana"/>
          <w:lang w:val="en-GB"/>
        </w:rPr>
        <w:t xml:space="preserve">. PD patients show impaired tactile perception </w:t>
      </w:r>
      <w:r w:rsidR="00DA5A55">
        <w:rPr>
          <w:rFonts w:ascii="Verdana" w:hAnsi="Verdana"/>
          <w:lang w:val="en-GB"/>
        </w:rPr>
        <w:t xml:space="preserve">in active sensory stimulation tasks </w:t>
      </w:r>
      <w:r w:rsidR="00DA5A55">
        <w:rPr>
          <w:rFonts w:ascii="Verdana" w:hAnsi="Verdana"/>
          <w:lang w:val="en-GB"/>
        </w:rPr>
        <w:fldChar w:fldCharType="begin"/>
      </w:r>
      <w:r w:rsidR="00404E58">
        <w:rPr>
          <w:rFonts w:ascii="Verdana" w:hAnsi="Verdana"/>
          <w:lang w:val="en-GB"/>
        </w:rPr>
        <w:instrText xml:space="preserve"> ADDIN ZOTERO_ITEM CSL_CITATION {"citationID":"Obn9PTXx","properties":{"formattedCitation":"(Sathian et al. n.d.)","plainCitation":"(Sathian et al. n.d.)","dontUpdate":true,"noteIndex":0},"citationItems":[{"id":2354,"uris":["http://zotero.org/users/9330673/items/DGQ76MZK"],"itemData":{"id":2354,"type":"article-journal","language":"en","source":"Zotero","title":"Tactile spatial acuity and roughness discrimination:","author":[{"family":"Sathian","given":"K"},{"family":"Green","given":"J"},{"family":"Vitek","given":"J L"},{"family":"DeLong","given":"M R"}]}}],"schema":"https://github.com/citation-style-language/schema/raw/master/csl-citation.json"} </w:instrText>
      </w:r>
      <w:r w:rsidR="00DA5A55">
        <w:rPr>
          <w:rFonts w:ascii="Verdana" w:hAnsi="Verdana"/>
          <w:lang w:val="en-GB"/>
        </w:rPr>
        <w:fldChar w:fldCharType="separate"/>
      </w:r>
      <w:r w:rsidR="00DA5A55" w:rsidRPr="00DA5A55">
        <w:rPr>
          <w:rFonts w:ascii="Verdana" w:hAnsi="Verdana"/>
        </w:rPr>
        <w:t xml:space="preserve">(Sathian et al. </w:t>
      </w:r>
      <w:r w:rsidR="00802056">
        <w:rPr>
          <w:rFonts w:ascii="Verdana" w:hAnsi="Verdana"/>
        </w:rPr>
        <w:t>1997</w:t>
      </w:r>
      <w:r w:rsidR="00DA5A55" w:rsidRPr="00DA5A55">
        <w:rPr>
          <w:rFonts w:ascii="Verdana" w:hAnsi="Verdana"/>
        </w:rPr>
        <w:t>)</w:t>
      </w:r>
      <w:r w:rsidR="00DA5A55">
        <w:rPr>
          <w:rFonts w:ascii="Verdana" w:hAnsi="Verdana"/>
          <w:lang w:val="en-GB"/>
        </w:rPr>
        <w:fldChar w:fldCharType="end"/>
      </w:r>
      <w:r w:rsidR="00802056">
        <w:rPr>
          <w:rFonts w:ascii="Verdana" w:hAnsi="Verdana"/>
          <w:lang w:val="en-GB"/>
        </w:rPr>
        <w:t xml:space="preserve">, as well as hypoactivation of </w:t>
      </w:r>
      <w:r w:rsidR="00155AFE">
        <w:rPr>
          <w:rFonts w:ascii="Verdana" w:hAnsi="Verdana"/>
          <w:lang w:val="en-GB"/>
        </w:rPr>
        <w:t>the sensory motor cortex</w:t>
      </w:r>
      <w:r w:rsidR="000F2DE0">
        <w:rPr>
          <w:rFonts w:ascii="Verdana" w:hAnsi="Verdana"/>
          <w:lang w:val="en-GB"/>
        </w:rPr>
        <w:t xml:space="preserve"> in response to passive sensory stimulation </w:t>
      </w:r>
      <w:r w:rsidR="000F2DE0">
        <w:rPr>
          <w:rFonts w:ascii="Verdana" w:hAnsi="Verdana"/>
          <w:lang w:val="en-GB"/>
        </w:rPr>
        <w:fldChar w:fldCharType="begin"/>
      </w:r>
      <w:r w:rsidR="000F2DE0">
        <w:rPr>
          <w:rFonts w:ascii="Verdana" w:hAnsi="Verdana"/>
          <w:lang w:val="en-GB"/>
        </w:rPr>
        <w:instrText xml:space="preserve"> ADDIN ZOTERO_ITEM CSL_CITATION {"citationID":"1RlNdSrb","properties":{"formattedCitation":"(Boecker et al. 1999; Cao et al. 2011)","plainCitation":"(Boecker et al. 1999; Cao et al. 2011)","noteIndex":0},"citationItems":[{"id":2355,"uris":["http://zotero.org/users/9330673/items/C9FE96T7"],"itemData":{"id":2355,"type":"article-journal","container-title":"Brain","DOI":"10.1093/brain/122.9.1651","ISSN":"1460-2156, 0006-8950","issue":"9","language":"en","page":"1651-1665","source":"DOI.org (Crossref)","title":"Sensory processing in Parkinson's and Huntington's disease","volume":"122","author":[{"family":"Boecker","given":"H."},{"family":"Ceballos-Baumann","given":"A."},{"family":"Bartenstein","given":"P."},{"family":"Weindl","given":"A."},{"family":"Siebner","given":"H. R."},{"family":"Fassbender","given":"T."},{"family":"Munz","given":"F."},{"family":"Schwaiger","given":"M."},{"family":"Conrad","given":"B."}],"issued":{"date-parts":[["1999",9]]}}},{"id":2356,"uris":["http://zotero.org/users/9330673/items/645Y49YY"],"itemData":{"id":2356,"type":"article-journal","abstract":"BACKGROUND AND PURPOSE: Deficits in tactile perception are common in patients with PD. However, the neural mechanisms have not been previously reported in the early stages. This study aims to investigate how the brain activity and connectivity changed under tactile perception at early Parkinsonian state by using functional MR imaging. MATERIALS AND METHODS: Twenty-one patients with early PD and 22 age- and sex-matched controls were recruited and scanned under a passive tactile stimulation task. Within-group and between-group activation maps were acquired, and regions of interest were defined according to the group-comparison result. This was followed by a functional connectivity analysis based on the graph theory.\nRESULTS: We found that in the PD group, bilateral sensorimotor cortex was hypoactive during the task, whereas the hyperactive regions were mainly in bilateral prefrontal cortex, bilateral cerebellum, and contralateral striatum. There was a significant decrease of total connectivity degree in ipsilateral SMA in PD, which was negatively correlated with the Unified Parkinson’s Disease Rating Scale score. Furthermore, the connection strengths among the areas of prefrontal cortex, striatum, and cerebellum were increased.\nCONCLUSIONS: This study illustrated that early PD was associated with not only altered brain activation but also changed functional connectivity in tactile perception. The most significant impairment was in SMA, whereas striato-prefrontal and cerebello-prefrontal loops may play a compensatory role in early PD tactile function.","container-title":"American Journal of Neuroradiology","DOI":"10.3174/ajnr.A2672","ISSN":"0195-6108, 1936-959X","issue":"10","journalAbbreviation":"AJNR Am J Neuroradiol","language":"en","page":"1969-1974","source":"DOI.org (Crossref)","title":"Altered Brain Activation and Connectivity in Early Parkinson Disease Tactile Perception","volume":"32","author":[{"family":"Cao","given":"H."},{"family":"Xu","given":"X."},{"family":"Zhao","given":"Y."},{"family":"Long","given":"D."},{"family":"Zhang","given":"M."}],"issued":{"date-parts":[["2011",11]]}}}],"schema":"https://github.com/citation-style-language/schema/raw/master/csl-citation.json"} </w:instrText>
      </w:r>
      <w:r w:rsidR="000F2DE0">
        <w:rPr>
          <w:rFonts w:ascii="Verdana" w:hAnsi="Verdana"/>
          <w:lang w:val="en-GB"/>
        </w:rPr>
        <w:fldChar w:fldCharType="separate"/>
      </w:r>
      <w:r w:rsidR="000F2DE0" w:rsidRPr="000F2DE0">
        <w:rPr>
          <w:rFonts w:ascii="Verdana" w:hAnsi="Verdana"/>
        </w:rPr>
        <w:t>(Boecker et al. 1999; Cao et al. 2011)</w:t>
      </w:r>
      <w:r w:rsidR="000F2DE0">
        <w:rPr>
          <w:rFonts w:ascii="Verdana" w:hAnsi="Verdana"/>
          <w:lang w:val="en-GB"/>
        </w:rPr>
        <w:fldChar w:fldCharType="end"/>
      </w:r>
      <w:r w:rsidR="00546605">
        <w:rPr>
          <w:rFonts w:ascii="Verdana" w:hAnsi="Verdana"/>
          <w:lang w:val="en-GB"/>
        </w:rPr>
        <w:t>.</w:t>
      </w:r>
      <w:r w:rsidR="000E457A">
        <w:rPr>
          <w:rFonts w:ascii="Verdana" w:hAnsi="Verdana"/>
          <w:lang w:val="en-GB"/>
        </w:rPr>
        <w:t xml:space="preserve"> Impaired tactile perception</w:t>
      </w:r>
      <w:r w:rsidR="004426B7">
        <w:rPr>
          <w:rFonts w:ascii="Verdana" w:hAnsi="Verdana"/>
          <w:lang w:val="en-GB"/>
        </w:rPr>
        <w:t xml:space="preserve"> in humans</w:t>
      </w:r>
      <w:r w:rsidR="000E457A">
        <w:rPr>
          <w:rFonts w:ascii="Verdana" w:hAnsi="Verdana"/>
          <w:lang w:val="en-GB"/>
        </w:rPr>
        <w:t xml:space="preserve"> appears to be caused by increased tactile and thermal sensory thresholds</w:t>
      </w:r>
      <w:r w:rsidR="00CA55A0">
        <w:rPr>
          <w:rFonts w:ascii="Verdana" w:hAnsi="Verdana"/>
          <w:lang w:val="en-GB"/>
        </w:rPr>
        <w:t>, accompanied by epidermal nerve fibres</w:t>
      </w:r>
      <w:r w:rsidR="00316E77">
        <w:rPr>
          <w:rFonts w:ascii="Verdana" w:hAnsi="Verdana"/>
          <w:lang w:val="en-GB"/>
        </w:rPr>
        <w:t xml:space="preserve"> loss</w:t>
      </w:r>
      <w:r w:rsidR="00DD0437">
        <w:rPr>
          <w:rFonts w:ascii="Verdana" w:hAnsi="Verdana"/>
          <w:lang w:val="en-GB"/>
        </w:rPr>
        <w:t xml:space="preserve">, nerve remodelling and demyelination </w:t>
      </w:r>
      <w:r w:rsidR="00DD0437">
        <w:rPr>
          <w:rFonts w:ascii="Verdana" w:hAnsi="Verdana"/>
          <w:lang w:val="en-GB"/>
        </w:rPr>
        <w:fldChar w:fldCharType="begin"/>
      </w:r>
      <w:r w:rsidR="00DD0437">
        <w:rPr>
          <w:rFonts w:ascii="Verdana" w:hAnsi="Verdana"/>
          <w:lang w:val="en-GB"/>
        </w:rPr>
        <w:instrText xml:space="preserve"> ADDIN ZOTERO_ITEM CSL_CITATION {"citationID":"WG9O3mzt","properties":{"formattedCitation":"(Nolano et al. 2008)","plainCitation":"(Nolano et al. 2008)","noteIndex":0},"citationItems":[{"id":2353,"uris":["http://zotero.org/users/9330673/items/FAZW4439"],"itemData":{"id":2353,"type":"article-journal","container-title":"Brain","DOI":"10.1093/brain/awn102","ISSN":"0006-8950, 1460-2156","issue":"7","journalAbbreviation":"Brain","language":"en","page":"1903-1911","source":"DOI.org (Crossref)","title":"Sensory deficit in Parkinson's disease: evidence of a cutaneous denervation","title-short":"Sensory deficit in Parkinson's disease","volume":"131","author":[{"family":"Nolano","given":"M."},{"family":"Provitera","given":"V."},{"family":"Estraneo","given":"A."},{"family":"Selim","given":"M. M."},{"family":"Caporaso","given":"G."},{"family":"Stancanelli","given":"A."},{"family":"Saltalamacchia","given":"A. M."},{"family":"Lanzillo","given":"B."},{"family":"Santoro","given":"L."}],"issued":{"date-parts":[["2008",7,1]]}}}],"schema":"https://github.com/citation-style-language/schema/raw/master/csl-citation.json"} </w:instrText>
      </w:r>
      <w:r w:rsidR="00DD0437">
        <w:rPr>
          <w:rFonts w:ascii="Verdana" w:hAnsi="Verdana"/>
          <w:lang w:val="en-GB"/>
        </w:rPr>
        <w:fldChar w:fldCharType="separate"/>
      </w:r>
      <w:r w:rsidR="00DD0437" w:rsidRPr="00DD0437">
        <w:rPr>
          <w:rFonts w:ascii="Verdana" w:hAnsi="Verdana"/>
        </w:rPr>
        <w:t>(Nolano et al. 2008)</w:t>
      </w:r>
      <w:r w:rsidR="00DD0437">
        <w:rPr>
          <w:rFonts w:ascii="Verdana" w:hAnsi="Verdana"/>
          <w:lang w:val="en-GB"/>
        </w:rPr>
        <w:fldChar w:fldCharType="end"/>
      </w:r>
      <w:r w:rsidR="00316E77">
        <w:rPr>
          <w:rFonts w:ascii="Verdana" w:hAnsi="Verdana"/>
          <w:lang w:val="en-GB"/>
        </w:rPr>
        <w:t>.</w:t>
      </w:r>
      <w:r w:rsidR="00BD4DFC">
        <w:rPr>
          <w:rFonts w:ascii="Verdana" w:hAnsi="Verdana"/>
          <w:lang w:val="en-GB"/>
        </w:rPr>
        <w:t xml:space="preserve"> Furthermore, sensory deficits have been shown to not always correlate with motor impairments</w:t>
      </w:r>
      <w:r w:rsidR="007D6592">
        <w:rPr>
          <w:rFonts w:ascii="Verdana" w:hAnsi="Verdana"/>
          <w:lang w:val="en-GB"/>
        </w:rPr>
        <w:t xml:space="preserve"> </w:t>
      </w:r>
      <w:r w:rsidR="005378F0">
        <w:rPr>
          <w:rFonts w:ascii="Verdana" w:hAnsi="Verdana"/>
          <w:lang w:val="en-GB"/>
        </w:rPr>
        <w:fldChar w:fldCharType="begin"/>
      </w:r>
      <w:r w:rsidR="005378F0">
        <w:rPr>
          <w:rFonts w:ascii="Verdana" w:hAnsi="Verdana"/>
          <w:lang w:val="en-GB"/>
        </w:rPr>
        <w:instrText xml:space="preserve"> ADDIN ZOTERO_ITEM CSL_CITATION {"citationID":"HlT9z9Ge","properties":{"formattedCitation":"(Cury et al. 2016)","plainCitation":"(Cury et al. 2016)","noteIndex":0},"citationItems":[{"id":2358,"uris":["http://zotero.org/users/9330673/items/YNEBLYL7"],"itemData":{"id":2358,"type":"article-journal","abstract":"Pain and sensory abnormalities are present in a large proportion of Parkinson disease (PD) patients and have a signiﬁcant negative impact in quality of life. It remains undetermined whether pain occurs secondary to motor impairment and to which extent it can be relieved by improvement of motor symptoms. The aim of this review was to examine the current knowledge on the mechanisms behind sensory changes and pain in PD and to assess the modulatory effects of motor treatment on these sensory abnormalities. A comprehensive literature search was performed. We selected studies investigating sensory changes and pain in PD and the effects of levodopa administration and deep brain stimulation (DBS) on these symptoms. PD patients have altered sensory and pain thresholds in the off-medication state. Both levodopa and DBS improve motor symptoms (i.e.: bradykinesia, tremor) and change sensory abnormalities towards normal levels. However, there is no direct correlation between sensory/pain changes and motor improvement, suggesting that motor and non-motor symptoms do not necessarily share the same mechanisms. Whether dopamine and DBS have a real antinociceptive effect or simply a modulatory effect in pain perception remain uncertain. These data may provide useful insights into a mechanism-based approach to pain in PD, pointing out the role of the dopaminergic system in pain perception and the importance of the characterization of different pain syndromes related to PD before speciﬁc treatment can be instituted.","container-title":"European Journal of Pain","DOI":"10.1002/ejp.745","ISSN":"10903801","issue":"2","journalAbbreviation":"Eur J Pain","language":"en","page":"151-165","source":"DOI.org (Crossref)","title":"Sensory abnormalities and pain in Parkinson disease and its modulation by treatment of motor symptoms","volume":"20","author":[{"family":"Cury","given":"R.G."},{"family":"Galhardoni","given":"R."},{"family":"Fonoff","given":"E.T."},{"family":"Perez Lloret","given":"S."},{"family":"Santos Ghilardi","given":"M.G.","non-dropping-particle":"dos"},{"family":"Barbosa","given":"E.R."},{"family":"Teixeira","given":"M.J."},{"family":"Ciampi de Andrade","given":"D."}],"issued":{"date-parts":[["2016",2]]}}}],"schema":"https://github.com/citation-style-language/schema/raw/master/csl-citation.json"} </w:instrText>
      </w:r>
      <w:r w:rsidR="005378F0">
        <w:rPr>
          <w:rFonts w:ascii="Verdana" w:hAnsi="Verdana"/>
          <w:lang w:val="en-GB"/>
        </w:rPr>
        <w:fldChar w:fldCharType="separate"/>
      </w:r>
      <w:r w:rsidR="005378F0" w:rsidRPr="005378F0">
        <w:rPr>
          <w:rFonts w:ascii="Verdana" w:hAnsi="Verdana"/>
        </w:rPr>
        <w:t>(Cury et al. 2016)</w:t>
      </w:r>
      <w:r w:rsidR="005378F0">
        <w:rPr>
          <w:rFonts w:ascii="Verdana" w:hAnsi="Verdana"/>
          <w:lang w:val="en-GB"/>
        </w:rPr>
        <w:fldChar w:fldCharType="end"/>
      </w:r>
      <w:r w:rsidR="00A32A26">
        <w:rPr>
          <w:rFonts w:ascii="Verdana" w:hAnsi="Verdana"/>
          <w:lang w:val="en-GB"/>
        </w:rPr>
        <w:t xml:space="preserve">. </w:t>
      </w:r>
      <w:proofErr w:type="gramStart"/>
      <w:r w:rsidR="002C1019">
        <w:rPr>
          <w:rFonts w:ascii="Verdana" w:hAnsi="Verdana"/>
          <w:lang w:val="en-GB"/>
        </w:rPr>
        <w:t>In light of</w:t>
      </w:r>
      <w:proofErr w:type="gramEnd"/>
      <w:r w:rsidR="002C1019">
        <w:rPr>
          <w:rFonts w:ascii="Verdana" w:hAnsi="Verdana"/>
          <w:lang w:val="en-GB"/>
        </w:rPr>
        <w:t xml:space="preserve"> these</w:t>
      </w:r>
      <w:r w:rsidR="004426B7">
        <w:rPr>
          <w:rFonts w:ascii="Verdana" w:hAnsi="Verdana"/>
          <w:lang w:val="en-GB"/>
        </w:rPr>
        <w:t xml:space="preserve"> findings</w:t>
      </w:r>
      <w:r w:rsidR="00A32A26">
        <w:rPr>
          <w:rFonts w:ascii="Verdana" w:hAnsi="Verdana"/>
          <w:lang w:val="en-GB"/>
        </w:rPr>
        <w:t xml:space="preserve">, the absence of a motor phenotype in presence of some degree of sensory </w:t>
      </w:r>
      <w:r w:rsidR="00413D02">
        <w:rPr>
          <w:rFonts w:ascii="Verdana" w:hAnsi="Verdana"/>
          <w:lang w:val="en-GB"/>
        </w:rPr>
        <w:t xml:space="preserve">deficit </w:t>
      </w:r>
      <w:r w:rsidR="004426B7">
        <w:rPr>
          <w:rFonts w:ascii="Verdana" w:hAnsi="Verdana"/>
          <w:lang w:val="en-GB"/>
        </w:rPr>
        <w:t>in SNCA*E46K</w:t>
      </w:r>
      <w:r w:rsidR="005708C7">
        <w:rPr>
          <w:rFonts w:ascii="Verdana" w:hAnsi="Verdana"/>
          <w:lang w:val="en-GB"/>
        </w:rPr>
        <w:t xml:space="preserve"> transgenic</w:t>
      </w:r>
      <w:r w:rsidR="004426B7">
        <w:rPr>
          <w:rFonts w:ascii="Verdana" w:hAnsi="Verdana"/>
          <w:lang w:val="en-GB"/>
        </w:rPr>
        <w:t xml:space="preserve"> mice </w:t>
      </w:r>
      <w:r w:rsidR="00413D02">
        <w:rPr>
          <w:rFonts w:ascii="Verdana" w:hAnsi="Verdana"/>
          <w:lang w:val="en-GB"/>
        </w:rPr>
        <w:t>supports</w:t>
      </w:r>
      <w:r w:rsidR="004426B7">
        <w:rPr>
          <w:rFonts w:ascii="Verdana" w:hAnsi="Verdana"/>
          <w:lang w:val="en-GB"/>
        </w:rPr>
        <w:t xml:space="preserve"> the validity of this line as a model for early-PD pathology.</w:t>
      </w:r>
    </w:p>
    <w:p w14:paraId="41AFCDE9" w14:textId="7065C881" w:rsidR="000E1722" w:rsidRDefault="000E1722" w:rsidP="000E1722">
      <w:pPr>
        <w:spacing w:line="360" w:lineRule="auto"/>
        <w:jc w:val="both"/>
        <w:rPr>
          <w:rFonts w:ascii="Verdana" w:hAnsi="Verdana"/>
          <w:lang w:val="en-GB"/>
        </w:rPr>
      </w:pPr>
      <w:r>
        <w:rPr>
          <w:rFonts w:ascii="Verdana" w:hAnsi="Verdana"/>
          <w:lang w:val="en-GB"/>
        </w:rPr>
        <w:t xml:space="preserve">Similar conclusions can be reached when looking at the short-term memory impairment, as measured by performance in the Y-maze test. Here, male HET mice showed a significant impairment (p = 0.022) when compared to their WT littermates at 4-months of age, while no differences were detected for older male mice, or for female mice at any time point. Worse performance of young male HET mice might be explained by tendentially increased </w:t>
      </w:r>
      <w:r w:rsidR="009E02C0">
        <w:rPr>
          <w:rFonts w:ascii="Verdana" w:hAnsi="Verdana"/>
          <w:lang w:val="en-GB"/>
        </w:rPr>
        <w:t>alpha-synuclein</w:t>
      </w:r>
      <w:r>
        <w:rPr>
          <w:rFonts w:ascii="Verdana" w:hAnsi="Verdana"/>
          <w:lang w:val="en-GB"/>
        </w:rPr>
        <w:t xml:space="preserve"> protein levels in the hippocampus at 3-months of age when compared to female mice, and compensatory mechanisms to alpha-synuclein overexpression might restore cognitive performance with ageing. Furthermore, </w:t>
      </w:r>
      <w:r>
        <w:rPr>
          <w:rFonts w:ascii="Verdana" w:hAnsi="Verdana"/>
          <w:lang w:val="en-GB"/>
        </w:rPr>
        <w:lastRenderedPageBreak/>
        <w:t xml:space="preserve">the absence of a strong cognitive impairment might reflect the early-PD phenotype of this model, meaning that the </w:t>
      </w:r>
      <w:r w:rsidR="006E021C">
        <w:rPr>
          <w:rFonts w:ascii="Verdana" w:hAnsi="Verdana"/>
          <w:lang w:val="en-GB"/>
        </w:rPr>
        <w:t>alpha</w:t>
      </w:r>
      <w:r w:rsidR="001534BE">
        <w:rPr>
          <w:rFonts w:ascii="Verdana" w:hAnsi="Verdana"/>
          <w:lang w:val="en-GB"/>
        </w:rPr>
        <w:t>-synuclein</w:t>
      </w:r>
      <w:r>
        <w:rPr>
          <w:rFonts w:ascii="Verdana" w:hAnsi="Verdana"/>
          <w:lang w:val="en-GB"/>
        </w:rPr>
        <w:t xml:space="preserve"> insult might not be strong enough to cause a detectable phenotype over the compensatory response that is bound to happen during ageing.</w:t>
      </w:r>
    </w:p>
    <w:p w14:paraId="107B3DB6" w14:textId="1891A333" w:rsidR="000E1722" w:rsidRDefault="000E1722" w:rsidP="002127C5">
      <w:pPr>
        <w:spacing w:line="360" w:lineRule="auto"/>
        <w:jc w:val="both"/>
        <w:rPr>
          <w:rFonts w:ascii="Verdana" w:hAnsi="Verdana"/>
          <w:color w:val="000000" w:themeColor="text1"/>
          <w:lang w:val="en-GB"/>
        </w:rPr>
      </w:pPr>
      <w:r>
        <w:rPr>
          <w:rFonts w:ascii="Verdana" w:hAnsi="Verdana"/>
          <w:lang w:val="en-GB"/>
        </w:rPr>
        <w:t xml:space="preserve">Neurodegeneration is a complex process involving responses both at the protein and transcript level. While investigating the SNCA*E46K mouse model, we decided to focus on the transcriptional changes occurring in the substantia nigra and in the hippocampus in response to alpha-synuclein overexpression. In the midbrain, </w:t>
      </w:r>
      <w:proofErr w:type="gramStart"/>
      <w:r>
        <w:rPr>
          <w:rFonts w:ascii="Verdana" w:hAnsi="Verdana"/>
          <w:lang w:val="en-GB"/>
        </w:rPr>
        <w:t>the majority of</w:t>
      </w:r>
      <w:proofErr w:type="gramEnd"/>
      <w:r>
        <w:rPr>
          <w:rFonts w:ascii="Verdana" w:hAnsi="Verdana"/>
          <w:lang w:val="en-GB"/>
        </w:rPr>
        <w:t xml:space="preserve"> gene expression changes was detected at 3-months of age, long before any striatal neurodegeneration was detectable, and the number of differentially expressed genes sharply decreased with age as the degeneration took place. These findings indicate that gene expression regulation represents the earliest response to </w:t>
      </w:r>
      <w:r w:rsidR="001E74B0">
        <w:rPr>
          <w:rFonts w:ascii="Verdana" w:hAnsi="Verdana"/>
          <w:lang w:val="en-GB"/>
        </w:rPr>
        <w:t>alpha-synuclein</w:t>
      </w:r>
      <w:r>
        <w:rPr>
          <w:rFonts w:ascii="Verdana" w:hAnsi="Verdana"/>
          <w:lang w:val="en-GB"/>
        </w:rPr>
        <w:t xml:space="preserve"> overexpression challenge, and are in agreement with what observed in other models </w:t>
      </w:r>
      <w:r>
        <w:rPr>
          <w:rFonts w:ascii="Verdana" w:hAnsi="Verdana"/>
          <w:lang w:val="en-GB"/>
        </w:rPr>
        <w:fldChar w:fldCharType="begin"/>
      </w:r>
      <w:r>
        <w:rPr>
          <w:rFonts w:ascii="Verdana" w:hAnsi="Verdana"/>
          <w:lang w:val="en-GB"/>
        </w:rPr>
        <w:instrText xml:space="preserve"> ADDIN ZOTERO_ITEM CSL_CITATION {"citationID":"Uc9RlWbi","properties":{"formattedCitation":"(Miller et al. 2007)","plainCitation":"(Miller et al. 2007)","noteIndex":0},"citationItems":[{"id":94,"uris":["http://zotero.org/users/9330673/items/NJ8ENEZJ"],"itemData":{"id":94,"type":"article-journal","abstract":"The pathophysiological processes that cause Parkinson's disease (PD) affect dopamine neurons residing in the substantia nigra with devastating consequences for normal movement. One important gene involved in both familial and sporadic PD is α-synuclein. We have generated three strains of α-synuclein transgenic mice to study the pathologic consequences of the targeted expression of mutant or wild-type human α-synuclein in a model system. We have analyzed gene expression patterns in these mice using high throughput microarrays in anatomical regions implicated in disease (substantia nigra and brainstem). Our study reveals gene dosage-dependent dysregulation of several genes important for the dopaminergic phenotype in mice over-expressing wild-type human α-synuclein in the substantia nigra at time points preceding neuronal cell death. Analysis of mutant α-synuclein mice at a time point when pathology is advanced reveals several new candidate genes that may play a role in neuronal demise and/or protein accumulation.","container-title":"Experimental Neurology","DOI":"10.1016/j.expneurol.2006.12.005","ISSN":"00144886","issue":"1","journalAbbreviation":"Experimental Neurology","language":"en","page":"421-432","source":"DOI.org (Crossref)","title":"Wild-type and mutant α-synuclein induce a multi-component gene expression profile consistent with shared pathophysiology in different transgenic mouse models of PD","volume":"204","author":[{"family":"Miller","given":"Renee M."},{"family":"Kiser","given":"Gretchen L."},{"family":"Kaysser-Kranich","given":"Tamma"},{"family":"Casaceli","given":"Cindy"},{"family":"Colla","given":"Emanuela"},{"family":"Lee","given":"Michael K."},{"family":"Palaniappan","given":"Chockalingham"},{"family":"Federoff","given":"Howard J."}],"issued":{"date-parts":[["2007",3]]}}}],"schema":"https://github.com/citation-style-language/schema/raw/master/csl-citation.json"} </w:instrText>
      </w:r>
      <w:r>
        <w:rPr>
          <w:rFonts w:ascii="Verdana" w:hAnsi="Verdana"/>
          <w:lang w:val="en-GB"/>
        </w:rPr>
        <w:fldChar w:fldCharType="separate"/>
      </w:r>
      <w:r>
        <w:rPr>
          <w:rFonts w:ascii="Verdana" w:hAnsi="Verdana"/>
        </w:rPr>
        <w:t>(Miller et al. 2007)</w:t>
      </w:r>
      <w:r>
        <w:rPr>
          <w:rFonts w:ascii="Verdana" w:hAnsi="Verdana"/>
          <w:lang w:val="en-GB"/>
        </w:rPr>
        <w:fldChar w:fldCharType="end"/>
      </w:r>
      <w:r>
        <w:rPr>
          <w:rFonts w:ascii="Verdana" w:hAnsi="Verdana"/>
          <w:lang w:val="en-GB"/>
        </w:rPr>
        <w:t xml:space="preserve">. Impaired processes at the 3-months timepoint involved synaptic function, </w:t>
      </w:r>
      <w:proofErr w:type="spellStart"/>
      <w:r>
        <w:rPr>
          <w:rFonts w:ascii="Verdana" w:hAnsi="Verdana"/>
          <w:lang w:val="en-GB"/>
        </w:rPr>
        <w:t>DAn</w:t>
      </w:r>
      <w:proofErr w:type="spellEnd"/>
      <w:r>
        <w:rPr>
          <w:rFonts w:ascii="Verdana" w:hAnsi="Verdana"/>
          <w:lang w:val="en-GB"/>
        </w:rPr>
        <w:t xml:space="preserve"> differentiation and maintenance, mitochondrial translation</w:t>
      </w:r>
      <w:r w:rsidR="001E74B0">
        <w:rPr>
          <w:rFonts w:ascii="Verdana" w:hAnsi="Verdana"/>
          <w:lang w:val="en-GB"/>
        </w:rPr>
        <w:t>,</w:t>
      </w:r>
      <w:r>
        <w:rPr>
          <w:rFonts w:ascii="Verdana" w:hAnsi="Verdana"/>
          <w:lang w:val="en-GB"/>
        </w:rPr>
        <w:t xml:space="preserve"> and calcium homeostasis, all known to be involved in PD pathogenesis. These changes can reflect the early signs of neuronal dysfunction, or the activation of the related pathways might represent the first compensatory mechanism to the disease challenge. Interestingly, no pathways related to neuroinflammation were identified. Absence of neuroinflammation could be the result of overexpression of transgenic </w:t>
      </w:r>
      <w:r w:rsidRPr="000466A6">
        <w:rPr>
          <w:rFonts w:ascii="Verdana" w:hAnsi="Verdana"/>
          <w:i/>
          <w:iCs/>
          <w:lang w:val="en-GB"/>
        </w:rPr>
        <w:t>SNCA</w:t>
      </w:r>
      <w:r>
        <w:rPr>
          <w:rFonts w:ascii="Verdana" w:hAnsi="Verdana"/>
          <w:lang w:val="en-GB"/>
        </w:rPr>
        <w:t xml:space="preserve"> in microglia which inhibits proper microglial function </w:t>
      </w:r>
      <w:r>
        <w:rPr>
          <w:rFonts w:ascii="Verdana" w:hAnsi="Verdana"/>
          <w:lang w:val="en-GB"/>
        </w:rPr>
        <w:fldChar w:fldCharType="begin"/>
      </w:r>
      <w:r>
        <w:rPr>
          <w:rFonts w:ascii="Verdana" w:hAnsi="Verdana"/>
          <w:lang w:val="en-GB"/>
        </w:rPr>
        <w:instrText xml:space="preserve"> ADDIN ZOTERO_ITEM CSL_CITATION {"citationID":"feECjlen","properties":{"formattedCitation":"(Gardai et al. 2013)","plainCitation":"(Gardai et al. 2013)","noteIndex":0},"citationItems":[{"id":37,"uris":["http://zotero.org/users/9330673/items/E6P9MC8U"],"itemData":{"id":37,"type":"article-journal","abstract":"Alpha-synuclein protein is strongly implicated in the pathogenesis Parkinson’s disease. Increased expression of a-synuclein due to genetic multiplication or point mutations leads to early onset disease. While a-synuclein is known to modulate membrane vesicle dynamics, it is not clear if this activity is involved in the pathogenic process or if measurable physiological effects of a-synuclein over-expression or mutation exist in vivo. Macrophages and microglia isolated from BAC a-synuclein transgenic mice, which overexpress a-synuclein under regulation of its own promoter, express a-synuclein and exhibit impaired cytokine release and phagocytosis. These processes were affected in vivo as well, both in peritoneal macrophages and microglia in the CNS. Extending these findings to humans, we found similar results with monocytes and fibroblasts isolated from idiopathic or familial Parkinson’s disease patients compared to age-matched controls. In summary, this paper provides 1) a new animal model to measure a-synuclein dysfunction; 2) a cellular system to measure synchronized mobilization of a-synuclein and its functional interactions; 3) observations regarding a potential role for innate immune cell function in the development and progression of Parkinson’s disease and other human synucleinopathies; 4) putative peripheral biomarkers to study and track these processes in human subjects. While altered neuronal function is a primary issue in PD, the widespread consequence of abnormal a-synuclein expression in other cell types, including immune cells, could play an important role in the neurodegenerative progression of PD and other synucleinopathies. Moreover, increased a-synuclein and altered phagocytosis may provide a useful biomarker for human PD.","container-title":"PLoS ONE","DOI":"10.1371/journal.pone.0071634","ISSN":"1932-6203","issue":"8","journalAbbreviation":"PLoS ONE","language":"en","page":"e71634","source":"DOI.org (Crossref)","title":"Elevated Alpha-Synuclein Impairs Innate Immune Cell Function and Provides a Potential Peripheral Biomarker for Parkinson's Disease","volume":"8","author":[{"family":"Gardai","given":"Shyra J."},{"family":"Mao","given":"Wenxian"},{"family":"Schüle","given":"Birgitt"},{"family":"Babcock","given":"Michael"},{"family":"Schoebel","given":"Sue"},{"family":"Lorenzana","given":"Carlos"},{"family":"Alexander","given":"Jeff"},{"family":"Kim","given":"Sam"},{"family":"Glick","given":"Heather"},{"family":"Hilton","given":"Kathryn"},{"family":"Fitzgerald","given":"J. Kent"},{"family":"Buttini","given":"Manuel"},{"family":"Chiou","given":"San-San"},{"family":"McConlogue","given":"Lisa"},{"family":"Anderson","given":"John P."},{"family":"Schenk","given":"Dale B."},{"family":"Bard","given":"Frederique"},{"family":"Langston","given":"J. William"},{"family":"Yednock","given":"Ted"},{"family":"Johnston","given":"Jennifer A."}],"editor":[{"family":"Vekrellis","given":"Kostas"}],"issued":{"date-parts":[["2013",8,23]]}}}],"schema":"https://github.com/citation-style-language/schema/raw/master/csl-citation.json"} </w:instrText>
      </w:r>
      <w:r>
        <w:rPr>
          <w:rFonts w:ascii="Verdana" w:hAnsi="Verdana"/>
          <w:lang w:val="en-GB"/>
        </w:rPr>
        <w:fldChar w:fldCharType="separate"/>
      </w:r>
      <w:r>
        <w:rPr>
          <w:rFonts w:ascii="Verdana" w:hAnsi="Verdana"/>
        </w:rPr>
        <w:t>(Gardai et al. 2013)</w:t>
      </w:r>
      <w:r>
        <w:rPr>
          <w:rFonts w:ascii="Verdana" w:hAnsi="Verdana"/>
          <w:lang w:val="en-GB"/>
        </w:rPr>
        <w:fldChar w:fldCharType="end"/>
      </w:r>
      <w:r>
        <w:rPr>
          <w:rFonts w:ascii="Verdana" w:hAnsi="Verdana"/>
          <w:color w:val="000000" w:themeColor="text1"/>
          <w:lang w:val="en-GB"/>
        </w:rPr>
        <w:t xml:space="preserve">, or the </w:t>
      </w:r>
      <w:r w:rsidR="001E74B0">
        <w:rPr>
          <w:rFonts w:ascii="Verdana" w:hAnsi="Verdana"/>
          <w:color w:val="000000" w:themeColor="text1"/>
          <w:lang w:val="en-GB"/>
        </w:rPr>
        <w:t>alpha-synuclein</w:t>
      </w:r>
      <w:r>
        <w:rPr>
          <w:rFonts w:ascii="Verdana" w:hAnsi="Verdana"/>
          <w:color w:val="000000" w:themeColor="text1"/>
          <w:lang w:val="en-GB"/>
        </w:rPr>
        <w:t xml:space="preserve"> challenge could possibly be not strong enough to activate microglial response.</w:t>
      </w:r>
      <w:r w:rsidR="00654AF6">
        <w:rPr>
          <w:rFonts w:ascii="Verdana" w:hAnsi="Verdana"/>
          <w:color w:val="000000" w:themeColor="text1"/>
          <w:lang w:val="en-GB"/>
        </w:rPr>
        <w:t xml:space="preserve"> </w:t>
      </w:r>
      <w:r w:rsidR="006D2159">
        <w:rPr>
          <w:rFonts w:ascii="Verdana" w:hAnsi="Verdana"/>
          <w:color w:val="000000" w:themeColor="text1"/>
          <w:lang w:val="en-GB"/>
        </w:rPr>
        <w:t>Intra</w:t>
      </w:r>
      <w:r w:rsidR="00F3561B">
        <w:rPr>
          <w:rFonts w:ascii="Verdana" w:hAnsi="Verdana"/>
          <w:color w:val="000000" w:themeColor="text1"/>
          <w:lang w:val="en-GB"/>
        </w:rPr>
        <w:t>-</w:t>
      </w:r>
      <w:r w:rsidR="006D2159">
        <w:rPr>
          <w:rFonts w:ascii="Verdana" w:hAnsi="Verdana"/>
          <w:color w:val="000000" w:themeColor="text1"/>
          <w:lang w:val="en-GB"/>
        </w:rPr>
        <w:t xml:space="preserve">striatal </w:t>
      </w:r>
      <w:r w:rsidR="003548BB">
        <w:rPr>
          <w:rFonts w:ascii="Verdana" w:hAnsi="Verdana"/>
          <w:color w:val="000000" w:themeColor="text1"/>
          <w:lang w:val="en-GB"/>
        </w:rPr>
        <w:t xml:space="preserve">injection of </w:t>
      </w:r>
      <w:r w:rsidR="006D2159">
        <w:rPr>
          <w:rFonts w:ascii="Verdana" w:hAnsi="Verdana"/>
          <w:color w:val="000000" w:themeColor="text1"/>
          <w:lang w:val="en-GB"/>
        </w:rPr>
        <w:t>alpha-synuclein</w:t>
      </w:r>
      <w:r w:rsidR="00FF2C5B">
        <w:rPr>
          <w:rFonts w:ascii="Verdana" w:hAnsi="Verdana"/>
          <w:color w:val="000000" w:themeColor="text1"/>
          <w:lang w:val="en-GB"/>
        </w:rPr>
        <w:t xml:space="preserve"> PFFs</w:t>
      </w:r>
      <w:r w:rsidR="006D2159">
        <w:rPr>
          <w:rFonts w:ascii="Verdana" w:hAnsi="Verdana"/>
          <w:color w:val="000000" w:themeColor="text1"/>
          <w:lang w:val="en-GB"/>
        </w:rPr>
        <w:t xml:space="preserve"> has </w:t>
      </w:r>
      <w:r w:rsidR="00F3561B">
        <w:rPr>
          <w:rFonts w:ascii="Verdana" w:hAnsi="Verdana"/>
          <w:color w:val="000000" w:themeColor="text1"/>
          <w:lang w:val="en-GB"/>
        </w:rPr>
        <w:t>been shown to cause strong microglia</w:t>
      </w:r>
      <w:r w:rsidR="00AA5826">
        <w:rPr>
          <w:rFonts w:ascii="Verdana" w:hAnsi="Verdana"/>
          <w:color w:val="000000" w:themeColor="text1"/>
          <w:lang w:val="en-GB"/>
        </w:rPr>
        <w:t>l</w:t>
      </w:r>
      <w:r w:rsidR="00F3561B">
        <w:rPr>
          <w:rFonts w:ascii="Verdana" w:hAnsi="Verdana"/>
          <w:color w:val="000000" w:themeColor="text1"/>
          <w:lang w:val="en-GB"/>
        </w:rPr>
        <w:t xml:space="preserve"> activation</w:t>
      </w:r>
      <w:r w:rsidR="0042296E">
        <w:rPr>
          <w:rFonts w:ascii="Verdana" w:hAnsi="Verdana"/>
          <w:color w:val="000000" w:themeColor="text1"/>
          <w:lang w:val="en-GB"/>
        </w:rPr>
        <w:t xml:space="preserve"> </w:t>
      </w:r>
      <w:r w:rsidR="00CC50BE">
        <w:rPr>
          <w:rFonts w:ascii="Verdana" w:hAnsi="Verdana"/>
          <w:color w:val="000000" w:themeColor="text1"/>
          <w:lang w:val="en-GB"/>
        </w:rPr>
        <w:t xml:space="preserve">at 3-months post-injection </w:t>
      </w:r>
      <w:r w:rsidR="0042296E">
        <w:rPr>
          <w:rFonts w:ascii="Verdana" w:hAnsi="Verdana"/>
          <w:color w:val="000000" w:themeColor="text1"/>
          <w:lang w:val="en-GB"/>
        </w:rPr>
        <w:t>independent</w:t>
      </w:r>
      <w:r w:rsidR="00404E58">
        <w:rPr>
          <w:rFonts w:ascii="Verdana" w:hAnsi="Verdana"/>
          <w:color w:val="000000" w:themeColor="text1"/>
          <w:lang w:val="en-GB"/>
        </w:rPr>
        <w:t>ly</w:t>
      </w:r>
      <w:r w:rsidR="0042296E">
        <w:rPr>
          <w:rFonts w:ascii="Verdana" w:hAnsi="Verdana"/>
          <w:color w:val="000000" w:themeColor="text1"/>
          <w:lang w:val="en-GB"/>
        </w:rPr>
        <w:t xml:space="preserve"> of phosphorylated alpha-synuclein deposition and neurodegeneration</w:t>
      </w:r>
      <w:r w:rsidR="00684710">
        <w:rPr>
          <w:rFonts w:ascii="Verdana" w:hAnsi="Verdana"/>
          <w:color w:val="000000" w:themeColor="text1"/>
          <w:lang w:val="en-GB"/>
        </w:rPr>
        <w:t xml:space="preserve"> in</w:t>
      </w:r>
      <w:r w:rsidR="00AA5826">
        <w:rPr>
          <w:rFonts w:ascii="Verdana" w:hAnsi="Verdana"/>
          <w:color w:val="000000" w:themeColor="text1"/>
          <w:lang w:val="en-GB"/>
        </w:rPr>
        <w:t xml:space="preserve"> WT</w:t>
      </w:r>
      <w:r w:rsidR="00684710">
        <w:rPr>
          <w:rFonts w:ascii="Verdana" w:hAnsi="Verdana"/>
          <w:color w:val="000000" w:themeColor="text1"/>
          <w:lang w:val="en-GB"/>
        </w:rPr>
        <w:t xml:space="preserve"> mice</w:t>
      </w:r>
      <w:r w:rsidR="00C06DE8">
        <w:rPr>
          <w:rFonts w:ascii="Verdana" w:hAnsi="Verdana"/>
          <w:color w:val="000000" w:themeColor="text1"/>
          <w:lang w:val="en-GB"/>
        </w:rPr>
        <w:t xml:space="preserve">, while the injection of alpha-synuclein oligomers </w:t>
      </w:r>
      <w:r w:rsidR="00CC50BE">
        <w:rPr>
          <w:rFonts w:ascii="Verdana" w:hAnsi="Verdana"/>
          <w:color w:val="000000" w:themeColor="text1"/>
          <w:lang w:val="en-GB"/>
        </w:rPr>
        <w:t>provoked a stronger and faster (already at 13 days post-injection) microglial response</w:t>
      </w:r>
      <w:r w:rsidR="00404E58">
        <w:rPr>
          <w:rFonts w:ascii="Verdana" w:hAnsi="Verdana"/>
          <w:color w:val="000000" w:themeColor="text1"/>
          <w:lang w:val="en-GB"/>
        </w:rPr>
        <w:t xml:space="preserve"> </w:t>
      </w:r>
      <w:r w:rsidR="00404E58">
        <w:rPr>
          <w:rFonts w:ascii="Verdana" w:hAnsi="Verdana"/>
          <w:color w:val="000000" w:themeColor="text1"/>
          <w:lang w:val="en-GB"/>
        </w:rPr>
        <w:fldChar w:fldCharType="begin"/>
      </w:r>
      <w:r w:rsidR="00404E58">
        <w:rPr>
          <w:rFonts w:ascii="Verdana" w:hAnsi="Verdana"/>
          <w:color w:val="000000" w:themeColor="text1"/>
          <w:lang w:val="en-GB"/>
        </w:rPr>
        <w:instrText xml:space="preserve"> ADDIN ZOTERO_ITEM CSL_CITATION {"citationID":"NW2zgUUb","properties":{"formattedCitation":"(Garcia et al. 2020)","plainCitation":"(Garcia et al. 2020)","noteIndex":0},"citationItems":[{"id":288,"uris":["http://zotero.org/users/9330673/items/RCH8ZGUU"],"itemData":{"id":288,"type":"report","abstract":"Abstract\n          A key process of neurodegeneration in Parkinson’s disease (PD) is the transneuronal spreading of α-synuclein. Alpha-synuclein is a presynaptic protein that is implicated in the pathogenesis of PD and other synucleinopathies, where it forms, upon intracellular aggregation, pathological inclusions. Other hallmarks of PD include neurodegeneration and microgliosis in susceptible brain regions. Whether it is primarily transneuronal spreading of α-synuclein particles, inclusion formation, or other mechanisms, such as inflammation, that cause neurodegeneration in PD is unclear. We used spreading/aggregation of α-synuclein induced by intracerebral injection of α-synuclein preformed fibrils into the mouse brain to address this question. We performed quantitative histological analysis for α-synuclein inclusions, neurodegeneration, and microgliosis in different brain regions, and a gene expression profiling of the ventral midbrain, at two different timepoints after disease induction. We observed significant neurodegeneration and microgliosis in brain regions not only with, but also without α-synuclein inclusions. We also observed prominent microgliosis in injured brain regions that did not correlate with neurodegeneration nor with inclusion load. In longitudinal gene expression profiling experiments, we observed early and unique alterations linked to microglial mediated inflammation that preceded neurodegeneration, indicating an active role of microglia in inducing neurodegeneration. Our observations indicate that α-synuclein inclusion formation is not the major driver in the early phases of PD-like neurodegeneration, but that diffusible, oligomeric α-synuclein species, which induce unusual microglial reactivity, play a key role in this process. Our findings uncover new features of α-synuclein induced pathologies, in particular microgliosis, and point to the necessity of a broader view of the process of “prion-like spreading” of that protein.","genre":"preprint","language":"en","note":"DOI: 10.1101/2020.08.05.237750","publisher":"Neuroscience","source":"DOI.org (Crossref)","title":"Neurodegeneration and neuroinflammation are linked, but independent of &lt;b&gt;α&lt;/b&gt; -synuclein inclusions, in a seeding/spreading mouse model of Parkinson’s disease","URL":"http://biorxiv.org/lookup/doi/10.1101/2020.08.05.237750","author":[{"family":"Garcia","given":"Pierre"},{"family":"Jürgens-Wemheuer","given":"Wiebke"},{"family":"Uriarte","given":"Oihane"},{"family":"Schmit","given":"Kristopher J"},{"family":"Masuch","given":"Annette"},{"family":"Brioschi","given":"Simone"},{"family":"Weihofen","given":"Andreas"},{"family":"Koncina","given":"Eric"},{"family":"Coowar","given":"Djalil"},{"family":"Heurtaux","given":"Tony"},{"family":"Glaab","given":"Enrico"},{"family":"Balling","given":"Rudi"},{"family":"Sousa","given":"Carole"},{"family":"Michelucci","given":"Alessandro"},{"family":"Kaoma","given":"Tony"},{"family":"Nicot","given":"Nathalie"},{"family":"Pfander","given":"Tatjana"},{"family":"Schulz-Schaeffer","given":"Walter"},{"family":"Allouche","given":"Ahmad"},{"family":"Fischer","given":"Nicolas"},{"family":"Biber","given":"Knut"},{"family":"Mittelbronn","given":"Michel"},{"family":"Buttini","given":"Manuel"}],"accessed":{"date-parts":[["2022",4,5]]},"issued":{"date-parts":[["2020",8,6]]}}}],"schema":"https://github.com/citation-style-language/schema/raw/master/csl-citation.json"} </w:instrText>
      </w:r>
      <w:r w:rsidR="00404E58">
        <w:rPr>
          <w:rFonts w:ascii="Verdana" w:hAnsi="Verdana"/>
          <w:color w:val="000000" w:themeColor="text1"/>
          <w:lang w:val="en-GB"/>
        </w:rPr>
        <w:fldChar w:fldCharType="separate"/>
      </w:r>
      <w:r w:rsidR="00404E58" w:rsidRPr="00404E58">
        <w:rPr>
          <w:rFonts w:ascii="Verdana" w:hAnsi="Verdana"/>
        </w:rPr>
        <w:t>(Garcia et al. 2020)</w:t>
      </w:r>
      <w:r w:rsidR="00404E58">
        <w:rPr>
          <w:rFonts w:ascii="Verdana" w:hAnsi="Verdana"/>
          <w:color w:val="000000" w:themeColor="text1"/>
          <w:lang w:val="en-GB"/>
        </w:rPr>
        <w:fldChar w:fldCharType="end"/>
      </w:r>
      <w:r w:rsidR="00031341">
        <w:rPr>
          <w:rFonts w:ascii="Verdana" w:hAnsi="Verdana"/>
          <w:color w:val="000000" w:themeColor="text1"/>
          <w:lang w:val="en-GB"/>
        </w:rPr>
        <w:t xml:space="preserve">. </w:t>
      </w:r>
      <w:r w:rsidR="00E41190">
        <w:rPr>
          <w:rFonts w:ascii="Verdana" w:hAnsi="Verdana"/>
          <w:color w:val="000000" w:themeColor="text1"/>
          <w:lang w:val="en-GB"/>
        </w:rPr>
        <w:t xml:space="preserve">It is possible that </w:t>
      </w:r>
      <w:r w:rsidR="000C20E7">
        <w:rPr>
          <w:rFonts w:ascii="Verdana" w:hAnsi="Verdana"/>
          <w:color w:val="000000" w:themeColor="text1"/>
          <w:lang w:val="en-GB"/>
        </w:rPr>
        <w:t xml:space="preserve">the alpha-synuclein species responsible for neuronal damage </w:t>
      </w:r>
      <w:r w:rsidR="00303CC1">
        <w:rPr>
          <w:rFonts w:ascii="Verdana" w:hAnsi="Verdana"/>
          <w:color w:val="000000" w:themeColor="text1"/>
          <w:lang w:val="en-GB"/>
        </w:rPr>
        <w:t>differ from those causing microglial activation</w:t>
      </w:r>
      <w:r w:rsidR="00617A08">
        <w:rPr>
          <w:rFonts w:ascii="Verdana" w:hAnsi="Verdana"/>
          <w:color w:val="000000" w:themeColor="text1"/>
          <w:lang w:val="en-GB"/>
        </w:rPr>
        <w:t xml:space="preserve">, and that </w:t>
      </w:r>
      <w:r w:rsidR="00721140">
        <w:rPr>
          <w:rFonts w:ascii="Verdana" w:hAnsi="Verdana"/>
          <w:color w:val="000000" w:themeColor="text1"/>
          <w:lang w:val="en-GB"/>
        </w:rPr>
        <w:t>the latter are not majorly produced in the SNCA*E46K transgenic mouse.</w:t>
      </w:r>
      <w:r>
        <w:rPr>
          <w:rFonts w:ascii="Verdana" w:hAnsi="Verdana"/>
          <w:color w:val="000000" w:themeColor="text1"/>
          <w:lang w:val="en-GB"/>
        </w:rPr>
        <w:t xml:space="preserve"> Age-dependent DEGs did not appear to increase or decrease with age, but rather to switch their directionality over time, possibly reflecting complex interactions and responses to the chronic </w:t>
      </w:r>
      <w:r w:rsidR="00A1297F">
        <w:rPr>
          <w:rFonts w:ascii="Verdana" w:hAnsi="Verdana"/>
          <w:color w:val="000000" w:themeColor="text1"/>
          <w:lang w:val="en-GB"/>
        </w:rPr>
        <w:t>alpha-synuclein</w:t>
      </w:r>
      <w:r>
        <w:rPr>
          <w:rFonts w:ascii="Verdana" w:hAnsi="Verdana"/>
          <w:color w:val="000000" w:themeColor="text1"/>
          <w:lang w:val="en-GB"/>
        </w:rPr>
        <w:t xml:space="preserve"> overexpression injury. </w:t>
      </w:r>
      <w:r>
        <w:rPr>
          <w:rFonts w:ascii="Verdana" w:hAnsi="Verdana"/>
          <w:color w:val="000000" w:themeColor="text1"/>
          <w:lang w:val="en-GB"/>
        </w:rPr>
        <w:lastRenderedPageBreak/>
        <w:t xml:space="preserve">Age-dependent deregulated pathways were associated with cellular differentiation, synaptic activity and GPCR signalling. Since GPCRs can be targeted pharmacologically, related DEGs and proteins could represent potential druggable targets worth investigating further.  </w:t>
      </w:r>
    </w:p>
    <w:p w14:paraId="62FB2F54" w14:textId="655E561D" w:rsidR="000E1722" w:rsidRDefault="000E1722" w:rsidP="000E1722">
      <w:pPr>
        <w:spacing w:line="360" w:lineRule="auto"/>
        <w:jc w:val="both"/>
        <w:rPr>
          <w:rFonts w:ascii="Verdana" w:hAnsi="Verdana"/>
          <w:lang w:val="en-GB"/>
        </w:rPr>
      </w:pPr>
      <w:r>
        <w:rPr>
          <w:rFonts w:ascii="Verdana" w:hAnsi="Verdana"/>
          <w:lang w:val="en-GB"/>
        </w:rPr>
        <w:t xml:space="preserve">In the hippocampus, </w:t>
      </w:r>
      <w:proofErr w:type="gramStart"/>
      <w:r>
        <w:rPr>
          <w:rFonts w:ascii="Verdana" w:hAnsi="Verdana"/>
          <w:lang w:val="en-GB"/>
        </w:rPr>
        <w:t>the majority of</w:t>
      </w:r>
      <w:proofErr w:type="gramEnd"/>
      <w:r>
        <w:rPr>
          <w:rFonts w:ascii="Verdana" w:hAnsi="Verdana"/>
          <w:lang w:val="en-GB"/>
        </w:rPr>
        <w:t xml:space="preserve"> gene expression changes was linked to the ageing process more than to the transgene overexpression. Interestingly, once again we detected different patterns in male versus female transgenic mice, indicating that both sex and age play a factor in the response to </w:t>
      </w:r>
      <w:r w:rsidRPr="000466A6">
        <w:rPr>
          <w:rFonts w:ascii="Verdana" w:hAnsi="Verdana"/>
          <w:i/>
          <w:iCs/>
          <w:lang w:val="en-GB"/>
        </w:rPr>
        <w:t>SNCA</w:t>
      </w:r>
      <w:r>
        <w:rPr>
          <w:rFonts w:ascii="Verdana" w:hAnsi="Verdana"/>
          <w:lang w:val="en-GB"/>
        </w:rPr>
        <w:t xml:space="preserve"> overexpression. </w:t>
      </w:r>
      <w:proofErr w:type="gramStart"/>
      <w:r>
        <w:rPr>
          <w:rFonts w:ascii="Verdana" w:hAnsi="Verdana"/>
          <w:lang w:val="en-GB"/>
        </w:rPr>
        <w:t>In particular, most</w:t>
      </w:r>
      <w:proofErr w:type="gramEnd"/>
      <w:r>
        <w:rPr>
          <w:rFonts w:ascii="Verdana" w:hAnsi="Verdana"/>
          <w:lang w:val="en-GB"/>
        </w:rPr>
        <w:t xml:space="preserve"> of the gene expression changes were observed early for males (between 3- and 6-months of age), and at later times for females (between 8- and 14-months of age), with stronger changes for female mice. Our findings reflect the common knowledge that men and women do age differently, being this linked to biological factors such as hormonal levels, or to socio-</w:t>
      </w:r>
      <w:proofErr w:type="spellStart"/>
      <w:r>
        <w:rPr>
          <w:rFonts w:ascii="Verdana" w:hAnsi="Verdana"/>
          <w:lang w:val="en-GB"/>
        </w:rPr>
        <w:t>economical</w:t>
      </w:r>
      <w:proofErr w:type="spellEnd"/>
      <w:r>
        <w:rPr>
          <w:rFonts w:ascii="Verdana" w:hAnsi="Verdana"/>
          <w:lang w:val="en-GB"/>
        </w:rPr>
        <w:t xml:space="preserve"> status. Sexual dimorphism is observed in PD risk, with men showing increased prevalence but women presenting worse symptoms </w:t>
      </w:r>
      <w:r w:rsidR="005C15D4">
        <w:rPr>
          <w:rFonts w:ascii="Verdana" w:hAnsi="Verdana"/>
          <w:lang w:val="en-GB"/>
        </w:rPr>
        <w:t xml:space="preserve">in many human populations </w:t>
      </w:r>
      <w:r>
        <w:rPr>
          <w:rFonts w:ascii="Verdana" w:hAnsi="Verdana"/>
          <w:lang w:val="en-GB"/>
        </w:rPr>
        <w:fldChar w:fldCharType="begin"/>
      </w:r>
      <w:r>
        <w:rPr>
          <w:rFonts w:ascii="Verdana" w:hAnsi="Verdana"/>
          <w:lang w:val="en-GB"/>
        </w:rPr>
        <w:instrText xml:space="preserve"> ADDIN ZOTERO_ITEM CSL_CITATION {"citationID":"v5FZQKsi","properties":{"formattedCitation":"(Morgan et al. 2014)","plainCitation":"(Morgan et al. 2014)","noteIndex":0},"citationItems":[{"id":2080,"uris":["http://zotero.org/users/9330673/items/646JE6ZL"],"itemData":{"id":2080,"type":"article-journal","abstract":"Parkinson’s disease (PD) is associated with increased mortality despite many advances in treatment. Following the introduction of levodopa in the late 1960’s, many studies reported improved or normalized mortality rates in PD. Despite the remarkable symptomatic benefits provided by levodopa, multiple recent studies have demonstrated that PD patients continue to die at a rate in excess of their peers. We undertook this retrospective study of 211 deceased PD patients to determine the factors associated with mortality in levodopa-treated PD. Our findings confirm that PD is associated with increased mortality in both men and women. Unlike the majority of other mortality studies, we found that women have a greater reduction in lifespan compared to men. We also found that patients with early onset PD (onset at the age of 50 or before) have reduced survival relative to PD patients with later ages of onset. A final important finding is that survival is equal in PD patients treated with levodopa early (within 2 years or less of PD onset) versus later.","container-title":"Parkinson's Disease","DOI":"10.1155/2014/426976","ISSN":"2090-8083, 2042-0080","journalAbbreviation":"Parkinson's Disease","language":"en","page":"1-8","source":"DOI.org (Crossref)","title":"Mortality in Levodopa-Treated Parkinson's Disease","volume":"2014","author":[{"family":"Morgan","given":"John C."},{"family":"Currie","given":"Lillian J."},{"family":"Harrison","given":"Madaline B."},{"family":"Bennett","given":"James P."},{"family":"Trugman","given":"Joel M."},{"family":"Wooten","given":"G. Frederick"}],"issued":{"date-parts":[["2014"]]}}}],"schema":"https://github.com/citation-style-language/schema/raw/master/csl-citation.json"} </w:instrText>
      </w:r>
      <w:r>
        <w:rPr>
          <w:rFonts w:ascii="Verdana" w:hAnsi="Verdana"/>
          <w:lang w:val="en-GB"/>
        </w:rPr>
        <w:fldChar w:fldCharType="separate"/>
      </w:r>
      <w:r>
        <w:rPr>
          <w:rFonts w:ascii="Verdana" w:hAnsi="Verdana"/>
        </w:rPr>
        <w:t>(Morgan et al. 2014)</w:t>
      </w:r>
      <w:r>
        <w:rPr>
          <w:rFonts w:ascii="Verdana" w:hAnsi="Verdana"/>
          <w:lang w:val="en-GB"/>
        </w:rPr>
        <w:fldChar w:fldCharType="end"/>
      </w:r>
      <w:r>
        <w:rPr>
          <w:rFonts w:ascii="Verdana" w:hAnsi="Verdana"/>
          <w:lang w:val="en-GB"/>
        </w:rPr>
        <w:t>. Genes that appeared to be strongly differentially expressed in HET mice between two timepoints, showed only a mild regulation in WT animals and vice versa, indicating that WT and HET mice respond differently to the ageing challenge. On one hand, we could speculate that HET mice fail to activate pathways that are essential for healthy ageing. On the other, HET specific deregulated pathways might reflect the adaptative process to the</w:t>
      </w:r>
      <w:r w:rsidR="009D54B8">
        <w:rPr>
          <w:rFonts w:ascii="Verdana" w:hAnsi="Verdana"/>
          <w:lang w:val="en-GB"/>
        </w:rPr>
        <w:t xml:space="preserve"> alpha-synuclein</w:t>
      </w:r>
      <w:r>
        <w:rPr>
          <w:rFonts w:ascii="Verdana" w:hAnsi="Verdana"/>
          <w:lang w:val="en-GB"/>
        </w:rPr>
        <w:t xml:space="preserve"> challenge, thus potentially having a neuroprotective value. Indeed, deregulated pathways in both male and female HET mice were linked to synaptic membrane function,</w:t>
      </w:r>
      <w:r w:rsidR="002C70A7">
        <w:rPr>
          <w:rFonts w:ascii="Verdana" w:hAnsi="Verdana"/>
          <w:lang w:val="en-GB"/>
        </w:rPr>
        <w:t xml:space="preserve"> </w:t>
      </w:r>
      <w:proofErr w:type="gramStart"/>
      <w:r w:rsidR="002C70A7">
        <w:rPr>
          <w:rFonts w:ascii="Verdana" w:hAnsi="Verdana"/>
          <w:lang w:val="en-GB"/>
        </w:rPr>
        <w:t>calcium</w:t>
      </w:r>
      <w:proofErr w:type="gramEnd"/>
      <w:r w:rsidR="002C70A7">
        <w:rPr>
          <w:rFonts w:ascii="Verdana" w:hAnsi="Verdana"/>
          <w:lang w:val="en-GB"/>
        </w:rPr>
        <w:t xml:space="preserve"> and glutamate signalling,</w:t>
      </w:r>
      <w:r>
        <w:rPr>
          <w:rFonts w:ascii="Verdana" w:hAnsi="Verdana"/>
          <w:lang w:val="en-GB"/>
        </w:rPr>
        <w:t xml:space="preserve"> possibly reflecting the occurring synaptic dysfunction, or a compensatory overactivation in response to the neuronal degeneration.</w:t>
      </w:r>
    </w:p>
    <w:p w14:paraId="59539CE7" w14:textId="77777777" w:rsidR="000E1722" w:rsidRDefault="000E1722" w:rsidP="000E1722">
      <w:pPr>
        <w:spacing w:line="360" w:lineRule="auto"/>
        <w:ind w:firstLine="0"/>
        <w:jc w:val="both"/>
        <w:rPr>
          <w:rFonts w:ascii="Verdana" w:hAnsi="Verdana"/>
          <w:lang w:val="en-GB"/>
        </w:rPr>
      </w:pPr>
    </w:p>
    <w:p w14:paraId="77B73FA1" w14:textId="77777777" w:rsidR="000E1722" w:rsidRDefault="000E1722" w:rsidP="000E1722">
      <w:pPr>
        <w:spacing w:line="360" w:lineRule="auto"/>
        <w:jc w:val="both"/>
        <w:rPr>
          <w:rFonts w:ascii="Verdana" w:hAnsi="Verdana"/>
          <w:b/>
          <w:bCs/>
          <w:lang w:val="en-GB"/>
        </w:rPr>
      </w:pPr>
      <w:r>
        <w:rPr>
          <w:rFonts w:ascii="Verdana" w:hAnsi="Verdana"/>
          <w:b/>
          <w:bCs/>
          <w:lang w:val="en-GB"/>
        </w:rPr>
        <w:t>The Park7</w:t>
      </w:r>
      <w:r>
        <w:rPr>
          <w:rFonts w:ascii="Verdana" w:hAnsi="Verdana"/>
          <w:b/>
          <w:bCs/>
          <w:vertAlign w:val="superscript"/>
          <w:lang w:val="en-GB"/>
        </w:rPr>
        <w:t>-/-</w:t>
      </w:r>
      <w:r>
        <w:rPr>
          <w:rFonts w:ascii="Verdana" w:hAnsi="Verdana"/>
          <w:b/>
          <w:bCs/>
          <w:lang w:val="en-GB"/>
        </w:rPr>
        <w:t xml:space="preserve"> (DJ-1 KO) mouse model</w:t>
      </w:r>
    </w:p>
    <w:p w14:paraId="4C10EB0A" w14:textId="6772C334" w:rsidR="000E1722" w:rsidRDefault="000E1722" w:rsidP="000E1722">
      <w:pPr>
        <w:spacing w:line="360" w:lineRule="auto"/>
        <w:jc w:val="both"/>
        <w:rPr>
          <w:rFonts w:ascii="Verdana" w:hAnsi="Verdana"/>
          <w:lang w:val="en-GB"/>
        </w:rPr>
      </w:pPr>
      <w:r>
        <w:rPr>
          <w:rFonts w:ascii="Verdana" w:hAnsi="Verdana"/>
          <w:lang w:val="en-GB"/>
        </w:rPr>
        <w:t xml:space="preserve">DJ-1 KO mouse models have been extensively characterised. They are reported to present mitochondrial impairments and increased susceptibility to oxidative stress </w:t>
      </w:r>
      <w:r>
        <w:rPr>
          <w:rFonts w:ascii="Verdana" w:hAnsi="Verdana"/>
          <w:lang w:val="en-GB"/>
        </w:rPr>
        <w:fldChar w:fldCharType="begin"/>
      </w:r>
      <w:r>
        <w:rPr>
          <w:rFonts w:ascii="Verdana" w:hAnsi="Verdana"/>
          <w:lang w:val="en-GB"/>
        </w:rPr>
        <w:instrText xml:space="preserve"> ADDIN ZOTERO_ITEM CSL_CITATION {"citationID":"A9NUfp8K","properties":{"formattedCitation":"(Giaime et al. 2012)","plainCitation":"(Giaime et al. 2012)","noteIndex":0},"citationItems":[{"id":304,"uris":["http://zotero.org/users/9330673/items/63Z22KQG"],"itemData":{"id":304,"type":"article-journal","abstract":"Background: Loss of function mutations in the DJ-1 gene have been linked to recessively inherited forms of Parkinsonism. Mitochondrial dysfunction and increased oxidative stress are thought to be key events in the pathogenesis of Parkinson’s disease. Although it has been reported that DJ-1 serves as scavenger for reactive oxidative species (ROS) by oxidation on its cysteine residues, how loss of DJ-1 affects mitochondrial function is less clear.\nMethodology/Principal Findings: Using primary mouse embryonic fibroblasts (MEFs) or brains from DJ-12/2 mice, we found that loss of DJ-1 does not affect mitochondrial respiration. Specifically, endogenous respiratory activity as well as basal and maximal respiration are normal in intact DJ-12/2 MEFs, and substrate-specific state 3 and state 4 mitochondrial respiration are also unaffected in permeabilized DJ-12/2 MEFs and in isolated mitochondria from the cerebral cortex of DJ12/2 mice at 3 months or 2 years of age. Expression levels and activities of all individual complexes composing the electron transport system are unchanged, but ATP production is reduced in DJ-12/2 MEFs. Mitochondrial transmembrane potential is decreased in the absence of DJ-1. Furthermore, mitochondrial permeability transition pore opening is increased, whereas mitochondrial calcium levels are unchanged in DJ-12/2 cells. Consistent with earlier reports, production of reactive oxygen species (ROS) is increased, though levels of antioxidative enzymes are unaltered. Interestingly, the decreased mitochondrial transmembrane potential and the increased mitochondrial permeability transition pore opening in DJ-12/2 MEFs can be restored by antioxidant treatment, whereas oxidative stress inducers have the opposite effects on mitochondrial transmembrane potential and mitochondrial permeability transition pore opening.\nConclusions/Significance: Our study shows that loss of DJ-1 does not affect mitochondrial respiration or mitochondrial calcium levels but increases ROS production, leading to elevated mitochondrial permeability transition pore opening and reduced mitochondrial transmembrane potential.","container-title":"PLoS ONE","DOI":"10.1371/journal.pone.0040501","ISSN":"1932-6203","issue":"7","journalAbbreviation":"PLoS ONE","language":"en","page":"e40501","source":"DOI.org (Crossref)","title":"Loss of DJ-1 Does Not Affect Mitochondrial Respiration but Increases ROS Production and Mitochondrial Permeability Transition Pore Opening","volume":"7","author":[{"family":"Giaime","given":"Emilie"},{"family":"Yamaguchi","given":"Hiroo"},{"family":"Gautier","given":"Clement A."},{"family":"Kitada","given":"Tohru"},{"family":"Shen","given":"Jie"}],"editor":[{"family":"Brug","given":"Marcel P.","non-dropping-particle":"van der"}],"issued":{"date-parts":[["2012",7,9]]}}}],"schema":"https://github.com/citation-style-language/schema/raw/master/csl-citation.json"} </w:instrText>
      </w:r>
      <w:r>
        <w:rPr>
          <w:rFonts w:ascii="Verdana" w:hAnsi="Verdana"/>
          <w:lang w:val="en-GB"/>
        </w:rPr>
        <w:fldChar w:fldCharType="separate"/>
      </w:r>
      <w:r>
        <w:rPr>
          <w:rFonts w:ascii="Verdana" w:hAnsi="Verdana"/>
        </w:rPr>
        <w:t>(Giaime et al. 2012)</w:t>
      </w:r>
      <w:r>
        <w:rPr>
          <w:rFonts w:ascii="Verdana" w:hAnsi="Verdana"/>
          <w:lang w:val="en-GB"/>
        </w:rPr>
        <w:fldChar w:fldCharType="end"/>
      </w:r>
      <w:r>
        <w:rPr>
          <w:rFonts w:ascii="Verdana" w:hAnsi="Verdana"/>
          <w:lang w:val="en-GB"/>
        </w:rPr>
        <w:t xml:space="preserve">, and to present none to mild neurodegeneration accordingly to the murine strain they are developed onto </w:t>
      </w:r>
      <w:r>
        <w:rPr>
          <w:rFonts w:ascii="Verdana" w:hAnsi="Verdana"/>
          <w:lang w:val="en-GB"/>
        </w:rPr>
        <w:fldChar w:fldCharType="begin"/>
      </w:r>
      <w:r>
        <w:rPr>
          <w:rFonts w:ascii="Verdana" w:hAnsi="Verdana"/>
          <w:lang w:val="en-GB"/>
        </w:rPr>
        <w:instrText xml:space="preserve"> ADDIN ZOTERO_ITEM CSL_CITATION {"citationID":"9rVtK0g8","properties":{"formattedCitation":"(Rousseaux et al. 2012)","plainCitation":"(Rousseaux et al. 2012)","noteIndex":0},"citationItems":[{"id":300,"uris":["http://zotero.org/users/9330673/items/GAJ9WCVS"],"itemData":{"id":300,"type":"article-journal","abstract":"DJ-1 mutations cause autosomal recessive early-onset Parkinson disease (PD). We report a model of PD pathology: the DJ1-C57 mouse. A subset of DJ-1–nullizygous mice, when fully backcrossed to a C57BL/6J background, display dramatic early-onset unilateral loss of dopaminergic (DA) neurons in their\n              substantia nigra pars compacta\n              , progressing to bilateral degeneration of the nigrostriatal axis with aging. In addition, these mice exhibit age-dependent bilateral degeneration at the\n              locus ceruleus\n              nucleus and display mild motor behavior deficits at aged time points. These findings effectively recapitulate the early stages of PD. Therefore, the DJ1-C57 mouse provides a tool to study the preclinical aspects of neurodegeneration. Importantly, by exome sequencing, we identify candidate modifying genes that segregate with the phenotype, providing potentially critical clues into how certain genes may influence the penetrance of DJ-1–related degeneration in mice.","container-title":"Proceedings of the National Academy of Sciences","DOI":"10.1073/pnas.1205102109","ISSN":"0027-8424, 1091-6490","issue":"39","journalAbbreviation":"Proc. Natl. Acad. Sci. U.S.A.","language":"en","page":"15918-15923","source":"DOI.org (Crossref)","title":"Progressive dopaminergic cell loss with unilateral-to-bilateral progression in a genetic model of Parkinson disease","volume":"109","author":[{"family":"Rousseaux","given":"Maxime W. C."},{"family":"Marcogliese","given":"Paul C."},{"family":"Qu","given":"Dianbo"},{"family":"Hewitt","given":"Sarah J."},{"family":"Seang","given":"Sarah"},{"family":"Kim","given":"Raymond H."},{"family":"Slack","given":"Ruth S."},{"family":"Schlossmacher","given":"Michael G."},{"family":"Lagace","given":"Diane C."},{"family":"Mak","given":"Tak W."},{"family":"Park","given":"David S."}],"issued":{"date-parts":[["2012",9,25]]}}}],"schema":"https://github.com/citation-style-language/schema/raw/master/csl-citation.json"} </w:instrText>
      </w:r>
      <w:r>
        <w:rPr>
          <w:rFonts w:ascii="Verdana" w:hAnsi="Verdana"/>
          <w:lang w:val="en-GB"/>
        </w:rPr>
        <w:fldChar w:fldCharType="separate"/>
      </w:r>
      <w:r>
        <w:rPr>
          <w:rFonts w:ascii="Verdana" w:hAnsi="Verdana"/>
        </w:rPr>
        <w:t>(Rousseaux et al. 2012)</w:t>
      </w:r>
      <w:r>
        <w:rPr>
          <w:rFonts w:ascii="Verdana" w:hAnsi="Verdana"/>
          <w:lang w:val="en-GB"/>
        </w:rPr>
        <w:fldChar w:fldCharType="end"/>
      </w:r>
      <w:r>
        <w:rPr>
          <w:rFonts w:ascii="Verdana" w:hAnsi="Verdana"/>
          <w:lang w:val="en-GB"/>
        </w:rPr>
        <w:t xml:space="preserve">. Even in the absence of overt neurodegeneration, </w:t>
      </w:r>
      <w:r>
        <w:rPr>
          <w:rFonts w:ascii="Verdana" w:hAnsi="Verdana"/>
          <w:lang w:val="en-GB"/>
        </w:rPr>
        <w:lastRenderedPageBreak/>
        <w:t xml:space="preserve">transcriptomic changes might be occurring in the midbrain </w:t>
      </w:r>
      <w:r>
        <w:rPr>
          <w:rFonts w:ascii="Verdana" w:hAnsi="Verdana"/>
          <w:lang w:val="en-GB"/>
        </w:rPr>
        <w:fldChar w:fldCharType="begin"/>
      </w:r>
      <w:r>
        <w:rPr>
          <w:rFonts w:ascii="Verdana" w:hAnsi="Verdana"/>
          <w:lang w:val="en-GB"/>
        </w:rPr>
        <w:instrText xml:space="preserve"> ADDIN ZOTERO_ITEM CSL_CITATION {"citationID":"5k2t6PjG","properties":{"formattedCitation":"(Miller et al. 2007)","plainCitation":"(Miller et al. 2007)","noteIndex":0},"citationItems":[{"id":94,"uris":["http://zotero.org/users/9330673/items/NJ8ENEZJ"],"itemData":{"id":94,"type":"article-journal","abstract":"The pathophysiological processes that cause Parkinson's disease (PD) affect dopamine neurons residing in the substantia nigra with devastating consequences for normal movement. One important gene involved in both familial and sporadic PD is α-synuclein. We have generated three strains of α-synuclein transgenic mice to study the pathologic consequences of the targeted expression of mutant or wild-type human α-synuclein in a model system. We have analyzed gene expression patterns in these mice using high throughput microarrays in anatomical regions implicated in disease (substantia nigra and brainstem). Our study reveals gene dosage-dependent dysregulation of several genes important for the dopaminergic phenotype in mice over-expressing wild-type human α-synuclein in the substantia nigra at time points preceding neuronal cell death. Analysis of mutant α-synuclein mice at a time point when pathology is advanced reveals several new candidate genes that may play a role in neuronal demise and/or protein accumulation.","container-title":"Experimental Neurology","DOI":"10.1016/j.expneurol.2006.12.005","ISSN":"00144886","issue":"1","journalAbbreviation":"Experimental Neurology","language":"en","page":"421-432","source":"DOI.org (Crossref)","title":"Wild-type and mutant α-synuclein induce a multi-component gene expression profile consistent with shared pathophysiology in different transgenic mouse models of PD","volume":"204","author":[{"family":"Miller","given":"Renee M."},{"family":"Kiser","given":"Gretchen L."},{"family":"Kaysser-Kranich","given":"Tamma"},{"family":"Casaceli","given":"Cindy"},{"family":"Colla","given":"Emanuela"},{"family":"Lee","given":"Michael K."},{"family":"Palaniappan","given":"Chockalingham"},{"family":"Federoff","given":"Howard J."}],"issued":{"date-parts":[["2007",3]]}}}],"schema":"https://github.com/citation-style-language/schema/raw/master/csl-citation.json"} </w:instrText>
      </w:r>
      <w:r>
        <w:rPr>
          <w:rFonts w:ascii="Verdana" w:hAnsi="Verdana"/>
          <w:lang w:val="en-GB"/>
        </w:rPr>
        <w:fldChar w:fldCharType="separate"/>
      </w:r>
      <w:r>
        <w:rPr>
          <w:rFonts w:ascii="Verdana" w:hAnsi="Verdana"/>
        </w:rPr>
        <w:t>(Miller et al. 2007)</w:t>
      </w:r>
      <w:r>
        <w:rPr>
          <w:rFonts w:ascii="Verdana" w:hAnsi="Verdana"/>
          <w:lang w:val="en-GB"/>
        </w:rPr>
        <w:fldChar w:fldCharType="end"/>
      </w:r>
      <w:r>
        <w:rPr>
          <w:rFonts w:ascii="Verdana" w:hAnsi="Verdana"/>
          <w:lang w:val="en-GB"/>
        </w:rPr>
        <w:t xml:space="preserve">, and their investigation can help to elucidate early pathogenetic molecular mechanisms leading to PD manifestation. In our model, transcriptomic changes between WT and DJ-1 KO mice are detected at 8-months of </w:t>
      </w:r>
      <w:proofErr w:type="gramStart"/>
      <w:r>
        <w:rPr>
          <w:rFonts w:ascii="Verdana" w:hAnsi="Verdana"/>
          <w:lang w:val="en-GB"/>
        </w:rPr>
        <w:t>age, and</w:t>
      </w:r>
      <w:proofErr w:type="gramEnd"/>
      <w:r>
        <w:rPr>
          <w:rFonts w:ascii="Verdana" w:hAnsi="Verdana"/>
          <w:lang w:val="en-GB"/>
        </w:rPr>
        <w:t xml:space="preserve"> are </w:t>
      </w:r>
      <w:r w:rsidR="000B6483">
        <w:rPr>
          <w:rFonts w:ascii="Verdana" w:hAnsi="Verdana"/>
          <w:lang w:val="en-GB"/>
        </w:rPr>
        <w:t>8</w:t>
      </w:r>
      <w:r>
        <w:rPr>
          <w:rFonts w:ascii="Verdana" w:hAnsi="Verdana"/>
          <w:lang w:val="en-GB"/>
        </w:rPr>
        <w:t xml:space="preserve"> times stronger in male versus female mice. Furthermore, when looking at the deregulated genes in male mice,</w:t>
      </w:r>
      <w:r w:rsidR="00865C55">
        <w:rPr>
          <w:rFonts w:ascii="Verdana" w:hAnsi="Verdana"/>
          <w:lang w:val="en-GB"/>
        </w:rPr>
        <w:t xml:space="preserve"> a third of the DEGs a</w:t>
      </w:r>
      <w:r>
        <w:rPr>
          <w:rFonts w:ascii="Verdana" w:hAnsi="Verdana"/>
          <w:lang w:val="en-GB"/>
        </w:rPr>
        <w:t>ppear to be sex specific. These results point in the direction of a higher susceptibility to the disease challenge in males, and overall indicate that not only genetic predisposition, but also the combination of ageing and sex play</w:t>
      </w:r>
      <w:r w:rsidR="00383604">
        <w:rPr>
          <w:rFonts w:ascii="Verdana" w:hAnsi="Verdana"/>
          <w:lang w:val="en-GB"/>
        </w:rPr>
        <w:t>s</w:t>
      </w:r>
      <w:r>
        <w:rPr>
          <w:rFonts w:ascii="Verdana" w:hAnsi="Verdana"/>
          <w:lang w:val="en-GB"/>
        </w:rPr>
        <w:t xml:space="preserve"> a relevant role in PD-phenotype manifestation. Park7-linked familial cases of PD are rare, accounting for only about 1% of total cases </w:t>
      </w:r>
      <w:r>
        <w:rPr>
          <w:rFonts w:ascii="Verdana" w:hAnsi="Verdana"/>
          <w:lang w:val="en-GB"/>
        </w:rPr>
        <w:fldChar w:fldCharType="begin"/>
      </w:r>
      <w:r>
        <w:rPr>
          <w:rFonts w:ascii="Verdana" w:hAnsi="Verdana"/>
          <w:lang w:val="en-GB"/>
        </w:rPr>
        <w:instrText xml:space="preserve"> ADDIN ZOTERO_ITEM CSL_CITATION {"citationID":"8LTWI2vQ","properties":{"formattedCitation":"(Abou-Sleiman et al. 2003)","plainCitation":"(Abou-Sleiman et al. 2003)","noteIndex":0},"citationItems":[{"id":2089,"uris":["http://zotero.org/users/9330673/items/KL8N9RFH"],"itemData":{"id":2089,"type":"article-journal","container-title":"Annals of Neurology","DOI":"10.1002/ana.10675","ISSN":"0364-5134, 1531-8249","issue":"3","journalAbbreviation":"Ann Neurol.","language":"en","page":"283-286","source":"DOI.org (Crossref)","title":"The role of pathogenicDJ-1 mutations in Parkinson's disease","volume":"54","author":[{"family":"Abou-Sleiman","given":"Patrick M."},{"family":"Healy","given":"Daniel G."},{"family":"Quinn","given":"Niall"},{"family":"Lees","given":"Andrew J."},{"family":"Wood","given":"Nicholas W."}],"issued":{"date-parts":[["2003",9]]}}}],"schema":"https://github.com/citation-style-language/schema/raw/master/csl-citation.json"} </w:instrText>
      </w:r>
      <w:r>
        <w:rPr>
          <w:rFonts w:ascii="Verdana" w:hAnsi="Verdana"/>
          <w:lang w:val="en-GB"/>
        </w:rPr>
        <w:fldChar w:fldCharType="separate"/>
      </w:r>
      <w:r>
        <w:rPr>
          <w:rFonts w:ascii="Verdana" w:hAnsi="Verdana"/>
        </w:rPr>
        <w:t>(Abou-Sleiman et al. 2003)</w:t>
      </w:r>
      <w:r>
        <w:rPr>
          <w:rFonts w:ascii="Verdana" w:hAnsi="Verdana"/>
          <w:lang w:val="en-GB"/>
        </w:rPr>
        <w:fldChar w:fldCharType="end"/>
      </w:r>
      <w:r>
        <w:rPr>
          <w:rFonts w:ascii="Verdana" w:hAnsi="Verdana"/>
          <w:lang w:val="en-GB"/>
        </w:rPr>
        <w:t>, thus it is very hard to investigate sex dimorphisms in PD caused by DJ-1 loss of function. Nevertheless, since higher prevalence of sporadic PD is reported at least in some populations for male individuals, the different response in male and female mice towards DJ-1 knock-out is not totally surprising.</w:t>
      </w:r>
    </w:p>
    <w:p w14:paraId="1C80C990" w14:textId="21A85933" w:rsidR="000E1722" w:rsidRDefault="000E1722" w:rsidP="00BE791C">
      <w:pPr>
        <w:spacing w:line="360" w:lineRule="auto"/>
        <w:jc w:val="both"/>
        <w:rPr>
          <w:rFonts w:ascii="Verdana" w:hAnsi="Verdana"/>
          <w:lang w:val="en-GB"/>
        </w:rPr>
      </w:pPr>
      <w:r>
        <w:rPr>
          <w:rFonts w:ascii="Verdana" w:hAnsi="Verdana"/>
          <w:lang w:val="en-GB"/>
        </w:rPr>
        <w:t xml:space="preserve">Our analyses pointed out oestrogen-related pathways as responsible for the transcriptomic changes observed in male DJ-1 KO mice. Oestrogens have been shown to provide neuroprotection in women </w:t>
      </w:r>
      <w:r>
        <w:rPr>
          <w:rFonts w:ascii="Verdana" w:hAnsi="Verdana"/>
          <w:lang w:val="en-GB"/>
        </w:rPr>
        <w:fldChar w:fldCharType="begin"/>
      </w:r>
      <w:r w:rsidR="001D685B">
        <w:rPr>
          <w:rFonts w:ascii="Verdana" w:hAnsi="Verdana"/>
          <w:lang w:val="en-GB"/>
        </w:rPr>
        <w:instrText xml:space="preserve"> ADDIN ZOTERO_ITEM CSL_CITATION {"citationID":"wdpbLYzj","properties":{"formattedCitation":"(Picillo et al. 2017)","plainCitation":"(Picillo et al. 2017)","noteIndex":0},"citationItems":[{"id":2060,"uris":["http://zotero.org/users/9330673/items/EQJF9TUK"],"itemData":{"id":2060,"type":"article-journal","container-title":"Journal of Neurology","DOI":"10.1007/s00415-016-8384-9","ISSN":"0340-5354, 1432-1459","issue":"8","journalAbbreviation":"J Neurol","language":"en","page":"1583-1607","source":"DOI.org (Crossref)","title":"The relevance of gender in Parkinson’s disease: a review","title-short":"The relevance of gender in Parkinson’s disease","volume":"264","author":[{"family":"Picillo","given":"Marina"},{"family":"Nicoletti","given":"Alessandra"},{"family":"Fetoni","given":"Vincenza"},{"family":"Garavaglia","given":"Barbara"},{"family":"Barone","given":"Paolo"},{"family":"Pellecchia","given":"Maria Teresa"}],"issued":{"date-parts":[["2017",8]]}}}],"schema":"https://github.com/citation-style-language/schema/raw/master/csl-citation.json"} </w:instrText>
      </w:r>
      <w:r>
        <w:rPr>
          <w:rFonts w:ascii="Verdana" w:hAnsi="Verdana"/>
          <w:lang w:val="en-GB"/>
        </w:rPr>
        <w:fldChar w:fldCharType="separate"/>
      </w:r>
      <w:r>
        <w:rPr>
          <w:rFonts w:ascii="Verdana" w:hAnsi="Verdana"/>
        </w:rPr>
        <w:t>(Picillo et al. 2017)</w:t>
      </w:r>
      <w:r>
        <w:rPr>
          <w:rFonts w:ascii="Verdana" w:hAnsi="Verdana"/>
          <w:lang w:val="en-GB"/>
        </w:rPr>
        <w:fldChar w:fldCharType="end"/>
      </w:r>
      <w:r>
        <w:rPr>
          <w:rFonts w:ascii="Verdana" w:hAnsi="Verdana"/>
          <w:lang w:val="en-GB"/>
        </w:rPr>
        <w:t xml:space="preserve">, thus lower levels of oestrogens might act in combination with DJ-1 KO to </w:t>
      </w:r>
      <w:r w:rsidR="00F31358">
        <w:rPr>
          <w:rFonts w:ascii="Verdana" w:hAnsi="Verdana"/>
          <w:lang w:val="en-GB"/>
        </w:rPr>
        <w:t>worsen</w:t>
      </w:r>
      <w:r>
        <w:rPr>
          <w:rFonts w:ascii="Verdana" w:hAnsi="Verdana"/>
          <w:lang w:val="en-GB"/>
        </w:rPr>
        <w:t xml:space="preserve"> pathological events in male mice. The alterations in the oestrogen-related pathways appeared to be mediated by CYP1B1, a member of the cytochrome P450 enzymatic family (CYPs) which is responsible for beta-oestradiol (E2) conversion in 4-OH catechol oestrogens (</w:t>
      </w:r>
      <w:proofErr w:type="spellStart"/>
      <w:r>
        <w:rPr>
          <w:rFonts w:ascii="Verdana" w:hAnsi="Verdana"/>
          <w:lang w:val="en-GB"/>
        </w:rPr>
        <w:t>Parl</w:t>
      </w:r>
      <w:proofErr w:type="spellEnd"/>
      <w:r>
        <w:rPr>
          <w:rFonts w:ascii="Verdana" w:hAnsi="Verdana"/>
          <w:lang w:val="en-GB"/>
        </w:rPr>
        <w:t xml:space="preserve"> et al. 20</w:t>
      </w:r>
      <w:r w:rsidR="00A37CE2">
        <w:rPr>
          <w:rFonts w:ascii="Verdana" w:hAnsi="Verdana"/>
          <w:lang w:val="en-GB"/>
        </w:rPr>
        <w:t>09</w:t>
      </w:r>
      <w:r>
        <w:rPr>
          <w:rFonts w:ascii="Verdana" w:hAnsi="Verdana"/>
          <w:lang w:val="en-GB"/>
        </w:rPr>
        <w:t xml:space="preserve">). CYPs enzymes play an important role in oxidation of steroids, fatty acids, and xenobiotics </w:t>
      </w:r>
      <w:r w:rsidR="00201058">
        <w:rPr>
          <w:rFonts w:ascii="Verdana" w:hAnsi="Verdana"/>
          <w:lang w:val="en-GB"/>
        </w:rPr>
        <w:fldChar w:fldCharType="begin"/>
      </w:r>
      <w:r w:rsidR="00201058">
        <w:rPr>
          <w:rFonts w:ascii="Verdana" w:hAnsi="Verdana"/>
          <w:lang w:val="en-GB"/>
        </w:rPr>
        <w:instrText xml:space="preserve"> ADDIN ZOTERO_ITEM CSL_CITATION {"citationID":"bhHBMEkK","properties":{"formattedCitation":"(P.B. Danielson 2002)","plainCitation":"(P.B. Danielson 2002)","noteIndex":0},"citationItems":[{"id":2373,"uris":["http://zotero.org/users/9330673/items/LIH5GWK3"],"itemData":{"id":2373,"type":"article-journal","abstract":"Cytochrome P450s comprise a superfamily of heme-thiolate proteins named for the spectral absorbance peak of their carbon-monoxide-bound species at 450 nm. Having been found in every class of organism, including Archaea, the P450 superfamily is believed to have originated from an ancestral gene that existed over 3 billion years ago. Repeated gene duplications have subsequently given rise to one of the largest of multigene families. These enzymes are notable both for the diversity of reactions that they catalyze and the range of chemically dissimilar substrates upon which they act. Cytochrome P450s support the oxidative, peroxidative and reductive metabolism of such endogenous and xenobiotic substrates as environmental pollutants, agrochemicals, plant allelochemicals, steroids, prostaglandins and fatty acids. In humans, cytochrome P450s are best know for their central role in phase I drug metabolism where they are of critical importance to two of the most significant problems in clinical pharmacology: drug interactions and interindividual variability in drug metabolism. Recent advances in our understanding of cytochrome P450-mediated drug metabolism have been accelerated as a result of an increasing emphasis on functional genomic approaches to P450 research. While human cytochrome P450 databases have swelled with a flood of new human sequence variants, the functional characterization of the corresponding gene products has not kept pace. In response researchers have begun to apply the tools of proteomics as well as homology-based and ab initio modeling to salient questions of cytochrome P450 structure/function. This review examines the latest advances in our understanding of human cytochrome P450s.","container-title":"Current Drug Metabolism","DOI":"10.2174/1389200023337054","ISSN":"13892002","issue":"6","journalAbbreviation":"CDM","language":"en","page":"561-597","source":"DOI.org (Crossref)","title":"The Cytochrome P450 Superfamily: Biochemistry, Evolution and Drug Metabolism in Humans","title-short":"The Cytochrome P450 Superfamily","volume":"3","author":[{"family":"P.B. Danielson","given":"Bentham Science Publisher"}],"issued":{"date-parts":[["2002",12,1]]}}}],"schema":"https://github.com/citation-style-language/schema/raw/master/csl-citation.json"} </w:instrText>
      </w:r>
      <w:r w:rsidR="00201058">
        <w:rPr>
          <w:rFonts w:ascii="Verdana" w:hAnsi="Verdana"/>
          <w:lang w:val="en-GB"/>
        </w:rPr>
        <w:fldChar w:fldCharType="separate"/>
      </w:r>
      <w:r w:rsidR="00201058" w:rsidRPr="00201058">
        <w:rPr>
          <w:rFonts w:ascii="Verdana" w:hAnsi="Verdana"/>
        </w:rPr>
        <w:t>(Danielson 2002)</w:t>
      </w:r>
      <w:r w:rsidR="00201058">
        <w:rPr>
          <w:rFonts w:ascii="Verdana" w:hAnsi="Verdana"/>
          <w:lang w:val="en-GB"/>
        </w:rPr>
        <w:fldChar w:fldCharType="end"/>
      </w:r>
      <w:r>
        <w:rPr>
          <w:rFonts w:ascii="Verdana" w:hAnsi="Verdana"/>
          <w:lang w:val="en-GB"/>
        </w:rPr>
        <w:t xml:space="preserve">. Some of the family members, including CYP1B1, have been reported to be regulated by the nuclear factor-erythroid 2 p45-related factor 2 (Nrf2) – antioxidant/electrophile response element (ARE) pathway </w:t>
      </w:r>
      <w:r>
        <w:rPr>
          <w:rFonts w:ascii="Verdana" w:hAnsi="Verdana"/>
          <w:lang w:val="en-GB"/>
        </w:rPr>
        <w:fldChar w:fldCharType="begin"/>
      </w:r>
      <w:r>
        <w:rPr>
          <w:rFonts w:ascii="Verdana" w:hAnsi="Verdana"/>
          <w:lang w:val="en-GB"/>
        </w:rPr>
        <w:instrText xml:space="preserve"> ADDIN ZOTERO_ITEM CSL_CITATION {"citationID":"eM20aVVH","properties":{"formattedCitation":"(Hayes and Dinkova-Kostova 2014)","plainCitation":"(Hayes and Dinkova-Kostova 2014)","noteIndex":0},"citationItems":[{"id":2052,"uris":["http://zotero.org/users/9330673/items/DGWBLFVY"],"itemData":{"id":2052,"type":"article-journal","container-title":"Trends in Biochemical Sciences","DOI":"10.1016/j.tibs.2014.02.002","ISSN":"09680004","issue":"4","journalAbbreviation":"Trends in Biochemical Sciences","language":"en","page":"199-218","source":"DOI.org (Crossref)","title":"The Nrf2 regulatory network provides an interface between redox and intermediary metabolism","volume":"39","author":[{"family":"Hayes","given":"John D."},{"family":"Dinkova-Kostova","given":"Albena T."}],"issued":{"date-parts":[["2014",4]]}}}],"schema":"https://github.com/citation-style-language/schema/raw/master/csl-citation.json"} </w:instrText>
      </w:r>
      <w:r>
        <w:rPr>
          <w:rFonts w:ascii="Verdana" w:hAnsi="Verdana"/>
          <w:lang w:val="en-GB"/>
        </w:rPr>
        <w:fldChar w:fldCharType="separate"/>
      </w:r>
      <w:r>
        <w:rPr>
          <w:rFonts w:ascii="Verdana" w:hAnsi="Verdana"/>
        </w:rPr>
        <w:t>(Hayes and Dinkova-Kostova 2014)</w:t>
      </w:r>
      <w:r>
        <w:rPr>
          <w:rFonts w:ascii="Verdana" w:hAnsi="Verdana"/>
          <w:lang w:val="en-GB"/>
        </w:rPr>
        <w:fldChar w:fldCharType="end"/>
      </w:r>
      <w:r>
        <w:rPr>
          <w:rFonts w:ascii="Verdana" w:hAnsi="Verdana"/>
          <w:lang w:val="en-GB"/>
        </w:rPr>
        <w:t xml:space="preserve">. Nrf2, also known as Nfe2l2, is a transcription factor involved in protection against oxidative stress and maintenance of the cellular redox homeostasis. Interestingly, Nrf2 has been shown to be stabilised by DJ-1, thus mediating the increase of oxidative stress in DJ-1 deficient cells </w:t>
      </w:r>
      <w:r>
        <w:rPr>
          <w:rFonts w:ascii="Verdana" w:hAnsi="Verdana"/>
          <w:lang w:val="en-GB"/>
        </w:rPr>
        <w:fldChar w:fldCharType="begin"/>
      </w:r>
      <w:r>
        <w:rPr>
          <w:rFonts w:ascii="Verdana" w:hAnsi="Verdana"/>
          <w:lang w:val="en-GB"/>
        </w:rPr>
        <w:instrText xml:space="preserve"> ADDIN ZOTERO_ITEM CSL_CITATION {"citationID":"sGOJGeBq","properties":{"formattedCitation":"(Clements et al. 2006)","plainCitation":"(Clements et al. 2006)","noteIndex":0},"citationItems":[{"id":743,"uris":["http://zotero.org/users/9330673/items/AY239DG6"],"itemData":{"id":743,"type":"article-journal","abstract":"DJ-1/PARK7, a cancer- and Parkinson's disease (PD)-associated protein, protects cells from toxic stresses. However, the functional basis of this protection has remained elusive. We found that loss of DJ-1 leads to deficits in NQO1 [NAD(P)H quinone oxidoreductase 1], a detoxification enzyme. This deficit is attributed to a loss of Nrf2 (nuclear factor erythroid 2-related factor), a master regulator of antioxidant transcriptional responses. DJ-1 stabilizes Nrf2 by preventing association with its inhibitor protein, Keap1, and Nrf2's subsequent ubiquitination. Without intact DJ-1, Nrf2 protein is unstable, and transcriptional responses are thereby decreased both basally and after induction. This effect of DJ-1 on Nrf2 is present in both transformed lines and primary cells across human and mouse species. DJ-1's effect on Nrf2 and subsequent effects on antioxidant responses may explain how DJ-1 affects the etiology of both cancer and PD, which are seemingly disparate disorders. Furthermore, this DJ-1/Nrf2 functional axis presents a therapeutic target in cancer treatment and justifies DJ-1 as a tumor biomarker.","container-title":"Proceedings of the National Academy of Sciences","DOI":"10.1073/pnas.0607260103","ISSN":"0027-8424, 1091-6490","issue":"41","journalAbbreviation":"Proc. Natl. Acad. Sci. U.S.A.","language":"en","page":"15091-15096","source":"DOI.org (Crossref)","title":"DJ-1, a cancer- and Parkinson's disease-associated protein, stabilizes the antioxidant transcriptional master regulator Nrf2","volume":"103","author":[{"family":"Clements","given":"Casey M."},{"family":"McNally","given":"Richard S."},{"family":"Conti","given":"Brian J."},{"family":"Mak","given":"Tak W."},{"family":"Ting","given":"Jenny P.-Y."}],"issued":{"date-parts":[["2006",10,10]]}}}],"schema":"https://github.com/citation-style-language/schema/raw/master/csl-citation.json"} </w:instrText>
      </w:r>
      <w:r>
        <w:rPr>
          <w:rFonts w:ascii="Verdana" w:hAnsi="Verdana"/>
          <w:lang w:val="en-GB"/>
        </w:rPr>
        <w:fldChar w:fldCharType="separate"/>
      </w:r>
      <w:r>
        <w:rPr>
          <w:rFonts w:ascii="Verdana" w:hAnsi="Verdana"/>
        </w:rPr>
        <w:t>(Clements et al. 2006)</w:t>
      </w:r>
      <w:r>
        <w:rPr>
          <w:rFonts w:ascii="Verdana" w:hAnsi="Verdana"/>
          <w:lang w:val="en-GB"/>
        </w:rPr>
        <w:fldChar w:fldCharType="end"/>
      </w:r>
      <w:r>
        <w:rPr>
          <w:rFonts w:ascii="Verdana" w:hAnsi="Verdana"/>
          <w:lang w:val="en-GB"/>
        </w:rPr>
        <w:t xml:space="preserve">. In </w:t>
      </w:r>
      <w:r>
        <w:rPr>
          <w:rFonts w:ascii="Verdana" w:hAnsi="Verdana"/>
          <w:i/>
          <w:iCs/>
          <w:lang w:val="en-GB"/>
        </w:rPr>
        <w:t>post-mortem</w:t>
      </w:r>
      <w:r>
        <w:rPr>
          <w:rFonts w:ascii="Verdana" w:hAnsi="Verdana"/>
          <w:lang w:val="en-GB"/>
        </w:rPr>
        <w:t xml:space="preserve"> PD brains, nigral Nrf2 accumulation and increased expression of Nrf2 target proteins have been reported </w:t>
      </w:r>
      <w:r>
        <w:rPr>
          <w:rFonts w:ascii="Verdana" w:hAnsi="Verdana"/>
          <w:lang w:val="en-GB"/>
        </w:rPr>
        <w:fldChar w:fldCharType="begin"/>
      </w:r>
      <w:r>
        <w:rPr>
          <w:rFonts w:ascii="Verdana" w:hAnsi="Verdana"/>
          <w:lang w:val="en-GB"/>
        </w:rPr>
        <w:instrText xml:space="preserve"> ADDIN ZOTERO_ITEM CSL_CITATION {"citationID":"zZUggp5e","properties":{"formattedCitation":"(van Muiswinkel et al. 2004; Ramsey et al. 2007)","plainCitation":"(van Muiswinkel et al. 2004; Ramsey et al. 2007)","dontUpdate":true,"noteIndex":0},"citationItems":[{"id":2069,"uris":["http://zotero.org/users/9330673/items/QS7ZN62G"],"itemData":{"id":2069,"type":"article-journal","abstract":"Dopamine (DA) autooxidation, and consequent formation of neurotoxic DA-derived quinones and reactive oxygen species, has been implicated in dopaminergic cell death and, hence, in the pathogenesis of Parkinson’s disease (PD). Stimulation of pathways involved in the detoxication of DA-quinones in the brain is hypothesized to be an effective means to limit oxidative stress and to confer neuroprotection in PD. In this respect, the inducible ﬂavoprotein NAD(P)H:quinone oxidoreductase (NQO1) is of particular interest as it is directly implicated in the detoxication of DA-quinones and, in addition, has broad spectrum anti-oxidant properties. To study the potential pathophysiological role of NQO1 in PD, the cellular expression of NQO1 was examined in the mesencephalon of PD patients and age-matched controls. In the substantia nigra pars compacta (SNpc), NQO1 was found to be expressed in astroglial and endothelial cells and, albeit less frequently, also in dopaminergic neurons. Moreover, while overt NQO1 immunoreactivity was absent in the surrounding nervous tissue, in the Parkinsonian SNpc a marked increase in the astroglial and neuronal expression of NQO1 was consistently observed.","container-title":"Neurobiology of Aging","DOI":"10.1016/j.neurobiolaging.2003.12.010","ISSN":"01974580","issue":"9","journalAbbreviation":"Neurobiology of Aging","language":"en","page":"1253-1262","source":"DOI.org (Crossref)","title":"Expression of NAD(P)H:quinone oxidoreductase in the normal and Parkinsonian substantia nigra","title-short":"Expression of NAD(P)H","volume":"25","author":[{"family":"Muiswinkel","given":"F.L","non-dropping-particle":"van"},{"family":"Vos","given":"R.A.I","non-dropping-particle":"de"},{"family":"Bol","given":"J.G.J.M"},{"family":"Andringa","given":"G"},{"family":"Jansen Steur","given":"E.N.H"},{"family":"Ross","given":"D"},{"family":"Siegel","given":"D"},{"family":"Drukarch","given":"B"}],"issued":{"date-parts":[["2004",10]]}}},{"id":2058,"uris":["http://zotero.org/users/9330673/items/HAYRMKUS"],"itemData":{"id":2058,"type":"article-journal","abstract":"In response to oxidative stress, the nuclear factor E2-related factor 2 (Nrf2) transcription factor translocates from the cytoplasm into the nucleus and transactivates expression of genes with antioxidant activity. Despite this cellular mechanism, oxidative damage is abundant in Alzheimer and Parkinson disease (AD and PD). To investigate mechanisms by which Nrf2 activity may be aberrant or insufficient in neurodegenerative conditions, we assessed Nrf2 localization in affected brain regions of AD, Lewy body variant of AD (LBVAD), and PD. By immunohistochemistry, Nrf2 is expressed in both the nucleus and the cytoplasm of neurons in normal hippocampi with predominant expression in the nucleus. In AD and LBVAD, Nrf2 was predominantly cytoplasmic in hippocampal neurons and was not a major component of beta amyloid plaques or neurofibrillary tangles. By immunoblotting, we observed a significant decrease in nuclear Nrf2 levels in AD cases. In contrast, Nrf2 was strongly nuclear in PD nigral neurons but cytoplasmic in substantia nigra of normal, AD, and LBVAD cases. These findings suggest that Nrf2-mediated transcription is not induced in neurons in AD despite the presence of oxidative stress. In PD, nuclear localization of Nrf2 is strongly induced, but this response may be insufficient to protect neurons from degeneration.","container-title":"Journal of Neuropathology and Experimental Neurology","DOI":"10.1097/nen.0b013e31802d6da9","ISSN":"0022-3069","issue":"1","journalAbbreviation":"Journal of Neuropathology and Experimental Neurology","language":"en","page":"75-85","source":"DOI.org (Crossref)","title":"Expression of Nrf2 in Neurodegenerative Diseases:","title-short":"Expression of Nrf2 in Neurodegenerative Diseases","volume":"66","author":[{"family":"Ramsey","given":"Chenere P."},{"family":"Glass","given":"Charles A."},{"family":"Montgomery","given":"Marshall B."},{"family":"Lindl","given":"Kathryn A."},{"family":"Ritson","given":"Gillian P."},{"family":"Chia","given":"Luis A."},{"family":"Hamilton","given":"Ronald L."},{"family":"Chu","given":"Charleen T."},{"family":"Jordan-Sciutto","given":"Kelly L."}],"issued":{"date-parts":[["2007",1]]}}}],"schema":"https://github.com/citation-style-language/schema/raw/master/csl-citation.json"} </w:instrText>
      </w:r>
      <w:r>
        <w:rPr>
          <w:rFonts w:ascii="Verdana" w:hAnsi="Verdana"/>
          <w:lang w:val="en-GB"/>
        </w:rPr>
        <w:fldChar w:fldCharType="separate"/>
      </w:r>
      <w:r>
        <w:rPr>
          <w:rFonts w:ascii="Verdana" w:hAnsi="Verdana"/>
        </w:rPr>
        <w:t>(van Muiswinkel et al. 2004; Ramsey et al. 2007, Schipper et al 1998)</w:t>
      </w:r>
      <w:r>
        <w:rPr>
          <w:rFonts w:ascii="Verdana" w:hAnsi="Verdana"/>
          <w:lang w:val="en-GB"/>
        </w:rPr>
        <w:fldChar w:fldCharType="end"/>
      </w:r>
      <w:r>
        <w:rPr>
          <w:rFonts w:ascii="Verdana" w:hAnsi="Verdana"/>
          <w:lang w:val="en-GB"/>
        </w:rPr>
        <w:t xml:space="preserve">. While Nrf2 levels have been </w:t>
      </w:r>
      <w:r>
        <w:rPr>
          <w:rFonts w:ascii="Verdana" w:hAnsi="Verdana"/>
          <w:lang w:val="en-GB"/>
        </w:rPr>
        <w:lastRenderedPageBreak/>
        <w:t xml:space="preserve">shown to be increased in neurons (Ramsey et al. 2007), Nrf2 target genes appear to be strongly expressed in astrocytes (Van </w:t>
      </w:r>
      <w:proofErr w:type="spellStart"/>
      <w:r>
        <w:rPr>
          <w:rFonts w:ascii="Verdana" w:hAnsi="Verdana"/>
          <w:lang w:val="en-GB"/>
        </w:rPr>
        <w:t>Muiswinkel</w:t>
      </w:r>
      <w:proofErr w:type="spellEnd"/>
      <w:r>
        <w:rPr>
          <w:rFonts w:ascii="Verdana" w:hAnsi="Verdana"/>
          <w:lang w:val="en-GB"/>
        </w:rPr>
        <w:t xml:space="preserve"> et al. 2004; Schipper et al. 1998). In our mouse model, we could confirm Nrf2 expression in astrocytes closely located to the SN, supporting the potential involvement of Nrf2 in the observed gene expression deregulation. Overall, our results support the hypothesis that the increased susceptibility to DJ-1 loss of function observed in male mice is sex-dependent and mediated by the DJ-1/Nrf2/CYP1B1 axis.</w:t>
      </w:r>
    </w:p>
    <w:p w14:paraId="4A726D1D" w14:textId="77777777" w:rsidR="00BB2488" w:rsidRDefault="00BB2488" w:rsidP="00BE791C">
      <w:pPr>
        <w:spacing w:line="360" w:lineRule="auto"/>
        <w:jc w:val="both"/>
        <w:rPr>
          <w:rFonts w:ascii="Verdana" w:hAnsi="Verdana"/>
          <w:lang w:val="en-GB"/>
        </w:rPr>
      </w:pPr>
    </w:p>
    <w:p w14:paraId="13C15722" w14:textId="77777777" w:rsidR="000E1722" w:rsidRDefault="000E1722" w:rsidP="000E1722">
      <w:pPr>
        <w:spacing w:line="360" w:lineRule="auto"/>
        <w:jc w:val="both"/>
        <w:rPr>
          <w:rFonts w:ascii="Verdana" w:hAnsi="Verdana"/>
          <w:b/>
          <w:bCs/>
          <w:lang w:val="en-GB"/>
        </w:rPr>
      </w:pPr>
      <w:r>
        <w:rPr>
          <w:rFonts w:ascii="Verdana" w:hAnsi="Verdana"/>
          <w:b/>
          <w:bCs/>
          <w:lang w:val="en-GB"/>
        </w:rPr>
        <w:t>The Thy1-Syn14 mouse model</w:t>
      </w:r>
    </w:p>
    <w:p w14:paraId="7B386134" w14:textId="77777777" w:rsidR="000E1722" w:rsidRDefault="000E1722" w:rsidP="000E1722">
      <w:pPr>
        <w:spacing w:line="360" w:lineRule="auto"/>
        <w:jc w:val="both"/>
        <w:rPr>
          <w:rFonts w:ascii="Verdana" w:hAnsi="Verdana"/>
          <w:lang w:val="en-GB"/>
        </w:rPr>
      </w:pPr>
      <w:r>
        <w:rPr>
          <w:rFonts w:ascii="Verdana" w:hAnsi="Verdana"/>
          <w:lang w:val="en-GB"/>
        </w:rPr>
        <w:t xml:space="preserve">Alpha-synuclein recovers a pivotal role in PD. Mutations in the synuclein gene, as well as gene multiplication are a direct cause of autosomal dominant PD </w:t>
      </w:r>
      <w:r>
        <w:rPr>
          <w:rFonts w:ascii="Verdana" w:hAnsi="Verdana"/>
          <w:lang w:val="en-GB"/>
        </w:rPr>
        <w:fldChar w:fldCharType="begin"/>
      </w:r>
      <w:r>
        <w:rPr>
          <w:rFonts w:ascii="Verdana" w:hAnsi="Verdana"/>
          <w:lang w:val="en-GB"/>
        </w:rPr>
        <w:instrText xml:space="preserve"> ADDIN ZOTERO_ITEM CSL_CITATION {"citationID":"xOIihd2g","properties":{"formattedCitation":"(Polymeropoulos et al. 1997; Ross et al. 2008; Zarranz et al. 2004)","plainCitation":"(Polymeropoulos et al. 1997; Ross et al. 2008; Zarranz et al. 2004)","noteIndex":0},"citationItems":[{"id":2085,"uris":["http://zotero.org/users/9330673/items/5YINI8RU"],"itemData":{"id":2085,"type":"article-journal","abstract":"Parkinson's disease (PD) is a common neurodegenerative disorder with a lifetime incidence of approximately 2 percent. A pattern of familial aggregation has been documented for the disorder, and it was recently reported that a PD susceptibility gene in a large Italian kindred is located on the long arm of human chromosome 4. A mutation was identified in the α-synuclein gene, which codes for a presynaptic protein thought to be involved in neuronal plasticity, in the Italian kindred and in three unrelated families of Greek origin with autosomal dominant inheritance for the PD phenotype. This finding of a specific molecular alteration associated with PD will facilitate the detailed understanding of the pathophysiology of the disorder.","container-title":"Science","DOI":"10.1126/science.276.5321.2045","ISSN":"0036-8075, 1095-9203","issue":"5321","journalAbbreviation":"Science","language":"en","page":"2045-2047","source":"DOI.org (Crossref)","title":"Mutation in the α-Synuclein Gene Identified in Families with Parkinson's Disease","volume":"276","author":[{"family":"Polymeropoulos","given":"Mihael H."},{"family":"Lavedan","given":"Christian"},{"family":"Leroy","given":"Elisabeth"},{"family":"Ide","given":"Susan E."},{"family":"Dehejia","given":"Anindya"},{"family":"Dutra","given":"Amalia"},{"family":"Pike","given":"Brian"},{"family":"Root","given":"Holly"},{"family":"Rubenstein","given":"Jeffrey"},{"family":"Boyer","given":"Rebecca"},{"family":"Stenroos","given":"Edward S."},{"family":"Chandrasekharappa","given":"Settara"},{"family":"Athanassiadou","given":"Aglaia"},{"family":"Papapetropoulos","given":"Theodore"},{"family":"Johnson","given":"William G."},{"family":"Lazzarini","given":"Alice M."},{"family":"Duvoisin","given":"Roger C."},{"family":"Di Iorio","given":"Giuseppe"},{"family":"Golbe","given":"Lawrence I."},{"family":"Nussbaum","given":"Robert L."}],"issued":{"date-parts":[["1997",6,27]]}}},{"id":1687,"uris":["http://zotero.org/users/9330673/items/GKUNQDB4"],"itemData":{"id":1687,"type":"article-journal","abstract":"Objective—Copy number variation is a common polymorphic phenomenon within the human genome. While the majority of these events are non-deleterious they can also be highly pathogenic. Herein we characterize five families with parkinsonism that have been identified to harbor multiplication of the chromosomal 4q21 locus containing the α-synuclein gene (SNCA).","container-title":"Annals of Neurology","DOI":"10.1002/ana.21380","ISSN":"03645134, 15318249","issue":"6","journalAbbreviation":"Ann Neurol.","language":"en","page":"743-750","source":"DOI.org (Crossref)","title":"Genomic investigation of α-synuclein multiplication and parkinsonism","volume":"63","author":[{"family":"Ross","given":"Owen A."},{"family":"Braithwaite","given":"Adam T."},{"family":"Skipper","given":"Lisa M."},{"family":"Kachergus","given":"Jennifer"},{"family":"Hulihan","given":"Mary M."},{"family":"Middleton","given":"Frank A."},{"family":"Nishioka","given":"Kenya"},{"family":"Fuchs","given":"Julia"},{"family":"Gasser","given":"Thomas"},{"family":"Maraganore","given":"Demetrius M."},{"family":"Adler","given":"Charles H."},{"family":"Larvor","given":"Lydie"},{"family":"Chartier-Harlin","given":"Marie-Christine"},{"family":"Nilsson","given":"Christer"},{"family":"Langston","given":"J. William"},{"family":"Gwinn","given":"Katrina"},{"family":"Hattori","given":"Nobutaka"},{"family":"Farrer","given":"Matthew J."}],"issued":{"date-parts":[["2008",6]]}}},{"id":281,"uris":["http://zotero.org/users/9330673/items/DA3MIQU7"],"itemData":{"id":281,"type":"article-journal","container-title":"Annals of Neurology","DOI":"10.1002/ana.10795","ISSN":"03645134","issue":"2","journalAbbreviation":"Ann Neurol.","language":"en","page":"164-173","source":"DOI.org (Crossref)","title":"The new mutation, E46K, of α-synuclein causes parkinson and Lewy body dementia: New α-Synuclein Gene Mutation","title-short":"The new mutation, E46K, of α-synuclein causes parkinson and Lewy body dementia","volume":"55","author":[{"family":"Zarranz","given":"Juan J."},{"family":"Alegre","given":"Javier"},{"family":"Gómez-Esteban","given":"Juan C."},{"family":"Lezcano","given":"Elena"},{"family":"Ros","given":"Raquel"},{"family":"Ampuero","given":"Israel"},{"family":"Vidal","given":"Lídice"},{"family":"Hoenicka","given":"Janet"},{"family":"Rodriguez","given":"Olga"},{"family":"Atarés","given":"Begoña"},{"family":"Llorens","given":"Verónica"},{"family":"Tortosa","given":"Estrella Gomez"},{"family":"Ser","given":"Teodoro","non-dropping-particle":"del"},{"family":"Muñoz","given":"David G."},{"family":"Yebenes","given":"Justo G.","non-dropping-particle":"de"}],"issued":{"date-parts":[["2004",2]]}}}],"schema":"https://github.com/citation-style-language/schema/raw/master/csl-citation.json"} </w:instrText>
      </w:r>
      <w:r>
        <w:rPr>
          <w:rFonts w:ascii="Verdana" w:hAnsi="Verdana"/>
          <w:lang w:val="en-GB"/>
        </w:rPr>
        <w:fldChar w:fldCharType="separate"/>
      </w:r>
      <w:r>
        <w:rPr>
          <w:rFonts w:ascii="Verdana" w:hAnsi="Verdana"/>
        </w:rPr>
        <w:t>(Polymeropoulos et al. 1997; Ross et al. 2008; Zarranz et al. 2004)</w:t>
      </w:r>
      <w:r>
        <w:rPr>
          <w:rFonts w:ascii="Verdana" w:hAnsi="Verdana"/>
          <w:lang w:val="en-GB"/>
        </w:rPr>
        <w:fldChar w:fldCharType="end"/>
      </w:r>
      <w:r>
        <w:rPr>
          <w:rFonts w:ascii="Verdana" w:hAnsi="Verdana"/>
          <w:lang w:val="en-GB"/>
        </w:rPr>
        <w:t xml:space="preserve">. But alpha-synuclein dysfunctions, first of all in the form of abnormal aggregation, are detected in idiopathic PD as well as in familial cases caused by mutations in genes different from </w:t>
      </w:r>
      <w:r w:rsidRPr="000466A6">
        <w:rPr>
          <w:rFonts w:ascii="Verdana" w:hAnsi="Verdana"/>
          <w:i/>
          <w:iCs/>
          <w:lang w:val="en-GB"/>
        </w:rPr>
        <w:t>SNCA</w:t>
      </w:r>
      <w:r>
        <w:rPr>
          <w:rFonts w:ascii="Verdana" w:hAnsi="Verdana"/>
          <w:lang w:val="en-GB"/>
        </w:rPr>
        <w:t xml:space="preserve"> </w:t>
      </w:r>
      <w:r>
        <w:rPr>
          <w:rFonts w:ascii="Verdana" w:hAnsi="Verdana"/>
          <w:lang w:val="en-GB"/>
        </w:rPr>
        <w:fldChar w:fldCharType="begin"/>
      </w:r>
      <w:r>
        <w:rPr>
          <w:rFonts w:ascii="Verdana" w:hAnsi="Verdana"/>
          <w:lang w:val="en-GB"/>
        </w:rPr>
        <w:instrText xml:space="preserve"> ADDIN ZOTERO_ITEM CSL_CITATION {"citationID":"xDSZUuNy","properties":{"formattedCitation":"(Dickson 2018; Spillantini et al. 1998)","plainCitation":"(Dickson 2018; Spillantini et al. 1998)","noteIndex":0},"citationItems":[{"id":1015,"uris":["http://zotero.org/users/9330673/items/B6L2VSJ6"],"itemData":{"id":1015,"type":"article-journal","abstract":"Introduction—Parkinson’s disease (PD) is characterized by bradykinesia, rigidity, postural instability and tremor. Several pathologic processes can produce this syndrome, but neurodegeneration accompanied by neuronal inclusions composed of α-synuclein (Lewy bodies) is considered the typical pathologic correlate of PD.\nMethods—The neuropathologic features of PD are reviewed based upon personal experience and review of the literature. Molecular pathology of PD is summarized from cell biological and animal studies.\nResults—The pathologic feature that correlates with signs and symptoms of PD is neuronal loss in the substantia nigra with dopaminergic denervation of the striatum. Neuronal degeneration in the substantia nigra preferentially affects the ventrolateral cell group that projects to posterolateral putamen and is accompanied by formation of Lewy bodies composed of aggregated α-synuclein. Some patients with PD are found at autopsy to have other pathologic processes, such as multiple system atrophy, progressive supranuclear palsy and cerebrovascular disease (vascular Parkinsonism). The peripheral autonomic nervous system is also affected. The triggering event in PD is unknown, but recent studies suggest a role for loss of nuclear membrane integrity. Once αsynuclein aggregates forms, evidence supports cell-to-cell propagation.\nConclusion—PD is a multisystem synucleinopathy caused by poorly characterized genetic and environmental factors that produces degeneration in selectively vulnerable neuronal populations.","container-title":"Parkinsonism &amp; Related Disorders","DOI":"10.1016/j.parkreldis.2017.07.033","ISSN":"13538020","journalAbbreviation":"Parkinsonism &amp; Related Disorders","language":"en","page":"S30-S33","source":"DOI.org (Crossref)","title":"Neuropathology of Parkinson disease","volume":"46","author":[{"family":"Dickson","given":"Dennis W."}],"issued":{"date-parts":[["2018",1]]}}},{"id":841,"uris":["http://zotero.org/users/9330673/items/T9ZR6DYH"],"itemData":{"id":841,"type":"article-journal","abstract":"Lewy bodies and Lewy neurites are the defining neuropathological characteristics of Parkinson’s disease and dementia with Lewy bodies. They are made of abnormal filamentous assemblies of unknown composition. We show here that Lewy bodies and Lewy neurites from Parkinson’s disease and dementia with Lewy bodies are stained strongly by antibodies directed against aminoterminal and carboxyl-terminal sequences of </w:instrText>
      </w:r>
      <w:r>
        <w:rPr>
          <w:rFonts w:ascii="MS Gothic" w:eastAsia="MS Gothic" w:hAnsi="MS Gothic" w:cs="MS Gothic" w:hint="eastAsia"/>
          <w:lang w:val="en-GB"/>
        </w:rPr>
        <w:instrText>␣</w:instrText>
      </w:r>
      <w:r>
        <w:rPr>
          <w:rFonts w:ascii="Verdana" w:hAnsi="Verdana"/>
          <w:lang w:val="en-GB"/>
        </w:rPr>
        <w:instrText xml:space="preserve">-synuclein, showing the presence of full-length or close to full-length </w:instrText>
      </w:r>
      <w:r>
        <w:rPr>
          <w:rFonts w:ascii="MS Gothic" w:eastAsia="MS Gothic" w:hAnsi="MS Gothic" w:cs="MS Gothic" w:hint="eastAsia"/>
          <w:lang w:val="en-GB"/>
        </w:rPr>
        <w:instrText>␣</w:instrText>
      </w:r>
      <w:r>
        <w:rPr>
          <w:rFonts w:ascii="Verdana" w:hAnsi="Verdana"/>
          <w:lang w:val="en-GB"/>
        </w:rPr>
        <w:instrText xml:space="preserve">-synuclein. The number of </w:instrText>
      </w:r>
      <w:r>
        <w:rPr>
          <w:rFonts w:ascii="MS Gothic" w:eastAsia="MS Gothic" w:hAnsi="MS Gothic" w:cs="MS Gothic" w:hint="eastAsia"/>
          <w:lang w:val="en-GB"/>
        </w:rPr>
        <w:instrText>␣</w:instrText>
      </w:r>
      <w:r>
        <w:rPr>
          <w:rFonts w:ascii="Verdana" w:hAnsi="Verdana"/>
          <w:lang w:val="en-GB"/>
        </w:rPr>
        <w:instrText xml:space="preserve">-synuclein-stained structures exceeded that immunoreactive for ubiquitin, which is currently the most sensitive marker of Lewy bodies and Lewy neurites. Staining for </w:instrText>
      </w:r>
      <w:r>
        <w:rPr>
          <w:rFonts w:ascii="MS Gothic" w:eastAsia="MS Gothic" w:hAnsi="MS Gothic" w:cs="MS Gothic" w:hint="eastAsia"/>
          <w:lang w:val="en-GB"/>
        </w:rPr>
        <w:instrText>␣</w:instrText>
      </w:r>
      <w:r>
        <w:rPr>
          <w:rFonts w:ascii="Verdana" w:hAnsi="Verdana"/>
          <w:lang w:val="en-GB"/>
        </w:rPr>
        <w:instrText>-synuclein thus will replace staining for ubiquitin as the preferred method for detecting Lewy bodies and Lewy neurites. We have isolated Lewy body filaments by a method used for the extraction of paired helical filaments from Alzheimer’s disease brain. By immunoelectron microscopy, extracted filaments were labeled strongly by anti-</w:instrText>
      </w:r>
      <w:r>
        <w:rPr>
          <w:rFonts w:ascii="MS Gothic" w:eastAsia="MS Gothic" w:hAnsi="MS Gothic" w:cs="MS Gothic" w:hint="eastAsia"/>
          <w:lang w:val="en-GB"/>
        </w:rPr>
        <w:instrText>␣</w:instrText>
      </w:r>
      <w:r>
        <w:rPr>
          <w:rFonts w:ascii="Verdana" w:hAnsi="Verdana"/>
          <w:lang w:val="en-GB"/>
        </w:rPr>
        <w:instrText xml:space="preserve">-synuclein antibodies. The morphologies of the 5- to 10-nm filaments and their staining characteristics suggest that extended </w:instrText>
      </w:r>
      <w:r>
        <w:rPr>
          <w:rFonts w:ascii="MS Gothic" w:eastAsia="MS Gothic" w:hAnsi="MS Gothic" w:cs="MS Gothic" w:hint="eastAsia"/>
          <w:lang w:val="en-GB"/>
        </w:rPr>
        <w:instrText>␣</w:instrText>
      </w:r>
      <w:r>
        <w:rPr>
          <w:rFonts w:ascii="Verdana" w:hAnsi="Verdana"/>
          <w:lang w:val="en-GB"/>
        </w:rPr>
        <w:instrText xml:space="preserve">-synuclein molecules run parallel to the filament axis and that the filaments are polar structures. These findings indicate that </w:instrText>
      </w:r>
      <w:r>
        <w:rPr>
          <w:rFonts w:ascii="MS Gothic" w:eastAsia="MS Gothic" w:hAnsi="MS Gothic" w:cs="MS Gothic" w:hint="eastAsia"/>
          <w:lang w:val="en-GB"/>
        </w:rPr>
        <w:instrText>␣</w:instrText>
      </w:r>
      <w:r>
        <w:rPr>
          <w:rFonts w:ascii="Verdana" w:hAnsi="Verdana"/>
          <w:lang w:val="en-GB"/>
        </w:rPr>
        <w:instrText xml:space="preserve">-synuclein forms the major filamentous component of Lewy bodies and Lewy neurites.","container-title":"Proc. Natl. Acad. Sci. USA","language":"en","page":"5","source":"Zotero","title":"Parkinson’s disease and dementia with Lewy bodies","author":[{"family":"Spillantini","given":"Maria Grazia"},{"family":"Crowther","given":"R Anthony"},{"family":"Jakes","given":"Ross"},{"family":"Hasegawa","given":"Masato"},{"family":"Goedert","given":"Michel"}],"issued":{"date-parts":[["1998"]]}}}],"schema":"https://github.com/citation-style-language/schema/raw/master/csl-citation.json"} </w:instrText>
      </w:r>
      <w:r>
        <w:rPr>
          <w:rFonts w:ascii="Verdana" w:hAnsi="Verdana"/>
          <w:lang w:val="en-GB"/>
        </w:rPr>
        <w:fldChar w:fldCharType="separate"/>
      </w:r>
      <w:r>
        <w:rPr>
          <w:rFonts w:ascii="Verdana" w:hAnsi="Verdana"/>
        </w:rPr>
        <w:t>(Dickson 2018; Spillantini et al. 1998)</w:t>
      </w:r>
      <w:r>
        <w:rPr>
          <w:rFonts w:ascii="Verdana" w:hAnsi="Verdana"/>
          <w:lang w:val="en-GB"/>
        </w:rPr>
        <w:fldChar w:fldCharType="end"/>
      </w:r>
      <w:r>
        <w:rPr>
          <w:rFonts w:ascii="Verdana" w:hAnsi="Verdana"/>
          <w:lang w:val="en-GB"/>
        </w:rPr>
        <w:t>. Therefore, the use of genetic models overexpressing wild-type alpha-synuclein, especially when such overexpression occurs at low to medium levels, is not to be limited to familial PD, but can prove to be relevant for idiopathic PD as well. The Thy1-Syn14 mouse model falls in this category, overexpressing transgenic wild-type human synuclein in the midbrain with a 2.91-fold increase, and in the striatum with a 6.67-fold increase, as well as in other brain regions and at lower levels in the colon.</w:t>
      </w:r>
    </w:p>
    <w:p w14:paraId="4773AECD" w14:textId="77777777" w:rsidR="00FD47F6" w:rsidRDefault="000E1722" w:rsidP="00E52424">
      <w:pPr>
        <w:spacing w:line="360" w:lineRule="auto"/>
        <w:jc w:val="both"/>
        <w:rPr>
          <w:rFonts w:ascii="Verdana" w:hAnsi="Verdana"/>
          <w:lang w:val="en-GB"/>
        </w:rPr>
      </w:pPr>
      <w:r>
        <w:rPr>
          <w:rFonts w:ascii="Verdana" w:hAnsi="Verdana"/>
          <w:lang w:val="en-GB"/>
        </w:rPr>
        <w:t xml:space="preserve">Alpha-synuclein overexpression alone was sufficient to cause PD-like motor impairments that appeared to worsen with ageing. Such deficits were not directly linked to degeneration in the nigrostriatal pathway. Indeed, both male and female Thy1-Syn14 transgenic mice did not show loss of TH nor DAT positive synaptic terminals in the striatum even at the age of 14-months, and no significant transcriptomic changes were detected in the midbrain of female mice at 3- and 14-months. It is possible that the low levels of alpha-synuclein overexpression in the midbrain of Thy1-Syn14 transgenic mice are responsible for the lack of the classical </w:t>
      </w:r>
      <w:r w:rsidR="00977047">
        <w:rPr>
          <w:rFonts w:ascii="Verdana" w:hAnsi="Verdana"/>
          <w:lang w:val="en-GB"/>
        </w:rPr>
        <w:t>nigrostriatal</w:t>
      </w:r>
      <w:r>
        <w:rPr>
          <w:rFonts w:ascii="Verdana" w:hAnsi="Verdana"/>
          <w:lang w:val="en-GB"/>
        </w:rPr>
        <w:t xml:space="preserve"> impairments often seen in PD mouse models. Nevertheless, the alpha-synuclein challenge encompasses several brain </w:t>
      </w:r>
      <w:r>
        <w:rPr>
          <w:rFonts w:ascii="Verdana" w:hAnsi="Verdana"/>
          <w:lang w:val="en-GB"/>
        </w:rPr>
        <w:lastRenderedPageBreak/>
        <w:t>regions,</w:t>
      </w:r>
      <w:r w:rsidR="00BB2488">
        <w:rPr>
          <w:rFonts w:ascii="Verdana" w:hAnsi="Verdana"/>
          <w:lang w:val="en-GB"/>
        </w:rPr>
        <w:t xml:space="preserve"> such as the spinal cord,</w:t>
      </w:r>
      <w:r>
        <w:rPr>
          <w:rFonts w:ascii="Verdana" w:hAnsi="Verdana"/>
          <w:lang w:val="en-GB"/>
        </w:rPr>
        <w:t xml:space="preserve"> and the combined effect must be sufficiently strong to determine the observed motor phenotype.</w:t>
      </w:r>
    </w:p>
    <w:p w14:paraId="2B1CF27D" w14:textId="46E096A3" w:rsidR="00B24FE6" w:rsidRDefault="009E75D2" w:rsidP="00E52424">
      <w:pPr>
        <w:spacing w:line="360" w:lineRule="auto"/>
        <w:jc w:val="both"/>
        <w:rPr>
          <w:rFonts w:ascii="Verdana" w:hAnsi="Verdana"/>
          <w:lang w:val="en-GB"/>
        </w:rPr>
      </w:pPr>
      <w:r>
        <w:rPr>
          <w:rFonts w:ascii="Verdana" w:hAnsi="Verdana"/>
          <w:lang w:val="en-GB"/>
        </w:rPr>
        <w:t>Transgenic mice presented a lack of obvious microglial activation</w:t>
      </w:r>
      <w:r w:rsidR="00302BFF">
        <w:rPr>
          <w:rFonts w:ascii="Verdana" w:hAnsi="Verdana"/>
          <w:lang w:val="en-GB"/>
        </w:rPr>
        <w:t>.</w:t>
      </w:r>
      <w:r w:rsidR="00BE639E">
        <w:rPr>
          <w:rFonts w:ascii="Verdana" w:hAnsi="Verdana"/>
          <w:lang w:val="en-GB"/>
        </w:rPr>
        <w:t xml:space="preserve"> On one hand</w:t>
      </w:r>
      <w:r w:rsidR="0074631D">
        <w:rPr>
          <w:rFonts w:ascii="Verdana" w:hAnsi="Verdana"/>
          <w:lang w:val="en-GB"/>
        </w:rPr>
        <w:t>,</w:t>
      </w:r>
      <w:r w:rsidR="000E1722">
        <w:rPr>
          <w:rFonts w:ascii="Verdana" w:hAnsi="Verdana"/>
          <w:lang w:val="en-GB"/>
        </w:rPr>
        <w:t xml:space="preserve"> the regional alpha-synuclein insult might not be strong enough to activate a neuroinflammatory response</w:t>
      </w:r>
      <w:r w:rsidR="0074631D">
        <w:rPr>
          <w:rFonts w:ascii="Verdana" w:hAnsi="Verdana"/>
          <w:lang w:val="en-GB"/>
        </w:rPr>
        <w:t>;</w:t>
      </w:r>
      <w:r w:rsidR="000E1722">
        <w:rPr>
          <w:rFonts w:ascii="Verdana" w:hAnsi="Verdana"/>
          <w:lang w:val="en-GB"/>
        </w:rPr>
        <w:t xml:space="preserve"> </w:t>
      </w:r>
      <w:r w:rsidR="001225FC">
        <w:rPr>
          <w:rFonts w:ascii="Verdana" w:hAnsi="Verdana"/>
          <w:lang w:val="en-GB"/>
        </w:rPr>
        <w:t>on the other</w:t>
      </w:r>
      <w:r w:rsidR="0074631D">
        <w:rPr>
          <w:rFonts w:ascii="Verdana" w:hAnsi="Verdana"/>
          <w:lang w:val="en-GB"/>
        </w:rPr>
        <w:t>,</w:t>
      </w:r>
      <w:r w:rsidR="001225FC">
        <w:rPr>
          <w:rFonts w:ascii="Verdana" w:hAnsi="Verdana"/>
          <w:lang w:val="en-GB"/>
        </w:rPr>
        <w:t xml:space="preserve"> lack of neuroinflammation might reflect compensatory mechanis</w:t>
      </w:r>
      <w:r w:rsidR="0074631D">
        <w:rPr>
          <w:rFonts w:ascii="Verdana" w:hAnsi="Verdana"/>
          <w:lang w:val="en-GB"/>
        </w:rPr>
        <w:t xml:space="preserve">m taking place in response to the alpha-synuclein challenge. </w:t>
      </w:r>
      <w:r w:rsidR="007A7B1A">
        <w:rPr>
          <w:rFonts w:ascii="Verdana" w:hAnsi="Verdana"/>
          <w:lang w:val="en-GB"/>
        </w:rPr>
        <w:t>Repeated administration</w:t>
      </w:r>
      <w:r w:rsidR="00E37B70">
        <w:rPr>
          <w:rFonts w:ascii="Verdana" w:hAnsi="Verdana"/>
          <w:lang w:val="en-GB"/>
        </w:rPr>
        <w:t xml:space="preserve"> of LPS</w:t>
      </w:r>
      <w:r w:rsidR="008046A6">
        <w:rPr>
          <w:rFonts w:ascii="Verdana" w:hAnsi="Verdana"/>
          <w:lang w:val="en-GB"/>
        </w:rPr>
        <w:t xml:space="preserve"> has been shown to</w:t>
      </w:r>
      <w:r w:rsidR="004E41B7">
        <w:rPr>
          <w:rFonts w:ascii="Verdana" w:hAnsi="Verdana"/>
          <w:lang w:val="en-GB"/>
        </w:rPr>
        <w:t xml:space="preserve"> induce immune tolerance</w:t>
      </w:r>
      <w:r w:rsidR="005F34C3">
        <w:rPr>
          <w:rFonts w:ascii="Verdana" w:hAnsi="Verdana"/>
          <w:lang w:val="en-GB"/>
        </w:rPr>
        <w:t>,</w:t>
      </w:r>
      <w:r w:rsidR="008046A6">
        <w:rPr>
          <w:rFonts w:ascii="Verdana" w:hAnsi="Verdana"/>
          <w:lang w:val="en-GB"/>
        </w:rPr>
        <w:t xml:space="preserve"> </w:t>
      </w:r>
      <w:r w:rsidR="00E37B70">
        <w:rPr>
          <w:rFonts w:ascii="Verdana" w:hAnsi="Verdana"/>
          <w:lang w:val="en-GB"/>
        </w:rPr>
        <w:t>downregulat</w:t>
      </w:r>
      <w:r w:rsidR="001C052F">
        <w:rPr>
          <w:rFonts w:ascii="Verdana" w:hAnsi="Verdana"/>
          <w:lang w:val="en-GB"/>
        </w:rPr>
        <w:t>ing</w:t>
      </w:r>
      <w:r w:rsidR="00E37B70">
        <w:rPr>
          <w:rFonts w:ascii="Verdana" w:hAnsi="Verdana"/>
          <w:lang w:val="en-GB"/>
        </w:rPr>
        <w:t xml:space="preserve"> microglial pro-inflammatory response </w:t>
      </w:r>
      <w:r w:rsidR="00E37B70" w:rsidRPr="00E37B70">
        <w:rPr>
          <w:rFonts w:ascii="Verdana" w:hAnsi="Verdana"/>
          <w:i/>
          <w:iCs/>
          <w:lang w:val="en-GB"/>
        </w:rPr>
        <w:t>in vitro</w:t>
      </w:r>
      <w:r w:rsidR="001C052F">
        <w:rPr>
          <w:rFonts w:ascii="Verdana" w:hAnsi="Verdana"/>
          <w:lang w:val="en-GB"/>
        </w:rPr>
        <w:t xml:space="preserve"> and </w:t>
      </w:r>
      <w:r w:rsidR="001C052F" w:rsidRPr="001C052F">
        <w:rPr>
          <w:rFonts w:ascii="Verdana" w:hAnsi="Verdana"/>
          <w:i/>
          <w:iCs/>
          <w:lang w:val="en-GB"/>
        </w:rPr>
        <w:t>in vivo</w:t>
      </w:r>
      <w:r w:rsidR="001C052F">
        <w:rPr>
          <w:rFonts w:ascii="Verdana" w:hAnsi="Verdana"/>
          <w:lang w:val="en-GB"/>
        </w:rPr>
        <w:t xml:space="preserve"> </w:t>
      </w:r>
      <w:r w:rsidR="00910E1E">
        <w:rPr>
          <w:rFonts w:ascii="Verdana" w:hAnsi="Verdana"/>
          <w:lang w:val="en-GB"/>
        </w:rPr>
        <w:fldChar w:fldCharType="begin"/>
      </w:r>
      <w:r w:rsidR="00910E1E">
        <w:rPr>
          <w:rFonts w:ascii="Verdana" w:hAnsi="Verdana"/>
          <w:lang w:val="en-GB"/>
        </w:rPr>
        <w:instrText xml:space="preserve"> ADDIN ZOTERO_ITEM CSL_CITATION {"citationID":"yz8JpkRv","properties":{"formattedCitation":"(Lajqi et al. 2020; Wendeln et al. 2018)","plainCitation":"(Lajqi et al. 2020; Wendeln et al. 2018)","noteIndex":0},"citationItems":[{"id":2361,"uris":["http://zotero.org/users/9330673/items/2SDZMVJD"],"itemData":{"id":2361,"type":"article-journal","abstract":"Microglia, the innate immune cells of the central nervous system, feature adaptive immune memory with implications for brain homeostasis and pathologies. However, factors involved in the emergence and regulation of these opposing responses in microglia have not been fully addressed. Recently, we showed that microglia from the newborn brain display features of trained immunity and immune tolerance after repeated contact with pathogens in a dose-dependent manner. Here, we evaluate the impact of developmental stage on adaptive immune responses of brain microglia after repeated challenge with ultra-low (1 fg/ml) and high (100 ng/ml) doses of the endotoxin LPS in vitro. We ﬁnd that priming of naïve microglia derived from newborn but not mature and aged murine brain with ultra-low LPS signiﬁcantly increased levels of pro-inﬂammatory mediators TNF-α, IL-6, IL-1β, MMP-9, and iNOS as well as neurotrophic factors indicating induction of trained immunity (p &lt; 0.05). In contrast, stimulation with high doses of LPS led to a robust downregulation of pro-inﬂammatory cytokines and iNOS independent of the developmental state, indicating induced immune tolerance. Furthermore, high-dose priming with LPS upregulated anti-inﬂammatory mediators IL-10, Arg-1, TGF- β, MSR1, and IL-4 in newborn microglia (p &lt; 0.05). Our data indicate pronounced plasticity of the immune response of neonate microglia compared with microglia derived from mature and aged mouse brain. Induced trained immunity after priming with ultra-low LPS doses may be responsible for enhanced neuro-inﬂammatory susceptibility of immature brain. In contrast, the immunosuppressed phenotype following high-dose LPS priming might be prone to attenuate excessive damage after recurrent systemic inﬂammation.","container-title":"Frontiers in Immunology","DOI":"10.3389/fimmu.2020.546415","ISSN":"1664-3224","journalAbbreviation":"Front. Immunol.","language":"en","page":"546415","source":"DOI.org (Crossref)","title":"Memory-Like Responses of Brain Microglia Are Controlled by Developmental State and Pathogen Dose","volume":"11","author":[{"family":"Lajqi","given":"Trim"},{"family":"Stojiljkovic","given":"Milan"},{"family":"Williams","given":"David L."},{"family":"Hudalla","given":"Hannes"},{"family":"Bauer","given":"Michael"},{"family":"Witte","given":"Otto W."},{"family":"Wetzker","given":"Reinhard"},{"family":"Bauer","given":"Reinhard"},{"family":"Schmeer","given":"Christian"}],"issued":{"date-parts":[["2020",9,25]]}}},{"id":2362,"uris":["http://zotero.org/users/9330673/items/QXP2MKUJ"],"itemData":{"id":2362,"type":"article-journal","container-title":"Nature","DOI":"10.1038/s41586-018-0023-4","ISSN":"0028-0836, 1476-4687","issue":"7701","journalAbbreviation":"Nature","language":"en","page":"332-338","source":"DOI.org (Crossref)","title":"Innate immune memory in the brain shapes neurological disease hallmarks","volume":"556","author":[{"family":"Wendeln","given":"Ann-Christin"},{"family":"Degenhardt","given":"Karoline"},{"family":"Kaurani","given":"Lalit"},{"family":"Gertig","given":"Michael"},{"family":"Ulas","given":"Thomas"},{"family":"Jain","given":"Gaurav"},{"family":"Wagner","given":"Jessica"},{"family":"Häsler","given":"Lisa M."},{"family":"Wild","given":"Katleen"},{"family":"Skodras","given":"Angelos"},{"family":"Blank","given":"Thomas"},{"family":"Staszewski","given":"Ori"},{"family":"Datta","given":"Moumita"},{"family":"Centeno","given":"Tonatiuh Pena"},{"family":"Capece","given":"Vincenzo"},{"family":"Islam","given":"Md. Rezaul"},{"family":"Kerimoglu","given":"Cemil"},{"family":"Staufenbiel","given":"Matthias"},{"family":"Schultze","given":"Joachim L."},{"family":"Beyer","given":"Marc"},{"family":"Prinz","given":"Marco"},{"family":"Jucker","given":"Mathias"},{"family":"Fischer","given":"André"},{"family":"Neher","given":"Jonas J."}],"issued":{"date-parts":[["2018",4]]}}}],"schema":"https://github.com/citation-style-language/schema/raw/master/csl-citation.json"} </w:instrText>
      </w:r>
      <w:r w:rsidR="00910E1E">
        <w:rPr>
          <w:rFonts w:ascii="Verdana" w:hAnsi="Verdana"/>
          <w:lang w:val="en-GB"/>
        </w:rPr>
        <w:fldChar w:fldCharType="separate"/>
      </w:r>
      <w:r w:rsidR="00910E1E" w:rsidRPr="00910E1E">
        <w:rPr>
          <w:rFonts w:ascii="Verdana" w:hAnsi="Verdana"/>
        </w:rPr>
        <w:t>(Lajqi et al. 2020; Wendeln et al. 2018)</w:t>
      </w:r>
      <w:r w:rsidR="00910E1E">
        <w:rPr>
          <w:rFonts w:ascii="Verdana" w:hAnsi="Verdana"/>
          <w:lang w:val="en-GB"/>
        </w:rPr>
        <w:fldChar w:fldCharType="end"/>
      </w:r>
      <w:r w:rsidR="000D4750">
        <w:rPr>
          <w:rFonts w:ascii="Verdana" w:hAnsi="Verdana"/>
          <w:lang w:val="en-GB"/>
        </w:rPr>
        <w:t xml:space="preserve">, and </w:t>
      </w:r>
      <w:r w:rsidR="00D15E74">
        <w:rPr>
          <w:rFonts w:ascii="Verdana" w:hAnsi="Verdana"/>
          <w:lang w:val="en-GB"/>
        </w:rPr>
        <w:t>the resulting microglia desensitisation</w:t>
      </w:r>
      <w:r w:rsidR="000D4750">
        <w:rPr>
          <w:rFonts w:ascii="Verdana" w:hAnsi="Verdana"/>
          <w:lang w:val="en-GB"/>
        </w:rPr>
        <w:t xml:space="preserve"> </w:t>
      </w:r>
      <w:r w:rsidR="00E554C2">
        <w:rPr>
          <w:rFonts w:ascii="Verdana" w:hAnsi="Verdana"/>
          <w:lang w:val="en-GB"/>
        </w:rPr>
        <w:t xml:space="preserve">appeared to be neuroprotective in a mouse model of AD </w:t>
      </w:r>
      <w:r w:rsidR="00E554C2">
        <w:rPr>
          <w:rFonts w:ascii="Verdana" w:hAnsi="Verdana"/>
          <w:lang w:val="en-GB"/>
        </w:rPr>
        <w:fldChar w:fldCharType="begin"/>
      </w:r>
      <w:r w:rsidR="00E554C2">
        <w:rPr>
          <w:rFonts w:ascii="Verdana" w:hAnsi="Verdana"/>
          <w:lang w:val="en-GB"/>
        </w:rPr>
        <w:instrText xml:space="preserve"> ADDIN ZOTERO_ITEM CSL_CITATION {"citationID":"ZBCudg8d","properties":{"formattedCitation":"(Wendeln et al. 2018)","plainCitation":"(Wendeln et al. 2018)","noteIndex":0},"citationItems":[{"id":2362,"uris":["http://zotero.org/users/9330673/items/QXP2MKUJ"],"itemData":{"id":2362,"type":"article-journal","container-title":"Nature","DOI":"10.1038/s41586-018-0023-4","ISSN":"0028-0836, 1476-4687","issue":"7701","journalAbbreviation":"Nature","language":"en","page":"332-338","source":"DOI.org (Crossref)","title":"Innate immune memory in the brain shapes neurological disease hallmarks","volume":"556","author":[{"family":"Wendeln","given":"Ann-Christin"},{"family":"Degenhardt","given":"Karoline"},{"family":"Kaurani","given":"Lalit"},{"family":"Gertig","given":"Michael"},{"family":"Ulas","given":"Thomas"},{"family":"Jain","given":"Gaurav"},{"family":"Wagner","given":"Jessica"},{"family":"Häsler","given":"Lisa M."},{"family":"Wild","given":"Katleen"},{"family":"Skodras","given":"Angelos"},{"family":"Blank","given":"Thomas"},{"family":"Staszewski","given":"Ori"},{"family":"Datta","given":"Moumita"},{"family":"Centeno","given":"Tonatiuh Pena"},{"family":"Capece","given":"Vincenzo"},{"family":"Islam","given":"Md. Rezaul"},{"family":"Kerimoglu","given":"Cemil"},{"family":"Staufenbiel","given":"Matthias"},{"family":"Schultze","given":"Joachim L."},{"family":"Beyer","given":"Marc"},{"family":"Prinz","given":"Marco"},{"family":"Jucker","given":"Mathias"},{"family":"Fischer","given":"André"},{"family":"Neher","given":"Jonas J."}],"issued":{"date-parts":[["2018",4]]}}}],"schema":"https://github.com/citation-style-language/schema/raw/master/csl-citation.json"} </w:instrText>
      </w:r>
      <w:r w:rsidR="00E554C2">
        <w:rPr>
          <w:rFonts w:ascii="Verdana" w:hAnsi="Verdana"/>
          <w:lang w:val="en-GB"/>
        </w:rPr>
        <w:fldChar w:fldCharType="separate"/>
      </w:r>
      <w:r w:rsidR="00E554C2" w:rsidRPr="00E554C2">
        <w:rPr>
          <w:rFonts w:ascii="Verdana" w:hAnsi="Verdana"/>
        </w:rPr>
        <w:t>(Wendeln et al. 2018)</w:t>
      </w:r>
      <w:r w:rsidR="00E554C2">
        <w:rPr>
          <w:rFonts w:ascii="Verdana" w:hAnsi="Verdana"/>
          <w:lang w:val="en-GB"/>
        </w:rPr>
        <w:fldChar w:fldCharType="end"/>
      </w:r>
      <w:r w:rsidR="005F34C3">
        <w:rPr>
          <w:rFonts w:ascii="Verdana" w:hAnsi="Verdana"/>
          <w:lang w:val="en-GB"/>
        </w:rPr>
        <w:t xml:space="preserve">. We can speculate </w:t>
      </w:r>
      <w:r w:rsidR="00274B1F">
        <w:rPr>
          <w:rFonts w:ascii="Verdana" w:hAnsi="Verdana"/>
          <w:lang w:val="en-GB"/>
        </w:rPr>
        <w:t>that the persistent alpha-synuclein challenge</w:t>
      </w:r>
      <w:r w:rsidR="00E37B70">
        <w:rPr>
          <w:rFonts w:ascii="Verdana" w:hAnsi="Verdana"/>
          <w:lang w:val="en-GB"/>
        </w:rPr>
        <w:t xml:space="preserve"> </w:t>
      </w:r>
      <w:r w:rsidR="00D82907">
        <w:rPr>
          <w:rFonts w:ascii="Verdana" w:hAnsi="Verdana"/>
          <w:lang w:val="en-GB"/>
        </w:rPr>
        <w:t xml:space="preserve">induces similar changes in the microglia profile </w:t>
      </w:r>
      <w:r w:rsidR="00C33344">
        <w:rPr>
          <w:rFonts w:ascii="Verdana" w:hAnsi="Verdana"/>
          <w:lang w:val="en-GB"/>
        </w:rPr>
        <w:t xml:space="preserve">in our model, thus preventing neuroinflammation. </w:t>
      </w:r>
      <w:r w:rsidR="00B24FE6">
        <w:rPr>
          <w:rFonts w:ascii="Verdana" w:hAnsi="Verdana"/>
          <w:lang w:val="en-GB"/>
        </w:rPr>
        <w:t>Finally,</w:t>
      </w:r>
      <w:r w:rsidR="00615E87">
        <w:rPr>
          <w:rFonts w:ascii="Verdana" w:hAnsi="Verdana"/>
          <w:lang w:val="en-GB"/>
        </w:rPr>
        <w:t xml:space="preserve"> alpha-synuclein injection models </w:t>
      </w:r>
      <w:r w:rsidR="00054FDE">
        <w:rPr>
          <w:rFonts w:ascii="Verdana" w:hAnsi="Verdana"/>
          <w:lang w:val="en-GB"/>
        </w:rPr>
        <w:t xml:space="preserve">have shown that microglia react to </w:t>
      </w:r>
      <w:r w:rsidR="009F5E90">
        <w:rPr>
          <w:rFonts w:ascii="Verdana" w:hAnsi="Verdana"/>
          <w:lang w:val="en-GB"/>
        </w:rPr>
        <w:t>alpha-synuclein</w:t>
      </w:r>
      <w:r w:rsidR="00054FDE">
        <w:rPr>
          <w:rFonts w:ascii="Verdana" w:hAnsi="Verdana"/>
          <w:lang w:val="en-GB"/>
        </w:rPr>
        <w:t xml:space="preserve"> spreading </w:t>
      </w:r>
      <w:r w:rsidR="009F5E90">
        <w:rPr>
          <w:rFonts w:ascii="Verdana" w:hAnsi="Verdana"/>
          <w:lang w:val="en-GB"/>
        </w:rPr>
        <w:t>but not necessarily to its accumulation, suggesting oligomers as the reactive species</w:t>
      </w:r>
      <w:r w:rsidR="00C117C4">
        <w:rPr>
          <w:rFonts w:ascii="Verdana" w:hAnsi="Verdana"/>
          <w:lang w:val="en-GB"/>
        </w:rPr>
        <w:t xml:space="preserve"> </w:t>
      </w:r>
      <w:r w:rsidR="00C117C4">
        <w:rPr>
          <w:rFonts w:ascii="Verdana" w:hAnsi="Verdana"/>
          <w:lang w:val="en-GB"/>
        </w:rPr>
        <w:fldChar w:fldCharType="begin"/>
      </w:r>
      <w:r w:rsidR="00C117C4">
        <w:rPr>
          <w:rFonts w:ascii="Verdana" w:hAnsi="Verdana"/>
          <w:lang w:val="en-GB"/>
        </w:rPr>
        <w:instrText xml:space="preserve"> ADDIN ZOTERO_ITEM CSL_CITATION {"citationID":"x6rihQU3","properties":{"formattedCitation":"(Garcia et al. 2020)","plainCitation":"(Garcia et al. 2020)","noteIndex":0},"citationItems":[{"id":288,"uris":["http://zotero.org/users/9330673/items/RCH8ZGUU"],"itemData":{"id":288,"type":"report","abstract":"Abstract\n          A key process of neurodegeneration in Parkinson’s disease (PD) is the transneuronal spreading of α-synuclein. Alpha-synuclein is a presynaptic protein that is implicated in the pathogenesis of PD and other synucleinopathies, where it forms, upon intracellular aggregation, pathological inclusions. Other hallmarks of PD include neurodegeneration and microgliosis in susceptible brain regions. Whether it is primarily transneuronal spreading of α-synuclein particles, inclusion formation, or other mechanisms, such as inflammation, that cause neurodegeneration in PD is unclear. We used spreading/aggregation of α-synuclein induced by intracerebral injection of α-synuclein preformed fibrils into the mouse brain to address this question. We performed quantitative histological analysis for α-synuclein inclusions, neurodegeneration, and microgliosis in different brain regions, and a gene expression profiling of the ventral midbrain, at two different timepoints after disease induction. We observed significant neurodegeneration and microgliosis in brain regions not only with, but also without α-synuclein inclusions. We also observed prominent microgliosis in injured brain regions that did not correlate with neurodegeneration nor with inclusion load. In longitudinal gene expression profiling experiments, we observed early and unique alterations linked to microglial mediated inflammation that preceded neurodegeneration, indicating an active role of microglia in inducing neurodegeneration. Our observations indicate that α-synuclein inclusion formation is not the major driver in the early phases of PD-like neurodegeneration, but that diffusible, oligomeric α-synuclein species, which induce unusual microglial reactivity, play a key role in this process. Our findings uncover new features of α-synuclein induced pathologies, in particular microgliosis, and point to the necessity of a broader view of the process of “prion-like spreading” of that protein.","genre":"preprint","language":"en","note":"DOI: 10.1101/2020.08.05.237750","publisher":"Neuroscience","source":"DOI.org (Crossref)","title":"Neurodegeneration and neuroinflammation are linked, but independent of &lt;b&gt;α&lt;/b&gt; -synuclein inclusions, in a seeding/spreading mouse model of Parkinson’s disease","URL":"http://biorxiv.org/lookup/doi/10.1101/2020.08.05.237750","author":[{"family":"Garcia","given":"Pierre"},{"family":"Jürgens-Wemheuer","given":"Wiebke"},{"family":"Uriarte","given":"Oihane"},{"family":"Schmit","given":"Kristopher J"},{"family":"Masuch","given":"Annette"},{"family":"Brioschi","given":"Simone"},{"family":"Weihofen","given":"Andreas"},{"family":"Koncina","given":"Eric"},{"family":"Coowar","given":"Djalil"},{"family":"Heurtaux","given":"Tony"},{"family":"Glaab","given":"Enrico"},{"family":"Balling","given":"Rudi"},{"family":"Sousa","given":"Carole"},{"family":"Michelucci","given":"Alessandro"},{"family":"Kaoma","given":"Tony"},{"family":"Nicot","given":"Nathalie"},{"family":"Pfander","given":"Tatjana"},{"family":"Schulz-Schaeffer","given":"Walter"},{"family":"Allouche","given":"Ahmad"},{"family":"Fischer","given":"Nicolas"},{"family":"Biber","given":"Knut"},{"family":"Mittelbronn","given":"Michel"},{"family":"Buttini","given":"Manuel"}],"accessed":{"date-parts":[["2022",4,5]]},"issued":{"date-parts":[["2020",8,6]]}}}],"schema":"https://github.com/citation-style-language/schema/raw/master/csl-citation.json"} </w:instrText>
      </w:r>
      <w:r w:rsidR="00C117C4">
        <w:rPr>
          <w:rFonts w:ascii="Verdana" w:hAnsi="Verdana"/>
          <w:lang w:val="en-GB"/>
        </w:rPr>
        <w:fldChar w:fldCharType="separate"/>
      </w:r>
      <w:r w:rsidR="00C117C4" w:rsidRPr="00C117C4">
        <w:rPr>
          <w:rFonts w:ascii="Verdana" w:hAnsi="Verdana"/>
        </w:rPr>
        <w:t>(Garcia et al. 2020)</w:t>
      </w:r>
      <w:r w:rsidR="00C117C4">
        <w:rPr>
          <w:rFonts w:ascii="Verdana" w:hAnsi="Verdana"/>
          <w:lang w:val="en-GB"/>
        </w:rPr>
        <w:fldChar w:fldCharType="end"/>
      </w:r>
      <w:r w:rsidR="009F5E90">
        <w:rPr>
          <w:rFonts w:ascii="Verdana" w:hAnsi="Verdana"/>
          <w:lang w:val="en-GB"/>
        </w:rPr>
        <w:t>.</w:t>
      </w:r>
      <w:r w:rsidR="00E52424">
        <w:rPr>
          <w:rFonts w:ascii="Verdana" w:hAnsi="Verdana"/>
          <w:lang w:val="en-GB"/>
        </w:rPr>
        <w:t xml:space="preserve"> </w:t>
      </w:r>
      <w:r w:rsidR="00615E87">
        <w:rPr>
          <w:rFonts w:ascii="Verdana" w:hAnsi="Verdana"/>
          <w:lang w:val="en-GB"/>
        </w:rPr>
        <w:t>We can therefore speculate that</w:t>
      </w:r>
      <w:r w:rsidR="00B24FE6">
        <w:rPr>
          <w:rFonts w:ascii="Verdana" w:hAnsi="Verdana"/>
          <w:lang w:val="en-GB"/>
        </w:rPr>
        <w:t xml:space="preserve"> microglia activating versus neuron damaging </w:t>
      </w:r>
      <w:r w:rsidR="00615E87">
        <w:rPr>
          <w:rFonts w:ascii="Verdana" w:hAnsi="Verdana"/>
          <w:lang w:val="en-GB"/>
        </w:rPr>
        <w:t xml:space="preserve">alpha-synuclein </w:t>
      </w:r>
      <w:r w:rsidR="00B24FE6">
        <w:rPr>
          <w:rFonts w:ascii="Verdana" w:hAnsi="Verdana"/>
          <w:lang w:val="en-GB"/>
        </w:rPr>
        <w:t>moie</w:t>
      </w:r>
      <w:r w:rsidR="00615E87">
        <w:rPr>
          <w:rFonts w:ascii="Verdana" w:hAnsi="Verdana"/>
          <w:lang w:val="en-GB"/>
        </w:rPr>
        <w:t>ties are produced in different quantities in different models</w:t>
      </w:r>
      <w:r w:rsidR="00A709DE">
        <w:rPr>
          <w:rFonts w:ascii="Verdana" w:hAnsi="Verdana"/>
          <w:lang w:val="en-GB"/>
        </w:rPr>
        <w:t xml:space="preserve">, thus </w:t>
      </w:r>
      <w:r w:rsidR="003B6703">
        <w:rPr>
          <w:rFonts w:ascii="Verdana" w:hAnsi="Verdana"/>
          <w:lang w:val="en-GB"/>
        </w:rPr>
        <w:t xml:space="preserve">explaining </w:t>
      </w:r>
      <w:r w:rsidR="00AE6BDD">
        <w:rPr>
          <w:rFonts w:ascii="Verdana" w:hAnsi="Verdana"/>
          <w:lang w:val="en-GB"/>
        </w:rPr>
        <w:t>variable neuroinflammatory phenotypes across mouse lines</w:t>
      </w:r>
      <w:r w:rsidR="00615E87">
        <w:rPr>
          <w:rFonts w:ascii="Verdana" w:hAnsi="Verdana"/>
          <w:lang w:val="en-GB"/>
        </w:rPr>
        <w:t>.</w:t>
      </w:r>
    </w:p>
    <w:p w14:paraId="4692C79A" w14:textId="6EBADF4B" w:rsidR="000E1722" w:rsidRDefault="000E1722" w:rsidP="000E1722">
      <w:pPr>
        <w:spacing w:line="360" w:lineRule="auto"/>
        <w:jc w:val="both"/>
        <w:rPr>
          <w:rFonts w:ascii="Verdana" w:hAnsi="Verdana"/>
          <w:lang w:val="en-GB"/>
        </w:rPr>
      </w:pPr>
      <w:r>
        <w:rPr>
          <w:rFonts w:ascii="Verdana" w:hAnsi="Verdana"/>
          <w:lang w:val="en-GB"/>
        </w:rPr>
        <w:t xml:space="preserve">Curli is a bacterial protein with amyloidogenic properties, which has been shown to stimulate alpha-synuclein aggregation and cause PD-like pathologies </w:t>
      </w:r>
      <w:r>
        <w:rPr>
          <w:rFonts w:ascii="Verdana" w:hAnsi="Verdana"/>
          <w:i/>
          <w:iCs/>
          <w:lang w:val="en-GB"/>
        </w:rPr>
        <w:t>in vivo</w:t>
      </w:r>
      <w:r>
        <w:rPr>
          <w:rFonts w:ascii="Verdana" w:hAnsi="Verdana"/>
          <w:lang w:val="en-GB"/>
        </w:rPr>
        <w:t xml:space="preserve"> </w:t>
      </w:r>
      <w:r>
        <w:rPr>
          <w:rFonts w:ascii="Verdana" w:hAnsi="Verdana"/>
          <w:lang w:val="en-GB"/>
        </w:rPr>
        <w:fldChar w:fldCharType="begin"/>
      </w:r>
      <w:r>
        <w:rPr>
          <w:rFonts w:ascii="Verdana" w:hAnsi="Verdana"/>
          <w:lang w:val="en-GB"/>
        </w:rPr>
        <w:instrText xml:space="preserve"> ADDIN ZOTERO_ITEM CSL_CITATION {"citationID":"zG6KfZil","properties":{"formattedCitation":"(Chen et al. 2016; Sampson et al. 2020)","plainCitation":"(Chen et al. 2016; Sampson et al. 2020)","noteIndex":0},"citationItems":[{"id":1960,"uris":["http://zotero.org/users/9330673/items/P9UZQGUY"],"itemData":{"id":1960,"type":"article-journal","container-title":"Scientific Reports","DOI":"10.1038/srep34477","ISSN":"2045-2322","issue":"1","journalAbbreviation":"Sci Rep","language":"en","page":"34477","source":"DOI.org (Crossref)","title":"Exposure to the Functional Bacterial Amyloid Protein Curli Enhances Alpha-Synuclein Aggregation in Aged Fischer 344 Rats and Caenorhabditis elegans","volume":"6","author":[{"family":"Chen","given":"Shu G."},{"family":"Stribinskis","given":"Vilius"},{"family":"Rane","given":"Madhavi J."},{"family":"Demuth","given":"Donald R."},{"family":"Gozal","given":"Evelyne"},{"family":"Roberts","given":"Andrew M."},{"family":"Jagadapillai","given":"Rekha"},{"family":"Liu","given":"Ruolan"},{"family":"Choe","given":"Kyonghwan"},{"family":"Shivakumar","given":"Bhooma"},{"family":"Son","given":"Francheska"},{"family":"Jin","given":"Shunying"},{"family":"Kerber","given":"Richard"},{"family":"Adame","given":"Anthony"},{"family":"Masliah","given":"Eliezer"},{"family":"Friedland","given":"Robert P."}],"issued":{"date-parts":[["2016",12]]}}},{"id":2097,"uris":["http://zotero.org/users/9330673/items/99PNBP3W"],"itemData":{"id":2097,"type":"article-journal","abstract":"Amyloids are a class of protein with unique self-aggregation properties, and their aberrant accumulation can lead to cellular dysfunctions associated with neurodegenerative diseases. While genetic and environmental factors can influence amyloid formation, molecular triggers and/or facilitators are not well defined. Growing evidence suggests that non-identical amyloid proteins may accelerate reciprocal amyloid aggregation in a prion-like fashion. While humans encode ~30 amyloidogenic proteins, the gut microbiome also produces functional amyloids. For example, curli are cell surface amyloid proteins abundantly expressed by certain gut bacteria. In mice overexpressing the human amyloid a-synuclein (aSyn), we reveal that colonization with curli-producing Escherichia coli promotes aSyn pathology in the gut and the brain. Curli expression is required for E. coli to exacerbate aSyn-induced behavioral deficits, including intestinal and motor impairments. Purified curli subunits accelerate aSyn aggregation in biochemical assays, while oral treatment of mice with a gut-restricted amyloid inhibitor prevents curli-mediated acceleration of pathology and behavioral abnormalities. We propose that exposure to microbial amyloids in the gastrointestinal tract can accelerate aSyn aggregation and disease in the gut and the brain.","container-title":"eLife","DOI":"10.7554/eLife.53111","ISSN":"2050-084X","language":"en","page":"e53111","source":"DOI.org (Crossref)","title":"A gut bacterial amyloid promotes α-synuclein aggregation and motor impairment in mice","volume":"9","author":[{"family":"Sampson","given":"Timothy R"},{"family":"Challis","given":"Collin"},{"family":"Jain","given":"Neha"},{"family":"Moiseyenko","given":"Anastasiya"},{"family":"Ladinsky","given":"Mark S"},{"family":"Shastri","given":"Gauri G"},{"family":"Thron","given":"Taren"},{"family":"Needham","given":"Brittany D"},{"family":"Horvath","given":"Istvan"},{"family":"Debelius","given":"Justine W"},{"family":"Janssen","given":"Stefan"},{"family":"Knight","given":"Rob"},{"family":"Wittung-Stafshede","given":"Pernilla"},{"family":"Gradinaru","given":"Viviana"},{"family":"Chapman","given":"Matthew"},{"family":"Mazmanian","given":"Sarkis K"}],"issued":{"date-parts":[["2020",2,11]]}}}],"schema":"https://github.com/citation-style-language/schema/raw/master/csl-citation.json"} </w:instrText>
      </w:r>
      <w:r>
        <w:rPr>
          <w:rFonts w:ascii="Verdana" w:hAnsi="Verdana"/>
          <w:lang w:val="en-GB"/>
        </w:rPr>
        <w:fldChar w:fldCharType="separate"/>
      </w:r>
      <w:r>
        <w:rPr>
          <w:rFonts w:ascii="Verdana" w:hAnsi="Verdana"/>
        </w:rPr>
        <w:t>(Chen et al. 2016; Sampson et al. 2020)</w:t>
      </w:r>
      <w:r>
        <w:rPr>
          <w:rFonts w:ascii="Verdana" w:hAnsi="Verdana"/>
          <w:lang w:val="en-GB"/>
        </w:rPr>
        <w:fldChar w:fldCharType="end"/>
      </w:r>
      <w:r>
        <w:rPr>
          <w:rFonts w:ascii="Verdana" w:hAnsi="Verdana"/>
          <w:lang w:val="en-GB"/>
        </w:rPr>
        <w:t xml:space="preserve">. </w:t>
      </w:r>
      <w:proofErr w:type="gramStart"/>
      <w:r>
        <w:rPr>
          <w:rFonts w:ascii="Verdana" w:hAnsi="Verdana"/>
          <w:lang w:val="en-GB"/>
        </w:rPr>
        <w:t>Similarly</w:t>
      </w:r>
      <w:proofErr w:type="gramEnd"/>
      <w:r>
        <w:rPr>
          <w:rFonts w:ascii="Verdana" w:hAnsi="Verdana"/>
          <w:lang w:val="en-GB"/>
        </w:rPr>
        <w:t xml:space="preserve"> to Chen and colleagues, we observed </w:t>
      </w:r>
      <w:r w:rsidR="00AF1376">
        <w:rPr>
          <w:rFonts w:ascii="Verdana" w:hAnsi="Verdana"/>
          <w:lang w:val="en-GB"/>
        </w:rPr>
        <w:t>alpha-synuclein protein</w:t>
      </w:r>
      <w:r>
        <w:rPr>
          <w:rFonts w:ascii="Verdana" w:hAnsi="Verdana"/>
          <w:lang w:val="en-GB"/>
        </w:rPr>
        <w:t xml:space="preserve"> accumulation in the gut of animals </w:t>
      </w:r>
      <w:proofErr w:type="spellStart"/>
      <w:r>
        <w:rPr>
          <w:rFonts w:ascii="Verdana" w:hAnsi="Verdana"/>
          <w:lang w:val="en-GB"/>
        </w:rPr>
        <w:t>gavaged</w:t>
      </w:r>
      <w:proofErr w:type="spellEnd"/>
      <w:r>
        <w:rPr>
          <w:rFonts w:ascii="Verdana" w:hAnsi="Verdana"/>
          <w:lang w:val="en-GB"/>
        </w:rPr>
        <w:t xml:space="preserve"> with Curli-producing </w:t>
      </w:r>
      <w:r>
        <w:rPr>
          <w:rFonts w:ascii="Verdana" w:hAnsi="Verdana"/>
          <w:i/>
          <w:iCs/>
          <w:lang w:val="en-GB"/>
        </w:rPr>
        <w:t>E. coli</w:t>
      </w:r>
      <w:r>
        <w:rPr>
          <w:rFonts w:ascii="Verdana" w:hAnsi="Verdana"/>
          <w:lang w:val="en-GB"/>
        </w:rPr>
        <w:t xml:space="preserve">. We did also detect increased levels of phosphorylated </w:t>
      </w:r>
      <w:r w:rsidR="00B05C4F">
        <w:rPr>
          <w:rFonts w:ascii="Verdana" w:hAnsi="Verdana"/>
          <w:lang w:val="en-GB"/>
        </w:rPr>
        <w:t>alpha-synuclein</w:t>
      </w:r>
      <w:r>
        <w:rPr>
          <w:rFonts w:ascii="Verdana" w:hAnsi="Verdana"/>
          <w:lang w:val="en-GB"/>
        </w:rPr>
        <w:t xml:space="preserve"> in the striatum and substantia nigra of Curli-exposed mice, a result which </w:t>
      </w:r>
      <w:proofErr w:type="gramStart"/>
      <w:r>
        <w:rPr>
          <w:rFonts w:ascii="Verdana" w:hAnsi="Verdana"/>
          <w:lang w:val="en-GB"/>
        </w:rPr>
        <w:t>is in agreement</w:t>
      </w:r>
      <w:proofErr w:type="gramEnd"/>
      <w:r>
        <w:rPr>
          <w:rFonts w:ascii="Verdana" w:hAnsi="Verdana"/>
          <w:lang w:val="en-GB"/>
        </w:rPr>
        <w:t xml:space="preserve"> with what reported by Sampson and colleagues. Furthermore, exposure to Curli exacerbated neurodegeneration in both brain regions. A diet poor in fibres has been shown to have dramatic effects on gut microbiota, forcing a foraging on host-secreted mucus glycoproteins and causing mucus erosion in return </w:t>
      </w:r>
      <w:r>
        <w:rPr>
          <w:rFonts w:ascii="Verdana" w:hAnsi="Verdana"/>
          <w:lang w:val="en-GB"/>
        </w:rPr>
        <w:fldChar w:fldCharType="begin"/>
      </w:r>
      <w:r>
        <w:rPr>
          <w:rFonts w:ascii="Verdana" w:hAnsi="Verdana"/>
          <w:lang w:val="en-GB"/>
        </w:rPr>
        <w:instrText xml:space="preserve"> ADDIN ZOTERO_ITEM CSL_CITATION {"citationID":"FB6cY3kV","properties":{"formattedCitation":"(Desai et al. 2016)","plainCitation":"(Desai et al. 2016)","noteIndex":0},"citationItems":[{"id":1959,"uris":["http://zotero.org/users/9330673/items/ERIUL999"],"itemData":{"id":1959,"type":"article-journal","container-title":"Cell","DOI":"10.1016/j.cell.2016.10.043","ISSN":"00928674","issue":"5","journalAbbreviation":"Cell","language":"en","page":"1339-1353.e21","source":"DOI.org (Crossref)","title":"A Dietary Fiber-Deprived Gut Microbiota Degrades the Colonic Mucus Barrier and Enhances Pathogen Susceptibility","volume":"167","author":[{"family":"Desai","given":"Mahesh S."},{"family":"Seekatz","given":"Anna M."},{"family":"Koropatkin","given":"Nicole M."},{"family":"Kamada","given":"Nobuhiko"},{"family":"Hickey","given":"Christina A."},{"family":"Wolter","given":"Mathis"},{"family":"Pudlo","given":"Nicholas A."},{"family":"Kitamoto","given":"Sho"},{"family":"Terrapon","given":"Nicolas"},{"family":"Muller","given":"Arnaud"},{"family":"Young","given":"Vincent B."},{"family":"Henrissat","given":"Bernard"},{"family":"Wilmes","given":"Paul"},{"family":"Stappenbeck","given":"Thaddeus S."},{"family":"Núñez","given":"Gabriel"},{"family":"Martens","given":"Eric C."}],"issued":{"date-parts":[["2016",11]]}}}],"schema":"https://github.com/citation-style-language/schema/raw/master/csl-citation.json"} </w:instrText>
      </w:r>
      <w:r>
        <w:rPr>
          <w:rFonts w:ascii="Verdana" w:hAnsi="Verdana"/>
          <w:lang w:val="en-GB"/>
        </w:rPr>
        <w:fldChar w:fldCharType="separate"/>
      </w:r>
      <w:r>
        <w:rPr>
          <w:rFonts w:ascii="Verdana" w:hAnsi="Verdana"/>
        </w:rPr>
        <w:t>(Desai et al. 2016)</w:t>
      </w:r>
      <w:r>
        <w:rPr>
          <w:rFonts w:ascii="Verdana" w:hAnsi="Verdana"/>
          <w:lang w:val="en-GB"/>
        </w:rPr>
        <w:fldChar w:fldCharType="end"/>
      </w:r>
      <w:r>
        <w:rPr>
          <w:rFonts w:ascii="Verdana" w:hAnsi="Verdana"/>
          <w:lang w:val="en-GB"/>
        </w:rPr>
        <w:t xml:space="preserve">. The thinning of the mucus layer determines impairments in the colonic barrier function, exposing the host to greater bacterial access </w:t>
      </w:r>
      <w:r>
        <w:rPr>
          <w:rFonts w:ascii="Verdana" w:hAnsi="Verdana"/>
          <w:lang w:val="en-GB"/>
        </w:rPr>
        <w:fldChar w:fldCharType="begin"/>
      </w:r>
      <w:r>
        <w:rPr>
          <w:rFonts w:ascii="Verdana" w:hAnsi="Verdana"/>
          <w:lang w:val="en-GB"/>
        </w:rPr>
        <w:instrText xml:space="preserve"> ADDIN ZOTERO_ITEM CSL_CITATION {"citationID":"nbP28Pt5","properties":{"formattedCitation":"(Desai et al. 2016)","plainCitation":"(Desai et al. 2016)","noteIndex":0},"citationItems":[{"id":1959,"uris":["http://zotero.org/users/9330673/items/ERIUL999"],"itemData":{"id":1959,"type":"article-journal","container-title":"Cell","DOI":"10.1016/j.cell.2016.10.043","ISSN":"00928674","issue":"5","journalAbbreviation":"Cell","language":"en","page":"1339-1353.e21","source":"DOI.org (Crossref)","title":"A Dietary Fiber-Deprived Gut Microbiota Degrades the Colonic Mucus Barrier and Enhances Pathogen Susceptibility","volume":"167","author":[{"family":"Desai","given":"Mahesh S."},{"family":"Seekatz","given":"Anna M."},{"family":"Koropatkin","given":"Nicole M."},{"family":"Kamada","given":"Nobuhiko"},{"family":"Hickey","given":"Christina A."},{"family":"Wolter","given":"Mathis"},{"family":"Pudlo","given":"Nicholas A."},{"family":"Kitamoto","given":"Sho"},{"family":"Terrapon","given":"Nicolas"},{"family":"Muller","given":"Arnaud"},{"family":"Young","given":"Vincent B."},{"family":"Henrissat","given":"Bernard"},{"family":"Wilmes","given":"Paul"},{"family":"Stappenbeck","given":"Thaddeus S."},{"family":"Núñez","given":"Gabriel"},{"family":"Martens","given":"Eric C."}],"issued":{"date-parts":[["2016",11]]}}}],"schema":"https://github.com/citation-style-language/schema/raw/master/csl-citation.json"} </w:instrText>
      </w:r>
      <w:r>
        <w:rPr>
          <w:rFonts w:ascii="Verdana" w:hAnsi="Verdana"/>
          <w:lang w:val="en-GB"/>
        </w:rPr>
        <w:fldChar w:fldCharType="separate"/>
      </w:r>
      <w:r>
        <w:rPr>
          <w:rFonts w:ascii="Verdana" w:hAnsi="Verdana"/>
        </w:rPr>
        <w:t>(Desai et al. 2016)</w:t>
      </w:r>
      <w:r>
        <w:rPr>
          <w:rFonts w:ascii="Verdana" w:hAnsi="Verdana"/>
          <w:lang w:val="en-GB"/>
        </w:rPr>
        <w:fldChar w:fldCharType="end"/>
      </w:r>
      <w:r>
        <w:rPr>
          <w:rFonts w:ascii="Verdana" w:hAnsi="Verdana"/>
          <w:lang w:val="en-GB"/>
        </w:rPr>
        <w:t xml:space="preserve">. In our model, fibre deprivation alone did not cause alpha-synuclein aggregation nor neurodegeneration, but it did exacerbate Curli-driven impairments, possibly </w:t>
      </w:r>
      <w:r>
        <w:rPr>
          <w:rFonts w:ascii="Verdana" w:hAnsi="Verdana"/>
          <w:lang w:val="en-GB"/>
        </w:rPr>
        <w:lastRenderedPageBreak/>
        <w:t xml:space="preserve">by increasing the myenteric plexus’ exposure to Curli-producing </w:t>
      </w:r>
      <w:r>
        <w:rPr>
          <w:rFonts w:ascii="Verdana" w:hAnsi="Verdana"/>
          <w:i/>
          <w:iCs/>
          <w:lang w:val="en-GB"/>
        </w:rPr>
        <w:t>E. coli</w:t>
      </w:r>
      <w:r>
        <w:rPr>
          <w:rFonts w:ascii="Verdana" w:hAnsi="Verdana"/>
          <w:lang w:val="en-GB"/>
        </w:rPr>
        <w:t xml:space="preserve">. In the present study, we did not elucidate the mechanism of alpha-synuclein pathology propagation from the ENS to the CNS. According to </w:t>
      </w:r>
      <w:proofErr w:type="spellStart"/>
      <w:r>
        <w:rPr>
          <w:rFonts w:ascii="Verdana" w:hAnsi="Verdana"/>
          <w:lang w:val="en-GB"/>
        </w:rPr>
        <w:t>Braak’s</w:t>
      </w:r>
      <w:proofErr w:type="spellEnd"/>
      <w:r>
        <w:rPr>
          <w:rFonts w:ascii="Verdana" w:hAnsi="Verdana"/>
          <w:lang w:val="en-GB"/>
        </w:rPr>
        <w:t xml:space="preserve"> spreading hypothesis,</w:t>
      </w:r>
      <w:r w:rsidR="00317BA6">
        <w:rPr>
          <w:rFonts w:ascii="Verdana" w:hAnsi="Verdana"/>
          <w:lang w:val="en-GB"/>
        </w:rPr>
        <w:t xml:space="preserve"> alpha-synuclein</w:t>
      </w:r>
      <w:r>
        <w:rPr>
          <w:rFonts w:ascii="Verdana" w:hAnsi="Verdana"/>
          <w:lang w:val="en-GB"/>
        </w:rPr>
        <w:t xml:space="preserve"> deposition starts in the dorsal motor nucleus of the vagus nerve, and gradually moves towards higher brain regions, causing the progressive appearance of non-motor and motor symptoms </w:t>
      </w:r>
      <w:r>
        <w:rPr>
          <w:rFonts w:ascii="Verdana" w:hAnsi="Verdana"/>
          <w:lang w:val="en-GB"/>
        </w:rPr>
        <w:fldChar w:fldCharType="begin"/>
      </w:r>
      <w:r>
        <w:rPr>
          <w:rFonts w:ascii="Verdana" w:hAnsi="Verdana"/>
          <w:lang w:val="en-GB"/>
        </w:rPr>
        <w:instrText xml:space="preserve"> ADDIN ZOTERO_ITEM CSL_CITATION {"citationID":"EV5xNnhV","properties":{"formattedCitation":"(Braak et al. 2003)","plainCitation":"(Braak et al. 2003)","noteIndex":0},"citationItems":[{"id":1939,"uris":["http://zotero.org/users/9330673/items/X8KWBW6X"],"itemData":{"id":1939,"type":"article-journal","abstract":"Sporadic Parkinson’s disease involves multiple neuronal systems and results from changes developing in a few susceptible types of nerve cells. Essential for neuropathological diagnosis are </w:instrText>
      </w:r>
      <w:r>
        <w:rPr>
          <w:rFonts w:ascii="MS Gothic" w:eastAsia="MS Gothic" w:hAnsi="MS Gothic" w:cs="MS Gothic" w:hint="eastAsia"/>
          <w:lang w:val="en-GB"/>
        </w:rPr>
        <w:instrText>␣</w:instrText>
      </w:r>
      <w:r>
        <w:rPr>
          <w:rFonts w:ascii="Verdana" w:hAnsi="Verdana"/>
          <w:lang w:val="en-GB"/>
        </w:rPr>
        <w:instrText>-synuclein-immunopositive Lewy neurites and Lewy bodies. The pathological process targets speci</w:instrText>
      </w:r>
      <w:r>
        <w:rPr>
          <w:rFonts w:ascii="Verdana" w:hAnsi="Verdana" w:cs="Verdana"/>
          <w:lang w:val="en-GB"/>
        </w:rPr>
        <w:instrText>ﬁ</w:instrText>
      </w:r>
      <w:r>
        <w:rPr>
          <w:rFonts w:ascii="Verdana" w:hAnsi="Verdana"/>
          <w:lang w:val="en-GB"/>
        </w:rPr>
        <w:instrText xml:space="preserve">c induction sites: lesions initially occur in the dorsal motor nucleus of the glossopharyngeal and vagal nerves and anterior olfactory nucleus. Thereafter, less vulnerable nuclear grays and cortical areas gradually become affected. The disease process in the brain stem pursues an ascending course with little interindividual variation. The pathology in the anterior olfactory nucleus makes fewer incursions into related areas than that developing in the brain stem. Cortical involvement ensues, beginning with the anteromedial temporal mesocortex. From there, the neocortex succumbs, commencing with high order sensory association and prefrontal areas. First order sensory association/premotor areas and primary sensory/motor ﬁelds then follow suit. This study traces the course of the pathology in incidental and symptomatic Parkinson cases proposing a staging procedure based upon the readily recognizable topographical extent of the lesions. © 2002 Published by Elsevier Science Inc.","container-title":"Neurobiology of Aging","DOI":"10.1016/S0197-4580(02)00065-9","ISSN":"01974580","issue":"2","journalAbbreviation":"Neurobiology of Aging","language":"en","page":"197-211","source":"DOI.org (Crossref)","title":"Staging of brain pathology related to sporadic Parkinson’s disease","volume":"24","author":[{"family":"Braak","given":"Heiko"},{"family":"Tredici","given":"Kelly Del"},{"family":"Rüb","given":"Udo"},{"family":"Vos","given":"Rob A.I","non-dropping-particle":"de"},{"family":"Jansen Steur","given":"Ernst N.H"},{"family":"Braak","given":"Eva"}],"issued":{"date-parts":[["2003",3]]}}}],"schema":"https://github.com/citation-style-language/schema/raw/master/csl-citation.json"} </w:instrText>
      </w:r>
      <w:r>
        <w:rPr>
          <w:rFonts w:ascii="Verdana" w:hAnsi="Verdana"/>
          <w:lang w:val="en-GB"/>
        </w:rPr>
        <w:fldChar w:fldCharType="separate"/>
      </w:r>
      <w:r>
        <w:rPr>
          <w:rFonts w:ascii="Verdana" w:hAnsi="Verdana"/>
        </w:rPr>
        <w:t>(Braak et al. 2003)</w:t>
      </w:r>
      <w:r>
        <w:rPr>
          <w:rFonts w:ascii="Verdana" w:hAnsi="Verdana"/>
          <w:lang w:val="en-GB"/>
        </w:rPr>
        <w:fldChar w:fldCharType="end"/>
      </w:r>
      <w:r>
        <w:rPr>
          <w:rFonts w:ascii="Verdana" w:hAnsi="Verdana"/>
          <w:lang w:val="en-GB"/>
        </w:rPr>
        <w:t xml:space="preserve">. Moreover, epidemiological studies have associated truncal vagotomy with lower risk of PD </w:t>
      </w:r>
      <w:r>
        <w:rPr>
          <w:rFonts w:ascii="Verdana" w:hAnsi="Verdana"/>
          <w:lang w:val="en-GB"/>
        </w:rPr>
        <w:fldChar w:fldCharType="begin"/>
      </w:r>
      <w:r>
        <w:rPr>
          <w:rFonts w:ascii="Verdana" w:hAnsi="Verdana"/>
          <w:lang w:val="en-GB"/>
        </w:rPr>
        <w:instrText xml:space="preserve"> ADDIN ZOTERO_ITEM CSL_CITATION {"citationID":"MHDCDri8","properties":{"formattedCitation":"(Liu et al. 2017)","plainCitation":"(Liu et al. 2017)","noteIndex":0},"citationItems":[{"id":1948,"uris":["http://zotero.org/users/9330673/items/WMDYX5JC"],"itemData":{"id":1948,"type":"article-journal","abstract":"Objective: To examine whether vagotomy decreases the risk of Parkinson disease (PD).\nMethods: Using data from nationwide Swedish registers, we conducted a matched-cohort study of 9,430 vagotomized patients (3,445 truncal and 5,978 selective) identified between 1970 and 2010 and 377,200 reference individuals from the general population individually matched to vagotomized patients by sex and year of birth with a 40:1 ratio. Participants were followed up from the date of vagotomy until PD diagnosis, death, emigration out of Sweden, or December 31, 2010, whichever occurred first. Vagotomy and PD were identified from the Swedish Patient Register. We estimated hazard ratios (HRs) with 95% confidence intervals (CIs) using Cox models stratified by matching variables, adjusting for country of birth, chronic obstructive pulmonary disease, diabetes mellitus, vascular diseases, rheumatologic disease, osteoarthritis, and comorbidity index.\nResults: A total of 4,930 cases of incident PD were identified during 7.3 million person-years of follow-up. PD incidence (per 100,000 person-years) was 61.8 among vagotomized patients (80.4 for truncal and 55.1 for selective) and 67.5 among reference individuals. Overall, vagotomy was not associated with PD risk (HR 0.96, 95% CI 0.78–1.17). However, there was a suggestion of lower risk among patients with truncal vagotomy (HR 0.78, 95% CI 0.55–1.09), which may be driven by truncal vagotomy at least 5 years before PD diagnosis (HR 0.59, 95% CI 0.37–0.93). Selective vagotomy was not related to PD risk in any analyses.\nConclusions: Although overall vagotomy was not associated the risk of PD, we found suggestive evidence for a potential protective effect of truncal, but not selective, vagotomy against PD development. Neurology® 2017;88:1–7","container-title":"Neurology","DOI":"10.1212/WNL.0000000000003961","ISSN":"0028-3878, 1526-632X","issue":"21","journalAbbreviation":"Neurology","language":"en","page":"1996-2002","source":"DOI.org (Crossref)","title":"Vagotomy and Parkinson disease: A Swedish register–based matched-cohort study","title-short":"Vagotomy and Parkinson disease","volume":"88","author":[{"family":"Liu","given":"Bojing"},{"family":"Fang","given":"Fang"},{"family":"Pedersen","given":"Nancy L."},{"family":"Tillander","given":"Annika"},{"family":"Ludvigsson","given":"Jonas F."},{"family":"Ekbom","given":"Anders"},{"family":"Svenningsson","given":"Per"},{"family":"Chen","given":"Honglei"},{"family":"Wirdefeldt","given":"Karin"}],"issued":{"date-parts":[["2017",5,23]]}}}],"schema":"https://github.com/citation-style-language/schema/raw/master/csl-citation.json"} </w:instrText>
      </w:r>
      <w:r>
        <w:rPr>
          <w:rFonts w:ascii="Verdana" w:hAnsi="Verdana"/>
          <w:lang w:val="en-GB"/>
        </w:rPr>
        <w:fldChar w:fldCharType="separate"/>
      </w:r>
      <w:r>
        <w:rPr>
          <w:rFonts w:ascii="Verdana" w:hAnsi="Verdana"/>
        </w:rPr>
        <w:t>(Liu et al. 2017)</w:t>
      </w:r>
      <w:r>
        <w:rPr>
          <w:rFonts w:ascii="Verdana" w:hAnsi="Verdana"/>
          <w:lang w:val="en-GB"/>
        </w:rPr>
        <w:fldChar w:fldCharType="end"/>
      </w:r>
      <w:r>
        <w:rPr>
          <w:rFonts w:ascii="Verdana" w:hAnsi="Verdana"/>
          <w:lang w:val="en-GB"/>
        </w:rPr>
        <w:t xml:space="preserve">. Propagation of </w:t>
      </w:r>
      <w:r w:rsidR="00BD2EDB">
        <w:rPr>
          <w:rFonts w:ascii="Verdana" w:hAnsi="Verdana"/>
          <w:lang w:val="en-GB"/>
        </w:rPr>
        <w:t>alpha-synuclein</w:t>
      </w:r>
      <w:r>
        <w:rPr>
          <w:rFonts w:ascii="Verdana" w:hAnsi="Verdana"/>
          <w:lang w:val="en-GB"/>
        </w:rPr>
        <w:t xml:space="preserve"> pathology through the vagus was investigated by Kim and colleagues by injection of </w:t>
      </w:r>
      <w:r w:rsidR="00BD2EDB">
        <w:rPr>
          <w:rFonts w:ascii="Verdana" w:hAnsi="Verdana"/>
          <w:lang w:val="en-GB"/>
        </w:rPr>
        <w:t>alpha-synuclein</w:t>
      </w:r>
      <w:r>
        <w:rPr>
          <w:rFonts w:ascii="Verdana" w:hAnsi="Verdana"/>
          <w:lang w:val="en-GB"/>
        </w:rPr>
        <w:t xml:space="preserve"> pre-formed fibrils in the gastro-intestinal tract of non-transgenic mice </w:t>
      </w:r>
      <w:r>
        <w:rPr>
          <w:rFonts w:ascii="Verdana" w:hAnsi="Verdana"/>
          <w:lang w:val="en-GB"/>
        </w:rPr>
        <w:fldChar w:fldCharType="begin"/>
      </w:r>
      <w:r w:rsidR="001D685B">
        <w:rPr>
          <w:rFonts w:ascii="Verdana" w:hAnsi="Verdana"/>
          <w:lang w:val="en-GB"/>
        </w:rPr>
        <w:instrText xml:space="preserve"> ADDIN ZOTERO_ITEM CSL_CITATION {"citationID":"IqnCnjWy","properties":{"formattedCitation":"(S. Kim et al. 2019)","plainCitation":"(S. Kim et al. 2019)","noteIndex":0},"citationItems":[{"id":1958,"uris":["http://zotero.org/users/9330673/items/7D6MTTIM"],"itemData":{"id":1958,"type":"article-journal","abstract":"Analysis of human pathology led Braak to postulate that α-synuclein (α-syn) pathology could spread from the gut to brain, via the vagus nerve. Here, we test this postulate by assessing αsynucleinopathy in the brain in a novel gut-to-brain α-syn transmission mouse model, where pathological α-syn preformed fibrils were injected into the duodenal and pyloric muscularis layer. Spread of pathologic α-syn in brain, as assessed by phosphorylation of serine 129 of α-syn, was observed first in the dorsal motor nucleus, then in caudal portions of the hindbrain including the locus coeruleus, and much later in basolateral amygdala, dorsal raphe nucleus, and the substantia nigra pars compacta. Moreover, loss of dopaminergic neurons, motor and non-motor symptoms were observed in a similar temporal manner. Truncal vagotomy and α-syn deficiency prevented the gut-to-brain spread of α-synucleinopathy and associated neurodegeneration and behavioral deficits. This study supports the Braak hypothesis in the etiology of idiopathic PD.","container-title":"Neuron","DOI":"10.1016/j.neuron.2019.05.035","ISSN":"08966273","issue":"4","journalAbbreviation":"Neuron","language":"en","page":"627-641.e7","source":"DOI.org (Crossref)","title":"Transneuronal Propagation of Pathologic α-Synuclein from the Gut to the Brain Models Parkinson’s Disease","volume":"103","author":[{"family":"Kim","given":"Sangjune"},{"family":"Kwon","given":"Seung-Hwan"},{"family":"Kam","given":"Tae-In"},{"family":"Panicker","given":"Nikhil"},{"family":"Karuppagounder","given":"Senthilkumar S."},{"family":"Lee","given":"Saebom"},{"family":"Lee","given":"Jun Hee"},{"family":"Kim","given":"Wonjoong Richard"},{"family":"Kook","given":"Minjee"},{"family":"Foss","given":"Catherine A."},{"family":"Shen","given":"Chentian"},{"family":"Lee","given":"Hojae"},{"family":"Kulkarni","given":"Subhash"},{"family":"Pasricha","given":"Pankaj J."},{"family":"Lee","given":"Gabsang"},{"family":"Pomper","given":"Martin G."},{"family":"Dawson","given":"Valina L."},{"family":"Dawson","given":"Ted M."},{"family":"Ko","given":"Han Seok"}],"issued":{"date-parts":[["2019",8]]}}}],"schema":"https://github.com/citation-style-language/schema/raw/master/csl-citation.json"} </w:instrText>
      </w:r>
      <w:r>
        <w:rPr>
          <w:rFonts w:ascii="Verdana" w:hAnsi="Verdana"/>
          <w:lang w:val="en-GB"/>
        </w:rPr>
        <w:fldChar w:fldCharType="separate"/>
      </w:r>
      <w:r w:rsidR="001D685B" w:rsidRPr="001D685B">
        <w:rPr>
          <w:rFonts w:ascii="Verdana" w:hAnsi="Verdana"/>
        </w:rPr>
        <w:t>(S. Kim et al. 2019)</w:t>
      </w:r>
      <w:r>
        <w:rPr>
          <w:rFonts w:ascii="Verdana" w:hAnsi="Verdana"/>
          <w:lang w:val="en-GB"/>
        </w:rPr>
        <w:fldChar w:fldCharType="end"/>
      </w:r>
      <w:r>
        <w:rPr>
          <w:rFonts w:ascii="Verdana" w:hAnsi="Verdana"/>
          <w:lang w:val="en-GB"/>
        </w:rPr>
        <w:t xml:space="preserve">. They reported phosphorylated </w:t>
      </w:r>
      <w:r w:rsidR="00B05C4F">
        <w:rPr>
          <w:rFonts w:ascii="Verdana" w:hAnsi="Verdana"/>
          <w:lang w:val="en-GB"/>
        </w:rPr>
        <w:t>alpha-synuclein</w:t>
      </w:r>
      <w:r>
        <w:rPr>
          <w:rFonts w:ascii="Verdana" w:hAnsi="Verdana"/>
          <w:lang w:val="en-GB"/>
        </w:rPr>
        <w:t xml:space="preserve"> accumulations in the SN at 3-months after injection, and significant neurodegeneration at 7-months  </w:t>
      </w:r>
      <w:r>
        <w:rPr>
          <w:rFonts w:ascii="Verdana" w:hAnsi="Verdana"/>
          <w:lang w:val="en-GB"/>
        </w:rPr>
        <w:fldChar w:fldCharType="begin"/>
      </w:r>
      <w:r w:rsidR="001D685B">
        <w:rPr>
          <w:rFonts w:ascii="Verdana" w:hAnsi="Verdana"/>
          <w:lang w:val="en-GB"/>
        </w:rPr>
        <w:instrText xml:space="preserve"> ADDIN ZOTERO_ITEM CSL_CITATION {"citationID":"0bif8vcH","properties":{"formattedCitation":"(S. Kim et al. 2019)","plainCitation":"(S. Kim et al. 2019)","noteIndex":0},"citationItems":[{"id":1958,"uris":["http://zotero.org/users/9330673/items/7D6MTTIM"],"itemData":{"id":1958,"type":"article-journal","abstract":"Analysis of human pathology led Braak to postulate that α-synuclein (α-syn) pathology could spread from the gut to brain, via the vagus nerve. Here, we test this postulate by assessing αsynucleinopathy in the brain in a novel gut-to-brain α-syn transmission mouse model, where pathological α-syn preformed fibrils were injected into the duodenal and pyloric muscularis layer. Spread of pathologic α-syn in brain, as assessed by phosphorylation of serine 129 of α-syn, was observed first in the dorsal motor nucleus, then in caudal portions of the hindbrain including the locus coeruleus, and much later in basolateral amygdala, dorsal raphe nucleus, and the substantia nigra pars compacta. Moreover, loss of dopaminergic neurons, motor and non-motor symptoms were observed in a similar temporal manner. Truncal vagotomy and α-syn deficiency prevented the gut-to-brain spread of α-synucleinopathy and associated neurodegeneration and behavioral deficits. This study supports the Braak hypothesis in the etiology of idiopathic PD.","container-title":"Neuron","DOI":"10.1016/j.neuron.2019.05.035","ISSN":"08966273","issue":"4","journalAbbreviation":"Neuron","language":"en","page":"627-641.e7","source":"DOI.org (Crossref)","title":"Transneuronal Propagation of Pathologic α-Synuclein from the Gut to the Brain Models Parkinson’s Disease","volume":"103","author":[{"family":"Kim","given":"Sangjune"},{"family":"Kwon","given":"Seung-Hwan"},{"family":"Kam","given":"Tae-In"},{"family":"Panicker","given":"Nikhil"},{"family":"Karuppagounder","given":"Senthilkumar S."},{"family":"Lee","given":"Saebom"},{"family":"Lee","given":"Jun Hee"},{"family":"Kim","given":"Wonjoong Richard"},{"family":"Kook","given":"Minjee"},{"family":"Foss","given":"Catherine A."},{"family":"Shen","given":"Chentian"},{"family":"Lee","given":"Hojae"},{"family":"Kulkarni","given":"Subhash"},{"family":"Pasricha","given":"Pankaj J."},{"family":"Lee","given":"Gabsang"},{"family":"Pomper","given":"Martin G."},{"family":"Dawson","given":"Valina L."},{"family":"Dawson","given":"Ted M."},{"family":"Ko","given":"Han Seok"}],"issued":{"date-parts":[["2019",8]]}}}],"schema":"https://github.com/citation-style-language/schema/raw/master/csl-citation.json"} </w:instrText>
      </w:r>
      <w:r>
        <w:rPr>
          <w:rFonts w:ascii="Verdana" w:hAnsi="Verdana"/>
          <w:lang w:val="en-GB"/>
        </w:rPr>
        <w:fldChar w:fldCharType="separate"/>
      </w:r>
      <w:r w:rsidR="001D685B" w:rsidRPr="001D685B">
        <w:rPr>
          <w:rFonts w:ascii="Verdana" w:hAnsi="Verdana"/>
        </w:rPr>
        <w:t>(S. Kim et al. 2019)</w:t>
      </w:r>
      <w:r>
        <w:rPr>
          <w:rFonts w:ascii="Verdana" w:hAnsi="Verdana"/>
          <w:lang w:val="en-GB"/>
        </w:rPr>
        <w:fldChar w:fldCharType="end"/>
      </w:r>
      <w:r>
        <w:rPr>
          <w:rFonts w:ascii="Verdana" w:hAnsi="Verdana"/>
          <w:lang w:val="en-GB"/>
        </w:rPr>
        <w:t>. Furthermore, truncal vagotomy abolished</w:t>
      </w:r>
      <w:r w:rsidR="00C46EB9">
        <w:rPr>
          <w:rFonts w:ascii="Verdana" w:hAnsi="Verdana"/>
          <w:lang w:val="en-GB"/>
        </w:rPr>
        <w:t xml:space="preserve"> alpha-synuclein</w:t>
      </w:r>
      <w:r>
        <w:rPr>
          <w:rFonts w:ascii="Verdana" w:hAnsi="Verdana"/>
          <w:lang w:val="en-GB"/>
        </w:rPr>
        <w:t xml:space="preserve"> spreading </w:t>
      </w:r>
      <w:r>
        <w:rPr>
          <w:rFonts w:ascii="Verdana" w:hAnsi="Verdana"/>
          <w:lang w:val="en-GB"/>
        </w:rPr>
        <w:fldChar w:fldCharType="begin"/>
      </w:r>
      <w:r w:rsidR="001D685B">
        <w:rPr>
          <w:rFonts w:ascii="Verdana" w:hAnsi="Verdana"/>
          <w:lang w:val="en-GB"/>
        </w:rPr>
        <w:instrText xml:space="preserve"> ADDIN ZOTERO_ITEM CSL_CITATION {"citationID":"vVJ01QJ9","properties":{"formattedCitation":"(S. Kim et al. 2019)","plainCitation":"(S. Kim et al. 2019)","noteIndex":0},"citationItems":[{"id":1958,"uris":["http://zotero.org/users/9330673/items/7D6MTTIM"],"itemData":{"id":1958,"type":"article-journal","abstract":"Analysis of human pathology led Braak to postulate that α-synuclein (α-syn) pathology could spread from the gut to brain, via the vagus nerve. Here, we test this postulate by assessing αsynucleinopathy in the brain in a novel gut-to-brain α-syn transmission mouse model, where pathological α-syn preformed fibrils were injected into the duodenal and pyloric muscularis layer. Spread of pathologic α-syn in brain, as assessed by phosphorylation of serine 129 of α-syn, was observed first in the dorsal motor nucleus, then in caudal portions of the hindbrain including the locus coeruleus, and much later in basolateral amygdala, dorsal raphe nucleus, and the substantia nigra pars compacta. Moreover, loss of dopaminergic neurons, motor and non-motor symptoms were observed in a similar temporal manner. Truncal vagotomy and α-syn deficiency prevented the gut-to-brain spread of α-synucleinopathy and associated neurodegeneration and behavioral deficits. This study supports the Braak hypothesis in the etiology of idiopathic PD.","container-title":"Neuron","DOI":"10.1016/j.neuron.2019.05.035","ISSN":"08966273","issue":"4","journalAbbreviation":"Neuron","language":"en","page":"627-641.e7","source":"DOI.org (Crossref)","title":"Transneuronal Propagation of Pathologic α-Synuclein from the Gut to the Brain Models Parkinson’s Disease","volume":"103","author":[{"family":"Kim","given":"Sangjune"},{"family":"Kwon","given":"Seung-Hwan"},{"family":"Kam","given":"Tae-In"},{"family":"Panicker","given":"Nikhil"},{"family":"Karuppagounder","given":"Senthilkumar S."},{"family":"Lee","given":"Saebom"},{"family":"Lee","given":"Jun Hee"},{"family":"Kim","given":"Wonjoong Richard"},{"family":"Kook","given":"Minjee"},{"family":"Foss","given":"Catherine A."},{"family":"Shen","given":"Chentian"},{"family":"Lee","given":"Hojae"},{"family":"Kulkarni","given":"Subhash"},{"family":"Pasricha","given":"Pankaj J."},{"family":"Lee","given":"Gabsang"},{"family":"Pomper","given":"Martin G."},{"family":"Dawson","given":"Valina L."},{"family":"Dawson","given":"Ted M."},{"family":"Ko","given":"Han Seok"}],"issued":{"date-parts":[["2019",8]]}}}],"schema":"https://github.com/citation-style-language/schema/raw/master/csl-citation.json"} </w:instrText>
      </w:r>
      <w:r>
        <w:rPr>
          <w:rFonts w:ascii="Verdana" w:hAnsi="Verdana"/>
          <w:lang w:val="en-GB"/>
        </w:rPr>
        <w:fldChar w:fldCharType="separate"/>
      </w:r>
      <w:r w:rsidR="001D685B" w:rsidRPr="001D685B">
        <w:rPr>
          <w:rFonts w:ascii="Verdana" w:hAnsi="Verdana"/>
        </w:rPr>
        <w:t>(S. Kim et al. 2019)</w:t>
      </w:r>
      <w:r>
        <w:rPr>
          <w:rFonts w:ascii="Verdana" w:hAnsi="Verdana"/>
          <w:lang w:val="en-GB"/>
        </w:rPr>
        <w:fldChar w:fldCharType="end"/>
      </w:r>
      <w:r>
        <w:rPr>
          <w:rFonts w:ascii="Verdana" w:hAnsi="Verdana"/>
          <w:lang w:val="en-GB"/>
        </w:rPr>
        <w:t>. Overall, our results support the hypothesis of a gut-brain axis in PD, and the combinatorial action of genetic and life-style factors in disease</w:t>
      </w:r>
      <w:r w:rsidR="00A4039C">
        <w:rPr>
          <w:rFonts w:ascii="Verdana" w:hAnsi="Verdana"/>
          <w:lang w:val="en-GB"/>
        </w:rPr>
        <w:t xml:space="preserve"> initiation and</w:t>
      </w:r>
      <w:r>
        <w:rPr>
          <w:rFonts w:ascii="Verdana" w:hAnsi="Verdana"/>
          <w:lang w:val="en-GB"/>
        </w:rPr>
        <w:t xml:space="preserve"> progression, reinforcing the role of life-style adaptations in disease prevention and/or mitigation.</w:t>
      </w:r>
    </w:p>
    <w:p w14:paraId="08003E68" w14:textId="77777777" w:rsidR="000E1722" w:rsidRDefault="000E1722" w:rsidP="000E1722">
      <w:pPr>
        <w:spacing w:line="360" w:lineRule="auto"/>
        <w:jc w:val="both"/>
        <w:rPr>
          <w:rFonts w:ascii="Verdana" w:hAnsi="Verdana"/>
          <w:lang w:val="en-GB"/>
        </w:rPr>
      </w:pPr>
    </w:p>
    <w:p w14:paraId="0C66DEFF" w14:textId="77777777" w:rsidR="000E1722" w:rsidRDefault="000E1722" w:rsidP="000E1722">
      <w:pPr>
        <w:spacing w:line="360" w:lineRule="auto"/>
        <w:jc w:val="both"/>
        <w:rPr>
          <w:rFonts w:ascii="Verdana" w:hAnsi="Verdana"/>
          <w:b/>
          <w:bCs/>
          <w:lang w:val="en-GB"/>
        </w:rPr>
      </w:pPr>
      <w:r>
        <w:rPr>
          <w:rFonts w:ascii="Verdana" w:hAnsi="Verdana"/>
          <w:b/>
          <w:bCs/>
          <w:lang w:val="en-GB"/>
        </w:rPr>
        <w:t>Common features across the SNCA*E46K, Park7</w:t>
      </w:r>
      <w:r>
        <w:rPr>
          <w:rFonts w:ascii="Verdana" w:hAnsi="Verdana"/>
          <w:b/>
          <w:bCs/>
          <w:vertAlign w:val="superscript"/>
          <w:lang w:val="en-GB"/>
        </w:rPr>
        <w:t xml:space="preserve">-/- </w:t>
      </w:r>
      <w:r>
        <w:rPr>
          <w:rFonts w:ascii="Verdana" w:hAnsi="Verdana"/>
          <w:b/>
          <w:bCs/>
          <w:lang w:val="en-GB"/>
        </w:rPr>
        <w:t>and Thy1-Syn14 models</w:t>
      </w:r>
    </w:p>
    <w:p w14:paraId="61858D7D" w14:textId="77777777" w:rsidR="000E1722" w:rsidRDefault="000E1722" w:rsidP="000E1722">
      <w:pPr>
        <w:spacing w:line="360" w:lineRule="auto"/>
        <w:jc w:val="both"/>
        <w:rPr>
          <w:rFonts w:ascii="Verdana" w:hAnsi="Verdana"/>
          <w:lang w:val="en-GB"/>
        </w:rPr>
      </w:pPr>
      <w:r>
        <w:rPr>
          <w:rFonts w:ascii="Verdana" w:hAnsi="Verdana"/>
          <w:lang w:val="en-GB"/>
        </w:rPr>
        <w:t xml:space="preserve">Even if based on different constructs, the </w:t>
      </w:r>
      <w:proofErr w:type="gramStart"/>
      <w:r>
        <w:rPr>
          <w:rFonts w:ascii="Verdana" w:hAnsi="Verdana"/>
          <w:lang w:val="en-GB"/>
        </w:rPr>
        <w:t>three mouse</w:t>
      </w:r>
      <w:proofErr w:type="gramEnd"/>
      <w:r>
        <w:rPr>
          <w:rFonts w:ascii="Verdana" w:hAnsi="Verdana"/>
          <w:lang w:val="en-GB"/>
        </w:rPr>
        <w:t xml:space="preserve"> model investigated did present some commonalities. Shared features between models might be worth to take into consideration, since they could highlight biologically relevant mechanisms involved in disease initiation and progression. Additionally, some of the discussed aspects play an important role in the obtained study results, and thus are worth considering during the initial study design.</w:t>
      </w:r>
    </w:p>
    <w:p w14:paraId="5B91DEBB" w14:textId="58BF1169" w:rsidR="000E1722" w:rsidRDefault="000E1722" w:rsidP="000E1722">
      <w:pPr>
        <w:spacing w:line="360" w:lineRule="auto"/>
        <w:jc w:val="both"/>
        <w:rPr>
          <w:rFonts w:ascii="Verdana" w:hAnsi="Verdana"/>
          <w:lang w:val="en-GB"/>
        </w:rPr>
      </w:pPr>
      <w:r>
        <w:rPr>
          <w:rFonts w:ascii="Verdana" w:hAnsi="Verdana"/>
          <w:lang w:val="en-GB"/>
        </w:rPr>
        <w:t>First of all, we detected obvious sex-differences in the SNCA*</w:t>
      </w:r>
      <w:proofErr w:type="gramStart"/>
      <w:r>
        <w:rPr>
          <w:rFonts w:ascii="Verdana" w:hAnsi="Verdana"/>
          <w:lang w:val="en-GB"/>
        </w:rPr>
        <w:t>E46K</w:t>
      </w:r>
      <w:proofErr w:type="gramEnd"/>
      <w:r>
        <w:rPr>
          <w:rFonts w:ascii="Verdana" w:hAnsi="Verdana"/>
          <w:lang w:val="en-GB"/>
        </w:rPr>
        <w:t xml:space="preserve"> and DJ-1 KO models in terms of gene expression changes. The number of DEGs differed from male to female mice, with one sex being more affected by transcriptional changes than the other. Furthermore, transcriptional changes appeared to be a function of age and region. For example, in SNCA*E46K mice the highest number of DEGs was detected at 3-months of age in the midbrain, </w:t>
      </w:r>
      <w:r>
        <w:rPr>
          <w:rFonts w:ascii="Verdana" w:hAnsi="Verdana"/>
          <w:lang w:val="en-GB"/>
        </w:rPr>
        <w:lastRenderedPageBreak/>
        <w:t>but at 8- and 14-months of age in the hippocampus, with the other timepoints showing few to none deregulated genes. Similar results were observed when comparing 3- and 8-months old DJ-1 KO mice. For Thy1-Syn14 mice, transcriptomic analyses are available only for female mice at young (3-months) and old (14-months) ages. Even if no transcriptional changes were observed at the investigated timepoints, we cannot exclude that transcriptional deregulation occurs</w:t>
      </w:r>
      <w:r w:rsidR="00F36479">
        <w:rPr>
          <w:rFonts w:ascii="Verdana" w:hAnsi="Verdana"/>
          <w:lang w:val="en-GB"/>
        </w:rPr>
        <w:t xml:space="preserve"> at another age</w:t>
      </w:r>
      <w:r>
        <w:rPr>
          <w:rFonts w:ascii="Verdana" w:hAnsi="Verdana"/>
          <w:lang w:val="en-GB"/>
        </w:rPr>
        <w:t xml:space="preserve">, nor we can be sure that male mice will show the same results. Sex-dimorphism was observed in SNCA*E46K mice and, to lesser extent in Thy1-Syn14 mice, also in terms of behavioural performance. Male transgenic SNCA*E46K mice showed stronger impairments in both the adhesive removal and the Y-maze tests. Male and female Thy1-Syn14 mice were evaluated together only at 6-months of age. At this timepoint, male transgenic mice showed some clasping phenotype (4/9 mice presented a clasping score of 1), while all transgenic females were scored 0. </w:t>
      </w:r>
      <w:proofErr w:type="gramStart"/>
      <w:r>
        <w:rPr>
          <w:rFonts w:ascii="Verdana" w:hAnsi="Verdana"/>
          <w:lang w:val="en-GB"/>
        </w:rPr>
        <w:t>Despite the fact that</w:t>
      </w:r>
      <w:proofErr w:type="gramEnd"/>
      <w:r>
        <w:rPr>
          <w:rFonts w:ascii="Verdana" w:hAnsi="Verdana"/>
          <w:lang w:val="en-GB"/>
        </w:rPr>
        <w:t xml:space="preserve"> Thy1-Syn14 transgenic male mice were significantly impaired already at 3-months of age, they did not show motor deficits in the adhesive removal test at 6-months while females did. Taken together, our results underline the importance of investigating both male and female mice, even when results of specific experiments at specific times do not show obvious differences between genders and might lead to the wrong conclusion that no sex-specific dissimilarities are present in the model at all. Furthermore, we highlight the importance of looking at the right timepoint, especially when evaluating dynamic processes such as gene expression regulation and transcriptional changes</w:t>
      </w:r>
      <w:r w:rsidR="000D5A63">
        <w:rPr>
          <w:rFonts w:ascii="Verdana" w:hAnsi="Verdana"/>
          <w:lang w:val="en-GB"/>
        </w:rPr>
        <w:t xml:space="preserve">, </w:t>
      </w:r>
      <w:r w:rsidR="00C341FF">
        <w:rPr>
          <w:rFonts w:ascii="Verdana" w:hAnsi="Verdana"/>
          <w:lang w:val="en-GB"/>
        </w:rPr>
        <w:t>or phenotypes that can change over time such as behavioural impairments</w:t>
      </w:r>
      <w:r>
        <w:rPr>
          <w:rFonts w:ascii="Verdana" w:hAnsi="Verdana"/>
          <w:lang w:val="en-GB"/>
        </w:rPr>
        <w:t>.</w:t>
      </w:r>
    </w:p>
    <w:p w14:paraId="40DECD90" w14:textId="68AD1A5A" w:rsidR="00181ECC" w:rsidRPr="00433EFA" w:rsidRDefault="000E1722" w:rsidP="00433EFA">
      <w:pPr>
        <w:spacing w:line="360" w:lineRule="auto"/>
        <w:jc w:val="both"/>
        <w:rPr>
          <w:rFonts w:ascii="Verdana" w:hAnsi="Verdana"/>
          <w:lang w:val="en-GB"/>
        </w:rPr>
      </w:pPr>
      <w:r>
        <w:rPr>
          <w:rFonts w:ascii="Verdana" w:hAnsi="Verdana"/>
          <w:lang w:val="en-GB"/>
        </w:rPr>
        <w:t xml:space="preserve">Another common feature to the investigated alpha-synuclein overexpression models is the apparent lack of microglial involvement, an aspect that is not new in the field and that may have contributed to the under-investigation of neuroinflammation as a main pathological process in PD. Even if by indirect means, we did not observe evidence for microglial response in SNCA*E46K transgenic animals (via analysis of de-regulated pathways in both midbrain and hippocampus), nor in Thy1-Syn14 transgenic animals (via staining of Iba1 positive cells). In other models, the overexpression of alpha-synuclein alone has been shown to determine microglial activation </w:t>
      </w:r>
      <w:r>
        <w:rPr>
          <w:rFonts w:ascii="Verdana" w:hAnsi="Verdana"/>
          <w:lang w:val="en-GB"/>
        </w:rPr>
        <w:fldChar w:fldCharType="begin"/>
      </w:r>
      <w:r>
        <w:rPr>
          <w:rFonts w:ascii="Verdana" w:hAnsi="Verdana"/>
          <w:lang w:val="en-GB"/>
        </w:rPr>
        <w:instrText xml:space="preserve"> ADDIN ZOTERO_ITEM CSL_CITATION {"citationID":"AGsnqs12","properties":{"formattedCitation":"(Su et al. 2008)","plainCitation":"(Su et al. 2008)","noteIndex":0},"citationItems":[{"id":2066,"uris":["http://zotero.org/users/9330673/items/JUVURIEC"],"itemData":{"id":2066,"type":"article-journal","abstract":"Parkinson’s disease (PD) is the most common neurodegenerative movement disorder afflicting &gt;500,000 patients in the United States alone. This age-related progressive disorder is typified by invariant loss of dopaminergic substantia nigra neurons (DAN), dystrophic neurites, the presence of α-synuclein (SYN) positive intracytoplasmic inclusions (Lewy bodies) in the remaining DAN, and activated microglia. As such, microglial activation and resultant increase in proinflammatory molecules have moved to the forefront of PD research as a potential pathobiologic mechanism of disease. Herein, we present data demonstrating early microglial activation in mice that over-express wild-type SYN, the release of SYN from a SYN overexpressing MN9D cell line, and dose-dependent SYN-mediated activation of primary microglial cultures with consequent increases in proinflammatory molecules. Furthermore, we provide evidence that the CD36 scavenger receptor and downstream kinases are involved in SYN-mediated microglial activation. Together, our data suggest an early role for SYN and inflammation in PD pathogenesis.","container-title":"Neurobiology of Aging","DOI":"10.1016/j.neurobiolaging.2007.04.006","ISSN":"01974580","issue":"11","journalAbbreviation":"Neurobiology of Aging","language":"en","page":"1690-1701","source":"DOI.org (Crossref)","title":"Synuclein activates microglia in a model of Parkinson's disease","volume":"29","author":[{"family":"Su","given":"Xiaomin"},{"family":"Maguire-Zeiss","given":"Kathleen A."},{"family":"Giuliano","given":"Rita"},{"family":"Prifti","given":"Landa"},{"family":"Venkatesh","given":"Karthik"},{"family":"Federoff","given":"Howard J."}],"issued":{"date-parts":[["2008",11]]}}}],"schema":"https://github.com/citation-style-language/schema/raw/master/csl-citation.json"} </w:instrText>
      </w:r>
      <w:r>
        <w:rPr>
          <w:rFonts w:ascii="Verdana" w:hAnsi="Verdana"/>
          <w:lang w:val="en-GB"/>
        </w:rPr>
        <w:fldChar w:fldCharType="separate"/>
      </w:r>
      <w:r>
        <w:rPr>
          <w:rFonts w:ascii="Verdana" w:hAnsi="Verdana"/>
        </w:rPr>
        <w:t>(Su et al. 2008)</w:t>
      </w:r>
      <w:r>
        <w:rPr>
          <w:rFonts w:ascii="Verdana" w:hAnsi="Verdana"/>
          <w:lang w:val="en-GB"/>
        </w:rPr>
        <w:fldChar w:fldCharType="end"/>
      </w:r>
      <w:r w:rsidR="00DE7EAB">
        <w:rPr>
          <w:rFonts w:ascii="Verdana" w:hAnsi="Verdana"/>
          <w:lang w:val="en-GB"/>
        </w:rPr>
        <w:t xml:space="preserve">, and </w:t>
      </w:r>
      <w:r w:rsidR="00DE3810">
        <w:rPr>
          <w:rFonts w:ascii="Verdana" w:hAnsi="Verdana"/>
          <w:lang w:val="en-GB"/>
        </w:rPr>
        <w:t>alpha-synuclein pre-formed fibrils</w:t>
      </w:r>
      <w:r w:rsidR="00A65D09">
        <w:rPr>
          <w:rFonts w:ascii="Verdana" w:hAnsi="Verdana"/>
          <w:lang w:val="en-GB"/>
        </w:rPr>
        <w:t xml:space="preserve"> and oligomers</w:t>
      </w:r>
      <w:r w:rsidR="00DE3810">
        <w:rPr>
          <w:rFonts w:ascii="Verdana" w:hAnsi="Verdana"/>
          <w:lang w:val="en-GB"/>
        </w:rPr>
        <w:t xml:space="preserve"> injections ha</w:t>
      </w:r>
      <w:r w:rsidR="00F3411F">
        <w:rPr>
          <w:rFonts w:ascii="Verdana" w:hAnsi="Verdana"/>
          <w:lang w:val="en-GB"/>
        </w:rPr>
        <w:t>ve</w:t>
      </w:r>
      <w:r w:rsidR="00DE3810">
        <w:rPr>
          <w:rFonts w:ascii="Verdana" w:hAnsi="Verdana"/>
          <w:lang w:val="en-GB"/>
        </w:rPr>
        <w:t xml:space="preserve"> been shown to </w:t>
      </w:r>
      <w:r w:rsidR="00DE3810">
        <w:rPr>
          <w:rFonts w:ascii="Verdana" w:hAnsi="Verdana"/>
          <w:lang w:val="en-GB"/>
        </w:rPr>
        <w:lastRenderedPageBreak/>
        <w:t xml:space="preserve">induce </w:t>
      </w:r>
      <w:r w:rsidR="001872FD">
        <w:rPr>
          <w:rFonts w:ascii="Verdana" w:hAnsi="Verdana"/>
          <w:lang w:val="en-GB"/>
        </w:rPr>
        <w:t>differential</w:t>
      </w:r>
      <w:r w:rsidR="00DE3810">
        <w:rPr>
          <w:rFonts w:ascii="Verdana" w:hAnsi="Verdana"/>
          <w:lang w:val="en-GB"/>
        </w:rPr>
        <w:t xml:space="preserve"> microglia</w:t>
      </w:r>
      <w:r w:rsidR="002A202C">
        <w:rPr>
          <w:rFonts w:ascii="Verdana" w:hAnsi="Verdana"/>
          <w:lang w:val="en-GB"/>
        </w:rPr>
        <w:t xml:space="preserve"> response</w:t>
      </w:r>
      <w:r w:rsidR="00DE3810">
        <w:rPr>
          <w:rFonts w:ascii="Verdana" w:hAnsi="Verdana"/>
          <w:lang w:val="en-GB"/>
        </w:rPr>
        <w:t xml:space="preserve"> </w:t>
      </w:r>
      <w:r w:rsidR="00DE3810" w:rsidRPr="002621DD">
        <w:rPr>
          <w:rFonts w:ascii="Verdana" w:hAnsi="Verdana"/>
          <w:lang w:val="en-GB"/>
        </w:rPr>
        <w:t xml:space="preserve">in WT mice </w:t>
      </w:r>
      <w:r w:rsidR="00A65D09">
        <w:rPr>
          <w:rFonts w:ascii="Verdana" w:hAnsi="Verdana"/>
          <w:lang w:val="en-GB"/>
        </w:rPr>
        <w:fldChar w:fldCharType="begin"/>
      </w:r>
      <w:r w:rsidR="00A65D09">
        <w:rPr>
          <w:rFonts w:ascii="Verdana" w:hAnsi="Verdana"/>
          <w:lang w:val="en-GB"/>
        </w:rPr>
        <w:instrText xml:space="preserve"> ADDIN ZOTERO_ITEM CSL_CITATION {"citationID":"jyfvHCgI","properties":{"formattedCitation":"(Garcia et al. 2020)","plainCitation":"(Garcia et al. 2020)","noteIndex":0},"citationItems":[{"id":288,"uris":["http://zotero.org/users/9330673/items/RCH8ZGUU"],"itemData":{"id":288,"type":"report","abstract":"Abstract\n          A key process of neurodegeneration in Parkinson’s disease (PD) is the transneuronal spreading of α-synuclein. Alpha-synuclein is a presynaptic protein that is implicated in the pathogenesis of PD and other synucleinopathies, where it forms, upon intracellular aggregation, pathological inclusions. Other hallmarks of PD include neurodegeneration and microgliosis in susceptible brain regions. Whether it is primarily transneuronal spreading of α-synuclein particles, inclusion formation, or other mechanisms, such as inflammation, that cause neurodegeneration in PD is unclear. We used spreading/aggregation of α-synuclein induced by intracerebral injection of α-synuclein preformed fibrils into the mouse brain to address this question. We performed quantitative histological analysis for α-synuclein inclusions, neurodegeneration, and microgliosis in different brain regions, and a gene expression profiling of the ventral midbrain, at two different timepoints after disease induction. We observed significant neurodegeneration and microgliosis in brain regions not only with, but also without α-synuclein inclusions. We also observed prominent microgliosis in injured brain regions that did not correlate with neurodegeneration nor with inclusion load. In longitudinal gene expression profiling experiments, we observed early and unique alterations linked to microglial mediated inflammation that preceded neurodegeneration, indicating an active role of microglia in inducing neurodegeneration. Our observations indicate that α-synuclein inclusion formation is not the major driver in the early phases of PD-like neurodegeneration, but that diffusible, oligomeric α-synuclein species, which induce unusual microglial reactivity, play a key role in this process. Our findings uncover new features of α-synuclein induced pathologies, in particular microgliosis, and point to the necessity of a broader view of the process of “prion-like spreading” of that protein.","genre":"preprint","language":"en","note":"DOI: 10.1101/2020.08.05.237750","publisher":"Neuroscience","source":"DOI.org (Crossref)","title":"Neurodegeneration and neuroinflammation are linked, but independent of &lt;b&gt;α&lt;/b&gt; -synuclein inclusions, in a seeding/spreading mouse model of Parkinson’s disease","URL":"http://biorxiv.org/lookup/doi/10.1101/2020.08.05.237750","author":[{"family":"Garcia","given":"Pierre"},{"family":"Jürgens-Wemheuer","given":"Wiebke"},{"family":"Uriarte","given":"Oihane"},{"family":"Schmit","given":"Kristopher J"},{"family":"Masuch","given":"Annette"},{"family":"Brioschi","given":"Simone"},{"family":"Weihofen","given":"Andreas"},{"family":"Koncina","given":"Eric"},{"family":"Coowar","given":"Djalil"},{"family":"Heurtaux","given":"Tony"},{"family":"Glaab","given":"Enrico"},{"family":"Balling","given":"Rudi"},{"family":"Sousa","given":"Carole"},{"family":"Michelucci","given":"Alessandro"},{"family":"Kaoma","given":"Tony"},{"family":"Nicot","given":"Nathalie"},{"family":"Pfander","given":"Tatjana"},{"family":"Schulz-Schaeffer","given":"Walter"},{"family":"Allouche","given":"Ahmad"},{"family":"Fischer","given":"Nicolas"},{"family":"Biber","given":"Knut"},{"family":"Mittelbronn","given":"Michel"},{"family":"Buttini","given":"Manuel"}],"accessed":{"date-parts":[["2022",4,5]]},"issued":{"date-parts":[["2020",8,6]]}}}],"schema":"https://github.com/citation-style-language/schema/raw/master/csl-citation.json"} </w:instrText>
      </w:r>
      <w:r w:rsidR="00A65D09">
        <w:rPr>
          <w:rFonts w:ascii="Verdana" w:hAnsi="Verdana"/>
          <w:lang w:val="en-GB"/>
        </w:rPr>
        <w:fldChar w:fldCharType="separate"/>
      </w:r>
      <w:r w:rsidR="00A65D09" w:rsidRPr="00A65D09">
        <w:rPr>
          <w:rFonts w:ascii="Verdana" w:hAnsi="Verdana"/>
        </w:rPr>
        <w:t>(Garcia et al. 2020)</w:t>
      </w:r>
      <w:r w:rsidR="00A65D09">
        <w:rPr>
          <w:rFonts w:ascii="Verdana" w:hAnsi="Verdana"/>
          <w:lang w:val="en-GB"/>
        </w:rPr>
        <w:fldChar w:fldCharType="end"/>
      </w:r>
      <w:r w:rsidR="00FB17E2">
        <w:rPr>
          <w:rFonts w:ascii="Verdana" w:hAnsi="Verdana"/>
          <w:lang w:val="en-GB"/>
        </w:rPr>
        <w:t xml:space="preserve">, </w:t>
      </w:r>
      <w:r w:rsidR="00916C25">
        <w:rPr>
          <w:rFonts w:ascii="Verdana" w:hAnsi="Verdana"/>
          <w:lang w:val="en-GB"/>
        </w:rPr>
        <w:t>implying</w:t>
      </w:r>
      <w:r w:rsidR="00262A14">
        <w:rPr>
          <w:rFonts w:ascii="Verdana" w:hAnsi="Verdana"/>
          <w:lang w:val="en-GB"/>
        </w:rPr>
        <w:t xml:space="preserve"> </w:t>
      </w:r>
      <w:r w:rsidR="00411911">
        <w:rPr>
          <w:rFonts w:ascii="Verdana" w:hAnsi="Verdana"/>
          <w:lang w:val="en-GB"/>
        </w:rPr>
        <w:t xml:space="preserve">a role for </w:t>
      </w:r>
      <w:r w:rsidR="00916C25">
        <w:rPr>
          <w:rFonts w:ascii="Verdana" w:hAnsi="Verdana"/>
          <w:lang w:val="en-GB"/>
        </w:rPr>
        <w:t>variabl</w:t>
      </w:r>
      <w:r w:rsidR="00E22C47">
        <w:rPr>
          <w:rFonts w:ascii="Verdana" w:hAnsi="Verdana"/>
          <w:lang w:val="en-GB"/>
        </w:rPr>
        <w:t>e</w:t>
      </w:r>
      <w:r w:rsidR="00916C25">
        <w:rPr>
          <w:rFonts w:ascii="Verdana" w:hAnsi="Verdana"/>
          <w:lang w:val="en-GB"/>
        </w:rPr>
        <w:t xml:space="preserve"> </w:t>
      </w:r>
      <w:r w:rsidR="00262A14">
        <w:rPr>
          <w:rFonts w:ascii="Verdana" w:hAnsi="Verdana"/>
          <w:lang w:val="en-GB"/>
        </w:rPr>
        <w:t>alpha-synuclein species</w:t>
      </w:r>
      <w:r w:rsidR="00E22C47">
        <w:rPr>
          <w:rFonts w:ascii="Verdana" w:hAnsi="Verdana"/>
          <w:lang w:val="en-GB"/>
        </w:rPr>
        <w:t xml:space="preserve"> representation</w:t>
      </w:r>
      <w:r w:rsidR="00262A14">
        <w:rPr>
          <w:rFonts w:ascii="Verdana" w:hAnsi="Verdana"/>
          <w:lang w:val="en-GB"/>
        </w:rPr>
        <w:t xml:space="preserve"> across models </w:t>
      </w:r>
      <w:r w:rsidR="00411911">
        <w:rPr>
          <w:rFonts w:ascii="Verdana" w:hAnsi="Verdana"/>
          <w:lang w:val="en-GB"/>
        </w:rPr>
        <w:t>in the</w:t>
      </w:r>
      <w:r w:rsidR="00262A14">
        <w:rPr>
          <w:rFonts w:ascii="Verdana" w:hAnsi="Verdana"/>
          <w:lang w:val="en-GB"/>
        </w:rPr>
        <w:t xml:space="preserve"> differential neuroinflammatory response.</w:t>
      </w:r>
      <w:r w:rsidR="00433EFA">
        <w:rPr>
          <w:rFonts w:ascii="Verdana" w:hAnsi="Verdana"/>
          <w:lang w:val="en-GB"/>
        </w:rPr>
        <w:t xml:space="preserve"> </w:t>
      </w:r>
      <w:r w:rsidR="00F3411F">
        <w:rPr>
          <w:rFonts w:ascii="Verdana" w:hAnsi="Verdana"/>
          <w:lang w:val="en-GB"/>
        </w:rPr>
        <w:t xml:space="preserve">Moreover, </w:t>
      </w:r>
      <w:r w:rsidR="00BE79A1">
        <w:rPr>
          <w:rFonts w:ascii="Verdana" w:hAnsi="Verdana"/>
          <w:lang w:val="en-GB"/>
        </w:rPr>
        <w:t xml:space="preserve">repeated inflammatory stimulation </w:t>
      </w:r>
      <w:r w:rsidR="001872FD">
        <w:rPr>
          <w:rFonts w:ascii="Verdana" w:hAnsi="Verdana"/>
          <w:lang w:val="en-GB"/>
        </w:rPr>
        <w:t>through</w:t>
      </w:r>
      <w:r w:rsidR="00BE79A1">
        <w:rPr>
          <w:rFonts w:ascii="Verdana" w:hAnsi="Verdana"/>
          <w:lang w:val="en-GB"/>
        </w:rPr>
        <w:t xml:space="preserve"> LPS</w:t>
      </w:r>
      <w:r w:rsidR="001872FD">
        <w:rPr>
          <w:rFonts w:ascii="Verdana" w:hAnsi="Verdana"/>
          <w:lang w:val="en-GB"/>
        </w:rPr>
        <w:t xml:space="preserve"> administr</w:t>
      </w:r>
      <w:r w:rsidR="00433EFA">
        <w:rPr>
          <w:rFonts w:ascii="Verdana" w:hAnsi="Verdana"/>
          <w:lang w:val="en-GB"/>
        </w:rPr>
        <w:t>a</w:t>
      </w:r>
      <w:r w:rsidR="001872FD">
        <w:rPr>
          <w:rFonts w:ascii="Verdana" w:hAnsi="Verdana"/>
          <w:lang w:val="en-GB"/>
        </w:rPr>
        <w:t>tion</w:t>
      </w:r>
      <w:r w:rsidR="00BE79A1">
        <w:rPr>
          <w:rFonts w:ascii="Verdana" w:hAnsi="Verdana"/>
          <w:lang w:val="en-GB"/>
        </w:rPr>
        <w:t xml:space="preserve"> has been shown to </w:t>
      </w:r>
      <w:r w:rsidR="008C2AC9">
        <w:rPr>
          <w:rFonts w:ascii="Verdana" w:hAnsi="Verdana"/>
          <w:lang w:val="en-GB"/>
        </w:rPr>
        <w:t>reduce</w:t>
      </w:r>
      <w:r w:rsidR="00BE79A1">
        <w:rPr>
          <w:rFonts w:ascii="Verdana" w:hAnsi="Verdana"/>
          <w:lang w:val="en-GB"/>
        </w:rPr>
        <w:t xml:space="preserve"> microglial act</w:t>
      </w:r>
      <w:r w:rsidR="008C2AC9">
        <w:rPr>
          <w:rFonts w:ascii="Verdana" w:hAnsi="Verdana"/>
          <w:lang w:val="en-GB"/>
        </w:rPr>
        <w:t xml:space="preserve">ivation </w:t>
      </w:r>
      <w:r w:rsidR="008C2AC9">
        <w:rPr>
          <w:rFonts w:ascii="Verdana" w:hAnsi="Verdana"/>
          <w:lang w:val="en-GB"/>
        </w:rPr>
        <w:fldChar w:fldCharType="begin"/>
      </w:r>
      <w:r w:rsidR="008C2AC9">
        <w:rPr>
          <w:rFonts w:ascii="Verdana" w:hAnsi="Verdana"/>
          <w:lang w:val="en-GB"/>
        </w:rPr>
        <w:instrText xml:space="preserve"> ADDIN ZOTERO_ITEM CSL_CITATION {"citationID":"lnuWF2hx","properties":{"formattedCitation":"(Lajqi et al. 2020; Wendeln et al. 2018)","plainCitation":"(Lajqi et al. 2020; Wendeln et al. 2018)","noteIndex":0},"citationItems":[{"id":2361,"uris":["http://zotero.org/users/9330673/items/2SDZMVJD"],"itemData":{"id":2361,"type":"article-journal","abstract":"Microglia, the innate immune cells of the central nervous system, feature adaptive immune memory with implications for brain homeostasis and pathologies. However, factors involved in the emergence and regulation of these opposing responses in microglia have not been fully addressed. Recently, we showed that microglia from the newborn brain display features of trained immunity and immune tolerance after repeated contact with pathogens in a dose-dependent manner. Here, we evaluate the impact of developmental stage on adaptive immune responses of brain microglia after repeated challenge with ultra-low (1 fg/ml) and high (100 ng/ml) doses of the endotoxin LPS in vitro. We ﬁnd that priming of naïve microglia derived from newborn but not mature and aged murine brain with ultra-low LPS signiﬁcantly increased levels of pro-inﬂammatory mediators TNF-α, IL-6, IL-1β, MMP-9, and iNOS as well as neurotrophic factors indicating induction of trained immunity (p &lt; 0.05). In contrast, stimulation with high doses of LPS led to a robust downregulation of pro-inﬂammatory cytokines and iNOS independent of the developmental state, indicating induced immune tolerance. Furthermore, high-dose priming with LPS upregulated anti-inﬂammatory mediators IL-10, Arg-1, TGF- β, MSR1, and IL-4 in newborn microglia (p &lt; 0.05). Our data indicate pronounced plasticity of the immune response of neonate microglia compared with microglia derived from mature and aged mouse brain. Induced trained immunity after priming with ultra-low LPS doses may be responsible for enhanced neuro-inﬂammatory susceptibility of immature brain. In contrast, the immunosuppressed phenotype following high-dose LPS priming might be prone to attenuate excessive damage after recurrent systemic inﬂammation.","container-title":"Frontiers in Immunology","DOI":"10.3389/fimmu.2020.546415","ISSN":"1664-3224","journalAbbreviation":"Front. Immunol.","language":"en","page":"546415","source":"DOI.org (Crossref)","title":"Memory-Like Responses of Brain Microglia Are Controlled by Developmental State and Pathogen Dose","volume":"11","author":[{"family":"Lajqi","given":"Trim"},{"family":"Stojiljkovic","given":"Milan"},{"family":"Williams","given":"David L."},{"family":"Hudalla","given":"Hannes"},{"family":"Bauer","given":"Michael"},{"family":"Witte","given":"Otto W."},{"family":"Wetzker","given":"Reinhard"},{"family":"Bauer","given":"Reinhard"},{"family":"Schmeer","given":"Christian"}],"issued":{"date-parts":[["2020",9,25]]}}},{"id":2362,"uris":["http://zotero.org/users/9330673/items/QXP2MKUJ"],"itemData":{"id":2362,"type":"article-journal","container-title":"Nature","DOI":"10.1038/s41586-018-0023-4","ISSN":"0028-0836, 1476-4687","issue":"7701","journalAbbreviation":"Nature","language":"en","page":"332-338","source":"DOI.org (Crossref)","title":"Innate immune memory in the brain shapes neurological disease hallmarks","volume":"556","author":[{"family":"Wendeln","given":"Ann-Christin"},{"family":"Degenhardt","given":"Karoline"},{"family":"Kaurani","given":"Lalit"},{"family":"Gertig","given":"Michael"},{"family":"Ulas","given":"Thomas"},{"family":"Jain","given":"Gaurav"},{"family":"Wagner","given":"Jessica"},{"family":"Häsler","given":"Lisa M."},{"family":"Wild","given":"Katleen"},{"family":"Skodras","given":"Angelos"},{"family":"Blank","given":"Thomas"},{"family":"Staszewski","given":"Ori"},{"family":"Datta","given":"Moumita"},{"family":"Centeno","given":"Tonatiuh Pena"},{"family":"Capece","given":"Vincenzo"},{"family":"Islam","given":"Md. Rezaul"},{"family":"Kerimoglu","given":"Cemil"},{"family":"Staufenbiel","given":"Matthias"},{"family":"Schultze","given":"Joachim L."},{"family":"Beyer","given":"Marc"},{"family":"Prinz","given":"Marco"},{"family":"Jucker","given":"Mathias"},{"family":"Fischer","given":"André"},{"family":"Neher","given":"Jonas J."}],"issued":{"date-parts":[["2018",4]]}}}],"schema":"https://github.com/citation-style-language/schema/raw/master/csl-citation.json"} </w:instrText>
      </w:r>
      <w:r w:rsidR="008C2AC9">
        <w:rPr>
          <w:rFonts w:ascii="Verdana" w:hAnsi="Verdana"/>
          <w:lang w:val="en-GB"/>
        </w:rPr>
        <w:fldChar w:fldCharType="separate"/>
      </w:r>
      <w:r w:rsidR="008C2AC9" w:rsidRPr="008C2AC9">
        <w:rPr>
          <w:rFonts w:ascii="Verdana" w:hAnsi="Verdana"/>
        </w:rPr>
        <w:t>(Lajqi et al. 2020; Wendeln et al. 2018)</w:t>
      </w:r>
      <w:r w:rsidR="008C2AC9">
        <w:rPr>
          <w:rFonts w:ascii="Verdana" w:hAnsi="Verdana"/>
          <w:lang w:val="en-GB"/>
        </w:rPr>
        <w:fldChar w:fldCharType="end"/>
      </w:r>
      <w:r w:rsidR="008C2AC9">
        <w:rPr>
          <w:rFonts w:ascii="Verdana" w:hAnsi="Verdana"/>
          <w:lang w:val="en-GB"/>
        </w:rPr>
        <w:t xml:space="preserve">, </w:t>
      </w:r>
      <w:r w:rsidR="0090518F">
        <w:rPr>
          <w:rFonts w:ascii="Verdana" w:hAnsi="Verdana"/>
          <w:lang w:val="en-GB"/>
        </w:rPr>
        <w:t>suggesting</w:t>
      </w:r>
      <w:r w:rsidR="00150D38">
        <w:rPr>
          <w:rFonts w:ascii="Verdana" w:hAnsi="Verdana"/>
          <w:lang w:val="en-GB"/>
        </w:rPr>
        <w:t xml:space="preserve"> immune tolerance </w:t>
      </w:r>
      <w:r w:rsidR="0090518F">
        <w:rPr>
          <w:rFonts w:ascii="Verdana" w:hAnsi="Verdana"/>
          <w:lang w:val="en-GB"/>
        </w:rPr>
        <w:t>could play a role in the</w:t>
      </w:r>
      <w:r w:rsidR="00150D38">
        <w:rPr>
          <w:rFonts w:ascii="Verdana" w:hAnsi="Verdana"/>
          <w:lang w:val="en-GB"/>
        </w:rPr>
        <w:t xml:space="preserve"> lack</w:t>
      </w:r>
      <w:r w:rsidR="001872FD">
        <w:rPr>
          <w:rFonts w:ascii="Verdana" w:hAnsi="Verdana"/>
          <w:lang w:val="en-GB"/>
        </w:rPr>
        <w:t xml:space="preserve"> of</w:t>
      </w:r>
      <w:r w:rsidR="00150D38">
        <w:rPr>
          <w:rFonts w:ascii="Verdana" w:hAnsi="Verdana"/>
          <w:lang w:val="en-GB"/>
        </w:rPr>
        <w:t xml:space="preserve"> microglial response</w:t>
      </w:r>
      <w:r w:rsidR="001872FD">
        <w:rPr>
          <w:rFonts w:ascii="Verdana" w:hAnsi="Verdana"/>
          <w:lang w:val="en-GB"/>
        </w:rPr>
        <w:t xml:space="preserve"> in </w:t>
      </w:r>
      <w:r w:rsidR="00B01C58">
        <w:rPr>
          <w:rFonts w:ascii="Verdana" w:hAnsi="Verdana"/>
          <w:lang w:val="en-GB"/>
        </w:rPr>
        <w:t xml:space="preserve">some </w:t>
      </w:r>
      <w:r w:rsidR="001872FD">
        <w:rPr>
          <w:rFonts w:ascii="Verdana" w:hAnsi="Verdana"/>
          <w:lang w:val="en-GB"/>
        </w:rPr>
        <w:t>mouse models</w:t>
      </w:r>
      <w:r w:rsidR="00150D38">
        <w:rPr>
          <w:rFonts w:ascii="Verdana" w:hAnsi="Verdana"/>
          <w:lang w:val="en-GB"/>
        </w:rPr>
        <w:t>.</w:t>
      </w:r>
    </w:p>
    <w:p w14:paraId="061AA279" w14:textId="207B9A65" w:rsidR="000E1722" w:rsidRDefault="000E1722" w:rsidP="000E1722">
      <w:pPr>
        <w:spacing w:line="360" w:lineRule="auto"/>
        <w:jc w:val="both"/>
        <w:rPr>
          <w:rFonts w:ascii="Verdana" w:hAnsi="Verdana"/>
          <w:lang w:val="en-GB"/>
        </w:rPr>
      </w:pPr>
      <w:r>
        <w:rPr>
          <w:rFonts w:ascii="Verdana" w:hAnsi="Verdana"/>
          <w:lang w:val="en-GB"/>
        </w:rPr>
        <w:t>Many factors, such as the type of transgenic construct and the overexpression levels, can contribute to the variability observed between models, and inter-model variability could determine totally different outcomes following the same hypothesis. The selection of the most appropriate model represents therefore one of the most important steps in a study design.</w:t>
      </w:r>
    </w:p>
    <w:p w14:paraId="46D7BD12" w14:textId="77777777" w:rsidR="000E1722" w:rsidRDefault="000E1722" w:rsidP="000E1722">
      <w:pPr>
        <w:spacing w:line="360" w:lineRule="auto"/>
        <w:ind w:firstLine="0"/>
        <w:jc w:val="both"/>
        <w:rPr>
          <w:rFonts w:ascii="Verdana" w:hAnsi="Verdana"/>
          <w:lang w:val="en-GB"/>
        </w:rPr>
      </w:pPr>
    </w:p>
    <w:p w14:paraId="5D7D2F75" w14:textId="77777777" w:rsidR="000E1722" w:rsidRDefault="000E1722" w:rsidP="000E1722">
      <w:pPr>
        <w:rPr>
          <w:rFonts w:ascii="Verdana" w:hAnsi="Verdana"/>
          <w:b/>
          <w:bCs/>
          <w:lang w:val="en-GB"/>
        </w:rPr>
      </w:pPr>
      <w:r>
        <w:rPr>
          <w:rFonts w:ascii="Verdana" w:hAnsi="Verdana"/>
          <w:b/>
          <w:bCs/>
          <w:lang w:val="en-GB"/>
        </w:rPr>
        <w:t>Cellular models of neurotoxicity</w:t>
      </w:r>
    </w:p>
    <w:p w14:paraId="26928621" w14:textId="77777777" w:rsidR="000E1722" w:rsidRDefault="000E1722" w:rsidP="000E1722">
      <w:pPr>
        <w:spacing w:line="360" w:lineRule="auto"/>
        <w:jc w:val="both"/>
        <w:rPr>
          <w:rFonts w:ascii="Verdana" w:hAnsi="Verdana"/>
          <w:lang w:val="en-GB"/>
        </w:rPr>
      </w:pPr>
      <w:r>
        <w:rPr>
          <w:rFonts w:ascii="Verdana" w:hAnsi="Verdana"/>
          <w:lang w:val="en-GB"/>
        </w:rPr>
        <w:t>Compared to mouse models, cellular 2D cultures are fast and cost-effective. Cellular models can be used to test simple hypothesis and to study molecular mechanisms following a specific stimulus. Lund human mesencephalic (LUHMES) cells are human embryonic neuronal precursor cells that can be easily and reliably differentiated to postmitotic neurons by treatment with appropriate differentiation factors. We used such differentiated cells to investigate the effects of alpha-synuclein and glutamate on cellular toxicity.</w:t>
      </w:r>
    </w:p>
    <w:p w14:paraId="5E3065AC" w14:textId="77777777" w:rsidR="000E1722" w:rsidRDefault="000E1722" w:rsidP="000E1722">
      <w:pPr>
        <w:spacing w:line="360" w:lineRule="auto"/>
        <w:jc w:val="both"/>
        <w:rPr>
          <w:rFonts w:ascii="Verdana" w:hAnsi="Verdana"/>
          <w:lang w:val="en-GB"/>
        </w:rPr>
      </w:pPr>
      <w:r>
        <w:rPr>
          <w:rFonts w:ascii="Verdana" w:hAnsi="Verdana"/>
          <w:lang w:val="en-GB"/>
        </w:rPr>
        <w:t xml:space="preserve">Analyses of alpha-synuclein moieties revealed a certain degree of variability in alpha-synuclein structure between different preparations/providers and, even if only a small set of experiments was performed, provided indications on variable effects on cellular toxicity. Alpha-synuclein moieties are routinely produced from </w:t>
      </w:r>
      <w:r>
        <w:rPr>
          <w:rFonts w:ascii="Verdana" w:hAnsi="Verdana"/>
          <w:i/>
          <w:iCs/>
          <w:lang w:val="en-GB"/>
        </w:rPr>
        <w:t>E. coli</w:t>
      </w:r>
      <w:r>
        <w:rPr>
          <w:rFonts w:ascii="Verdana" w:hAnsi="Verdana"/>
          <w:lang w:val="en-GB"/>
        </w:rPr>
        <w:t xml:space="preserve">, but a variety of different protocols are currently in use. Variations in protein extraction, purification and storage can alter alpha-synuclein aggregation properties and thus change the outcome of down-stream applications and induce replicability issues </w:t>
      </w:r>
      <w:r>
        <w:rPr>
          <w:rFonts w:ascii="Verdana" w:hAnsi="Verdana"/>
          <w:lang w:val="en-GB"/>
        </w:rPr>
        <w:fldChar w:fldCharType="begin"/>
      </w:r>
      <w:r>
        <w:rPr>
          <w:rFonts w:ascii="Verdana" w:hAnsi="Verdana"/>
          <w:lang w:val="en-GB"/>
        </w:rPr>
        <w:instrText xml:space="preserve"> ADDIN ZOTERO_ITEM CSL_CITATION {"citationID":"sKg1zqO1","properties":{"formattedCitation":"(Al-Azzani, K\\uc0\\u246{}nig, and Outeiro 2022; Polinski et al. 2018)","plainCitation":"(Al-Azzani, König, and Outeiro 2022; Polinski et al. 2018)","noteIndex":0},"citationItems":[{"id":2102,"uris":["http://zotero.org/users/9330673/items/U39DJ563"],"itemData":{"id":2102,"type":"article-journal","abstract":"Synucleinopathies are a group of neurodegenerative diseases, characterized by the abnormal accumulation of the protein alpha-synuclein (aSyn). aSyn is an intrinsically disordered protein that can adopt different aggregation states, some of which may be associated with disease. Therefore, understanding the transitions between such aggregation states may be essential for deciphering the molecular underpinnings underlying synucleinopathies. Recombinant aSyn is routinely produced and puriﬁed from E. coli in many laboratories, and in vitro preparations of aSyn aggregated species became central for modeling neurodegeneration in cell and animal models. Thus, reproducibility and reliability of such studies largely depends on the purity and homogeneity of aSyn preparations across batches and between laboratories. A variety of different methods are in use to produce and purify aSyn, which we review in this commentary. We also show how extraction buffer composition can affect aSyn aggregation, emphasizing the importance of standardizing protocols to ensure reproducibility between different laboratories and studies, which are essential for advancing the ﬁeld.","container-title":"Biomolecules","DOI":"10.3390/biom12020324","ISSN":"2218-273X","issue":"2","journalAbbreviation":"Biomolecules","language":"en","page":"324","source":"DOI.org (Crossref)","title":"Production of Recombinant Alpha-Synuclein: Still No Standardized Protocol in Sight","title-short":"Production of Recombinant Alpha-Synuclein","volume":"12","author":[{"family":"Al-Azzani","given":"Mohammed"},{"family":"König","given":"Annekatrin"},{"family":"Outeiro","given":"Tiago Fleming"}],"issued":{"date-parts":[["2022",2,18]]}}},{"id":2104,"uris":["http://zotero.org/users/9330673/items/7VCCQWFZ"],"itemData":{"id":2104,"type":"article-journal","abstract":"Parkinson’s disease (PD) is the second most common neurodegenerative disease, affecting approximately onepercent of the population over the age of sixty. Although many animal models have been developed to study this disease, each model presents its own advantages and caveats. A unique model has arisen to study the role of alpha-synuclein (aSyn) in the pathogenesis of PD. This model involves the conversion of recombinant monomeric aSyn protein to a ﬁbrillar form—the aSyn pre-formed ﬁbril (aSyn PFF)—which is then injected into the brain or introduced to the media in culture. Although many groups have successfully adopted and replicated the aSyn PFF model, issues with generating consistent pathology have been reported by investigators. To improve the replicability of this model and diminish these issues, The Michael J. Fox Foundation for Parkinson’s Research (MJFF) has enlisted the help of ﬁeld leaders who performed key experiments to establish the aSyn PFF model to provide the research community with guidelines and practical tips for improving the robustness and success of this model. Speciﬁcally, we identify key pitfalls and suggestions for avoiding these mistakes as they relate to generating the aSyn PFFs from monomeric protein, validating the formation of pathogenic aSyn PFFs, and using the aSyn PFFs in vivo or in vitro to model PD. With this additional information, adoption and use of the aSyn PFF model should present fewer challenges, resulting in a robust and widely available model of PD.","container-title":"Journal of Parkinson's Disease","DOI":"10.3233/JPD-171248","ISSN":"18777171, 1877718X","issue":"2","journalAbbreviation":"JPD","language":"en","page":"303-322","source":"DOI.org (Crossref)","title":"Best Practices for Generating and Using Alpha-Synuclein Pre-Formed Fibrils to Model Parkinson’s Disease in Rodents","volume":"8","author":[{"family":"Polinski","given":"Nicole K."},{"family":"Volpicelli-Daley","given":"Laura A."},{"family":"Sortwell","given":"Caryl E."},{"family":"Luk","given":"Kelvin C."},{"family":"Cremades","given":"Nunilo"},{"family":"Gottler","given":"Lindsey M."},{"family":"Froula","given":"Jessica"},{"family":"Duffy","given":"Megan F."},{"family":"Lee","given":"Virginia M.Y."},{"family":"Martinez","given":"Terina N."},{"family":"Dave","given":"Kuldip D."}],"issued":{"date-parts":[["2018",6,13]]}}}],"schema":"https://github.com/citation-style-language/schema/raw/master/csl-citation.json"} </w:instrText>
      </w:r>
      <w:r>
        <w:rPr>
          <w:rFonts w:ascii="Verdana" w:hAnsi="Verdana"/>
          <w:lang w:val="en-GB"/>
        </w:rPr>
        <w:fldChar w:fldCharType="separate"/>
      </w:r>
      <w:r>
        <w:rPr>
          <w:rFonts w:ascii="Verdana" w:hAnsi="Verdana" w:cs="Times New Roman"/>
          <w:szCs w:val="24"/>
        </w:rPr>
        <w:t>(Al-Azzani, König, and Outeiro 2022; Polinski et al. 2018)</w:t>
      </w:r>
      <w:r>
        <w:rPr>
          <w:rFonts w:ascii="Verdana" w:hAnsi="Verdana"/>
          <w:lang w:val="en-GB"/>
        </w:rPr>
        <w:fldChar w:fldCharType="end"/>
      </w:r>
      <w:r>
        <w:rPr>
          <w:rFonts w:ascii="Verdana" w:hAnsi="Verdana"/>
          <w:lang w:val="en-GB"/>
        </w:rPr>
        <w:t xml:space="preserve">. Not only differences from one laboratory to the other and from one producer to the other are present, but batch-to-batch variability has been reported even within the same provider. Our preliminary results confirm that lack of standardization in alpha-synuclein recombinant protein production </w:t>
      </w:r>
      <w:r>
        <w:rPr>
          <w:rFonts w:ascii="Verdana" w:hAnsi="Verdana"/>
          <w:lang w:val="en-GB"/>
        </w:rPr>
        <w:lastRenderedPageBreak/>
        <w:t xml:space="preserve">is still an issue in the use of alpha-synuclein moieties in </w:t>
      </w:r>
      <w:r>
        <w:rPr>
          <w:rFonts w:ascii="Verdana" w:hAnsi="Verdana"/>
          <w:i/>
          <w:iCs/>
          <w:lang w:val="en-GB"/>
        </w:rPr>
        <w:t>in vitro</w:t>
      </w:r>
      <w:r>
        <w:rPr>
          <w:rFonts w:ascii="Verdana" w:hAnsi="Verdana"/>
          <w:lang w:val="en-GB"/>
        </w:rPr>
        <w:t xml:space="preserve"> and </w:t>
      </w:r>
      <w:r>
        <w:rPr>
          <w:rFonts w:ascii="Verdana" w:hAnsi="Verdana"/>
          <w:i/>
          <w:iCs/>
          <w:lang w:val="en-GB"/>
        </w:rPr>
        <w:t xml:space="preserve">in vivo </w:t>
      </w:r>
      <w:r>
        <w:rPr>
          <w:rFonts w:ascii="Verdana" w:hAnsi="Verdana"/>
          <w:lang w:val="en-GB"/>
        </w:rPr>
        <w:t>studies.</w:t>
      </w:r>
    </w:p>
    <w:p w14:paraId="01B94E7B" w14:textId="3D3C170A" w:rsidR="000E1722" w:rsidRDefault="000E1722" w:rsidP="000E1722">
      <w:pPr>
        <w:pStyle w:val="NormalWeb"/>
        <w:spacing w:line="360" w:lineRule="auto"/>
        <w:jc w:val="both"/>
        <w:rPr>
          <w:rFonts w:ascii="Verdana" w:hAnsi="Verdana"/>
          <w:sz w:val="22"/>
          <w:szCs w:val="22"/>
        </w:rPr>
      </w:pPr>
      <w:r>
        <w:rPr>
          <w:rFonts w:ascii="Verdana" w:hAnsi="Verdana"/>
          <w:sz w:val="22"/>
          <w:szCs w:val="22"/>
        </w:rPr>
        <w:t xml:space="preserve">Compared to the rather high variability observed in </w:t>
      </w:r>
      <w:r w:rsidR="00024C25">
        <w:rPr>
          <w:rFonts w:ascii="Verdana" w:hAnsi="Verdana"/>
          <w:sz w:val="22"/>
          <w:szCs w:val="22"/>
        </w:rPr>
        <w:t>alpha-synuclein</w:t>
      </w:r>
      <w:r>
        <w:rPr>
          <w:rFonts w:ascii="Verdana" w:hAnsi="Verdana"/>
          <w:sz w:val="22"/>
          <w:szCs w:val="22"/>
        </w:rPr>
        <w:t xml:space="preserve"> preparations, glutamate excitotoxicity is a way easier to control process. In our experiments, we have observed a high variability between replicates of the same experimental settings, especially for the 10mM treatment. These results are partially linked to the difficulties encountered in re-establishing cell culture after the shut-down of the laboratories following the SARS-COV-2 outbreak, thus it is difficult to dissect which is the biological relevance of our findings. Overall, results for DJ-1 KD cells treatment with low doses of glutamate seem to be more </w:t>
      </w:r>
      <w:proofErr w:type="gramStart"/>
      <w:r>
        <w:rPr>
          <w:rFonts w:ascii="Verdana" w:hAnsi="Verdana"/>
          <w:sz w:val="22"/>
          <w:szCs w:val="22"/>
        </w:rPr>
        <w:t>reliable, and</w:t>
      </w:r>
      <w:proofErr w:type="gramEnd"/>
      <w:r>
        <w:rPr>
          <w:rFonts w:ascii="Verdana" w:hAnsi="Verdana"/>
          <w:sz w:val="22"/>
          <w:szCs w:val="22"/>
        </w:rPr>
        <w:t xml:space="preserve"> suggest a higher susceptibility of DJ-1 KD cells to excitotoxicity. This is in agreement with the observations by </w:t>
      </w:r>
      <w:proofErr w:type="spellStart"/>
      <w:r>
        <w:rPr>
          <w:rFonts w:ascii="Verdana" w:hAnsi="Verdana"/>
          <w:sz w:val="22"/>
          <w:szCs w:val="22"/>
        </w:rPr>
        <w:t>Aleyasin</w:t>
      </w:r>
      <w:proofErr w:type="spellEnd"/>
      <w:r>
        <w:rPr>
          <w:rFonts w:ascii="Verdana" w:hAnsi="Verdana"/>
          <w:sz w:val="22"/>
          <w:szCs w:val="22"/>
        </w:rPr>
        <w:t xml:space="preserve"> and colleagues in DJ-1 KO cerebellar granule neurons </w:t>
      </w:r>
      <w:r>
        <w:rPr>
          <w:rFonts w:ascii="Verdana" w:hAnsi="Verdana"/>
          <w:sz w:val="22"/>
          <w:szCs w:val="22"/>
        </w:rPr>
        <w:fldChar w:fldCharType="begin"/>
      </w:r>
      <w:r>
        <w:rPr>
          <w:rFonts w:ascii="Verdana" w:hAnsi="Verdana"/>
          <w:sz w:val="22"/>
          <w:szCs w:val="22"/>
        </w:rPr>
        <w:instrText xml:space="preserve"> ADDIN ZOTERO_ITEM CSL_CITATION {"citationID":"OGpXycCp","properties":{"formattedCitation":"(Aleyasin et al. 2007)","plainCitation":"(Aleyasin et al. 2007)","noteIndex":0},"citationItems":[{"id":298,"uris":["http://zotero.org/users/9330673/items/HVDQLYE5"],"itemData":{"id":298,"type":"article-journal","abstract":"Recent evidence has indicated that common mechanisms play roles among multiple neurological diseases. However, the specifics of these pathways are not completely understood. Stroke is caused by the interruption of blood flow to the brain, and cumulative evidence supports the critical role of oxidative stress in the ensuing neuronal death process. DJ-1 (\n              PARK7\n              ) has been identified as the gene linked to early-onset familial Parkinson's disease. Currently, our work also shows that DJ-1 is central to death in both\n              in Vitro\n              and\n              in Vivo\n              models of stroke. Loss of DJ-1 increases the sensitivity to excitotoxicity and ischemia, whereas expression of DJ-1 can reverse this sensitivity and indeed provide further protection. Importantly, DJ-1 expression decreases markers of oxidative stress after stroke insult\n              in Vivo\n              , suggesting that DJ-1 protects through alleviation of oxidative stress. Consistent with this finding, we demonstrate the essential role of the oxidation-sensitive cysteine-106 residue in the neuroprotective activity of DJ-1 after stroke. Our work provides an important example of how a gene seemingly specific for one disease, in this case Parkinson's disease, also appears to be central in other neuropathological conditions such as stroke. It also highlights the important commonalities among differing neuropathologies.","container-title":"Proceedings of the National Academy of Sciences","DOI":"10.1073/pnas.0709379104","ISSN":"0027-8424, 1091-6490","issue":"47","journalAbbreviation":"Proc. Natl. Acad. Sci. U.S.A.","language":"en","page":"18748-18753","source":"DOI.org (Crossref)","title":"The Parkinson's disease gene DJ-1 is also a key regulator of stroke-induced damage","volume":"104","author":[{"family":"Aleyasin","given":"Hossein"},{"family":"Rousseaux","given":"Maxime W. C."},{"family":"Phillips","given":"Maryam"},{"family":"Kim","given":"Raymond H."},{"family":"Bland","given":"Ross J."},{"family":"Callaghan","given":"Steve"},{"family":"Slack","given":"Ruth S."},{"family":"During","given":"Matthew J."},{"family":"Mak","given":"Tak W."},{"family":"Park","given":"David S."}],"issued":{"date-parts":[["2007",11,20]]}}}],"schema":"https://github.com/citation-style-language/schema/raw/master/csl-citation.json"} </w:instrText>
      </w:r>
      <w:r>
        <w:rPr>
          <w:rFonts w:ascii="Verdana" w:hAnsi="Verdana"/>
          <w:sz w:val="22"/>
          <w:szCs w:val="22"/>
        </w:rPr>
        <w:fldChar w:fldCharType="separate"/>
      </w:r>
      <w:r>
        <w:rPr>
          <w:rFonts w:ascii="Verdana" w:hAnsi="Verdana"/>
          <w:sz w:val="22"/>
          <w:szCs w:val="22"/>
        </w:rPr>
        <w:t>(Aleyasin et al. 2007)</w:t>
      </w:r>
      <w:r>
        <w:rPr>
          <w:rFonts w:ascii="Verdana" w:hAnsi="Verdana"/>
          <w:sz w:val="22"/>
          <w:szCs w:val="22"/>
        </w:rPr>
        <w:fldChar w:fldCharType="end"/>
      </w:r>
      <w:r>
        <w:rPr>
          <w:rStyle w:val="Emphasis"/>
          <w:rFonts w:ascii="Verdana" w:hAnsi="Verdana"/>
          <w:i w:val="0"/>
          <w:iCs w:val="0"/>
          <w:sz w:val="22"/>
          <w:szCs w:val="22"/>
        </w:rPr>
        <w:t xml:space="preserve">. Specifically, over-stimulation of glutamate receptors induces higher calcium influx and consequent ROS production and oxidative stress </w:t>
      </w:r>
      <w:r>
        <w:rPr>
          <w:rStyle w:val="Emphasis"/>
          <w:rFonts w:ascii="Verdana" w:hAnsi="Verdana"/>
          <w:i w:val="0"/>
          <w:iCs w:val="0"/>
          <w:sz w:val="22"/>
          <w:szCs w:val="22"/>
        </w:rPr>
        <w:fldChar w:fldCharType="begin"/>
      </w:r>
      <w:r>
        <w:rPr>
          <w:rStyle w:val="Emphasis"/>
          <w:rFonts w:ascii="Verdana" w:hAnsi="Verdana"/>
          <w:i w:val="0"/>
          <w:iCs w:val="0"/>
          <w:sz w:val="22"/>
          <w:szCs w:val="22"/>
        </w:rPr>
        <w:instrText xml:space="preserve"> ADDIN ZOTERO_ITEM CSL_CITATION {"citationID":"jJEpbSmo","properties":{"formattedCitation":"(Juurlink and Sweeney 1997)","plainCitation":"(Juurlink and Sweeney 1997)","noteIndex":0},"citationItems":[{"id":2152,"uris":["http://zotero.org/users/9330673/items/2SRFDEQD"],"itemData":{"id":2152,"type":"article-journal","container-title":"Neuroscience &amp; Biobehavioral Reviews","DOI":"10.1016/S0149-7634(96)00001-2","ISSN":"01497634","issue":"2","journalAbbreviation":"Neuroscience &amp; Biobehavioral Reviews","language":"en","page":"121-128","source":"DOI.org (Crossref)","title":"Mechanisms that Result in Damage During and Following Cerebral Ischemia","volume":"21","author":[{"family":"Juurlink","given":"Bernhard H.J"},{"family":"Sweeney","given":"Marva I"}],"issued":{"date-parts":[["1997"]]}}}],"schema":"https://github.com/citation-style-language/schema/raw/master/csl-citation.json"} </w:instrText>
      </w:r>
      <w:r>
        <w:rPr>
          <w:rStyle w:val="Emphasis"/>
          <w:rFonts w:ascii="Verdana" w:hAnsi="Verdana"/>
          <w:i w:val="0"/>
          <w:iCs w:val="0"/>
          <w:sz w:val="22"/>
          <w:szCs w:val="22"/>
        </w:rPr>
        <w:fldChar w:fldCharType="separate"/>
      </w:r>
      <w:r>
        <w:rPr>
          <w:rFonts w:ascii="Verdana" w:hAnsi="Verdana"/>
          <w:sz w:val="22"/>
        </w:rPr>
        <w:t>(Juurlink and Sweeney 1997)</w:t>
      </w:r>
      <w:r>
        <w:rPr>
          <w:rStyle w:val="Emphasis"/>
          <w:rFonts w:ascii="Verdana" w:hAnsi="Verdana"/>
          <w:i w:val="0"/>
          <w:iCs w:val="0"/>
          <w:sz w:val="22"/>
          <w:szCs w:val="22"/>
        </w:rPr>
        <w:fldChar w:fldCharType="end"/>
      </w:r>
      <w:r>
        <w:rPr>
          <w:rStyle w:val="Emphasis"/>
          <w:rFonts w:ascii="Verdana" w:hAnsi="Verdana"/>
          <w:i w:val="0"/>
          <w:iCs w:val="0"/>
          <w:sz w:val="22"/>
          <w:szCs w:val="22"/>
        </w:rPr>
        <w:t>. Loss of function or reduced levels of DJ-1 would render the cells less able to compensate for the oxidative stress, thus explaining the higher sensitivity to glutamate excitotoxicity.</w:t>
      </w:r>
    </w:p>
    <w:p w14:paraId="5689EDDE" w14:textId="55854041" w:rsidR="001C1DAF" w:rsidRDefault="001C1DAF">
      <w:pPr>
        <w:ind w:firstLine="0"/>
        <w:rPr>
          <w:rFonts w:ascii="Verdana" w:hAnsi="Verdana"/>
          <w:lang w:val="en-GB"/>
        </w:rPr>
      </w:pPr>
    </w:p>
    <w:p w14:paraId="511A5A7A" w14:textId="64DEB987" w:rsidR="00F00676" w:rsidRDefault="00F00676" w:rsidP="001C1DAF">
      <w:pPr>
        <w:pStyle w:val="Title"/>
        <w:jc w:val="center"/>
        <w:rPr>
          <w:rFonts w:ascii="Verdana" w:hAnsi="Verdana"/>
          <w:sz w:val="44"/>
          <w:szCs w:val="44"/>
          <w:lang w:val="en-GB"/>
        </w:rPr>
      </w:pPr>
    </w:p>
    <w:p w14:paraId="4F806814" w14:textId="77777777" w:rsidR="00F00676" w:rsidRDefault="00F00676">
      <w:pPr>
        <w:ind w:firstLine="0"/>
        <w:rPr>
          <w:rFonts w:ascii="Verdana" w:eastAsiaTheme="majorEastAsia" w:hAnsi="Verdana" w:cstheme="majorBidi"/>
          <w:spacing w:val="-10"/>
          <w:kern w:val="28"/>
          <w:sz w:val="44"/>
          <w:szCs w:val="44"/>
          <w:lang w:val="en-GB"/>
        </w:rPr>
      </w:pPr>
      <w:r>
        <w:rPr>
          <w:rFonts w:ascii="Verdana" w:hAnsi="Verdana"/>
          <w:sz w:val="44"/>
          <w:szCs w:val="44"/>
          <w:lang w:val="en-GB"/>
        </w:rPr>
        <w:br w:type="page"/>
      </w:r>
    </w:p>
    <w:p w14:paraId="5187E165" w14:textId="77777777" w:rsidR="00C75A61" w:rsidRDefault="00C75A61" w:rsidP="00950DD3">
      <w:pPr>
        <w:pStyle w:val="Title"/>
        <w:rPr>
          <w:rFonts w:ascii="Verdana" w:hAnsi="Verdana"/>
          <w:sz w:val="44"/>
          <w:szCs w:val="44"/>
          <w:lang w:val="en-GB"/>
        </w:rPr>
        <w:sectPr w:rsidR="00C75A61" w:rsidSect="00C75A61">
          <w:pgSz w:w="11907" w:h="16840" w:code="9"/>
          <w:pgMar w:top="1440" w:right="1418" w:bottom="1440" w:left="1701" w:header="720" w:footer="720" w:gutter="0"/>
          <w:cols w:space="720"/>
          <w:docGrid w:linePitch="360"/>
        </w:sectPr>
      </w:pPr>
    </w:p>
    <w:p w14:paraId="480F84AD" w14:textId="77777777" w:rsidR="00BE791C" w:rsidRDefault="00BE791C">
      <w:pPr>
        <w:ind w:firstLine="0"/>
        <w:rPr>
          <w:rFonts w:ascii="Verdana" w:eastAsiaTheme="majorEastAsia" w:hAnsi="Verdana" w:cstheme="majorBidi"/>
          <w:spacing w:val="-10"/>
          <w:kern w:val="28"/>
          <w:sz w:val="44"/>
          <w:szCs w:val="44"/>
          <w:lang w:val="en-GB"/>
        </w:rPr>
      </w:pPr>
      <w:r>
        <w:rPr>
          <w:rFonts w:ascii="Verdana" w:hAnsi="Verdana"/>
          <w:sz w:val="44"/>
          <w:szCs w:val="44"/>
          <w:lang w:val="en-GB"/>
        </w:rPr>
        <w:lastRenderedPageBreak/>
        <w:br w:type="page"/>
      </w:r>
    </w:p>
    <w:p w14:paraId="6E8EFA75" w14:textId="6A751119" w:rsidR="00BE791C" w:rsidRPr="00735402" w:rsidRDefault="00BE791C" w:rsidP="00BE791C">
      <w:pPr>
        <w:pStyle w:val="Title"/>
        <w:jc w:val="center"/>
        <w:rPr>
          <w:rFonts w:ascii="Verdana" w:hAnsi="Verdana"/>
          <w:sz w:val="44"/>
          <w:szCs w:val="44"/>
          <w:lang w:val="en-GB"/>
        </w:rPr>
      </w:pPr>
      <w:r w:rsidRPr="00735402">
        <w:rPr>
          <w:rFonts w:ascii="Verdana" w:hAnsi="Verdana"/>
          <w:sz w:val="44"/>
          <w:szCs w:val="44"/>
          <w:lang w:val="en-GB"/>
        </w:rPr>
        <w:lastRenderedPageBreak/>
        <w:t xml:space="preserve">Part </w:t>
      </w:r>
      <w:r>
        <w:rPr>
          <w:rFonts w:ascii="Verdana" w:hAnsi="Verdana"/>
          <w:sz w:val="44"/>
          <w:szCs w:val="44"/>
          <w:lang w:val="en-GB"/>
        </w:rPr>
        <w:t>VI</w:t>
      </w:r>
    </w:p>
    <w:p w14:paraId="0E04756A" w14:textId="2187A4A3" w:rsidR="00BE791C" w:rsidRDefault="00BE791C" w:rsidP="001C1DAF">
      <w:pPr>
        <w:pStyle w:val="Title"/>
        <w:jc w:val="center"/>
        <w:rPr>
          <w:rFonts w:ascii="Verdana" w:hAnsi="Verdana"/>
          <w:sz w:val="44"/>
          <w:szCs w:val="44"/>
          <w:lang w:val="en-GB"/>
        </w:rPr>
      </w:pPr>
    </w:p>
    <w:p w14:paraId="6BC3B79C" w14:textId="43B210B9" w:rsidR="00BE791C" w:rsidRPr="00BE791C" w:rsidRDefault="00BE791C" w:rsidP="00BE791C">
      <w:pPr>
        <w:jc w:val="center"/>
        <w:rPr>
          <w:rFonts w:ascii="Verdana" w:hAnsi="Verdana"/>
          <w:sz w:val="56"/>
          <w:szCs w:val="56"/>
          <w:lang w:val="en-GB"/>
        </w:rPr>
      </w:pPr>
      <w:r w:rsidRPr="00BE791C">
        <w:rPr>
          <w:rFonts w:ascii="Verdana" w:hAnsi="Verdana"/>
          <w:sz w:val="56"/>
          <w:szCs w:val="56"/>
          <w:lang w:val="en-GB"/>
        </w:rPr>
        <w:t>Conclusions and Future Perspectives</w:t>
      </w:r>
    </w:p>
    <w:p w14:paraId="7AD203EE" w14:textId="77777777" w:rsidR="00BE791C" w:rsidRDefault="00BE791C">
      <w:pPr>
        <w:ind w:firstLine="0"/>
        <w:rPr>
          <w:rFonts w:ascii="Verdana" w:eastAsiaTheme="majorEastAsia" w:hAnsi="Verdana" w:cstheme="majorBidi"/>
          <w:spacing w:val="-10"/>
          <w:kern w:val="28"/>
          <w:sz w:val="44"/>
          <w:szCs w:val="44"/>
          <w:lang w:val="en-GB"/>
        </w:rPr>
      </w:pPr>
      <w:r>
        <w:rPr>
          <w:rFonts w:ascii="Verdana" w:hAnsi="Verdana"/>
          <w:sz w:val="44"/>
          <w:szCs w:val="44"/>
          <w:lang w:val="en-GB"/>
        </w:rPr>
        <w:br w:type="page"/>
      </w:r>
    </w:p>
    <w:p w14:paraId="41154326" w14:textId="77777777" w:rsidR="00BE791C" w:rsidRDefault="00BE791C" w:rsidP="001C1DAF">
      <w:pPr>
        <w:pStyle w:val="Title"/>
        <w:jc w:val="center"/>
        <w:rPr>
          <w:rFonts w:ascii="Verdana" w:hAnsi="Verdana"/>
          <w:sz w:val="44"/>
          <w:szCs w:val="44"/>
          <w:lang w:val="en-GB"/>
        </w:rPr>
      </w:pPr>
    </w:p>
    <w:p w14:paraId="3DB8FFEC" w14:textId="77777777" w:rsidR="00BE791C" w:rsidRDefault="00BE791C">
      <w:pPr>
        <w:ind w:firstLine="0"/>
        <w:rPr>
          <w:rFonts w:ascii="Verdana" w:hAnsi="Verdana"/>
          <w:sz w:val="44"/>
          <w:szCs w:val="44"/>
          <w:lang w:val="en-GB"/>
        </w:rPr>
        <w:sectPr w:rsidR="00BE791C" w:rsidSect="00C75A61">
          <w:pgSz w:w="11907" w:h="16840" w:code="9"/>
          <w:pgMar w:top="1440" w:right="1418" w:bottom="1440" w:left="1701" w:header="720" w:footer="720" w:gutter="0"/>
          <w:cols w:space="720"/>
          <w:vAlign w:val="center"/>
          <w:docGrid w:linePitch="360"/>
        </w:sectPr>
      </w:pPr>
      <w:r>
        <w:rPr>
          <w:rFonts w:ascii="Verdana" w:hAnsi="Verdana"/>
          <w:sz w:val="44"/>
          <w:szCs w:val="44"/>
          <w:lang w:val="en-GB"/>
        </w:rPr>
        <w:br w:type="page"/>
      </w:r>
    </w:p>
    <w:p w14:paraId="21BC0E94" w14:textId="77777777" w:rsidR="00B00571" w:rsidRDefault="00B00571">
      <w:pPr>
        <w:ind w:firstLine="0"/>
        <w:rPr>
          <w:rFonts w:ascii="Verdana" w:hAnsi="Verdana"/>
          <w:lang w:val="en-GB"/>
        </w:rPr>
      </w:pPr>
    </w:p>
    <w:p w14:paraId="6C273489" w14:textId="77777777" w:rsidR="00692DCE" w:rsidRDefault="00692DCE">
      <w:pPr>
        <w:ind w:firstLine="0"/>
        <w:rPr>
          <w:rFonts w:ascii="Verdana" w:hAnsi="Verdana"/>
          <w:lang w:val="en-GB"/>
        </w:rPr>
      </w:pPr>
    </w:p>
    <w:p w14:paraId="13FB763B" w14:textId="77777777" w:rsidR="00692DCE" w:rsidRDefault="00692DCE">
      <w:pPr>
        <w:ind w:firstLine="0"/>
        <w:rPr>
          <w:rFonts w:ascii="Verdana" w:hAnsi="Verdana"/>
          <w:lang w:val="en-GB"/>
        </w:rPr>
      </w:pPr>
    </w:p>
    <w:p w14:paraId="0645D639" w14:textId="77777777" w:rsidR="00692DCE" w:rsidRDefault="00692DCE">
      <w:pPr>
        <w:ind w:firstLine="0"/>
        <w:rPr>
          <w:rFonts w:ascii="Verdana" w:hAnsi="Verdana"/>
          <w:lang w:val="en-GB"/>
        </w:rPr>
      </w:pPr>
    </w:p>
    <w:p w14:paraId="406D7641" w14:textId="77777777" w:rsidR="00692DCE" w:rsidRDefault="00692DCE">
      <w:pPr>
        <w:ind w:firstLine="0"/>
        <w:rPr>
          <w:rFonts w:ascii="Verdana" w:hAnsi="Verdana"/>
          <w:lang w:val="en-GB"/>
        </w:rPr>
      </w:pPr>
    </w:p>
    <w:p w14:paraId="3AA7AD84" w14:textId="77777777" w:rsidR="00692DCE" w:rsidRDefault="00692DCE">
      <w:pPr>
        <w:ind w:firstLine="0"/>
        <w:rPr>
          <w:rFonts w:ascii="Verdana" w:hAnsi="Verdana"/>
          <w:lang w:val="en-GB"/>
        </w:rPr>
      </w:pPr>
    </w:p>
    <w:p w14:paraId="36745023" w14:textId="77777777" w:rsidR="00692DCE" w:rsidRDefault="00692DCE">
      <w:pPr>
        <w:ind w:firstLine="0"/>
        <w:rPr>
          <w:rFonts w:ascii="Verdana" w:hAnsi="Verdana"/>
          <w:lang w:val="en-GB"/>
        </w:rPr>
      </w:pPr>
    </w:p>
    <w:p w14:paraId="1A511D82" w14:textId="6B377557" w:rsidR="007057B7" w:rsidRDefault="006D2737" w:rsidP="00BE7203">
      <w:pPr>
        <w:spacing w:line="360" w:lineRule="auto"/>
        <w:jc w:val="both"/>
        <w:rPr>
          <w:rFonts w:ascii="Verdana" w:hAnsi="Verdana"/>
          <w:lang w:val="en-GB"/>
        </w:rPr>
      </w:pPr>
      <w:r>
        <w:rPr>
          <w:rFonts w:ascii="Verdana" w:hAnsi="Verdana"/>
          <w:lang w:val="en-GB"/>
        </w:rPr>
        <w:t xml:space="preserve">The work presented in this thesis offers a comparison </w:t>
      </w:r>
      <w:r w:rsidR="00065721">
        <w:rPr>
          <w:rFonts w:ascii="Verdana" w:hAnsi="Verdana"/>
          <w:lang w:val="en-GB"/>
        </w:rPr>
        <w:t xml:space="preserve">between </w:t>
      </w:r>
      <w:r>
        <w:rPr>
          <w:rFonts w:ascii="Verdana" w:hAnsi="Verdana"/>
          <w:lang w:val="en-GB"/>
        </w:rPr>
        <w:t>different PD disease model</w:t>
      </w:r>
      <w:r w:rsidR="00065721">
        <w:rPr>
          <w:rFonts w:ascii="Verdana" w:hAnsi="Verdana"/>
          <w:lang w:val="en-GB"/>
        </w:rPr>
        <w:t>s,</w:t>
      </w:r>
      <w:r w:rsidR="00DB34C4">
        <w:rPr>
          <w:rFonts w:ascii="Verdana" w:hAnsi="Verdana"/>
          <w:lang w:val="en-GB"/>
        </w:rPr>
        <w:t xml:space="preserve"> highlighting their similarities and differences.</w:t>
      </w:r>
      <w:r w:rsidR="00564423">
        <w:rPr>
          <w:rFonts w:ascii="Verdana" w:hAnsi="Verdana"/>
          <w:lang w:val="en-GB"/>
        </w:rPr>
        <w:t xml:space="preserve"> Since </w:t>
      </w:r>
      <w:r w:rsidR="00340786">
        <w:rPr>
          <w:rFonts w:ascii="Verdana" w:hAnsi="Verdana"/>
          <w:lang w:val="en-GB"/>
        </w:rPr>
        <w:t>the results on the cellular models were only preliminary, they will not be discussed further.</w:t>
      </w:r>
      <w:r w:rsidR="00DB34C4">
        <w:rPr>
          <w:rFonts w:ascii="Verdana" w:hAnsi="Verdana"/>
          <w:lang w:val="en-GB"/>
        </w:rPr>
        <w:t xml:space="preserve"> </w:t>
      </w:r>
      <w:r w:rsidR="001A567A">
        <w:rPr>
          <w:rFonts w:ascii="Verdana" w:hAnsi="Verdana"/>
          <w:lang w:val="en-GB"/>
        </w:rPr>
        <w:t>On the other hand, t</w:t>
      </w:r>
      <w:r w:rsidR="00DB34C4">
        <w:rPr>
          <w:rFonts w:ascii="Verdana" w:hAnsi="Verdana"/>
          <w:lang w:val="en-GB"/>
        </w:rPr>
        <w:t>he major findings of th</w:t>
      </w:r>
      <w:r w:rsidR="00782CAD">
        <w:rPr>
          <w:rFonts w:ascii="Verdana" w:hAnsi="Verdana"/>
          <w:lang w:val="en-GB"/>
        </w:rPr>
        <w:t>e presented research</w:t>
      </w:r>
      <w:r w:rsidR="00340786">
        <w:rPr>
          <w:rFonts w:ascii="Verdana" w:hAnsi="Verdana"/>
          <w:lang w:val="en-GB"/>
        </w:rPr>
        <w:t xml:space="preserve"> abou</w:t>
      </w:r>
      <w:r w:rsidR="001A567A">
        <w:rPr>
          <w:rFonts w:ascii="Verdana" w:hAnsi="Verdana"/>
          <w:lang w:val="en-GB"/>
        </w:rPr>
        <w:t>t PD</w:t>
      </w:r>
      <w:r w:rsidR="00340786">
        <w:rPr>
          <w:rFonts w:ascii="Verdana" w:hAnsi="Verdana"/>
          <w:lang w:val="en-GB"/>
        </w:rPr>
        <w:t xml:space="preserve"> m</w:t>
      </w:r>
      <w:r w:rsidR="001A567A">
        <w:rPr>
          <w:rFonts w:ascii="Verdana" w:hAnsi="Verdana"/>
          <w:lang w:val="en-GB"/>
        </w:rPr>
        <w:t>ouse models</w:t>
      </w:r>
      <w:r w:rsidR="00CF3E85">
        <w:rPr>
          <w:rFonts w:ascii="Verdana" w:hAnsi="Verdana"/>
          <w:lang w:val="en-GB"/>
        </w:rPr>
        <w:t xml:space="preserve"> can be summarised in: 1) </w:t>
      </w:r>
      <w:r w:rsidR="008374CC">
        <w:rPr>
          <w:rFonts w:ascii="Verdana" w:hAnsi="Verdana"/>
          <w:lang w:val="en-GB"/>
        </w:rPr>
        <w:t xml:space="preserve">genetic mouse models of PD (and potentially of other neurodegenerative </w:t>
      </w:r>
      <w:r w:rsidR="00320023">
        <w:rPr>
          <w:rFonts w:ascii="Verdana" w:hAnsi="Verdana"/>
          <w:lang w:val="en-GB"/>
        </w:rPr>
        <w:t>diseases</w:t>
      </w:r>
      <w:r w:rsidR="008374CC">
        <w:rPr>
          <w:rFonts w:ascii="Verdana" w:hAnsi="Verdana"/>
          <w:lang w:val="en-GB"/>
        </w:rPr>
        <w:t xml:space="preserve">) </w:t>
      </w:r>
      <w:r w:rsidR="00320023">
        <w:rPr>
          <w:rFonts w:ascii="Verdana" w:hAnsi="Verdana"/>
          <w:lang w:val="en-GB"/>
        </w:rPr>
        <w:t>present sex-dimorphic features that can</w:t>
      </w:r>
      <w:r w:rsidR="00782CAD">
        <w:rPr>
          <w:rFonts w:ascii="Verdana" w:hAnsi="Verdana"/>
          <w:lang w:val="en-GB"/>
        </w:rPr>
        <w:t xml:space="preserve"> range</w:t>
      </w:r>
      <w:r w:rsidR="00320023">
        <w:rPr>
          <w:rFonts w:ascii="Verdana" w:hAnsi="Verdana"/>
          <w:lang w:val="en-GB"/>
        </w:rPr>
        <w:t xml:space="preserve"> from low, as seen in the Thy1-Syn14 mouse, to strong, as presented in the DJ-1 KO mouse; 2) </w:t>
      </w:r>
      <w:r w:rsidR="00CD176C">
        <w:rPr>
          <w:rFonts w:ascii="Verdana" w:hAnsi="Verdana"/>
          <w:lang w:val="en-GB"/>
        </w:rPr>
        <w:t>pathological events develop as a function of age</w:t>
      </w:r>
      <w:r w:rsidR="00D51FCF">
        <w:rPr>
          <w:rFonts w:ascii="Verdana" w:hAnsi="Verdana"/>
          <w:lang w:val="en-GB"/>
        </w:rPr>
        <w:t>, with changes appearing at certain timepoints but not others</w:t>
      </w:r>
      <w:r w:rsidR="006745FA">
        <w:rPr>
          <w:rFonts w:ascii="Verdana" w:hAnsi="Verdana"/>
          <w:lang w:val="en-GB"/>
        </w:rPr>
        <w:t xml:space="preserve">, or </w:t>
      </w:r>
      <w:r w:rsidR="00304478">
        <w:rPr>
          <w:rFonts w:ascii="Verdana" w:hAnsi="Verdana"/>
          <w:lang w:val="en-GB"/>
        </w:rPr>
        <w:t xml:space="preserve">switching in directionality </w:t>
      </w:r>
      <w:r w:rsidR="00BD61A1">
        <w:rPr>
          <w:rFonts w:ascii="Verdana" w:hAnsi="Verdana"/>
          <w:lang w:val="en-GB"/>
        </w:rPr>
        <w:t>a</w:t>
      </w:r>
      <w:r w:rsidR="00564423">
        <w:rPr>
          <w:rFonts w:ascii="Verdana" w:hAnsi="Verdana"/>
          <w:lang w:val="en-GB"/>
        </w:rPr>
        <w:t>long</w:t>
      </w:r>
      <w:r w:rsidR="00BD61A1">
        <w:rPr>
          <w:rFonts w:ascii="Verdana" w:hAnsi="Verdana"/>
          <w:lang w:val="en-GB"/>
        </w:rPr>
        <w:t xml:space="preserve"> the ageing process; 3) pathological events </w:t>
      </w:r>
      <w:r w:rsidR="00F241FB">
        <w:rPr>
          <w:rFonts w:ascii="Verdana" w:hAnsi="Verdana"/>
          <w:lang w:val="en-GB"/>
        </w:rPr>
        <w:t xml:space="preserve">appear to be region-specific, with the same challenge, e.g. alpha-synuclein overexpression, leading to different outcomes accordingly to </w:t>
      </w:r>
      <w:r w:rsidR="00AC0673">
        <w:rPr>
          <w:rFonts w:ascii="Verdana" w:hAnsi="Verdana"/>
          <w:lang w:val="en-GB"/>
        </w:rPr>
        <w:t>the brain region taken under analysis</w:t>
      </w:r>
      <w:r w:rsidR="008F5B34">
        <w:rPr>
          <w:rFonts w:ascii="Verdana" w:hAnsi="Verdana"/>
          <w:lang w:val="en-GB"/>
        </w:rPr>
        <w:t xml:space="preserve">; 4) different mouse models reproduce </w:t>
      </w:r>
      <w:r w:rsidR="00D90A37">
        <w:rPr>
          <w:rFonts w:ascii="Verdana" w:hAnsi="Verdana"/>
          <w:lang w:val="en-GB"/>
        </w:rPr>
        <w:t xml:space="preserve">different pathological features, and are thus suitable for the investigation of </w:t>
      </w:r>
      <w:r w:rsidR="00955858">
        <w:rPr>
          <w:rFonts w:ascii="Verdana" w:hAnsi="Verdana"/>
          <w:lang w:val="en-GB"/>
        </w:rPr>
        <w:t>separate disease</w:t>
      </w:r>
      <w:r w:rsidR="00D90A37">
        <w:rPr>
          <w:rFonts w:ascii="Verdana" w:hAnsi="Verdana"/>
          <w:lang w:val="en-GB"/>
        </w:rPr>
        <w:t xml:space="preserve"> processes</w:t>
      </w:r>
      <w:r w:rsidR="00955858">
        <w:rPr>
          <w:rFonts w:ascii="Verdana" w:hAnsi="Verdana"/>
          <w:lang w:val="en-GB"/>
        </w:rPr>
        <w:t>.</w:t>
      </w:r>
    </w:p>
    <w:p w14:paraId="2C1D64D2" w14:textId="606C61E6" w:rsidR="001B417F" w:rsidRPr="00983646" w:rsidRDefault="00DD6FF3" w:rsidP="008D1E67">
      <w:pPr>
        <w:spacing w:line="360" w:lineRule="auto"/>
        <w:jc w:val="both"/>
        <w:rPr>
          <w:rFonts w:ascii="Verdana" w:hAnsi="Verdana"/>
          <w:lang w:val="en-GB"/>
        </w:rPr>
        <w:sectPr w:rsidR="001B417F" w:rsidRPr="00983646" w:rsidSect="001B417F">
          <w:pgSz w:w="11907" w:h="16840" w:code="9"/>
          <w:pgMar w:top="1440" w:right="1418" w:bottom="1440" w:left="1701" w:header="720" w:footer="720" w:gutter="0"/>
          <w:cols w:space="720"/>
          <w:docGrid w:linePitch="360"/>
        </w:sectPr>
      </w:pPr>
      <w:r>
        <w:rPr>
          <w:rFonts w:ascii="Verdana" w:hAnsi="Verdana"/>
          <w:lang w:val="en-GB"/>
        </w:rPr>
        <w:t>The already advanced pathological stage at diagnosis renders impossible to achieve proper cure of neurodegenerative diseases, so that treatment is only restricted to symptoms management and slowness of symptomatology progression. An early diagnosis, dependent on the development of early biomarkers, will be essential for advancement o</w:t>
      </w:r>
      <w:r w:rsidR="00484225">
        <w:rPr>
          <w:rFonts w:ascii="Verdana" w:hAnsi="Verdana"/>
          <w:lang w:val="en-GB"/>
        </w:rPr>
        <w:t>f</w:t>
      </w:r>
      <w:r>
        <w:rPr>
          <w:rFonts w:ascii="Verdana" w:hAnsi="Verdana"/>
          <w:lang w:val="en-GB"/>
        </w:rPr>
        <w:t xml:space="preserve"> therapeutic interventions in Parkinson’s and other neurodegenerative disorders. Unfortunately, the modelling of the prodromal phase of PD remains a challenge. </w:t>
      </w:r>
      <w:r w:rsidR="003249A1">
        <w:rPr>
          <w:rFonts w:ascii="Verdana" w:hAnsi="Verdana"/>
          <w:lang w:val="en-GB"/>
        </w:rPr>
        <w:t xml:space="preserve">In this thesis, we </w:t>
      </w:r>
      <w:r w:rsidR="00E737D9">
        <w:rPr>
          <w:rFonts w:ascii="Verdana" w:hAnsi="Verdana"/>
          <w:lang w:val="en-GB"/>
        </w:rPr>
        <w:t xml:space="preserve">have focused on the use of </w:t>
      </w:r>
      <w:r>
        <w:rPr>
          <w:rFonts w:ascii="Verdana" w:hAnsi="Verdana"/>
          <w:lang w:val="en-GB"/>
        </w:rPr>
        <w:t xml:space="preserve">genetic </w:t>
      </w:r>
      <w:r w:rsidR="001B7D1C">
        <w:rPr>
          <w:rFonts w:ascii="Verdana" w:hAnsi="Verdana"/>
          <w:lang w:val="en-GB"/>
        </w:rPr>
        <w:t xml:space="preserve">models presenting a mild phenotype either in terms of neuropathology or behavioural deficits, </w:t>
      </w:r>
      <w:r w:rsidR="00F750D6">
        <w:rPr>
          <w:rFonts w:ascii="Verdana" w:hAnsi="Verdana"/>
          <w:lang w:val="en-GB"/>
        </w:rPr>
        <w:t>as our interest was</w:t>
      </w:r>
      <w:r w:rsidR="00077FF3">
        <w:rPr>
          <w:rFonts w:ascii="Verdana" w:hAnsi="Verdana"/>
          <w:lang w:val="en-GB"/>
        </w:rPr>
        <w:t xml:space="preserve"> in</w:t>
      </w:r>
      <w:r w:rsidR="00F750D6">
        <w:rPr>
          <w:rFonts w:ascii="Verdana" w:hAnsi="Verdana"/>
          <w:lang w:val="en-GB"/>
        </w:rPr>
        <w:t xml:space="preserve"> the investigation of the early stages of Parkinson’s disease.</w:t>
      </w:r>
      <w:r w:rsidR="004233C0">
        <w:rPr>
          <w:rFonts w:ascii="Verdana" w:hAnsi="Verdana"/>
          <w:lang w:val="en-GB"/>
        </w:rPr>
        <w:t xml:space="preserve"> We have also investigated the effect of diet and microbial changes in the initiation and modulation of PD phenotype, </w:t>
      </w:r>
      <w:r w:rsidR="0027787A">
        <w:rPr>
          <w:rFonts w:ascii="Verdana" w:hAnsi="Verdana"/>
          <w:lang w:val="en-GB"/>
        </w:rPr>
        <w:t xml:space="preserve">following the idea that, at least in some cases, PD </w:t>
      </w:r>
      <w:r w:rsidR="0027787A">
        <w:rPr>
          <w:rFonts w:ascii="Verdana" w:hAnsi="Verdana"/>
          <w:lang w:val="en-GB"/>
        </w:rPr>
        <w:lastRenderedPageBreak/>
        <w:t>pathology originates in the periphery.</w:t>
      </w:r>
      <w:r w:rsidR="00401AC3">
        <w:rPr>
          <w:rFonts w:ascii="Verdana" w:hAnsi="Verdana"/>
          <w:lang w:val="en-GB"/>
        </w:rPr>
        <w:t xml:space="preserve"> </w:t>
      </w:r>
      <w:r w:rsidR="00D70E7E">
        <w:rPr>
          <w:rFonts w:ascii="Verdana" w:hAnsi="Verdana"/>
          <w:lang w:val="en-GB"/>
        </w:rPr>
        <w:t>W</w:t>
      </w:r>
      <w:r w:rsidR="00792ADC">
        <w:rPr>
          <w:rFonts w:ascii="Verdana" w:hAnsi="Verdana"/>
          <w:lang w:val="en-GB"/>
        </w:rPr>
        <w:t xml:space="preserve">e were able to </w:t>
      </w:r>
      <w:r w:rsidR="004B6AC8">
        <w:rPr>
          <w:rFonts w:ascii="Verdana" w:hAnsi="Verdana"/>
          <w:lang w:val="en-GB"/>
        </w:rPr>
        <w:t xml:space="preserve">assess progressive worsening of PD-like phenotypes, such as age-dependent neurodegeneration in the striatum of </w:t>
      </w:r>
      <w:r w:rsidR="00180861">
        <w:rPr>
          <w:rFonts w:ascii="Verdana" w:hAnsi="Verdana"/>
          <w:lang w:val="en-GB"/>
        </w:rPr>
        <w:t xml:space="preserve">SNCA*E46K mice, or exacerbation of </w:t>
      </w:r>
      <w:r w:rsidR="008D2718">
        <w:rPr>
          <w:rFonts w:ascii="Verdana" w:hAnsi="Verdana"/>
          <w:lang w:val="en-GB"/>
        </w:rPr>
        <w:t>alpha-synuclein pathology</w:t>
      </w:r>
      <w:r w:rsidR="00180861">
        <w:rPr>
          <w:rFonts w:ascii="Verdana" w:hAnsi="Verdana"/>
          <w:lang w:val="en-GB"/>
        </w:rPr>
        <w:t xml:space="preserve"> in</w:t>
      </w:r>
      <w:r w:rsidR="00D81077">
        <w:rPr>
          <w:rFonts w:ascii="Verdana" w:hAnsi="Verdana"/>
          <w:lang w:val="en-GB"/>
        </w:rPr>
        <w:t xml:space="preserve"> brain and gut of</w:t>
      </w:r>
      <w:r w:rsidR="00180861">
        <w:rPr>
          <w:rFonts w:ascii="Verdana" w:hAnsi="Verdana"/>
          <w:lang w:val="en-GB"/>
        </w:rPr>
        <w:t xml:space="preserve"> Thy1-Syn14 mice</w:t>
      </w:r>
      <w:r w:rsidR="00D81077">
        <w:rPr>
          <w:rFonts w:ascii="Verdana" w:hAnsi="Verdana"/>
          <w:lang w:val="en-GB"/>
        </w:rPr>
        <w:t xml:space="preserve"> following 9-weeks long bacterial and diet challenges</w:t>
      </w:r>
      <w:r w:rsidR="00180861">
        <w:rPr>
          <w:rFonts w:ascii="Verdana" w:hAnsi="Verdana"/>
          <w:lang w:val="en-GB"/>
        </w:rPr>
        <w:t xml:space="preserve">. </w:t>
      </w:r>
      <w:r w:rsidR="00D81077">
        <w:rPr>
          <w:rFonts w:ascii="Verdana" w:hAnsi="Verdana"/>
          <w:lang w:val="en-GB"/>
        </w:rPr>
        <w:t>Tracking</w:t>
      </w:r>
      <w:r w:rsidR="00180861">
        <w:rPr>
          <w:rFonts w:ascii="Verdana" w:hAnsi="Verdana"/>
          <w:lang w:val="en-GB"/>
        </w:rPr>
        <w:t xml:space="preserve"> back these changes and investigat</w:t>
      </w:r>
      <w:r w:rsidR="00D81077">
        <w:rPr>
          <w:rFonts w:ascii="Verdana" w:hAnsi="Verdana"/>
          <w:lang w:val="en-GB"/>
        </w:rPr>
        <w:t>ing</w:t>
      </w:r>
      <w:r w:rsidR="00180861">
        <w:rPr>
          <w:rFonts w:ascii="Verdana" w:hAnsi="Verdana"/>
          <w:lang w:val="en-GB"/>
        </w:rPr>
        <w:t xml:space="preserve"> a timepoint in the life of the m</w:t>
      </w:r>
      <w:r w:rsidR="006864C0">
        <w:rPr>
          <w:rFonts w:ascii="Verdana" w:hAnsi="Verdana"/>
          <w:lang w:val="en-GB"/>
        </w:rPr>
        <w:t>ice</w:t>
      </w:r>
      <w:r w:rsidR="00180861">
        <w:rPr>
          <w:rFonts w:ascii="Verdana" w:hAnsi="Verdana"/>
          <w:lang w:val="en-GB"/>
        </w:rPr>
        <w:t xml:space="preserve"> whe</w:t>
      </w:r>
      <w:r w:rsidR="006864C0">
        <w:rPr>
          <w:rFonts w:ascii="Verdana" w:hAnsi="Verdana"/>
          <w:lang w:val="en-GB"/>
        </w:rPr>
        <w:t>n</w:t>
      </w:r>
      <w:r w:rsidR="00180861">
        <w:rPr>
          <w:rFonts w:ascii="Verdana" w:hAnsi="Verdana"/>
          <w:lang w:val="en-GB"/>
        </w:rPr>
        <w:t xml:space="preserve"> such impairments </w:t>
      </w:r>
      <w:r w:rsidR="002C00F3">
        <w:rPr>
          <w:rFonts w:ascii="Verdana" w:hAnsi="Verdana"/>
          <w:lang w:val="en-GB"/>
        </w:rPr>
        <w:t>are</w:t>
      </w:r>
      <w:r w:rsidR="00180861">
        <w:rPr>
          <w:rFonts w:ascii="Verdana" w:hAnsi="Verdana"/>
          <w:lang w:val="en-GB"/>
        </w:rPr>
        <w:t xml:space="preserve"> not</w:t>
      </w:r>
      <w:r w:rsidR="002C00F3">
        <w:rPr>
          <w:rFonts w:ascii="Verdana" w:hAnsi="Verdana"/>
          <w:lang w:val="en-GB"/>
        </w:rPr>
        <w:t xml:space="preserve"> yet</w:t>
      </w:r>
      <w:r w:rsidR="00180861">
        <w:rPr>
          <w:rFonts w:ascii="Verdana" w:hAnsi="Verdana"/>
          <w:lang w:val="en-GB"/>
        </w:rPr>
        <w:t xml:space="preserve"> present,</w:t>
      </w:r>
      <w:r w:rsidR="006864C0">
        <w:rPr>
          <w:rFonts w:ascii="Verdana" w:hAnsi="Verdana"/>
          <w:lang w:val="en-GB"/>
        </w:rPr>
        <w:t xml:space="preserve"> </w:t>
      </w:r>
      <w:r w:rsidR="00D81077">
        <w:rPr>
          <w:rFonts w:ascii="Verdana" w:hAnsi="Verdana"/>
          <w:lang w:val="en-GB"/>
        </w:rPr>
        <w:t>can give us an idea of what are the earliest event driving PD pathogenesis</w:t>
      </w:r>
      <w:r w:rsidR="00566F19">
        <w:rPr>
          <w:rFonts w:ascii="Verdana" w:hAnsi="Verdana"/>
          <w:lang w:val="en-GB"/>
        </w:rPr>
        <w:t>.</w:t>
      </w:r>
      <w:r w:rsidR="00D81077">
        <w:rPr>
          <w:rFonts w:ascii="Verdana" w:hAnsi="Verdana"/>
          <w:lang w:val="en-GB"/>
        </w:rPr>
        <w:t xml:space="preserve"> Nevertheless, in these and other mouse models of PD, a full overlap with the </w:t>
      </w:r>
      <w:r w:rsidR="00104E5D">
        <w:rPr>
          <w:rFonts w:ascii="Verdana" w:hAnsi="Verdana"/>
          <w:lang w:val="en-GB"/>
        </w:rPr>
        <w:t xml:space="preserve">human prodromal phase is </w:t>
      </w:r>
      <w:r w:rsidR="001E68CE">
        <w:rPr>
          <w:rFonts w:ascii="Verdana" w:hAnsi="Verdana"/>
          <w:lang w:val="en-GB"/>
        </w:rPr>
        <w:t>still missing.</w:t>
      </w:r>
      <w:r w:rsidR="00566F19">
        <w:rPr>
          <w:rFonts w:ascii="Verdana" w:hAnsi="Verdana"/>
          <w:lang w:val="en-GB"/>
        </w:rPr>
        <w:t xml:space="preserve"> </w:t>
      </w:r>
      <w:r w:rsidR="006864C0">
        <w:rPr>
          <w:rFonts w:ascii="Verdana" w:hAnsi="Verdana"/>
          <w:lang w:val="en-GB"/>
        </w:rPr>
        <w:t>F</w:t>
      </w:r>
      <w:r w:rsidR="001B417F">
        <w:rPr>
          <w:rFonts w:ascii="Verdana" w:hAnsi="Verdana"/>
          <w:lang w:val="en-GB"/>
        </w:rPr>
        <w:t>eatures such as</w:t>
      </w:r>
      <w:r w:rsidR="00566F19">
        <w:rPr>
          <w:rFonts w:ascii="Verdana" w:hAnsi="Verdana"/>
          <w:lang w:val="en-GB"/>
        </w:rPr>
        <w:t xml:space="preserve"> sleep</w:t>
      </w:r>
      <w:r w:rsidR="00983646">
        <w:rPr>
          <w:rFonts w:ascii="Verdana" w:hAnsi="Verdana"/>
          <w:lang w:val="en-GB"/>
        </w:rPr>
        <w:t xml:space="preserve"> d</w:t>
      </w:r>
      <w:r w:rsidR="00566F19">
        <w:rPr>
          <w:rFonts w:ascii="Verdana" w:hAnsi="Verdana"/>
          <w:lang w:val="en-GB"/>
        </w:rPr>
        <w:t>isturbances</w:t>
      </w:r>
      <w:r w:rsidR="009B052E">
        <w:rPr>
          <w:rFonts w:ascii="Verdana" w:hAnsi="Verdana"/>
          <w:lang w:val="en-GB"/>
        </w:rPr>
        <w:t>, constipation</w:t>
      </w:r>
      <w:r w:rsidR="00566F19">
        <w:rPr>
          <w:rFonts w:ascii="Verdana" w:hAnsi="Verdana"/>
          <w:lang w:val="en-GB"/>
        </w:rPr>
        <w:t xml:space="preserve"> or </w:t>
      </w:r>
      <w:r w:rsidR="001B417F">
        <w:rPr>
          <w:rFonts w:ascii="Verdana" w:hAnsi="Verdana"/>
          <w:lang w:val="en-GB"/>
        </w:rPr>
        <w:t xml:space="preserve">hyposmia which are characteristic of prodromal PD are </w:t>
      </w:r>
      <w:r w:rsidR="00D36734">
        <w:rPr>
          <w:rFonts w:ascii="Verdana" w:hAnsi="Verdana"/>
          <w:lang w:val="en-GB"/>
        </w:rPr>
        <w:t>not common in animal models of the same pathology, or perhaps are still under</w:t>
      </w:r>
      <w:r w:rsidR="002E330B">
        <w:rPr>
          <w:rFonts w:ascii="Verdana" w:hAnsi="Verdana"/>
          <w:lang w:val="en-GB"/>
        </w:rPr>
        <w:t xml:space="preserve"> </w:t>
      </w:r>
      <w:r w:rsidR="00D36734">
        <w:rPr>
          <w:rFonts w:ascii="Verdana" w:hAnsi="Verdana"/>
          <w:lang w:val="en-GB"/>
        </w:rPr>
        <w:t xml:space="preserve">investigated. </w:t>
      </w:r>
      <w:r w:rsidR="00983646">
        <w:rPr>
          <w:rFonts w:ascii="Verdana" w:hAnsi="Verdana"/>
          <w:lang w:val="en-GB"/>
        </w:rPr>
        <w:t xml:space="preserve">Non-motor disturbances </w:t>
      </w:r>
      <w:r w:rsidR="004A57F2">
        <w:rPr>
          <w:rFonts w:ascii="Verdana" w:hAnsi="Verdana"/>
          <w:lang w:val="en-GB"/>
        </w:rPr>
        <w:t>can be observed</w:t>
      </w:r>
      <w:r w:rsidR="00983646">
        <w:rPr>
          <w:rFonts w:ascii="Verdana" w:hAnsi="Verdana"/>
          <w:lang w:val="en-GB"/>
        </w:rPr>
        <w:t xml:space="preserve"> in toxic models</w:t>
      </w:r>
      <w:r w:rsidR="00923219">
        <w:rPr>
          <w:rFonts w:ascii="Verdana" w:hAnsi="Verdana"/>
          <w:lang w:val="en-GB"/>
        </w:rPr>
        <w:t xml:space="preserve"> </w:t>
      </w:r>
      <w:r w:rsidR="002433CC">
        <w:rPr>
          <w:rFonts w:ascii="Verdana" w:hAnsi="Verdana"/>
          <w:lang w:val="en-GB"/>
        </w:rPr>
        <w:fldChar w:fldCharType="begin"/>
      </w:r>
      <w:r w:rsidR="002433CC">
        <w:rPr>
          <w:rFonts w:ascii="Verdana" w:hAnsi="Verdana"/>
          <w:lang w:val="en-GB"/>
        </w:rPr>
        <w:instrText xml:space="preserve"> ADDIN ZOTERO_ITEM CSL_CITATION {"citationID":"1mpwlWHV","properties":{"formattedCitation":"(Greene, Noorian, and Srinivasan 2009; Rodrigues et al. 2014; Vo et al. 2014)","plainCitation":"(Greene, Noorian, and Srinivasan 2009; Rodrigues et al. 2014; Vo et al. 2014)","noteIndex":0},"citationItems":[{"id":2163,"uris":["http://zotero.org/users/9330673/items/DU4SBYT6"],"itemData":{"id":2163,"type":"article-journal","abstract":"Gastrointestinal (GI) dysfunction is the most common non-motor symptom of Parkinson’s disease (PD). Symptoms of GI dysmotility in PD include early satiety and weight loss from delayed gastric emptying and constipation from impaired colonic transit. Understanding the pathophysiology and treatment of these symptoms in PD patients has been hampered by the lack of investigation into GI symptoms and pathology in PD animal models. We report that the parkinsonian neurotoxin and mitochondrial complex I inhibitor rotenone causes delayed gastric emptying and enteric neuronal dysfunction when administered chronically to rats in the absence of major motor dysfunction or CNS pathology. When examined 22–28 days after initiation of rotenone infusion by osmotic minipump (3 mg/kg/day), 45% of rotenone-treated rats had a profound delay in gastric emptying. Electrophysiological recording of neurally-mediated muscle contraction in isolated colon from rotenone-treated animals confirmed an enteric inhibitory defect associated with rotenone treatment. Rotenone also induced a transient decrease in stool frequency that was associated with weight loss and decreased food and water intake. Pathologically, no alterations in enteric neuron numbers or morphology were apparent in rotenone-treated animals. These results suggest that enteric inhibitory neurons may be particularly vulnerable to the effects of mitochondrial inhibition by parkinsonian neurotoxins and provide evidence that parkinsonian gastrointestinal abnormalities can be modeled in rodents.","container-title":"Experimental Neurology","DOI":"10.1016/j.expneurol.2009.04.023","ISSN":"00144886","issue":"1","journalAbbreviation":"Experimental Neurology","language":"en","page":"154-161","source":"DOI.org (Crossref)","title":"Delayed gastric emptying and enteric nervous system dysfunction in the rotenone model of Parkinson's disease","volume":"218","author":[{"family":"Greene","given":"James G."},{"family":"Noorian","given":"Ali Reza"},{"family":"Srinivasan","given":"Shanthi"}],"issued":{"date-parts":[["2009",7]]}}},{"id":2164,"uris":["http://zotero.org/users/9330673/items/BKVEQCXG"],"itemData":{"id":2164,"type":"article-journal","abstract":"Olfactory and rapid eye movement (REM) sleep deﬁcits are commonly found in untreated subjects with a recent diagnosis of Parkinson’s disease (PD). Additionally, different studies report declines in olfactory performance during a short period of sleep deprivation. Mechanisms underlying these clinical manifestations are poorly understood, and impairment of dopamine (DA) neurotransmission in the olfactory bulb and the nigrostriatal pathway may have important roles in olfaction and REM sleep disturbances. Therefore, we hypothesized that modulation of the dopaminergic D2 receptors in the olfactory bulb could provide a more comprehensive understanding of the olfactory deﬁcits in PD and REM sleep deprivation (REMSD). We decided to investigate the olfactory, neurochemical, and histological alterations generated through the administration of piribedil (a selective D2 agonist) or raclopride (a selective D2 antagonist) within the glomerular layer of the olfactory bulb, in rats subjected to intranigral rotenone and REMSD. Our ﬁndings provide evidence of the occurrence of a negative correlation (r = −0.52, P = 0.04) between the number of periglomerular TH-ir neurons and the bulbar levels of DA in the rotenone, but not sham, groups. A signiﬁcant positive correlation (r = 0.34, P = 0.03) was observed between nigrostriatal DA levels and olfactory discrimination index (DI) for the sham groups, indicating that increased DA levels in the substantia nigra pars compacta (SNpc) are associated with enhanced olfactory discrimination performance. Also, increased levels in bulbar and striatal DA were induced by piribedil in the rotenone control and rotenone REMSD groups, consistent with reductions in the DI. The present evidence reinforce the idea that DA produced by periglomerular neurons, particularly the bulbar dopaminergic D2 receptors, is an essential participant in olfactory discrimination processes, as the SNpc, and the striatum.","container-title":"Frontiers in Cellular Neuroscience","DOI":"10.3389/fncel.2014.00383","ISSN":"1662-5102","journalAbbreviation":"Front. Cell. Neurosci.","language":"en","source":"DOI.org (Crossref)","title":"Olfactory impairment in the rotenone model of Parkinsonâ€™s disease is associated with bulbar dopaminergic D2 activity after REM sleep deprivation","URL":"http://journal.frontiersin.org/article/10.3389/fncel.2014.00383/abstract","volume":"8","author":[{"family":"Rodrigues","given":"Lais S."},{"family":"Targa","given":"Adriano D. S."},{"family":"Noseda","given":"Ana Carolina D."},{"family":"Aurich","given":"Mariana F."},{"family":"Da Cunha","given":"ClÃ¡udio"},{"family":"Lima","given":"Marcelo M. S."}],"accessed":{"date-parts":[["2023",2,14]]},"issued":{"date-parts":[["2014",12,1]]}}},{"id":2162,"uris":["http://zotero.org/users/9330673/items/YLTACET6"],"itemData":{"id":2162,"type":"article-journal","abstract":"Sleep pattern disruption, specifically REM sleep behavior disorder (RBD), is a major nonmotor cause of disability in PD. Understanding the pathophysiology of these sleep pattern disturbances is critical to find effective treatments. 24-hour polysomnography (PSG), the gold standard for sleep studies, has never been used to test sleep dysfunction in the standard 6-OHDA lesioned hemiparkinsonian (HP) rat PD model. In this study, we recorded 24-hour PSG from normal and HP rats. Recordings were scored into wake, rapid eye movement (REM), and non-REM (NREM). We then examined EEG to identify REM periods and EMG to check muscle activity during REM. Normal rats showed higher wakefulness (70–80%) during the dark phase and lower wakefulness (20%) during the light phase. HP rats showed 30–50% sleep in both phases, less modulation and synchronization to the light schedule\n              \n                (\n                P\n                &lt;\n                0.0001\n                )\n              \n              , and more long run lengths of wakefulness\n              \n                (\n                P\n                &lt;\n                0.05\n                )\n              \n              . HP rats also had more REM epochs with muscle activity than control rats\n              \n                (\n                P\n                &lt;\n                0.05\n                )\n              \n              . Our findings that the sleep architecture in the HP rat resembles that of PD patients demonstrate the value of this model in studying the pathophysiological basis of PD sleep disturbances and preclinical therapeutics for PD related sleep disorders including RBD.","container-title":"Parkinson's Disease","DOI":"10.1155/2014/852965","ISSN":"2090-8083, 2042-0080","journalAbbreviation":"Parkinson's Disease","language":"en","page":"1-8","source":"DOI.org (Crossref)","title":"Polysomnographic Features of Sleep Disturbances and REM Sleep Behavior Disorder in the Unilateral 6-OHDA Lesioned Hemiparkinsonian Rat","volume":"2014","author":[{"family":"Vo","given":"Quynh"},{"family":"Gilmour","given":"Timothy P."},{"family":"Venkiteswaran","given":"Kala"},{"family":"Fang","given":"Jidong"},{"family":"Subramanian","given":"Thyagarajan"}],"issued":{"date-parts":[["2014"]]}}}],"schema":"https://github.com/citation-style-language/schema/raw/master/csl-citation.json"} </w:instrText>
      </w:r>
      <w:r w:rsidR="002433CC">
        <w:rPr>
          <w:rFonts w:ascii="Verdana" w:hAnsi="Verdana"/>
          <w:lang w:val="en-GB"/>
        </w:rPr>
        <w:fldChar w:fldCharType="separate"/>
      </w:r>
      <w:r w:rsidR="002433CC" w:rsidRPr="002433CC">
        <w:rPr>
          <w:rFonts w:ascii="Verdana" w:hAnsi="Verdana"/>
        </w:rPr>
        <w:t>(Greene, Noorian, and Srinivasan 2009; Rodrigues et al. 2014; Vo et al. 2014)</w:t>
      </w:r>
      <w:r w:rsidR="002433CC">
        <w:rPr>
          <w:rFonts w:ascii="Verdana" w:hAnsi="Verdana"/>
          <w:lang w:val="en-GB"/>
        </w:rPr>
        <w:fldChar w:fldCharType="end"/>
      </w:r>
      <w:r w:rsidR="00983646">
        <w:rPr>
          <w:rFonts w:ascii="Verdana" w:hAnsi="Verdana"/>
          <w:lang w:val="en-GB"/>
        </w:rPr>
        <w:t>,</w:t>
      </w:r>
      <w:r w:rsidR="004A57F2">
        <w:rPr>
          <w:rFonts w:ascii="Verdana" w:hAnsi="Verdana"/>
          <w:lang w:val="en-GB"/>
        </w:rPr>
        <w:t xml:space="preserve"> but are rare and </w:t>
      </w:r>
      <w:r w:rsidR="00983646">
        <w:rPr>
          <w:rFonts w:ascii="Verdana" w:hAnsi="Verdana"/>
          <w:lang w:val="en-GB"/>
        </w:rPr>
        <w:t xml:space="preserve">their </w:t>
      </w:r>
      <w:r w:rsidR="00D3750A">
        <w:rPr>
          <w:rFonts w:ascii="Verdana" w:hAnsi="Verdana"/>
          <w:lang w:val="en-GB"/>
        </w:rPr>
        <w:t>analysis is</w:t>
      </w:r>
      <w:r w:rsidR="004A57F2">
        <w:rPr>
          <w:rFonts w:ascii="Verdana" w:hAnsi="Verdana"/>
          <w:lang w:val="en-GB"/>
        </w:rPr>
        <w:t xml:space="preserve"> generally</w:t>
      </w:r>
      <w:r w:rsidR="00D3750A">
        <w:rPr>
          <w:rFonts w:ascii="Verdana" w:hAnsi="Verdana"/>
          <w:lang w:val="en-GB"/>
        </w:rPr>
        <w:t xml:space="preserve"> </w:t>
      </w:r>
      <w:r w:rsidR="008A1D8F">
        <w:rPr>
          <w:rFonts w:ascii="Verdana" w:hAnsi="Verdana"/>
          <w:lang w:val="en-GB"/>
        </w:rPr>
        <w:t>hampered by the strong motor symptoms and neurodegenerative features.</w:t>
      </w:r>
      <w:r w:rsidR="002E330B">
        <w:rPr>
          <w:rFonts w:ascii="Verdana" w:hAnsi="Verdana"/>
          <w:lang w:val="en-GB"/>
        </w:rPr>
        <w:t xml:space="preserve"> B</w:t>
      </w:r>
      <w:r w:rsidR="007E67E5">
        <w:rPr>
          <w:rFonts w:ascii="Verdana" w:hAnsi="Verdana"/>
          <w:lang w:val="en-GB"/>
        </w:rPr>
        <w:t>etter results are obtained with alpha-synuclein overexpressing models</w:t>
      </w:r>
      <w:r w:rsidR="00224281">
        <w:rPr>
          <w:rFonts w:ascii="Verdana" w:hAnsi="Verdana"/>
          <w:lang w:val="en-GB"/>
        </w:rPr>
        <w:t>, where alpha-synuclein inclusions are sometimes reported in the olfactory bulb</w:t>
      </w:r>
      <w:r w:rsidR="00901795">
        <w:rPr>
          <w:rFonts w:ascii="Verdana" w:hAnsi="Verdana"/>
          <w:lang w:val="en-GB"/>
        </w:rPr>
        <w:t xml:space="preserve"> </w:t>
      </w:r>
      <w:r w:rsidR="003B28A5">
        <w:rPr>
          <w:rFonts w:ascii="Verdana" w:hAnsi="Verdana"/>
          <w:lang w:val="en-GB"/>
        </w:rPr>
        <w:t xml:space="preserve"> </w:t>
      </w:r>
      <w:r w:rsidR="003B28A5">
        <w:rPr>
          <w:rFonts w:ascii="Verdana" w:hAnsi="Verdana"/>
          <w:lang w:val="en-GB"/>
        </w:rPr>
        <w:fldChar w:fldCharType="begin"/>
      </w:r>
      <w:r w:rsidR="003B28A5">
        <w:rPr>
          <w:rFonts w:ascii="Verdana" w:hAnsi="Verdana"/>
          <w:lang w:val="en-GB"/>
        </w:rPr>
        <w:instrText xml:space="preserve"> ADDIN ZOTERO_ITEM CSL_CITATION {"citationID":"wG2clswi","properties":{"formattedCitation":"(Fleming et al. 2008; Taguchi et al. n.d.; S. Zhang, Xiao, and Le 2015)","plainCitation":"(Fleming et al. 2008; Taguchi et al. n.d.; S. Zhang, Xiao, and Le 2015)","noteIndex":0},"citationItems":[{"id":2167,"uris":["http://zotero.org/users/9330673/items/CYJ4ZAIC"],"itemData":{"id":2167,"type":"article-journal","abstract":"Accumulation of α-synuclein in neurons of the central and peripheral nervous system is a hallmark of sporadic Parkinson’s disease (PD) and mutations that increase α-synuclein levels cause familial PD. Transgenic mice overexpressing α-synuclein under the Thy1 promoter (Thy1-aSyn) have high levels of α-synuclein expression throughout the brain but no loss of nigrostriatal dopamine neurons up to 8 months, suggesting that they may be useful to model pre-clinical stages of PD. Olfactory dysfunction often precedes the onset of the cardinal motor symptoms of PD by several years and includes deficits in odor detection, discrimination and identification. In the present study, we measured olfactory function in 3- and 9-month-old male Thy1-aSyn mice with a buried pellet test based on latency to find an exposed or hidden odorant, a block test based on exposure to self and non-self odors, and a habituation/dishabituation test based on exposure to non-social odors. In a separate group of mice, α-synuclein immunoreactivity was assessed in the olfactory bulb. Compared with wildtype littermates, Thy1-aSyn mice could still detect and habituate to odors but showed olfactory impairments in aspects of all three testing paradigms. Thy1-aSyn mice also displayed proteinase K-resistant α-synuclein inclusions throughout the olfactory bulb. These data indicate that overexpression of α-synuclein is sufficient to cause olfactory deficits in mice similar to that observed in patients with PD. Furthermore, the buried pellet and block tests provided sufficient power for the detection of a 50% drug effect, indicating their usefulness for testing novel neuroprotective therapies.","container-title":"European Journal of Neuroscience","DOI":"10.1111/j.1460-9568.2008.06346.x","ISSN":"0953816X, 14609568","issue":"2","language":"en","page":"247-256","source":"DOI.org (Crossref)","title":"Olfactory deficits in mice overexpressing human wildtype -synuclein","volume":"28","author":[{"family":"Fleming","given":"Sheila M."},{"family":"Tetreault","given":"Nicole A."},{"family":"Mulligan","given":"Caitlin K."},{"family":"Hutson","given":"Ch B."},{"family":"Masliah","given":"Eliezer"},{"family":"Chesselet","given":"Marie-Franoise"}],"issued":{"date-parts":[["2008",7]]}}},{"id":2168,"uris":["http://zotero.org/users/9330673/items/YSP4NEMP"],"itemData":{"id":2168,"type":"article-journal","language":"en","source":"Zotero","title":"a-Synuclein BAC transgenic mice exhibited RBD-like behaviour and hyposmia: a prodromal Parkinson’s disease model","author":[{"family":"Taguchi","given":"Tomoyuki"},{"family":"Ikuno","given":"Masashi"},{"family":"Hondo","given":"Mari"},{"family":"Parajuli","given":"Laxmi Kumar"},{"family":"Taguchi","given":"Katsutoshi"},{"family":"Ueda","given":"Jun"},{"family":"Sawamura","given":"Masanori"},{"family":"Okuda","given":"Shinya"},{"family":"Nakanishi","given":"Etsuro"},{"family":"Hara","given":"Junko"},{"family":"Uemura","given":"Norihito"},{"family":"Hatanaka","given":"Yusuke"},{"family":"Ayaki","given":"Takashi"},{"family":"Matsuzawa","given":"Shuichi"},{"family":"Tanaka","given":"Masaki"},{"family":"El-Agnaf","given":"Omar M A"},{"family":"Koike","given":"Masato"},{"family":"Yanagisawa","given":"Masashi"},{"family":"Uemura","given":"Maiko T"},{"family":"Yamakado","given":"Hodaka"},{"family":"Takahashi","given":"Ryosuke"}]}},{"id":2172,"uris":["http://zotero.org/users/9330673/items/VZQAG4ID"],"itemData":{"id":2172,"type":"article-journal","container-title":"PLOS ONE","DOI":"10.1371/journal.pone.0119928","ISSN":"1932-6203","issue":"3","journalAbbreviation":"PLoS ONE","language":"en","page":"e0119928","source":"DOI.org (Crossref)","title":"Olfactory Dysfunction and Neurotransmitter Disturbance in Olfactory Bulb of Transgenic Mice Expressing Human A53T Mutant α-Synuclein","volume":"10","author":[{"family":"Zhang","given":"Sufang"},{"family":"Xiao","given":"Qian"},{"family":"Le","given":"Weidong"}],"editor":[{"family":"Li","given":"Xiao-Jiang"}],"issued":{"date-parts":[["2015",3,23]]}}}],"schema":"https://github.com/citation-style-language/schema/raw/master/csl-citation.json"} </w:instrText>
      </w:r>
      <w:r w:rsidR="003B28A5">
        <w:rPr>
          <w:rFonts w:ascii="Verdana" w:hAnsi="Verdana"/>
          <w:lang w:val="en-GB"/>
        </w:rPr>
        <w:fldChar w:fldCharType="separate"/>
      </w:r>
      <w:r w:rsidR="003B28A5" w:rsidRPr="003B28A5">
        <w:rPr>
          <w:rFonts w:ascii="Verdana" w:hAnsi="Verdana"/>
        </w:rPr>
        <w:t>(Fleming et al. 2008; Taguchi et al. n.d.; S. Zhang, Xiao, and Le 2015)</w:t>
      </w:r>
      <w:r w:rsidR="003B28A5">
        <w:rPr>
          <w:rFonts w:ascii="Verdana" w:hAnsi="Verdana"/>
          <w:lang w:val="en-GB"/>
        </w:rPr>
        <w:fldChar w:fldCharType="end"/>
      </w:r>
      <w:r w:rsidR="005D1CFB">
        <w:rPr>
          <w:rFonts w:ascii="Verdana" w:hAnsi="Verdana"/>
          <w:lang w:val="en-GB"/>
        </w:rPr>
        <w:t>.</w:t>
      </w:r>
      <w:r w:rsidR="00FF6D73">
        <w:rPr>
          <w:rFonts w:ascii="Verdana" w:hAnsi="Verdana"/>
          <w:lang w:val="en-GB"/>
        </w:rPr>
        <w:t xml:space="preserve"> Overall, it is impossible for a single disease model to reproduce the whole spectrum of pre-clinical, prodromal</w:t>
      </w:r>
      <w:r w:rsidR="00D00F29">
        <w:rPr>
          <w:rFonts w:ascii="Verdana" w:hAnsi="Verdana"/>
          <w:lang w:val="en-GB"/>
        </w:rPr>
        <w:t>,</w:t>
      </w:r>
      <w:r w:rsidR="00FF6D73">
        <w:rPr>
          <w:rFonts w:ascii="Verdana" w:hAnsi="Verdana"/>
          <w:lang w:val="en-GB"/>
        </w:rPr>
        <w:t xml:space="preserve"> and </w:t>
      </w:r>
      <w:r w:rsidR="00CF5FC4">
        <w:rPr>
          <w:rFonts w:ascii="Verdana" w:hAnsi="Verdana"/>
          <w:lang w:val="en-GB"/>
        </w:rPr>
        <w:t>clinical advanced stages of PD</w:t>
      </w:r>
      <w:r w:rsidR="008561B1">
        <w:rPr>
          <w:rFonts w:ascii="Verdana" w:hAnsi="Verdana"/>
          <w:lang w:val="en-GB"/>
        </w:rPr>
        <w:t xml:space="preserve">, nor </w:t>
      </w:r>
      <w:r w:rsidR="00842AED">
        <w:rPr>
          <w:rFonts w:ascii="Verdana" w:hAnsi="Verdana"/>
          <w:lang w:val="en-GB"/>
        </w:rPr>
        <w:t xml:space="preserve">this </w:t>
      </w:r>
      <w:r w:rsidR="008561B1">
        <w:rPr>
          <w:rFonts w:ascii="Verdana" w:hAnsi="Verdana"/>
          <w:lang w:val="en-GB"/>
        </w:rPr>
        <w:t xml:space="preserve">is the </w:t>
      </w:r>
      <w:r w:rsidR="005D0DD6">
        <w:rPr>
          <w:rFonts w:ascii="Verdana" w:hAnsi="Verdana"/>
          <w:lang w:val="en-GB"/>
        </w:rPr>
        <w:t>scope</w:t>
      </w:r>
      <w:r w:rsidR="00B6328A">
        <w:rPr>
          <w:rFonts w:ascii="Verdana" w:hAnsi="Verdana"/>
          <w:lang w:val="en-GB"/>
        </w:rPr>
        <w:t xml:space="preserve"> of disease modelling</w:t>
      </w:r>
      <w:r w:rsidR="001C34FF">
        <w:rPr>
          <w:rFonts w:ascii="Verdana" w:hAnsi="Verdana"/>
          <w:lang w:val="en-GB"/>
        </w:rPr>
        <w:t>.</w:t>
      </w:r>
      <w:r w:rsidR="004475D4">
        <w:rPr>
          <w:rFonts w:ascii="Verdana" w:hAnsi="Verdana"/>
          <w:lang w:val="en-GB"/>
        </w:rPr>
        <w:t xml:space="preserve"> </w:t>
      </w:r>
      <w:r w:rsidR="008561B1">
        <w:rPr>
          <w:rFonts w:ascii="Verdana" w:hAnsi="Verdana"/>
          <w:lang w:val="en-GB"/>
        </w:rPr>
        <w:t>Indeed,</w:t>
      </w:r>
      <w:r w:rsidR="001C34FF">
        <w:rPr>
          <w:rFonts w:ascii="Verdana" w:hAnsi="Verdana"/>
          <w:lang w:val="en-GB"/>
        </w:rPr>
        <w:t xml:space="preserve"> </w:t>
      </w:r>
      <w:r w:rsidR="0018301B">
        <w:rPr>
          <w:rFonts w:ascii="Verdana" w:hAnsi="Verdana"/>
          <w:lang w:val="en-GB"/>
        </w:rPr>
        <w:t xml:space="preserve">the possibility to dissect a complex multifactorial process into its </w:t>
      </w:r>
      <w:r w:rsidR="006D156D">
        <w:rPr>
          <w:rFonts w:ascii="Verdana" w:hAnsi="Verdana"/>
          <w:lang w:val="en-GB"/>
        </w:rPr>
        <w:t>constituent components</w:t>
      </w:r>
      <w:r w:rsidR="0006247D">
        <w:rPr>
          <w:rFonts w:ascii="Verdana" w:hAnsi="Verdana"/>
          <w:lang w:val="en-GB"/>
        </w:rPr>
        <w:t xml:space="preserve">, and </w:t>
      </w:r>
      <w:r w:rsidR="00CB2AF8">
        <w:rPr>
          <w:rFonts w:ascii="Verdana" w:hAnsi="Verdana"/>
          <w:lang w:val="en-GB"/>
        </w:rPr>
        <w:t xml:space="preserve">to investigate </w:t>
      </w:r>
      <w:r w:rsidR="00EE6B4F">
        <w:rPr>
          <w:rFonts w:ascii="Verdana" w:hAnsi="Verdana"/>
          <w:lang w:val="en-GB"/>
        </w:rPr>
        <w:t>the different stages of disease development separately</w:t>
      </w:r>
      <w:r w:rsidR="008D1E67">
        <w:rPr>
          <w:rFonts w:ascii="Verdana" w:hAnsi="Verdana"/>
          <w:lang w:val="en-GB"/>
        </w:rPr>
        <w:t xml:space="preserve"> is a feature that cannot be achieved when primarily utilising human specimens, and thus</w:t>
      </w:r>
      <w:r w:rsidR="006D156D">
        <w:rPr>
          <w:rFonts w:ascii="Verdana" w:hAnsi="Verdana"/>
          <w:lang w:val="en-GB"/>
        </w:rPr>
        <w:t xml:space="preserve"> </w:t>
      </w:r>
      <w:r w:rsidR="008D1E67">
        <w:rPr>
          <w:rFonts w:ascii="Verdana" w:hAnsi="Verdana"/>
          <w:lang w:val="en-GB"/>
        </w:rPr>
        <w:t>represents</w:t>
      </w:r>
      <w:r w:rsidR="009408C2">
        <w:rPr>
          <w:rFonts w:ascii="Verdana" w:hAnsi="Verdana"/>
          <w:lang w:val="en-GB"/>
        </w:rPr>
        <w:t xml:space="preserve"> one of the major strengths of </w:t>
      </w:r>
      <w:r w:rsidR="0012182F">
        <w:rPr>
          <w:rFonts w:ascii="Verdana" w:hAnsi="Verdana"/>
          <w:lang w:val="en-GB"/>
        </w:rPr>
        <w:t>disease</w:t>
      </w:r>
      <w:r w:rsidR="009408C2">
        <w:rPr>
          <w:rFonts w:ascii="Verdana" w:hAnsi="Verdana"/>
          <w:lang w:val="en-GB"/>
        </w:rPr>
        <w:t xml:space="preserve"> models</w:t>
      </w:r>
      <w:r w:rsidR="00CF5FC4">
        <w:rPr>
          <w:rFonts w:ascii="Verdana" w:hAnsi="Verdana"/>
          <w:lang w:val="en-GB"/>
        </w:rPr>
        <w:t>.</w:t>
      </w:r>
      <w:r w:rsidR="00D5264E">
        <w:rPr>
          <w:rFonts w:ascii="Verdana" w:hAnsi="Verdana"/>
          <w:lang w:val="en-GB"/>
        </w:rPr>
        <w:t xml:space="preserve"> </w:t>
      </w:r>
      <w:r w:rsidR="00F250CB">
        <w:rPr>
          <w:rFonts w:ascii="Verdana" w:hAnsi="Verdana"/>
          <w:lang w:val="en-GB"/>
        </w:rPr>
        <w:t>In this regard, m</w:t>
      </w:r>
      <w:r w:rsidR="00FA617D">
        <w:rPr>
          <w:rFonts w:ascii="Verdana" w:hAnsi="Verdana"/>
          <w:lang w:val="en-GB"/>
        </w:rPr>
        <w:t xml:space="preserve">ouse models are still an essential tool in </w:t>
      </w:r>
      <w:r w:rsidR="00EB5C40">
        <w:rPr>
          <w:rFonts w:ascii="Verdana" w:hAnsi="Verdana"/>
          <w:lang w:val="en-GB"/>
        </w:rPr>
        <w:t xml:space="preserve">neurodegenerative research, and </w:t>
      </w:r>
      <w:r w:rsidR="001D20AA">
        <w:rPr>
          <w:rFonts w:ascii="Verdana" w:hAnsi="Verdana"/>
          <w:lang w:val="en-GB"/>
        </w:rPr>
        <w:t xml:space="preserve">the </w:t>
      </w:r>
      <w:r w:rsidR="003A4C69">
        <w:rPr>
          <w:rFonts w:ascii="Verdana" w:hAnsi="Verdana"/>
          <w:lang w:val="en-GB"/>
        </w:rPr>
        <w:t xml:space="preserve">availability of models that can reproduce </w:t>
      </w:r>
      <w:r w:rsidR="00D10C98">
        <w:rPr>
          <w:rFonts w:ascii="Verdana" w:hAnsi="Verdana"/>
          <w:lang w:val="en-GB"/>
        </w:rPr>
        <w:t xml:space="preserve">either prodromal or early neurodegenerative symptoms of human PD will be essential </w:t>
      </w:r>
      <w:r w:rsidR="00316F7F">
        <w:rPr>
          <w:rFonts w:ascii="Verdana" w:hAnsi="Verdana"/>
          <w:lang w:val="en-GB"/>
        </w:rPr>
        <w:t>in biomarkers development for early diagnos</w:t>
      </w:r>
      <w:r w:rsidR="00AC004A">
        <w:rPr>
          <w:rFonts w:ascii="Verdana" w:hAnsi="Verdana"/>
          <w:lang w:val="en-GB"/>
        </w:rPr>
        <w:t>tic</w:t>
      </w:r>
      <w:r w:rsidR="00316F7F">
        <w:rPr>
          <w:rFonts w:ascii="Verdana" w:hAnsi="Verdana"/>
          <w:lang w:val="en-GB"/>
        </w:rPr>
        <w:t>s and therapeutic approaches</w:t>
      </w:r>
      <w:r w:rsidR="004A502A">
        <w:rPr>
          <w:rFonts w:ascii="Verdana" w:hAnsi="Verdana"/>
          <w:lang w:val="en-GB"/>
        </w:rPr>
        <w:t>.</w:t>
      </w:r>
    </w:p>
    <w:p w14:paraId="237795A3" w14:textId="1F7FD9F1" w:rsidR="00BE791C" w:rsidRDefault="00BE791C">
      <w:pPr>
        <w:ind w:firstLine="0"/>
        <w:rPr>
          <w:rFonts w:ascii="Verdana" w:hAnsi="Verdana"/>
          <w:sz w:val="44"/>
          <w:szCs w:val="44"/>
          <w:lang w:val="en-GB"/>
        </w:rPr>
      </w:pPr>
    </w:p>
    <w:p w14:paraId="32AF7E13" w14:textId="77777777" w:rsidR="00BE791C" w:rsidRDefault="00BE791C">
      <w:pPr>
        <w:ind w:firstLine="0"/>
        <w:rPr>
          <w:rFonts w:ascii="Verdana" w:eastAsiaTheme="majorEastAsia" w:hAnsi="Verdana" w:cstheme="majorBidi"/>
          <w:spacing w:val="-10"/>
          <w:kern w:val="28"/>
          <w:sz w:val="44"/>
          <w:szCs w:val="44"/>
          <w:lang w:val="en-GB"/>
        </w:rPr>
      </w:pPr>
    </w:p>
    <w:p w14:paraId="76DE4551" w14:textId="3DB441FE" w:rsidR="001C1DAF" w:rsidRPr="00735402" w:rsidRDefault="001C1DAF" w:rsidP="001C1DAF">
      <w:pPr>
        <w:pStyle w:val="Title"/>
        <w:jc w:val="center"/>
        <w:rPr>
          <w:rFonts w:ascii="Verdana" w:hAnsi="Verdana"/>
          <w:sz w:val="44"/>
          <w:szCs w:val="44"/>
          <w:lang w:val="en-GB"/>
        </w:rPr>
      </w:pPr>
      <w:r w:rsidRPr="00735402">
        <w:rPr>
          <w:rFonts w:ascii="Verdana" w:hAnsi="Verdana"/>
          <w:sz w:val="44"/>
          <w:szCs w:val="44"/>
          <w:lang w:val="en-GB"/>
        </w:rPr>
        <w:t xml:space="preserve">Part </w:t>
      </w:r>
      <w:r>
        <w:rPr>
          <w:rFonts w:ascii="Verdana" w:hAnsi="Verdana"/>
          <w:sz w:val="44"/>
          <w:szCs w:val="44"/>
          <w:lang w:val="en-GB"/>
        </w:rPr>
        <w:t>VI</w:t>
      </w:r>
      <w:r w:rsidR="00BE791C">
        <w:rPr>
          <w:rFonts w:ascii="Verdana" w:hAnsi="Verdana"/>
          <w:sz w:val="44"/>
          <w:szCs w:val="44"/>
          <w:lang w:val="en-GB"/>
        </w:rPr>
        <w:t>I</w:t>
      </w:r>
    </w:p>
    <w:p w14:paraId="48162D0F" w14:textId="77777777" w:rsidR="001C1DAF" w:rsidRDefault="001C1DAF" w:rsidP="001C1DAF">
      <w:pPr>
        <w:jc w:val="center"/>
        <w:rPr>
          <w:lang w:val="en-GB"/>
        </w:rPr>
      </w:pPr>
    </w:p>
    <w:p w14:paraId="15CB8360" w14:textId="33F9652E" w:rsidR="001C1DAF" w:rsidRDefault="009D119D" w:rsidP="009C607E">
      <w:pPr>
        <w:pStyle w:val="Heading1"/>
        <w:jc w:val="center"/>
        <w:rPr>
          <w:lang w:val="en-GB"/>
        </w:rPr>
      </w:pPr>
      <w:bookmarkStart w:id="161" w:name="_Toc130223466"/>
      <w:r>
        <w:rPr>
          <w:lang w:val="en-GB"/>
        </w:rPr>
        <w:t>Bibliography</w:t>
      </w:r>
      <w:bookmarkEnd w:id="161"/>
    </w:p>
    <w:p w14:paraId="7B0DDE32" w14:textId="77777777" w:rsidR="00C75A61" w:rsidRDefault="00C75A61">
      <w:pPr>
        <w:ind w:firstLine="0"/>
        <w:rPr>
          <w:rFonts w:ascii="Verdana" w:hAnsi="Verdana"/>
          <w:lang w:val="en-GB"/>
        </w:rPr>
        <w:sectPr w:rsidR="00C75A61" w:rsidSect="00C75A61">
          <w:pgSz w:w="11907" w:h="16840" w:code="9"/>
          <w:pgMar w:top="1440" w:right="1418" w:bottom="1440" w:left="1701" w:header="720" w:footer="720" w:gutter="0"/>
          <w:cols w:space="720"/>
          <w:vAlign w:val="center"/>
          <w:docGrid w:linePitch="360"/>
        </w:sectPr>
      </w:pPr>
    </w:p>
    <w:p w14:paraId="51226749" w14:textId="77777777" w:rsidR="004A502A" w:rsidRDefault="004A502A">
      <w:pPr>
        <w:ind w:firstLine="0"/>
        <w:rPr>
          <w:rFonts w:ascii="Verdana" w:hAnsi="Verdana"/>
          <w:lang w:val="en-GB"/>
        </w:rPr>
      </w:pPr>
      <w:r>
        <w:rPr>
          <w:rFonts w:ascii="Verdana" w:hAnsi="Verdana"/>
          <w:lang w:val="en-GB"/>
        </w:rPr>
        <w:lastRenderedPageBreak/>
        <w:br w:type="page"/>
      </w:r>
    </w:p>
    <w:p w14:paraId="00558198" w14:textId="6B12F3DD" w:rsidR="00201058" w:rsidRPr="002B0C38" w:rsidRDefault="00391A26" w:rsidP="00655323">
      <w:pPr>
        <w:pStyle w:val="Bibliography"/>
        <w:jc w:val="both"/>
        <w:rPr>
          <w:rFonts w:ascii="Verdana" w:hAnsi="Verdana"/>
        </w:rPr>
      </w:pPr>
      <w:r w:rsidRPr="002B0C38">
        <w:rPr>
          <w:rFonts w:ascii="Verdana" w:hAnsi="Verdana"/>
          <w:lang w:val="en-GB"/>
        </w:rPr>
        <w:lastRenderedPageBreak/>
        <w:fldChar w:fldCharType="begin"/>
      </w:r>
      <w:r w:rsidR="000647C7" w:rsidRPr="002B0C38">
        <w:rPr>
          <w:rFonts w:ascii="Verdana" w:hAnsi="Verdana"/>
          <w:lang w:val="en-GB"/>
        </w:rPr>
        <w:instrText xml:space="preserve"> ADDIN ZOTERO_BIBL {"uncited":[],"omitted":[],"custom":[]} CSL_BIBLIOGRAPHY </w:instrText>
      </w:r>
      <w:r w:rsidRPr="002B0C38">
        <w:rPr>
          <w:rFonts w:ascii="Verdana" w:hAnsi="Verdana"/>
          <w:lang w:val="en-GB"/>
        </w:rPr>
        <w:fldChar w:fldCharType="separate"/>
      </w:r>
      <w:r w:rsidR="00201058" w:rsidRPr="002B0C38">
        <w:rPr>
          <w:rFonts w:ascii="Verdana" w:hAnsi="Verdana"/>
        </w:rPr>
        <w:t xml:space="preserve">Aarsland, D et al. 2007. “Neuropsychiatric Symptoms in Patients with Parkinson’s Disease and Dementia: Frequency, Profile and Associated Care Giver Stress.” </w:t>
      </w:r>
      <w:r w:rsidR="00201058" w:rsidRPr="002B0C38">
        <w:rPr>
          <w:rFonts w:ascii="Verdana" w:hAnsi="Verdana"/>
          <w:i/>
          <w:iCs/>
        </w:rPr>
        <w:t>Journal of Neurology, Neurosurgery &amp; Psychiatry</w:t>
      </w:r>
      <w:r w:rsidR="00201058" w:rsidRPr="002B0C38">
        <w:rPr>
          <w:rFonts w:ascii="Verdana" w:hAnsi="Verdana"/>
        </w:rPr>
        <w:t xml:space="preserve"> 78(1): 36–42.</w:t>
      </w:r>
    </w:p>
    <w:p w14:paraId="6B5954D8" w14:textId="77777777" w:rsidR="00201058" w:rsidRPr="002B0C38" w:rsidRDefault="00201058" w:rsidP="00655323">
      <w:pPr>
        <w:pStyle w:val="Bibliography"/>
        <w:jc w:val="both"/>
        <w:rPr>
          <w:rFonts w:ascii="Verdana" w:hAnsi="Verdana"/>
        </w:rPr>
      </w:pPr>
      <w:r w:rsidRPr="002B0C38">
        <w:rPr>
          <w:rFonts w:ascii="Verdana" w:hAnsi="Verdana"/>
        </w:rPr>
        <w:t xml:space="preserve">Aarsland, Dag et al. 2005. “Neuropathology of Dementia in Parkinson’s Disease: A Prospective, Community-Based Study.” </w:t>
      </w:r>
      <w:r w:rsidRPr="002B0C38">
        <w:rPr>
          <w:rFonts w:ascii="Verdana" w:hAnsi="Verdana"/>
          <w:i/>
          <w:iCs/>
        </w:rPr>
        <w:t>Annals of Neurology</w:t>
      </w:r>
      <w:r w:rsidRPr="002B0C38">
        <w:rPr>
          <w:rFonts w:ascii="Verdana" w:hAnsi="Verdana"/>
        </w:rPr>
        <w:t xml:space="preserve"> 58(5): 773–76.</w:t>
      </w:r>
    </w:p>
    <w:p w14:paraId="5D18DE40" w14:textId="238922A0" w:rsidR="00201058" w:rsidRPr="002B0C38" w:rsidRDefault="00BA0DE5" w:rsidP="00655323">
      <w:pPr>
        <w:pStyle w:val="Bibliography"/>
        <w:jc w:val="both"/>
        <w:rPr>
          <w:rFonts w:ascii="Verdana" w:hAnsi="Verdana"/>
        </w:rPr>
      </w:pPr>
      <w:r>
        <w:rPr>
          <w:rFonts w:ascii="Verdana" w:hAnsi="Verdana"/>
        </w:rPr>
        <w:t>Aarsland et al</w:t>
      </w:r>
      <w:r w:rsidR="00201058" w:rsidRPr="002B0C38">
        <w:rPr>
          <w:rFonts w:ascii="Verdana" w:hAnsi="Verdana"/>
        </w:rPr>
        <w:t xml:space="preserve">. 2021. “Parkinson Disease-Associated Cognitive Impairment.” </w:t>
      </w:r>
      <w:r w:rsidR="00201058" w:rsidRPr="002B0C38">
        <w:rPr>
          <w:rFonts w:ascii="Verdana" w:hAnsi="Verdana"/>
          <w:i/>
          <w:iCs/>
        </w:rPr>
        <w:t>Nature Reviews Disease Primers</w:t>
      </w:r>
      <w:r w:rsidR="00201058" w:rsidRPr="002B0C38">
        <w:rPr>
          <w:rFonts w:ascii="Verdana" w:hAnsi="Verdana"/>
        </w:rPr>
        <w:t xml:space="preserve"> 7(1): 47.</w:t>
      </w:r>
    </w:p>
    <w:p w14:paraId="1E13282D" w14:textId="77777777" w:rsidR="00201058" w:rsidRPr="002B0C38" w:rsidRDefault="00201058" w:rsidP="00655323">
      <w:pPr>
        <w:pStyle w:val="Bibliography"/>
        <w:jc w:val="both"/>
        <w:rPr>
          <w:rFonts w:ascii="Verdana" w:hAnsi="Verdana"/>
        </w:rPr>
      </w:pPr>
      <w:r w:rsidRPr="002B0C38">
        <w:rPr>
          <w:rFonts w:ascii="Verdana" w:hAnsi="Verdana"/>
        </w:rPr>
        <w:t xml:space="preserve">Abou-Sleiman, Patrick M. et al. 2003. “The Role of PathogenicDJ-1 Mutations in Parkinson’s Disease.” </w:t>
      </w:r>
      <w:r w:rsidRPr="002B0C38">
        <w:rPr>
          <w:rFonts w:ascii="Verdana" w:hAnsi="Verdana"/>
          <w:i/>
          <w:iCs/>
        </w:rPr>
        <w:t>Annals of Neurology</w:t>
      </w:r>
      <w:r w:rsidRPr="002B0C38">
        <w:rPr>
          <w:rFonts w:ascii="Verdana" w:hAnsi="Verdana"/>
        </w:rPr>
        <w:t xml:space="preserve"> 54(3): 283–86.</w:t>
      </w:r>
    </w:p>
    <w:p w14:paraId="5FF9018A" w14:textId="77777777" w:rsidR="00201058" w:rsidRPr="002B0C38" w:rsidRDefault="00201058" w:rsidP="00655323">
      <w:pPr>
        <w:pStyle w:val="Bibliography"/>
        <w:jc w:val="both"/>
        <w:rPr>
          <w:rFonts w:ascii="Verdana" w:hAnsi="Verdana"/>
        </w:rPr>
      </w:pPr>
      <w:r w:rsidRPr="002B0C38">
        <w:rPr>
          <w:rFonts w:ascii="Verdana" w:hAnsi="Verdana"/>
        </w:rPr>
        <w:t xml:space="preserve">Al-Azzani, Mohammed, Annekatrin König, and Tiago Fleming Outeiro. 2022. “Production of Recombinant Alpha-Synuclein: Still No Standardized Protocol in Sight.” </w:t>
      </w:r>
      <w:r w:rsidRPr="002B0C38">
        <w:rPr>
          <w:rFonts w:ascii="Verdana" w:hAnsi="Verdana"/>
          <w:i/>
          <w:iCs/>
        </w:rPr>
        <w:t>Biomolecules</w:t>
      </w:r>
      <w:r w:rsidRPr="002B0C38">
        <w:rPr>
          <w:rFonts w:ascii="Verdana" w:hAnsi="Verdana"/>
        </w:rPr>
        <w:t xml:space="preserve"> 12(2): 324.</w:t>
      </w:r>
    </w:p>
    <w:p w14:paraId="6EBCF800" w14:textId="77777777" w:rsidR="00201058" w:rsidRPr="002B0C38" w:rsidRDefault="00201058" w:rsidP="00655323">
      <w:pPr>
        <w:pStyle w:val="Bibliography"/>
        <w:jc w:val="both"/>
        <w:rPr>
          <w:rFonts w:ascii="Verdana" w:hAnsi="Verdana"/>
        </w:rPr>
      </w:pPr>
      <w:r w:rsidRPr="002B0C38">
        <w:rPr>
          <w:rFonts w:ascii="Verdana" w:hAnsi="Verdana"/>
        </w:rPr>
        <w:t xml:space="preserve">Aleyasin, Hossein et al. 2007. “The Parkinson’s Disease Gene DJ-1 Is Also a Key Regulator of Stroke-Induced Damage.” </w:t>
      </w:r>
      <w:r w:rsidRPr="002B0C38">
        <w:rPr>
          <w:rFonts w:ascii="Verdana" w:hAnsi="Verdana"/>
          <w:i/>
          <w:iCs/>
        </w:rPr>
        <w:t>Proceedings of the National Academy of Sciences</w:t>
      </w:r>
      <w:r w:rsidRPr="002B0C38">
        <w:rPr>
          <w:rFonts w:ascii="Verdana" w:hAnsi="Verdana"/>
        </w:rPr>
        <w:t xml:space="preserve"> 104(47): 18748–53.</w:t>
      </w:r>
    </w:p>
    <w:p w14:paraId="62831547" w14:textId="315E88BC" w:rsidR="00201058" w:rsidRPr="002B0C38" w:rsidRDefault="00201058" w:rsidP="00655323">
      <w:pPr>
        <w:pStyle w:val="Bibliography"/>
        <w:jc w:val="both"/>
        <w:rPr>
          <w:rFonts w:ascii="Verdana" w:hAnsi="Verdana"/>
        </w:rPr>
      </w:pPr>
      <w:r w:rsidRPr="002B0C38">
        <w:rPr>
          <w:rFonts w:ascii="Verdana" w:hAnsi="Verdana"/>
        </w:rPr>
        <w:t xml:space="preserve">Andersen, Katrine B. et al. 2021. “Reduced Synaptic Density in Patients with Lewy Body Dementia: An [ </w:t>
      </w:r>
      <w:r w:rsidRPr="002B0C38">
        <w:rPr>
          <w:rFonts w:ascii="Verdana" w:hAnsi="Verdana"/>
          <w:smallCaps/>
          <w:vertAlign w:val="superscript"/>
        </w:rPr>
        <w:t>11</w:t>
      </w:r>
      <w:r w:rsidRPr="002B0C38">
        <w:rPr>
          <w:rFonts w:ascii="Verdana" w:hAnsi="Verdana"/>
          <w:smallCaps/>
        </w:rPr>
        <w:t xml:space="preserve"> C </w:t>
      </w:r>
      <w:r w:rsidRPr="002B0C38">
        <w:rPr>
          <w:rFonts w:ascii="Verdana" w:hAnsi="Verdana"/>
        </w:rPr>
        <w:t xml:space="preserve">] </w:t>
      </w:r>
      <w:r w:rsidRPr="002B0C38">
        <w:rPr>
          <w:rFonts w:ascii="Verdana" w:hAnsi="Verdana"/>
          <w:smallCaps/>
        </w:rPr>
        <w:t>UCB</w:t>
      </w:r>
      <w:r w:rsidRPr="002B0C38">
        <w:rPr>
          <w:rFonts w:ascii="Cambria Math" w:hAnsi="Cambria Math" w:cs="Cambria Math"/>
          <w:smallCaps/>
        </w:rPr>
        <w:t>‐</w:t>
      </w:r>
      <w:r w:rsidRPr="002B0C38">
        <w:rPr>
          <w:rFonts w:ascii="Verdana" w:hAnsi="Verdana"/>
          <w:smallCaps/>
        </w:rPr>
        <w:t>J PET</w:t>
      </w:r>
      <w:r w:rsidRPr="002B0C38">
        <w:rPr>
          <w:rFonts w:ascii="Verdana" w:hAnsi="Verdana"/>
        </w:rPr>
        <w:t xml:space="preserve"> Imaging Study.” </w:t>
      </w:r>
      <w:r w:rsidRPr="002B0C38">
        <w:rPr>
          <w:rFonts w:ascii="Verdana" w:hAnsi="Verdana"/>
          <w:i/>
          <w:iCs/>
        </w:rPr>
        <w:t>Movement Disorders</w:t>
      </w:r>
      <w:r w:rsidRPr="002B0C38">
        <w:rPr>
          <w:rFonts w:ascii="Verdana" w:hAnsi="Verdana"/>
        </w:rPr>
        <w:t xml:space="preserve"> 36(9): 2057–65.</w:t>
      </w:r>
    </w:p>
    <w:p w14:paraId="59D4399B" w14:textId="77777777" w:rsidR="00201058" w:rsidRPr="002B0C38" w:rsidRDefault="00201058" w:rsidP="00655323">
      <w:pPr>
        <w:pStyle w:val="Bibliography"/>
        <w:jc w:val="both"/>
        <w:rPr>
          <w:rFonts w:ascii="Verdana" w:hAnsi="Verdana"/>
        </w:rPr>
      </w:pPr>
      <w:r w:rsidRPr="002B0C38">
        <w:rPr>
          <w:rFonts w:ascii="Verdana" w:hAnsi="Verdana"/>
        </w:rPr>
        <w:t xml:space="preserve">Antony, Paul M. A., Nico J. Diederich, Rejko Krüger, and Rudi Balling. 2013. “The Hallmarks of Parkinson’s Disease.” </w:t>
      </w:r>
      <w:r w:rsidRPr="002B0C38">
        <w:rPr>
          <w:rFonts w:ascii="Verdana" w:hAnsi="Verdana"/>
          <w:i/>
          <w:iCs/>
        </w:rPr>
        <w:t>FEBS Journal</w:t>
      </w:r>
      <w:r w:rsidRPr="002B0C38">
        <w:rPr>
          <w:rFonts w:ascii="Verdana" w:hAnsi="Verdana"/>
        </w:rPr>
        <w:t xml:space="preserve"> 280(23): 5981–93.</w:t>
      </w:r>
    </w:p>
    <w:p w14:paraId="3DB2CFF7" w14:textId="77777777" w:rsidR="00201058" w:rsidRPr="002B0C38" w:rsidRDefault="00201058" w:rsidP="00655323">
      <w:pPr>
        <w:pStyle w:val="Bibliography"/>
        <w:jc w:val="both"/>
        <w:rPr>
          <w:rFonts w:ascii="Verdana" w:hAnsi="Verdana"/>
        </w:rPr>
      </w:pPr>
      <w:r w:rsidRPr="002B0C38">
        <w:rPr>
          <w:rFonts w:ascii="Verdana" w:hAnsi="Verdana"/>
        </w:rPr>
        <w:t xml:space="preserve">Arundine, M., and M. Tymianski. 2004. “Molecular Mechanisms of Glutamate-Dependent Neurodegeneration in Ischemia and Traumatic Brain Injury.” </w:t>
      </w:r>
      <w:r w:rsidRPr="002B0C38">
        <w:rPr>
          <w:rFonts w:ascii="Verdana" w:hAnsi="Verdana"/>
          <w:i/>
          <w:iCs/>
        </w:rPr>
        <w:t>Cellular and Molecular Life Sciences (CMLS)</w:t>
      </w:r>
      <w:r w:rsidRPr="002B0C38">
        <w:rPr>
          <w:rFonts w:ascii="Verdana" w:hAnsi="Verdana"/>
        </w:rPr>
        <w:t xml:space="preserve"> 61(6): 657–68.</w:t>
      </w:r>
    </w:p>
    <w:p w14:paraId="0FE11CB6" w14:textId="77777777" w:rsidR="00201058" w:rsidRPr="002B0C38" w:rsidRDefault="00201058" w:rsidP="00655323">
      <w:pPr>
        <w:pStyle w:val="Bibliography"/>
        <w:jc w:val="both"/>
        <w:rPr>
          <w:rFonts w:ascii="Verdana" w:hAnsi="Verdana"/>
        </w:rPr>
      </w:pPr>
      <w:r w:rsidRPr="002B0C38">
        <w:rPr>
          <w:rFonts w:ascii="Verdana" w:hAnsi="Verdana"/>
        </w:rPr>
        <w:t xml:space="preserve">Ashrafi, Amer et al. 2017. “Absence of Regulator of G-Protein Signaling 4 Does Not Protect against Dopamine Neuron Dysfunction and Injury in the Mouse 6-Hydroxydopamine Lesion Model of Parkinson’s Disease.” </w:t>
      </w:r>
      <w:r w:rsidRPr="002B0C38">
        <w:rPr>
          <w:rFonts w:ascii="Verdana" w:hAnsi="Verdana"/>
          <w:i/>
          <w:iCs/>
        </w:rPr>
        <w:t>Neurobiology of Aging</w:t>
      </w:r>
      <w:r w:rsidRPr="002B0C38">
        <w:rPr>
          <w:rFonts w:ascii="Verdana" w:hAnsi="Verdana"/>
        </w:rPr>
        <w:t xml:space="preserve"> 58: 30–33.</w:t>
      </w:r>
    </w:p>
    <w:p w14:paraId="4A172DC3" w14:textId="77777777" w:rsidR="00201058" w:rsidRPr="002B0C38" w:rsidRDefault="00201058" w:rsidP="00655323">
      <w:pPr>
        <w:pStyle w:val="Bibliography"/>
        <w:jc w:val="both"/>
        <w:rPr>
          <w:rFonts w:ascii="Verdana" w:hAnsi="Verdana"/>
        </w:rPr>
      </w:pPr>
      <w:r w:rsidRPr="002B0C38">
        <w:rPr>
          <w:rFonts w:ascii="Verdana" w:hAnsi="Verdana"/>
        </w:rPr>
        <w:t xml:space="preserve">Aybek, Selma et al. 2009. “Hippocampal Atrophy Predicts Conversion to Dementia after STN-DBS in Parkinson’s Disease.” </w:t>
      </w:r>
      <w:r w:rsidRPr="002B0C38">
        <w:rPr>
          <w:rFonts w:ascii="Verdana" w:hAnsi="Verdana"/>
          <w:i/>
          <w:iCs/>
        </w:rPr>
        <w:t>Parkinsonism &amp; Related Disorders</w:t>
      </w:r>
      <w:r w:rsidRPr="002B0C38">
        <w:rPr>
          <w:rFonts w:ascii="Verdana" w:hAnsi="Verdana"/>
        </w:rPr>
        <w:t xml:space="preserve"> 15(7): 521–24.</w:t>
      </w:r>
    </w:p>
    <w:p w14:paraId="76435BCB" w14:textId="77777777" w:rsidR="00201058" w:rsidRPr="002B0C38" w:rsidRDefault="00201058" w:rsidP="00655323">
      <w:pPr>
        <w:pStyle w:val="Bibliography"/>
        <w:jc w:val="both"/>
        <w:rPr>
          <w:rFonts w:ascii="Verdana" w:hAnsi="Verdana"/>
        </w:rPr>
      </w:pPr>
      <w:r w:rsidRPr="002B0C38">
        <w:rPr>
          <w:rFonts w:ascii="Verdana" w:hAnsi="Verdana"/>
        </w:rPr>
        <w:t xml:space="preserve">Bandopadhyay, R. 2004. “The Expression of DJ-1 (PARK7) in Normal Human CNS and Idiopathic Parkinson’s Disease.” </w:t>
      </w:r>
      <w:r w:rsidRPr="002B0C38">
        <w:rPr>
          <w:rFonts w:ascii="Verdana" w:hAnsi="Verdana"/>
          <w:i/>
          <w:iCs/>
        </w:rPr>
        <w:t>Brain</w:t>
      </w:r>
      <w:r w:rsidRPr="002B0C38">
        <w:rPr>
          <w:rFonts w:ascii="Verdana" w:hAnsi="Verdana"/>
        </w:rPr>
        <w:t xml:space="preserve"> 127(2): 420–30.</w:t>
      </w:r>
    </w:p>
    <w:p w14:paraId="11255F4E" w14:textId="77777777" w:rsidR="00201058" w:rsidRPr="002B0C38" w:rsidRDefault="00201058" w:rsidP="00655323">
      <w:pPr>
        <w:pStyle w:val="Bibliography"/>
        <w:jc w:val="both"/>
        <w:rPr>
          <w:rFonts w:ascii="Verdana" w:hAnsi="Verdana"/>
        </w:rPr>
      </w:pPr>
      <w:r w:rsidRPr="002B0C38">
        <w:rPr>
          <w:rFonts w:ascii="Verdana" w:hAnsi="Verdana"/>
        </w:rPr>
        <w:t xml:space="preserve">Ben Sassi, Samia et al. 2012. “Cognitive Dysfunction in Tunisian LRRK2 Associated Parkinson’s Disease.” </w:t>
      </w:r>
      <w:r w:rsidRPr="002B0C38">
        <w:rPr>
          <w:rFonts w:ascii="Verdana" w:hAnsi="Verdana"/>
          <w:i/>
          <w:iCs/>
        </w:rPr>
        <w:t>Parkinsonism &amp; Related Disorders</w:t>
      </w:r>
      <w:r w:rsidRPr="002B0C38">
        <w:rPr>
          <w:rFonts w:ascii="Verdana" w:hAnsi="Verdana"/>
        </w:rPr>
        <w:t xml:space="preserve"> 18(3): 243–46.</w:t>
      </w:r>
    </w:p>
    <w:p w14:paraId="61C5DDD2" w14:textId="3E78D074" w:rsidR="00201058" w:rsidRPr="002B0C38" w:rsidRDefault="00201058" w:rsidP="00655323">
      <w:pPr>
        <w:pStyle w:val="Bibliography"/>
        <w:jc w:val="both"/>
        <w:rPr>
          <w:rFonts w:ascii="Verdana" w:hAnsi="Verdana"/>
        </w:rPr>
      </w:pPr>
      <w:r w:rsidRPr="002B0C38">
        <w:rPr>
          <w:rFonts w:ascii="Verdana" w:hAnsi="Verdana"/>
        </w:rPr>
        <w:t xml:space="preserve">Bereczki, Erika et al. 2016. “Synaptic Proteins Predict Cognitive Decline in Alzheimer’s Disease and Lewy Body Dementia.” </w:t>
      </w:r>
      <w:r w:rsidRPr="002B0C38">
        <w:rPr>
          <w:rFonts w:ascii="Verdana" w:hAnsi="Verdana"/>
          <w:i/>
          <w:iCs/>
        </w:rPr>
        <w:t>Alzheimer’s &amp; Dementia</w:t>
      </w:r>
      <w:r w:rsidRPr="002B0C38">
        <w:rPr>
          <w:rFonts w:ascii="Verdana" w:hAnsi="Verdana"/>
        </w:rPr>
        <w:t xml:space="preserve"> 12(11): 1149–58.</w:t>
      </w:r>
    </w:p>
    <w:p w14:paraId="4C533140" w14:textId="77777777" w:rsidR="009D5C99" w:rsidRDefault="0006509D" w:rsidP="00655323">
      <w:pPr>
        <w:spacing w:after="0"/>
        <w:ind w:firstLine="0"/>
        <w:jc w:val="both"/>
        <w:rPr>
          <w:rFonts w:ascii="Verdana" w:hAnsi="Verdana"/>
        </w:rPr>
      </w:pPr>
      <w:r w:rsidRPr="002B0C38">
        <w:rPr>
          <w:rFonts w:ascii="Verdana" w:hAnsi="Verdana"/>
        </w:rPr>
        <w:lastRenderedPageBreak/>
        <w:t>Bertrand, Ewa et al. 200</w:t>
      </w:r>
      <w:r w:rsidR="002D6EEF" w:rsidRPr="002B0C38">
        <w:rPr>
          <w:rFonts w:ascii="Verdana" w:hAnsi="Verdana"/>
        </w:rPr>
        <w:t>3</w:t>
      </w:r>
      <w:r w:rsidRPr="002B0C38">
        <w:rPr>
          <w:rFonts w:ascii="Verdana" w:hAnsi="Verdana"/>
        </w:rPr>
        <w:t xml:space="preserve">. </w:t>
      </w:r>
      <w:r w:rsidR="002D6EEF" w:rsidRPr="002B0C38">
        <w:rPr>
          <w:rFonts w:ascii="Verdana" w:hAnsi="Verdana"/>
        </w:rPr>
        <w:t>“Degenerative axonal changes in the hippocampus</w:t>
      </w:r>
    </w:p>
    <w:p w14:paraId="3BE1B86D" w14:textId="751BE691" w:rsidR="00BF604D" w:rsidRDefault="002D6EEF" w:rsidP="009D5C99">
      <w:pPr>
        <w:spacing w:after="0"/>
        <w:ind w:left="720" w:firstLine="0"/>
        <w:jc w:val="both"/>
        <w:rPr>
          <w:rFonts w:ascii="Verdana" w:hAnsi="Verdana"/>
        </w:rPr>
      </w:pPr>
      <w:r w:rsidRPr="002B0C38">
        <w:rPr>
          <w:rFonts w:ascii="Verdana" w:hAnsi="Verdana"/>
        </w:rPr>
        <w:t>and amygdala in</w:t>
      </w:r>
      <w:r w:rsidR="009D5C99">
        <w:rPr>
          <w:rFonts w:ascii="Verdana" w:hAnsi="Verdana"/>
        </w:rPr>
        <w:t xml:space="preserve"> </w:t>
      </w:r>
      <w:r w:rsidRPr="002B0C38">
        <w:rPr>
          <w:rFonts w:ascii="Verdana" w:hAnsi="Verdana"/>
        </w:rPr>
        <w:t xml:space="preserve">Parkinson's disease.” </w:t>
      </w:r>
      <w:r w:rsidRPr="002B0C38">
        <w:rPr>
          <w:rFonts w:ascii="Verdana" w:hAnsi="Verdana"/>
          <w:i/>
          <w:iCs/>
        </w:rPr>
        <w:t>Folia neuropathologica</w:t>
      </w:r>
      <w:r w:rsidRPr="002B0C38">
        <w:rPr>
          <w:rFonts w:ascii="Verdana" w:hAnsi="Verdana"/>
        </w:rPr>
        <w:t xml:space="preserve"> 41(4): 197–207.</w:t>
      </w:r>
    </w:p>
    <w:p w14:paraId="4B21DEE6" w14:textId="77777777" w:rsidR="009D5C99" w:rsidRDefault="009D5C99" w:rsidP="00655323">
      <w:pPr>
        <w:spacing w:after="0"/>
        <w:jc w:val="both"/>
        <w:rPr>
          <w:rFonts w:ascii="Verdana" w:hAnsi="Verdana"/>
        </w:rPr>
      </w:pPr>
    </w:p>
    <w:p w14:paraId="188F24B6" w14:textId="77777777" w:rsidR="00DC53B3" w:rsidRDefault="009D5C99" w:rsidP="00DC53B3">
      <w:pPr>
        <w:spacing w:after="0"/>
        <w:ind w:firstLine="0"/>
        <w:jc w:val="both"/>
        <w:rPr>
          <w:rFonts w:ascii="Verdana" w:hAnsi="Verdana"/>
        </w:rPr>
      </w:pPr>
      <w:r>
        <w:rPr>
          <w:rFonts w:ascii="Verdana" w:hAnsi="Verdana"/>
        </w:rPr>
        <w:t>Betarbet</w:t>
      </w:r>
      <w:r w:rsidR="00DC53B3">
        <w:rPr>
          <w:rFonts w:ascii="Verdana" w:hAnsi="Verdana"/>
        </w:rPr>
        <w:t xml:space="preserve">, Ranjita et al. 2000. </w:t>
      </w:r>
      <w:r w:rsidR="00DC53B3" w:rsidRPr="002B0C38">
        <w:rPr>
          <w:rFonts w:ascii="Verdana" w:hAnsi="Verdana"/>
        </w:rPr>
        <w:t>“</w:t>
      </w:r>
      <w:r w:rsidRPr="009D5C99">
        <w:rPr>
          <w:rFonts w:ascii="Verdana" w:hAnsi="Verdana"/>
        </w:rPr>
        <w:t>Chronic systemic pesticide exposure reproduces</w:t>
      </w:r>
    </w:p>
    <w:p w14:paraId="2070FF25" w14:textId="6399A656" w:rsidR="009D5C99" w:rsidRPr="002B0C38" w:rsidRDefault="009D5C99" w:rsidP="00DC53B3">
      <w:pPr>
        <w:spacing w:after="0"/>
        <w:jc w:val="both"/>
        <w:rPr>
          <w:rFonts w:ascii="Verdana" w:hAnsi="Verdana"/>
        </w:rPr>
      </w:pPr>
      <w:r w:rsidRPr="009D5C99">
        <w:rPr>
          <w:rFonts w:ascii="Verdana" w:hAnsi="Verdana"/>
        </w:rPr>
        <w:t>features of Parkinson's disease.</w:t>
      </w:r>
      <w:r w:rsidR="00DC53B3" w:rsidRPr="002B0C38">
        <w:rPr>
          <w:rFonts w:ascii="Verdana" w:hAnsi="Verdana"/>
        </w:rPr>
        <w:t>”</w:t>
      </w:r>
      <w:r w:rsidRPr="009D5C99">
        <w:rPr>
          <w:rFonts w:ascii="Verdana" w:hAnsi="Verdana"/>
        </w:rPr>
        <w:t xml:space="preserve"> </w:t>
      </w:r>
      <w:r w:rsidRPr="00DC53B3">
        <w:rPr>
          <w:rFonts w:ascii="Verdana" w:hAnsi="Verdana"/>
          <w:i/>
          <w:iCs/>
        </w:rPr>
        <w:t>Nature neuroscience</w:t>
      </w:r>
      <w:r w:rsidRPr="009D5C99">
        <w:rPr>
          <w:rFonts w:ascii="Verdana" w:hAnsi="Verdana"/>
        </w:rPr>
        <w:t xml:space="preserve"> 3(12)</w:t>
      </w:r>
      <w:r w:rsidR="00DC53B3">
        <w:rPr>
          <w:rFonts w:ascii="Verdana" w:hAnsi="Verdana"/>
        </w:rPr>
        <w:t>:</w:t>
      </w:r>
      <w:r w:rsidRPr="009D5C99">
        <w:rPr>
          <w:rFonts w:ascii="Verdana" w:hAnsi="Verdana"/>
        </w:rPr>
        <w:t xml:space="preserve"> 1301–1306.</w:t>
      </w:r>
    </w:p>
    <w:p w14:paraId="2C266F56" w14:textId="77777777" w:rsidR="007737F6" w:rsidRPr="002B0C38" w:rsidRDefault="007737F6" w:rsidP="00655323">
      <w:pPr>
        <w:spacing w:after="0"/>
        <w:jc w:val="both"/>
        <w:rPr>
          <w:rFonts w:ascii="Verdana" w:hAnsi="Verdana"/>
        </w:rPr>
      </w:pPr>
    </w:p>
    <w:p w14:paraId="7EDB9AC0" w14:textId="77777777" w:rsidR="00201058" w:rsidRPr="002B0C38" w:rsidRDefault="00201058" w:rsidP="00655323">
      <w:pPr>
        <w:pStyle w:val="Bibliography"/>
        <w:jc w:val="both"/>
        <w:rPr>
          <w:rFonts w:ascii="Verdana" w:hAnsi="Verdana"/>
        </w:rPr>
      </w:pPr>
      <w:r w:rsidRPr="002B0C38">
        <w:rPr>
          <w:rFonts w:ascii="Verdana" w:hAnsi="Verdana"/>
        </w:rPr>
        <w:t xml:space="preserve">Bhattacharyya, KalyanB. 2022. “The Story of Levodopa: A Long and Arduous Journey.” </w:t>
      </w:r>
      <w:r w:rsidRPr="002B0C38">
        <w:rPr>
          <w:rFonts w:ascii="Verdana" w:hAnsi="Verdana"/>
          <w:i/>
          <w:iCs/>
        </w:rPr>
        <w:t>Annals of Indian Academy of Neurology</w:t>
      </w:r>
      <w:r w:rsidRPr="002B0C38">
        <w:rPr>
          <w:rFonts w:ascii="Verdana" w:hAnsi="Verdana"/>
        </w:rPr>
        <w:t xml:space="preserve"> 25(1): 124.</w:t>
      </w:r>
    </w:p>
    <w:p w14:paraId="49CCB34E" w14:textId="77777777" w:rsidR="00201058" w:rsidRPr="002B0C38" w:rsidRDefault="00201058" w:rsidP="00655323">
      <w:pPr>
        <w:pStyle w:val="Bibliography"/>
        <w:jc w:val="both"/>
        <w:rPr>
          <w:rFonts w:ascii="Verdana" w:hAnsi="Verdana"/>
        </w:rPr>
      </w:pPr>
      <w:r w:rsidRPr="002B0C38">
        <w:rPr>
          <w:rFonts w:ascii="Verdana" w:hAnsi="Verdana"/>
        </w:rPr>
        <w:t xml:space="preserve">Boecker, H. et al. 1999. “Sensory Processing in Parkinson’s and Huntington’s Disease.” </w:t>
      </w:r>
      <w:r w:rsidRPr="002B0C38">
        <w:rPr>
          <w:rFonts w:ascii="Verdana" w:hAnsi="Verdana"/>
          <w:i/>
          <w:iCs/>
        </w:rPr>
        <w:t>Brain</w:t>
      </w:r>
      <w:r w:rsidRPr="002B0C38">
        <w:rPr>
          <w:rFonts w:ascii="Verdana" w:hAnsi="Verdana"/>
        </w:rPr>
        <w:t xml:space="preserve"> 122(9): 1651–65.</w:t>
      </w:r>
    </w:p>
    <w:p w14:paraId="4D07A568" w14:textId="77777777" w:rsidR="00201058" w:rsidRPr="002B0C38" w:rsidRDefault="00201058" w:rsidP="00655323">
      <w:pPr>
        <w:pStyle w:val="Bibliography"/>
        <w:jc w:val="both"/>
        <w:rPr>
          <w:rFonts w:ascii="Verdana" w:hAnsi="Verdana"/>
        </w:rPr>
      </w:pPr>
      <w:r w:rsidRPr="002B0C38">
        <w:rPr>
          <w:rFonts w:ascii="Verdana" w:hAnsi="Verdana"/>
        </w:rPr>
        <w:t xml:space="preserve">Bonifati, Vincenzo et al. 2003. “Mutations in the </w:t>
      </w:r>
      <w:r w:rsidRPr="002B0C38">
        <w:rPr>
          <w:rFonts w:ascii="Verdana" w:hAnsi="Verdana"/>
          <w:i/>
          <w:iCs/>
        </w:rPr>
        <w:t>DJ-1</w:t>
      </w:r>
      <w:r w:rsidRPr="002B0C38">
        <w:rPr>
          <w:rFonts w:ascii="Verdana" w:hAnsi="Verdana"/>
        </w:rPr>
        <w:t xml:space="preserve"> Gene Associated with Autosomal Recessive Early-Onset Parkinsonism.” </w:t>
      </w:r>
      <w:r w:rsidRPr="002B0C38">
        <w:rPr>
          <w:rFonts w:ascii="Verdana" w:hAnsi="Verdana"/>
          <w:i/>
          <w:iCs/>
        </w:rPr>
        <w:t>Science</w:t>
      </w:r>
      <w:r w:rsidRPr="002B0C38">
        <w:rPr>
          <w:rFonts w:ascii="Verdana" w:hAnsi="Verdana"/>
        </w:rPr>
        <w:t xml:space="preserve"> 299(5604): 256–59.</w:t>
      </w:r>
    </w:p>
    <w:p w14:paraId="39615A1A" w14:textId="77777777" w:rsidR="00201058" w:rsidRPr="002B0C38" w:rsidRDefault="00201058" w:rsidP="00655323">
      <w:pPr>
        <w:pStyle w:val="Bibliography"/>
        <w:jc w:val="both"/>
        <w:rPr>
          <w:rFonts w:ascii="Verdana" w:hAnsi="Verdana"/>
        </w:rPr>
      </w:pPr>
      <w:r w:rsidRPr="002B0C38">
        <w:rPr>
          <w:rFonts w:ascii="Verdana" w:hAnsi="Verdana"/>
        </w:rPr>
        <w:t xml:space="preserve">Book, Adam et al. 2018. “A Meta-Analysis of α-Synuclein Multiplication in Familial Parkinsonism.” </w:t>
      </w:r>
      <w:r w:rsidRPr="002B0C38">
        <w:rPr>
          <w:rFonts w:ascii="Verdana" w:hAnsi="Verdana"/>
          <w:i/>
          <w:iCs/>
        </w:rPr>
        <w:t>Frontiers in Neurology</w:t>
      </w:r>
      <w:r w:rsidRPr="002B0C38">
        <w:rPr>
          <w:rFonts w:ascii="Verdana" w:hAnsi="Verdana"/>
        </w:rPr>
        <w:t xml:space="preserve"> 9: 1021.</w:t>
      </w:r>
    </w:p>
    <w:p w14:paraId="66CA70AF" w14:textId="77777777" w:rsidR="00201058" w:rsidRPr="002B0C38" w:rsidRDefault="00201058" w:rsidP="00655323">
      <w:pPr>
        <w:pStyle w:val="Bibliography"/>
        <w:jc w:val="both"/>
        <w:rPr>
          <w:rFonts w:ascii="Verdana" w:hAnsi="Verdana"/>
        </w:rPr>
      </w:pPr>
      <w:r w:rsidRPr="002B0C38">
        <w:rPr>
          <w:rFonts w:ascii="Verdana" w:hAnsi="Verdana"/>
        </w:rPr>
        <w:t xml:space="preserve">Braak, Heiko et al. 2003. “Staging of Brain Pathology Related to Sporadic Parkinson’s Disease.” </w:t>
      </w:r>
      <w:r w:rsidRPr="002B0C38">
        <w:rPr>
          <w:rFonts w:ascii="Verdana" w:hAnsi="Verdana"/>
          <w:i/>
          <w:iCs/>
        </w:rPr>
        <w:t>Neurobiology of Aging</w:t>
      </w:r>
      <w:r w:rsidRPr="002B0C38">
        <w:rPr>
          <w:rFonts w:ascii="Verdana" w:hAnsi="Verdana"/>
        </w:rPr>
        <w:t xml:space="preserve"> 24(2): 197–211.</w:t>
      </w:r>
    </w:p>
    <w:p w14:paraId="7F51D039" w14:textId="77777777" w:rsidR="00201058" w:rsidRPr="002B0C38" w:rsidRDefault="00201058" w:rsidP="00655323">
      <w:pPr>
        <w:pStyle w:val="Bibliography"/>
        <w:jc w:val="both"/>
        <w:rPr>
          <w:rFonts w:ascii="Verdana" w:hAnsi="Verdana"/>
        </w:rPr>
      </w:pPr>
      <w:r w:rsidRPr="002B0C38">
        <w:rPr>
          <w:rFonts w:ascii="Verdana" w:hAnsi="Verdana"/>
        </w:rPr>
        <w:t xml:space="preserve">Breydo, Leonid, Jessica W. Wu, and Vladimir N. Uversky. 2012. “α-Synuclein Misfolding and Parkinson’s Disease.” </w:t>
      </w:r>
      <w:r w:rsidRPr="002B0C38">
        <w:rPr>
          <w:rFonts w:ascii="Verdana" w:hAnsi="Verdana"/>
          <w:i/>
          <w:iCs/>
        </w:rPr>
        <w:t>Biochimica et Biophysica Acta (BBA) - Molecular Basis of Disease</w:t>
      </w:r>
      <w:r w:rsidRPr="002B0C38">
        <w:rPr>
          <w:rFonts w:ascii="Verdana" w:hAnsi="Verdana"/>
        </w:rPr>
        <w:t xml:space="preserve"> 1822(2): 261–85.</w:t>
      </w:r>
    </w:p>
    <w:p w14:paraId="00AE1512" w14:textId="77777777" w:rsidR="00201058" w:rsidRPr="002B0C38" w:rsidRDefault="00201058" w:rsidP="00655323">
      <w:pPr>
        <w:pStyle w:val="Bibliography"/>
        <w:jc w:val="both"/>
        <w:rPr>
          <w:rFonts w:ascii="Verdana" w:hAnsi="Verdana"/>
        </w:rPr>
      </w:pPr>
      <w:r w:rsidRPr="002B0C38">
        <w:rPr>
          <w:rFonts w:ascii="Verdana" w:hAnsi="Verdana"/>
        </w:rPr>
        <w:t xml:space="preserve">Bronstein, Jeff M. et al. 2011. “Deep Brain Stimulation for Parkinson Disease: An Expert Consensus and Review of Key Issues.” </w:t>
      </w:r>
      <w:r w:rsidRPr="002B0C38">
        <w:rPr>
          <w:rFonts w:ascii="Verdana" w:hAnsi="Verdana"/>
          <w:i/>
          <w:iCs/>
        </w:rPr>
        <w:t>Archives of Neurology</w:t>
      </w:r>
      <w:r w:rsidRPr="002B0C38">
        <w:rPr>
          <w:rFonts w:ascii="Verdana" w:hAnsi="Verdana"/>
        </w:rPr>
        <w:t xml:space="preserve"> 68(2). http://archneur.jamanetwork.com/article.aspx?doi=10.1001/archneurol.2010.260 (November 22, 2022).</w:t>
      </w:r>
    </w:p>
    <w:p w14:paraId="316AF87B" w14:textId="77777777" w:rsidR="00201058" w:rsidRPr="002B0C38" w:rsidRDefault="00201058" w:rsidP="00655323">
      <w:pPr>
        <w:pStyle w:val="Bibliography"/>
        <w:jc w:val="both"/>
        <w:rPr>
          <w:rFonts w:ascii="Verdana" w:hAnsi="Verdana"/>
        </w:rPr>
      </w:pPr>
      <w:r w:rsidRPr="002B0C38">
        <w:rPr>
          <w:rFonts w:ascii="Verdana" w:hAnsi="Verdana"/>
        </w:rPr>
        <w:t xml:space="preserve">Brunnström, H., N. Friberg, E. Lindberg, and E. Englund. 2011. “Differential Degeneration of the Locus Coeruleus in Dementia Subtypes.” </w:t>
      </w:r>
      <w:r w:rsidRPr="002B0C38">
        <w:rPr>
          <w:rFonts w:ascii="Verdana" w:hAnsi="Verdana"/>
          <w:i/>
          <w:iCs/>
        </w:rPr>
        <w:t>Clinical Neuropathology</w:t>
      </w:r>
      <w:r w:rsidRPr="002B0C38">
        <w:rPr>
          <w:rFonts w:ascii="Verdana" w:hAnsi="Verdana"/>
        </w:rPr>
        <w:t xml:space="preserve"> 30(05): 104–10.</w:t>
      </w:r>
    </w:p>
    <w:p w14:paraId="6FCB4F36" w14:textId="77777777" w:rsidR="00201058" w:rsidRPr="002B0C38" w:rsidRDefault="00201058" w:rsidP="00655323">
      <w:pPr>
        <w:pStyle w:val="Bibliography"/>
        <w:jc w:val="both"/>
        <w:rPr>
          <w:rFonts w:ascii="Verdana" w:hAnsi="Verdana"/>
        </w:rPr>
      </w:pPr>
      <w:r w:rsidRPr="002B0C38">
        <w:rPr>
          <w:rFonts w:ascii="Verdana" w:hAnsi="Verdana"/>
        </w:rPr>
        <w:t xml:space="preserve">Burré, Jacqueline, Manu Sharma, and Thomas C. Südhof. 2018. “Cell Biology and Pathophysiology of α-Synuclein.” </w:t>
      </w:r>
      <w:r w:rsidRPr="002B0C38">
        <w:rPr>
          <w:rFonts w:ascii="Verdana" w:hAnsi="Verdana"/>
          <w:i/>
          <w:iCs/>
        </w:rPr>
        <w:t>Cold Spring Harbor Perspectives in Medicine</w:t>
      </w:r>
      <w:r w:rsidRPr="002B0C38">
        <w:rPr>
          <w:rFonts w:ascii="Verdana" w:hAnsi="Verdana"/>
        </w:rPr>
        <w:t xml:space="preserve"> 8(3): a024091.</w:t>
      </w:r>
    </w:p>
    <w:p w14:paraId="65AACFBA" w14:textId="77777777" w:rsidR="00201058" w:rsidRPr="002B0C38" w:rsidRDefault="00201058" w:rsidP="00655323">
      <w:pPr>
        <w:pStyle w:val="Bibliography"/>
        <w:jc w:val="both"/>
        <w:rPr>
          <w:rFonts w:ascii="Verdana" w:hAnsi="Verdana"/>
        </w:rPr>
      </w:pPr>
      <w:r w:rsidRPr="002B0C38">
        <w:rPr>
          <w:rFonts w:ascii="Verdana" w:hAnsi="Verdana"/>
        </w:rPr>
        <w:t xml:space="preserve">Butler, Brittany, Danielle Sambo, and Habibeh Khoshbouei. 2017. “Alpha-Synuclein Modulates Dopamine Neurotransmission.” </w:t>
      </w:r>
      <w:r w:rsidRPr="002B0C38">
        <w:rPr>
          <w:rFonts w:ascii="Verdana" w:hAnsi="Verdana"/>
          <w:i/>
          <w:iCs/>
        </w:rPr>
        <w:t>Journal of Chemical Neuroanatomy</w:t>
      </w:r>
      <w:r w:rsidRPr="002B0C38">
        <w:rPr>
          <w:rFonts w:ascii="Verdana" w:hAnsi="Verdana"/>
        </w:rPr>
        <w:t xml:space="preserve"> 83–84: 41–49.</w:t>
      </w:r>
    </w:p>
    <w:p w14:paraId="64EFF39A" w14:textId="77777777" w:rsidR="00201058" w:rsidRPr="002B0C38" w:rsidRDefault="00201058" w:rsidP="00655323">
      <w:pPr>
        <w:pStyle w:val="Bibliography"/>
        <w:jc w:val="both"/>
        <w:rPr>
          <w:rFonts w:ascii="Verdana" w:hAnsi="Verdana"/>
        </w:rPr>
      </w:pPr>
      <w:r w:rsidRPr="002B0C38">
        <w:rPr>
          <w:rFonts w:ascii="Verdana" w:hAnsi="Verdana"/>
        </w:rPr>
        <w:t xml:space="preserve">Cannon, Jason R. et al. 2013. “Expression of Human E46K-Mutated α-Synuclein in BAC-Transgenic Rats Replicates Early-Stage Parkinson’s Disease Features and Enhances Vulnerability to Mitochondrial Impairment.” </w:t>
      </w:r>
      <w:r w:rsidRPr="002B0C38">
        <w:rPr>
          <w:rFonts w:ascii="Verdana" w:hAnsi="Verdana"/>
          <w:i/>
          <w:iCs/>
        </w:rPr>
        <w:t>Experimental Neurology</w:t>
      </w:r>
      <w:r w:rsidRPr="002B0C38">
        <w:rPr>
          <w:rFonts w:ascii="Verdana" w:hAnsi="Verdana"/>
        </w:rPr>
        <w:t xml:space="preserve"> 240: 44–56.</w:t>
      </w:r>
    </w:p>
    <w:p w14:paraId="64613D66"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Cao, H. et al. 2011. “Altered Brain Activation and Connectivity in Early Parkinson Disease Tactile Perception.” </w:t>
      </w:r>
      <w:r w:rsidRPr="002B0C38">
        <w:rPr>
          <w:rFonts w:ascii="Verdana" w:hAnsi="Verdana"/>
          <w:i/>
          <w:iCs/>
        </w:rPr>
        <w:t>American Journal of Neuroradiology</w:t>
      </w:r>
      <w:r w:rsidRPr="002B0C38">
        <w:rPr>
          <w:rFonts w:ascii="Verdana" w:hAnsi="Verdana"/>
        </w:rPr>
        <w:t xml:space="preserve"> 32(10): 1969–74.</w:t>
      </w:r>
    </w:p>
    <w:p w14:paraId="017D65D3" w14:textId="77777777" w:rsidR="00201058" w:rsidRPr="002B0C38" w:rsidRDefault="00201058" w:rsidP="00655323">
      <w:pPr>
        <w:pStyle w:val="Bibliography"/>
        <w:jc w:val="both"/>
        <w:rPr>
          <w:rFonts w:ascii="Verdana" w:hAnsi="Verdana"/>
        </w:rPr>
      </w:pPr>
      <w:r w:rsidRPr="002B0C38">
        <w:rPr>
          <w:rFonts w:ascii="Verdana" w:hAnsi="Verdana"/>
        </w:rPr>
        <w:t xml:space="preserve">Cersosimo, Maria G., and Eduardo E. Benarroch. 2012. “Autonomic Involvement in Parkinson’s Disease: Pathology, Pathophysiology, Clinical Features and Possible Peripheral Biomarkers.” </w:t>
      </w:r>
      <w:r w:rsidRPr="002B0C38">
        <w:rPr>
          <w:rFonts w:ascii="Verdana" w:hAnsi="Verdana"/>
          <w:i/>
          <w:iCs/>
        </w:rPr>
        <w:t>Journal of the Neurological Sciences</w:t>
      </w:r>
      <w:r w:rsidRPr="002B0C38">
        <w:rPr>
          <w:rFonts w:ascii="Verdana" w:hAnsi="Verdana"/>
        </w:rPr>
        <w:t xml:space="preserve"> 313(1–2): 57–63.</w:t>
      </w:r>
    </w:p>
    <w:p w14:paraId="42B7F51E" w14:textId="77777777" w:rsidR="00201058" w:rsidRPr="002B0C38" w:rsidRDefault="00201058" w:rsidP="00655323">
      <w:pPr>
        <w:pStyle w:val="Bibliography"/>
        <w:jc w:val="both"/>
        <w:rPr>
          <w:rFonts w:ascii="Verdana" w:hAnsi="Verdana"/>
        </w:rPr>
      </w:pPr>
      <w:r w:rsidRPr="002B0C38">
        <w:rPr>
          <w:rFonts w:ascii="Verdana" w:hAnsi="Verdana"/>
        </w:rPr>
        <w:t xml:space="preserve">Chan-Palay, V., and E. Asan. 1989. “Alterations in Catecholamine Neurons of the Locus Coeruleus in Senile Dementia of the Alzheimer Type and in Parkinson’s Disease with and without Dementia and Depression.” </w:t>
      </w:r>
      <w:r w:rsidRPr="002B0C38">
        <w:rPr>
          <w:rFonts w:ascii="Verdana" w:hAnsi="Verdana"/>
          <w:i/>
          <w:iCs/>
        </w:rPr>
        <w:t>The Journal of Comparative Neurology</w:t>
      </w:r>
      <w:r w:rsidRPr="002B0C38">
        <w:rPr>
          <w:rFonts w:ascii="Verdana" w:hAnsi="Verdana"/>
        </w:rPr>
        <w:t xml:space="preserve"> 287(3): 373–92.</w:t>
      </w:r>
    </w:p>
    <w:p w14:paraId="264352D9" w14:textId="77777777" w:rsidR="00201058" w:rsidRPr="002B0C38" w:rsidRDefault="00201058" w:rsidP="00655323">
      <w:pPr>
        <w:pStyle w:val="Bibliography"/>
        <w:jc w:val="both"/>
        <w:rPr>
          <w:rFonts w:ascii="Verdana" w:hAnsi="Verdana"/>
        </w:rPr>
      </w:pPr>
      <w:r w:rsidRPr="002B0C38">
        <w:rPr>
          <w:rFonts w:ascii="Verdana" w:hAnsi="Verdana"/>
        </w:rPr>
        <w:t>Chartier-Harlin, Marie-Christine et al. 2004. “</w:t>
      </w:r>
      <w:r w:rsidRPr="002B0C38">
        <w:rPr>
          <w:rFonts w:ascii="MS Gothic" w:eastAsia="MS Gothic" w:hAnsi="MS Gothic" w:cs="MS Gothic" w:hint="eastAsia"/>
        </w:rPr>
        <w:t>␣</w:t>
      </w:r>
      <w:r w:rsidRPr="002B0C38">
        <w:rPr>
          <w:rFonts w:ascii="Verdana" w:hAnsi="Verdana"/>
        </w:rPr>
        <w:t>-Synuclein Locus Duplication as a Cause of Familial.</w:t>
      </w:r>
      <w:r w:rsidRPr="002B0C38">
        <w:rPr>
          <w:rFonts w:ascii="Verdana" w:hAnsi="Verdana" w:cs="Calibri"/>
        </w:rPr>
        <w:t>”</w:t>
      </w:r>
      <w:r w:rsidRPr="002B0C38">
        <w:rPr>
          <w:rFonts w:ascii="Verdana" w:hAnsi="Verdana"/>
        </w:rPr>
        <w:t xml:space="preserve"> 364: 3.</w:t>
      </w:r>
    </w:p>
    <w:p w14:paraId="7FCE10B1" w14:textId="77777777" w:rsidR="00201058" w:rsidRPr="002B0C38" w:rsidRDefault="00201058" w:rsidP="00655323">
      <w:pPr>
        <w:pStyle w:val="Bibliography"/>
        <w:jc w:val="both"/>
        <w:rPr>
          <w:rFonts w:ascii="Verdana" w:hAnsi="Verdana"/>
        </w:rPr>
      </w:pPr>
      <w:r w:rsidRPr="002B0C38">
        <w:rPr>
          <w:rFonts w:ascii="Verdana" w:hAnsi="Verdana"/>
        </w:rPr>
        <w:t xml:space="preserve">Chaudhuri, K Ray, and Anthony HV Schapira. 2009. “Non-Motor Symptoms of Parkinson’s Disease: Dopaminergic Pathophysiology and Treatment.” </w:t>
      </w:r>
      <w:r w:rsidRPr="002B0C38">
        <w:rPr>
          <w:rFonts w:ascii="Verdana" w:hAnsi="Verdana"/>
          <w:i/>
          <w:iCs/>
        </w:rPr>
        <w:t>The Lancet Neurology</w:t>
      </w:r>
      <w:r w:rsidRPr="002B0C38">
        <w:rPr>
          <w:rFonts w:ascii="Verdana" w:hAnsi="Verdana"/>
        </w:rPr>
        <w:t xml:space="preserve"> 8(5): 464–74.</w:t>
      </w:r>
    </w:p>
    <w:p w14:paraId="1F63498B" w14:textId="77777777" w:rsidR="00201058" w:rsidRPr="002B0C38" w:rsidRDefault="00201058" w:rsidP="00655323">
      <w:pPr>
        <w:pStyle w:val="Bibliography"/>
        <w:jc w:val="both"/>
        <w:rPr>
          <w:rFonts w:ascii="Verdana" w:hAnsi="Verdana"/>
        </w:rPr>
      </w:pPr>
      <w:r w:rsidRPr="002B0C38">
        <w:rPr>
          <w:rFonts w:ascii="Verdana" w:hAnsi="Verdana"/>
        </w:rPr>
        <w:t xml:space="preserve">Chen, Shu G. et al. 2016. “Exposure to the Functional Bacterial Amyloid Protein Curli Enhances Alpha-Synuclein Aggregation in Aged Fischer 344 Rats and Caenorhabditis Elegans.” </w:t>
      </w:r>
      <w:r w:rsidRPr="002B0C38">
        <w:rPr>
          <w:rFonts w:ascii="Verdana" w:hAnsi="Verdana"/>
          <w:i/>
          <w:iCs/>
        </w:rPr>
        <w:t>Scientific Reports</w:t>
      </w:r>
      <w:r w:rsidRPr="002B0C38">
        <w:rPr>
          <w:rFonts w:ascii="Verdana" w:hAnsi="Verdana"/>
        </w:rPr>
        <w:t xml:space="preserve"> 6(1): 34477.</w:t>
      </w:r>
    </w:p>
    <w:p w14:paraId="3F091B0F" w14:textId="77777777" w:rsidR="00201058" w:rsidRPr="002B0C38" w:rsidRDefault="00201058" w:rsidP="00655323">
      <w:pPr>
        <w:pStyle w:val="Bibliography"/>
        <w:jc w:val="both"/>
        <w:rPr>
          <w:rFonts w:ascii="Verdana" w:hAnsi="Verdana"/>
        </w:rPr>
      </w:pPr>
      <w:r w:rsidRPr="002B0C38">
        <w:rPr>
          <w:rFonts w:ascii="Verdana" w:hAnsi="Verdana"/>
        </w:rPr>
        <w:t xml:space="preserve">Cheng, Hsiao-Chun, Christina M. Ulane, and Robert E. Burke. 2010. “Clinical Progression in Parkinson Disease and the Neurobiology of Axons.” </w:t>
      </w:r>
      <w:r w:rsidRPr="002B0C38">
        <w:rPr>
          <w:rFonts w:ascii="Verdana" w:hAnsi="Verdana"/>
          <w:i/>
          <w:iCs/>
        </w:rPr>
        <w:t>Annals of Neurology</w:t>
      </w:r>
      <w:r w:rsidRPr="002B0C38">
        <w:rPr>
          <w:rFonts w:ascii="Verdana" w:hAnsi="Verdana"/>
        </w:rPr>
        <w:t xml:space="preserve"> 67(6): 715–25.</w:t>
      </w:r>
    </w:p>
    <w:p w14:paraId="5B5FE5D0" w14:textId="77777777" w:rsidR="00201058" w:rsidRPr="002B0C38" w:rsidRDefault="00201058" w:rsidP="00655323">
      <w:pPr>
        <w:pStyle w:val="Bibliography"/>
        <w:jc w:val="both"/>
        <w:rPr>
          <w:rFonts w:ascii="Verdana" w:hAnsi="Verdana"/>
        </w:rPr>
      </w:pPr>
      <w:r w:rsidRPr="002B0C38">
        <w:rPr>
          <w:rFonts w:ascii="Verdana" w:hAnsi="Verdana"/>
        </w:rPr>
        <w:t xml:space="preserve">Chesselet, Marie-Francoise et al. 2012. “A Progressive Mouse Model of Parkinson’s Disease: The Thy1-ASyn (‘Line 61’) Mice.” </w:t>
      </w:r>
      <w:r w:rsidRPr="002B0C38">
        <w:rPr>
          <w:rFonts w:ascii="Verdana" w:hAnsi="Verdana"/>
          <w:i/>
          <w:iCs/>
        </w:rPr>
        <w:t>Neurotherapeutics</w:t>
      </w:r>
      <w:r w:rsidRPr="002B0C38">
        <w:rPr>
          <w:rFonts w:ascii="Verdana" w:hAnsi="Verdana"/>
        </w:rPr>
        <w:t xml:space="preserve"> 9(2): 297–314.</w:t>
      </w:r>
    </w:p>
    <w:p w14:paraId="090054D3" w14:textId="77777777" w:rsidR="00201058" w:rsidRPr="002B0C38" w:rsidRDefault="00201058" w:rsidP="00655323">
      <w:pPr>
        <w:pStyle w:val="Bibliography"/>
        <w:jc w:val="both"/>
        <w:rPr>
          <w:rFonts w:ascii="Verdana" w:hAnsi="Verdana"/>
        </w:rPr>
      </w:pPr>
      <w:r w:rsidRPr="002B0C38">
        <w:rPr>
          <w:rFonts w:ascii="Verdana" w:hAnsi="Verdana"/>
        </w:rPr>
        <w:t xml:space="preserve">Choi, Woong et al. 2004. “Mutation E46K Increases Phospholipid Binding and Assembly into Filaments of Human α-Synuclein.” </w:t>
      </w:r>
      <w:r w:rsidRPr="002B0C38">
        <w:rPr>
          <w:rFonts w:ascii="Verdana" w:hAnsi="Verdana"/>
          <w:i/>
          <w:iCs/>
        </w:rPr>
        <w:t>FEBS Letters</w:t>
      </w:r>
      <w:r w:rsidRPr="002B0C38">
        <w:rPr>
          <w:rFonts w:ascii="Verdana" w:hAnsi="Verdana"/>
        </w:rPr>
        <w:t xml:space="preserve"> 576(3): 363–68.</w:t>
      </w:r>
    </w:p>
    <w:p w14:paraId="6CC2EA95" w14:textId="77777777" w:rsidR="00201058" w:rsidRPr="002B0C38" w:rsidRDefault="00201058" w:rsidP="00655323">
      <w:pPr>
        <w:pStyle w:val="Bibliography"/>
        <w:jc w:val="both"/>
        <w:rPr>
          <w:rFonts w:ascii="Verdana" w:hAnsi="Verdana"/>
        </w:rPr>
      </w:pPr>
      <w:r w:rsidRPr="002B0C38">
        <w:rPr>
          <w:rFonts w:ascii="Verdana" w:hAnsi="Verdana"/>
        </w:rPr>
        <w:t xml:space="preserve">Churchyard, A., and A. J. Lees. 1997. “The Relationship between Dementia and Direct Involvement of the Hippocampus and Amygdala in Parkinson’s Disease.” </w:t>
      </w:r>
      <w:r w:rsidRPr="002B0C38">
        <w:rPr>
          <w:rFonts w:ascii="Verdana" w:hAnsi="Verdana"/>
          <w:i/>
          <w:iCs/>
        </w:rPr>
        <w:t>Neurology</w:t>
      </w:r>
      <w:r w:rsidRPr="002B0C38">
        <w:rPr>
          <w:rFonts w:ascii="Verdana" w:hAnsi="Verdana"/>
        </w:rPr>
        <w:t xml:space="preserve"> 49(6): 1570–76.</w:t>
      </w:r>
    </w:p>
    <w:p w14:paraId="0CAE3E5C" w14:textId="77777777" w:rsidR="00201058" w:rsidRPr="002B0C38" w:rsidRDefault="00201058" w:rsidP="00655323">
      <w:pPr>
        <w:pStyle w:val="Bibliography"/>
        <w:jc w:val="both"/>
        <w:rPr>
          <w:rFonts w:ascii="Verdana" w:hAnsi="Verdana"/>
        </w:rPr>
      </w:pPr>
      <w:r w:rsidRPr="002B0C38">
        <w:rPr>
          <w:rFonts w:ascii="Verdana" w:hAnsi="Verdana"/>
        </w:rPr>
        <w:t xml:space="preserve">Clements, Casey M. et al. 2006. “DJ-1, a Cancer- and Parkinson’s Disease-Associated Protein, Stabilizes the Antioxidant Transcriptional Master Regulator Nrf2.” </w:t>
      </w:r>
      <w:r w:rsidRPr="002B0C38">
        <w:rPr>
          <w:rFonts w:ascii="Verdana" w:hAnsi="Verdana"/>
          <w:i/>
          <w:iCs/>
        </w:rPr>
        <w:t>Proceedings of the National Academy of Sciences</w:t>
      </w:r>
      <w:r w:rsidRPr="002B0C38">
        <w:rPr>
          <w:rFonts w:ascii="Verdana" w:hAnsi="Verdana"/>
        </w:rPr>
        <w:t xml:space="preserve"> 103(41): 15091–96.</w:t>
      </w:r>
    </w:p>
    <w:p w14:paraId="139AF603" w14:textId="77777777" w:rsidR="00201058" w:rsidRPr="002B0C38" w:rsidRDefault="00201058" w:rsidP="00655323">
      <w:pPr>
        <w:pStyle w:val="Bibliography"/>
        <w:jc w:val="both"/>
        <w:rPr>
          <w:rFonts w:ascii="Verdana" w:hAnsi="Verdana"/>
        </w:rPr>
      </w:pPr>
      <w:r w:rsidRPr="002B0C38">
        <w:rPr>
          <w:rFonts w:ascii="Verdana" w:hAnsi="Verdana"/>
        </w:rPr>
        <w:t xml:space="preserve">Coon, Elizabeth A., and Wolfgang Singer. 2020. “Synucleinopathies:” </w:t>
      </w:r>
      <w:r w:rsidRPr="002B0C38">
        <w:rPr>
          <w:rFonts w:ascii="Verdana" w:hAnsi="Verdana"/>
          <w:i/>
          <w:iCs/>
        </w:rPr>
        <w:t>CONTINUUM: Lifelong Learning in Neurology</w:t>
      </w:r>
      <w:r w:rsidRPr="002B0C38">
        <w:rPr>
          <w:rFonts w:ascii="Verdana" w:hAnsi="Verdana"/>
        </w:rPr>
        <w:t xml:space="preserve"> 26(1): 72–92.</w:t>
      </w:r>
    </w:p>
    <w:p w14:paraId="3ADC9979" w14:textId="12B05EB4" w:rsidR="00201058" w:rsidRPr="002B0C38" w:rsidRDefault="00201058" w:rsidP="00655323">
      <w:pPr>
        <w:pStyle w:val="Bibliography"/>
        <w:jc w:val="both"/>
        <w:rPr>
          <w:rFonts w:ascii="Verdana" w:hAnsi="Verdana"/>
        </w:rPr>
      </w:pPr>
      <w:r w:rsidRPr="002B0C38">
        <w:rPr>
          <w:rFonts w:ascii="Verdana" w:hAnsi="Verdana"/>
        </w:rPr>
        <w:t xml:space="preserve">Cury, R.G. et al. 2016. “Sensory Abnormalities and Pain in Parkinson Disease and Its Modulation by Treatment of Motor Symptoms.” </w:t>
      </w:r>
      <w:r w:rsidRPr="002B0C38">
        <w:rPr>
          <w:rFonts w:ascii="Verdana" w:hAnsi="Verdana"/>
          <w:i/>
          <w:iCs/>
        </w:rPr>
        <w:t>European Journal of Pain</w:t>
      </w:r>
      <w:r w:rsidRPr="002B0C38">
        <w:rPr>
          <w:rFonts w:ascii="Verdana" w:hAnsi="Verdana"/>
        </w:rPr>
        <w:t xml:space="preserve"> 20(2): 151–65.</w:t>
      </w:r>
    </w:p>
    <w:p w14:paraId="5690DBD3" w14:textId="32C1C0EA" w:rsidR="0090557C" w:rsidRPr="002B0C38" w:rsidRDefault="0090557C" w:rsidP="00655323">
      <w:pPr>
        <w:pStyle w:val="Bibliography"/>
        <w:jc w:val="both"/>
        <w:rPr>
          <w:rFonts w:ascii="Verdana" w:hAnsi="Verdana"/>
        </w:rPr>
      </w:pPr>
      <w:r w:rsidRPr="002B0C38">
        <w:rPr>
          <w:rFonts w:ascii="Verdana" w:hAnsi="Verdana"/>
        </w:rPr>
        <w:lastRenderedPageBreak/>
        <w:t xml:space="preserve">Danielson, PB. 2002. “The Cytochrome P450 Superfamily: Biochemistry, Evolution and Drug Metabolism in Humans.” </w:t>
      </w:r>
      <w:r w:rsidRPr="002B0C38">
        <w:rPr>
          <w:rFonts w:ascii="Verdana" w:hAnsi="Verdana"/>
          <w:i/>
          <w:iCs/>
        </w:rPr>
        <w:t>Current Drug Metabolism</w:t>
      </w:r>
      <w:r w:rsidRPr="002B0C38">
        <w:rPr>
          <w:rFonts w:ascii="Verdana" w:hAnsi="Verdana"/>
        </w:rPr>
        <w:t xml:space="preserve"> 3(6): 561–97.</w:t>
      </w:r>
    </w:p>
    <w:p w14:paraId="3BF87C44" w14:textId="77777777" w:rsidR="00201058" w:rsidRPr="002B0C38" w:rsidRDefault="00201058" w:rsidP="00655323">
      <w:pPr>
        <w:pStyle w:val="Bibliography"/>
        <w:jc w:val="both"/>
        <w:rPr>
          <w:rFonts w:ascii="Verdana" w:hAnsi="Verdana"/>
        </w:rPr>
      </w:pPr>
      <w:r w:rsidRPr="002B0C38">
        <w:rPr>
          <w:rFonts w:ascii="Verdana" w:hAnsi="Verdana"/>
        </w:rPr>
        <w:t xml:space="preserve">Datta, Indrani, Kavina Ganapathy, Rema Razdan, and Ramesh Bhonde. 2018. “Location and Number of Astrocytes Determine Dopaminergic Neuron Survival and Function Under 6-OHDA Stress Mediated Through Differential BDNF Release.” </w:t>
      </w:r>
      <w:r w:rsidRPr="002B0C38">
        <w:rPr>
          <w:rFonts w:ascii="Verdana" w:hAnsi="Verdana"/>
          <w:i/>
          <w:iCs/>
        </w:rPr>
        <w:t>Molecular Neurobiology</w:t>
      </w:r>
      <w:r w:rsidRPr="002B0C38">
        <w:rPr>
          <w:rFonts w:ascii="Verdana" w:hAnsi="Verdana"/>
        </w:rPr>
        <w:t xml:space="preserve"> 55(7): 5505–25.</w:t>
      </w:r>
    </w:p>
    <w:p w14:paraId="46C41737" w14:textId="77777777" w:rsidR="00201058" w:rsidRPr="002B0C38" w:rsidRDefault="00201058" w:rsidP="00655323">
      <w:pPr>
        <w:pStyle w:val="Bibliography"/>
        <w:jc w:val="both"/>
        <w:rPr>
          <w:rFonts w:ascii="Verdana" w:hAnsi="Verdana"/>
        </w:rPr>
      </w:pPr>
      <w:r w:rsidRPr="002B0C38">
        <w:rPr>
          <w:rFonts w:ascii="Verdana" w:hAnsi="Verdana"/>
        </w:rPr>
        <w:t xml:space="preserve">Desai, Mahesh S. et al. 2016. “A Dietary Fiber-Deprived Gut Microbiota Degrades the Colonic Mucus Barrier and Enhances Pathogen Susceptibility.” </w:t>
      </w:r>
      <w:r w:rsidRPr="002B0C38">
        <w:rPr>
          <w:rFonts w:ascii="Verdana" w:hAnsi="Verdana"/>
          <w:i/>
          <w:iCs/>
        </w:rPr>
        <w:t>Cell</w:t>
      </w:r>
      <w:r w:rsidRPr="002B0C38">
        <w:rPr>
          <w:rFonts w:ascii="Verdana" w:hAnsi="Verdana"/>
        </w:rPr>
        <w:t xml:space="preserve"> 167(5): 1339-1353.e21.</w:t>
      </w:r>
    </w:p>
    <w:p w14:paraId="6BBB8300" w14:textId="77777777" w:rsidR="00201058" w:rsidRPr="002B0C38" w:rsidRDefault="00201058" w:rsidP="00655323">
      <w:pPr>
        <w:pStyle w:val="Bibliography"/>
        <w:jc w:val="both"/>
        <w:rPr>
          <w:rFonts w:ascii="Verdana" w:hAnsi="Verdana"/>
        </w:rPr>
      </w:pPr>
      <w:r w:rsidRPr="002B0C38">
        <w:rPr>
          <w:rFonts w:ascii="Verdana" w:hAnsi="Verdana"/>
        </w:rPr>
        <w:t xml:space="preserve">Dexter, David T. et al. 1994. “Increased Levels of Lipid Hydroperoxides in the Parkinsonian Substantia Nigra: An HPLC and ESR Study.” </w:t>
      </w:r>
      <w:r w:rsidRPr="002B0C38">
        <w:rPr>
          <w:rFonts w:ascii="Verdana" w:hAnsi="Verdana"/>
          <w:i/>
          <w:iCs/>
        </w:rPr>
        <w:t>Movement Disorders</w:t>
      </w:r>
      <w:r w:rsidRPr="002B0C38">
        <w:rPr>
          <w:rFonts w:ascii="Verdana" w:hAnsi="Verdana"/>
        </w:rPr>
        <w:t xml:space="preserve"> 9(1): 92–97.</w:t>
      </w:r>
    </w:p>
    <w:p w14:paraId="139D9808" w14:textId="77777777" w:rsidR="00201058" w:rsidRPr="002B0C38" w:rsidRDefault="00201058" w:rsidP="00655323">
      <w:pPr>
        <w:pStyle w:val="Bibliography"/>
        <w:jc w:val="both"/>
        <w:rPr>
          <w:rFonts w:ascii="Verdana" w:hAnsi="Verdana"/>
        </w:rPr>
      </w:pPr>
      <w:r w:rsidRPr="002B0C38">
        <w:rPr>
          <w:rFonts w:ascii="Verdana" w:hAnsi="Verdana"/>
        </w:rPr>
        <w:t xml:space="preserve">Dickson, Dennis W. 2018. “Neuropathology of Parkinson Disease.” </w:t>
      </w:r>
      <w:r w:rsidRPr="002B0C38">
        <w:rPr>
          <w:rFonts w:ascii="Verdana" w:hAnsi="Verdana"/>
          <w:i/>
          <w:iCs/>
        </w:rPr>
        <w:t>Parkinsonism &amp; Related Disorders</w:t>
      </w:r>
      <w:r w:rsidRPr="002B0C38">
        <w:rPr>
          <w:rFonts w:ascii="Verdana" w:hAnsi="Verdana"/>
        </w:rPr>
        <w:t xml:space="preserve"> 46: S30–33.</w:t>
      </w:r>
    </w:p>
    <w:p w14:paraId="1FDE164B" w14:textId="77777777" w:rsidR="00201058" w:rsidRPr="002B0C38" w:rsidRDefault="00201058" w:rsidP="00655323">
      <w:pPr>
        <w:pStyle w:val="Bibliography"/>
        <w:jc w:val="both"/>
        <w:rPr>
          <w:rFonts w:ascii="Verdana" w:hAnsi="Verdana"/>
        </w:rPr>
      </w:pPr>
      <w:r w:rsidRPr="002B0C38">
        <w:rPr>
          <w:rFonts w:ascii="Verdana" w:hAnsi="Verdana"/>
        </w:rPr>
        <w:t xml:space="preserve">Domingues, Ana V. et al. 2020. “Glial Cells in Parkinson´s Disease: Protective or Deleterious?” </w:t>
      </w:r>
      <w:r w:rsidRPr="002B0C38">
        <w:rPr>
          <w:rFonts w:ascii="Verdana" w:hAnsi="Verdana"/>
          <w:i/>
          <w:iCs/>
        </w:rPr>
        <w:t>Cellular and Molecular Life Sciences</w:t>
      </w:r>
      <w:r w:rsidRPr="002B0C38">
        <w:rPr>
          <w:rFonts w:ascii="Verdana" w:hAnsi="Verdana"/>
        </w:rPr>
        <w:t xml:space="preserve"> 77(24): 5171–88.</w:t>
      </w:r>
    </w:p>
    <w:p w14:paraId="2609F53E" w14:textId="77777777" w:rsidR="00201058" w:rsidRPr="002B0C38" w:rsidRDefault="00201058" w:rsidP="00655323">
      <w:pPr>
        <w:pStyle w:val="Bibliography"/>
        <w:jc w:val="both"/>
        <w:rPr>
          <w:rFonts w:ascii="Verdana" w:hAnsi="Verdana"/>
        </w:rPr>
      </w:pPr>
      <w:r w:rsidRPr="002B0C38">
        <w:rPr>
          <w:rFonts w:ascii="Verdana" w:hAnsi="Verdana"/>
        </w:rPr>
        <w:t xml:space="preserve">Emre, Murat. 2004. “Dementia in Parkinson’s Disease: Cause and Treatment.” </w:t>
      </w:r>
      <w:r w:rsidRPr="002B0C38">
        <w:rPr>
          <w:rFonts w:ascii="Verdana" w:hAnsi="Verdana"/>
          <w:i/>
          <w:iCs/>
        </w:rPr>
        <w:t>Current Opinion in Neurology</w:t>
      </w:r>
      <w:r w:rsidRPr="002B0C38">
        <w:rPr>
          <w:rFonts w:ascii="Verdana" w:hAnsi="Verdana"/>
        </w:rPr>
        <w:t xml:space="preserve"> 17(4): 399–404.</w:t>
      </w:r>
    </w:p>
    <w:p w14:paraId="671215A0" w14:textId="77777777" w:rsidR="00201058" w:rsidRPr="002B0C38" w:rsidRDefault="00201058" w:rsidP="00655323">
      <w:pPr>
        <w:pStyle w:val="Bibliography"/>
        <w:jc w:val="both"/>
        <w:rPr>
          <w:rFonts w:ascii="Verdana" w:hAnsi="Verdana"/>
        </w:rPr>
      </w:pPr>
      <w:r w:rsidRPr="002B0C38">
        <w:rPr>
          <w:rFonts w:ascii="Verdana" w:hAnsi="Verdana"/>
        </w:rPr>
        <w:t xml:space="preserve">Fearnley, J. M., and A. J. Lees. 1990. “STRIATONIGRAL DEGENERATION: A CLINICOPATHOLOGICAL STUDY.” </w:t>
      </w:r>
      <w:r w:rsidRPr="002B0C38">
        <w:rPr>
          <w:rFonts w:ascii="Verdana" w:hAnsi="Verdana"/>
          <w:i/>
          <w:iCs/>
        </w:rPr>
        <w:t>Brain</w:t>
      </w:r>
      <w:r w:rsidRPr="002B0C38">
        <w:rPr>
          <w:rFonts w:ascii="Verdana" w:hAnsi="Verdana"/>
        </w:rPr>
        <w:t xml:space="preserve"> 113(6): 1823–42.</w:t>
      </w:r>
    </w:p>
    <w:p w14:paraId="3BD48D9E" w14:textId="77777777" w:rsidR="00201058" w:rsidRPr="002B0C38" w:rsidRDefault="00201058" w:rsidP="00655323">
      <w:pPr>
        <w:pStyle w:val="Bibliography"/>
        <w:jc w:val="both"/>
        <w:rPr>
          <w:rFonts w:ascii="Verdana" w:hAnsi="Verdana"/>
        </w:rPr>
      </w:pPr>
      <w:r w:rsidRPr="002B0C38">
        <w:rPr>
          <w:rFonts w:ascii="Verdana" w:hAnsi="Verdana"/>
        </w:rPr>
        <w:t xml:space="preserve">Fenelon, G. 2000. “Hallucinations in Parkinson’s Disease: Prevalence, Phenomenology and Risk Factors.” </w:t>
      </w:r>
      <w:r w:rsidRPr="002B0C38">
        <w:rPr>
          <w:rFonts w:ascii="Verdana" w:hAnsi="Verdana"/>
          <w:i/>
          <w:iCs/>
        </w:rPr>
        <w:t>Brain</w:t>
      </w:r>
      <w:r w:rsidRPr="002B0C38">
        <w:rPr>
          <w:rFonts w:ascii="Verdana" w:hAnsi="Verdana"/>
        </w:rPr>
        <w:t xml:space="preserve"> 123(4): 733–45.</w:t>
      </w:r>
    </w:p>
    <w:p w14:paraId="6449AEDA" w14:textId="77777777" w:rsidR="00201058" w:rsidRPr="002B0C38" w:rsidRDefault="00201058" w:rsidP="00655323">
      <w:pPr>
        <w:pStyle w:val="Bibliography"/>
        <w:jc w:val="both"/>
        <w:rPr>
          <w:rFonts w:ascii="Verdana" w:hAnsi="Verdana"/>
        </w:rPr>
      </w:pPr>
      <w:r w:rsidRPr="002B0C38">
        <w:rPr>
          <w:rFonts w:ascii="Verdana" w:hAnsi="Verdana"/>
        </w:rPr>
        <w:t xml:space="preserve">Fleming, Sheila M. et al. 2008. “Olfactory Deficits in Mice Overexpressing Human Wildtype -Synuclein.” </w:t>
      </w:r>
      <w:r w:rsidRPr="002B0C38">
        <w:rPr>
          <w:rFonts w:ascii="Verdana" w:hAnsi="Verdana"/>
          <w:i/>
          <w:iCs/>
        </w:rPr>
        <w:t>European Journal of Neuroscience</w:t>
      </w:r>
      <w:r w:rsidRPr="002B0C38">
        <w:rPr>
          <w:rFonts w:ascii="Verdana" w:hAnsi="Verdana"/>
        </w:rPr>
        <w:t xml:space="preserve"> 28(2): 247–56.</w:t>
      </w:r>
    </w:p>
    <w:p w14:paraId="79C5D3D5" w14:textId="77777777" w:rsidR="00201058" w:rsidRDefault="00201058" w:rsidP="00655323">
      <w:pPr>
        <w:pStyle w:val="Bibliography"/>
        <w:jc w:val="both"/>
        <w:rPr>
          <w:rFonts w:ascii="Verdana" w:hAnsi="Verdana"/>
        </w:rPr>
      </w:pPr>
      <w:r w:rsidRPr="002B0C38">
        <w:rPr>
          <w:rFonts w:ascii="Verdana" w:hAnsi="Verdana"/>
        </w:rPr>
        <w:t xml:space="preserve">Floor, Erik, and Mary G. Wetzel. 2002. “Increased Protein Oxidation in Human Substantia Nigra Pars Compacta in Comparison with Basal Ganglia and Prefrontal Cortex Measured with an Improved Dinitrophenylhydrazine Assay.” </w:t>
      </w:r>
      <w:r w:rsidRPr="002B0C38">
        <w:rPr>
          <w:rFonts w:ascii="Verdana" w:hAnsi="Verdana"/>
          <w:i/>
          <w:iCs/>
        </w:rPr>
        <w:t>Journal of Neurochemistry</w:t>
      </w:r>
      <w:r w:rsidRPr="002B0C38">
        <w:rPr>
          <w:rFonts w:ascii="Verdana" w:hAnsi="Verdana"/>
        </w:rPr>
        <w:t xml:space="preserve"> 70(1): 268–75.</w:t>
      </w:r>
    </w:p>
    <w:p w14:paraId="056F93A9" w14:textId="77777777" w:rsidR="00AA56FF" w:rsidRDefault="00356950" w:rsidP="00AA56FF">
      <w:pPr>
        <w:spacing w:after="0"/>
        <w:ind w:firstLine="0"/>
        <w:jc w:val="both"/>
        <w:rPr>
          <w:rFonts w:ascii="Verdana" w:hAnsi="Verdana"/>
        </w:rPr>
      </w:pPr>
      <w:r w:rsidRPr="00356950">
        <w:rPr>
          <w:rFonts w:ascii="Verdana" w:hAnsi="Verdana"/>
        </w:rPr>
        <w:t>Fornai</w:t>
      </w:r>
      <w:r>
        <w:rPr>
          <w:rFonts w:ascii="Verdana" w:hAnsi="Verdana"/>
        </w:rPr>
        <w:t>, Francesco</w:t>
      </w:r>
      <w:r w:rsidR="002D15B0">
        <w:rPr>
          <w:rFonts w:ascii="Verdana" w:hAnsi="Verdana"/>
        </w:rPr>
        <w:t xml:space="preserve"> et al. 2005. </w:t>
      </w:r>
      <w:r w:rsidR="002D15B0" w:rsidRPr="002B0C38">
        <w:rPr>
          <w:rFonts w:ascii="Verdana" w:hAnsi="Verdana"/>
        </w:rPr>
        <w:t>“</w:t>
      </w:r>
      <w:r w:rsidR="00193388" w:rsidRPr="00193388">
        <w:rPr>
          <w:rFonts w:ascii="Verdana" w:hAnsi="Verdana"/>
        </w:rPr>
        <w:t>Parkinson-like syndrome induced by continuous</w:t>
      </w:r>
    </w:p>
    <w:p w14:paraId="05CACAEA" w14:textId="714BD677" w:rsidR="00356950" w:rsidRPr="00356950" w:rsidRDefault="00193388" w:rsidP="00AA56FF">
      <w:pPr>
        <w:ind w:left="720" w:firstLine="0"/>
        <w:jc w:val="both"/>
        <w:rPr>
          <w:rFonts w:ascii="Verdana" w:hAnsi="Verdana"/>
        </w:rPr>
      </w:pPr>
      <w:r w:rsidRPr="00193388">
        <w:rPr>
          <w:rFonts w:ascii="Verdana" w:hAnsi="Verdana"/>
        </w:rPr>
        <w:t>MPTP infusion: convergent roles of the ubiquitin-proteasome system and alpha-synuclein</w:t>
      </w:r>
      <w:r>
        <w:rPr>
          <w:rFonts w:ascii="Verdana" w:hAnsi="Verdana"/>
        </w:rPr>
        <w:t>.</w:t>
      </w:r>
      <w:r w:rsidRPr="002B0C38">
        <w:rPr>
          <w:rFonts w:ascii="Verdana" w:hAnsi="Verdana"/>
        </w:rPr>
        <w:t>”</w:t>
      </w:r>
      <w:r w:rsidR="00AA56FF" w:rsidRPr="00AA56FF">
        <w:t xml:space="preserve"> </w:t>
      </w:r>
      <w:r w:rsidR="00AA56FF" w:rsidRPr="00AA56FF">
        <w:rPr>
          <w:rFonts w:ascii="Verdana" w:hAnsi="Verdana"/>
          <w:i/>
          <w:iCs/>
        </w:rPr>
        <w:t>Proceedings of the National Academy of Sciences of the United States of America</w:t>
      </w:r>
      <w:r w:rsidR="00AA56FF" w:rsidRPr="00AA56FF">
        <w:rPr>
          <w:rFonts w:ascii="Verdana" w:hAnsi="Verdana"/>
        </w:rPr>
        <w:t>, 102(9)</w:t>
      </w:r>
      <w:r w:rsidR="00AA56FF">
        <w:rPr>
          <w:rFonts w:ascii="Verdana" w:hAnsi="Verdana"/>
        </w:rPr>
        <w:t>:</w:t>
      </w:r>
      <w:r w:rsidR="00AA56FF" w:rsidRPr="00AA56FF">
        <w:rPr>
          <w:rFonts w:ascii="Verdana" w:hAnsi="Verdana"/>
        </w:rPr>
        <w:t xml:space="preserve"> 3413–3418.</w:t>
      </w:r>
    </w:p>
    <w:p w14:paraId="355C8F23" w14:textId="77777777" w:rsidR="00201058" w:rsidRPr="002B0C38" w:rsidRDefault="00201058" w:rsidP="00655323">
      <w:pPr>
        <w:pStyle w:val="Bibliography"/>
        <w:jc w:val="both"/>
        <w:rPr>
          <w:rFonts w:ascii="Verdana" w:hAnsi="Verdana"/>
        </w:rPr>
      </w:pPr>
      <w:r w:rsidRPr="002B0C38">
        <w:rPr>
          <w:rFonts w:ascii="Verdana" w:hAnsi="Verdana"/>
        </w:rPr>
        <w:t xml:space="preserve">Fuchs, J. et al. 2007. “Phenotypic Variation in a Large Swedish Pedigree Due to </w:t>
      </w:r>
      <w:r w:rsidRPr="002B0C38">
        <w:rPr>
          <w:rFonts w:ascii="Verdana" w:hAnsi="Verdana"/>
          <w:i/>
          <w:iCs/>
        </w:rPr>
        <w:t>SNCA</w:t>
      </w:r>
      <w:r w:rsidRPr="002B0C38">
        <w:rPr>
          <w:rFonts w:ascii="Verdana" w:hAnsi="Verdana"/>
        </w:rPr>
        <w:t xml:space="preserve"> Duplication and Triplication.” </w:t>
      </w:r>
      <w:r w:rsidRPr="002B0C38">
        <w:rPr>
          <w:rFonts w:ascii="Verdana" w:hAnsi="Verdana"/>
          <w:i/>
          <w:iCs/>
        </w:rPr>
        <w:t>Neurology</w:t>
      </w:r>
      <w:r w:rsidRPr="002B0C38">
        <w:rPr>
          <w:rFonts w:ascii="Verdana" w:hAnsi="Verdana"/>
        </w:rPr>
        <w:t xml:space="preserve"> 68(12): 916–22.</w:t>
      </w:r>
    </w:p>
    <w:p w14:paraId="3AEBF5D3" w14:textId="77777777" w:rsidR="00201058" w:rsidRPr="002B0C38" w:rsidRDefault="00201058" w:rsidP="00655323">
      <w:pPr>
        <w:pStyle w:val="Bibliography"/>
        <w:jc w:val="both"/>
        <w:rPr>
          <w:rFonts w:ascii="Verdana" w:hAnsi="Verdana"/>
        </w:rPr>
      </w:pPr>
      <w:r w:rsidRPr="002B0C38">
        <w:rPr>
          <w:rFonts w:ascii="Verdana" w:hAnsi="Verdana"/>
        </w:rPr>
        <w:t xml:space="preserve">Fujiwara, Hideo et al. 2002. “α-Synuclein Is Phosphorylated in Synucleinopathy Lesions.” </w:t>
      </w:r>
      <w:r w:rsidRPr="002B0C38">
        <w:rPr>
          <w:rFonts w:ascii="Verdana" w:hAnsi="Verdana"/>
          <w:i/>
          <w:iCs/>
        </w:rPr>
        <w:t>Nature Cell Biology</w:t>
      </w:r>
      <w:r w:rsidRPr="002B0C38">
        <w:rPr>
          <w:rFonts w:ascii="Verdana" w:hAnsi="Verdana"/>
        </w:rPr>
        <w:t xml:space="preserve"> 4(2): 160–64.</w:t>
      </w:r>
    </w:p>
    <w:p w14:paraId="09427DC4" w14:textId="77777777" w:rsidR="00201058" w:rsidRPr="002B0C38" w:rsidRDefault="00201058" w:rsidP="00655323">
      <w:pPr>
        <w:pStyle w:val="Bibliography"/>
        <w:jc w:val="both"/>
        <w:rPr>
          <w:rFonts w:ascii="Verdana" w:hAnsi="Verdana"/>
        </w:rPr>
      </w:pPr>
      <w:r w:rsidRPr="002B0C38">
        <w:rPr>
          <w:rFonts w:ascii="Verdana" w:hAnsi="Verdana"/>
        </w:rPr>
        <w:t xml:space="preserve">Garcia, Pierre et al. 2020. </w:t>
      </w:r>
      <w:r w:rsidRPr="002B0C38">
        <w:rPr>
          <w:rFonts w:ascii="Verdana" w:hAnsi="Verdana"/>
          <w:i/>
          <w:iCs/>
        </w:rPr>
        <w:t xml:space="preserve">Neurodegeneration and Neuroinflammation Are Linked, but Independent of </w:t>
      </w:r>
      <w:r w:rsidRPr="002B0C38">
        <w:rPr>
          <w:rFonts w:ascii="Verdana" w:hAnsi="Verdana"/>
          <w:b/>
          <w:bCs/>
          <w:i/>
          <w:iCs/>
        </w:rPr>
        <w:t>α</w:t>
      </w:r>
      <w:r w:rsidRPr="002B0C38">
        <w:rPr>
          <w:rFonts w:ascii="Verdana" w:hAnsi="Verdana"/>
          <w:i/>
          <w:iCs/>
        </w:rPr>
        <w:t xml:space="preserve"> -Synuclein Inclusions, in a </w:t>
      </w:r>
      <w:r w:rsidRPr="002B0C38">
        <w:rPr>
          <w:rFonts w:ascii="Verdana" w:hAnsi="Verdana"/>
          <w:i/>
          <w:iCs/>
        </w:rPr>
        <w:lastRenderedPageBreak/>
        <w:t>Seeding/Spreading Mouse Model of Parkinson’s Disease</w:t>
      </w:r>
      <w:r w:rsidRPr="002B0C38">
        <w:rPr>
          <w:rFonts w:ascii="Verdana" w:hAnsi="Verdana"/>
        </w:rPr>
        <w:t>. Neuroscience. preprint. http://biorxiv.org/lookup/doi/10.1101/2020.08.05.237750 (April 5, 2022).</w:t>
      </w:r>
    </w:p>
    <w:p w14:paraId="56DF8113" w14:textId="77777777" w:rsidR="00201058" w:rsidRPr="002B0C38" w:rsidRDefault="00201058" w:rsidP="00655323">
      <w:pPr>
        <w:pStyle w:val="Bibliography"/>
        <w:jc w:val="both"/>
        <w:rPr>
          <w:rFonts w:ascii="Verdana" w:hAnsi="Verdana"/>
        </w:rPr>
      </w:pPr>
      <w:r w:rsidRPr="002B0C38">
        <w:rPr>
          <w:rFonts w:ascii="Verdana" w:hAnsi="Verdana"/>
        </w:rPr>
        <w:t xml:space="preserve">Gardai, Shyra J. et al. 2013. “Elevated Alpha-Synuclein Impairs Innate Immune Cell Function and Provides a Potential Peripheral Biomarker for Parkinson’s Disease” ed. Kostas Vekrellis. </w:t>
      </w:r>
      <w:r w:rsidRPr="002B0C38">
        <w:rPr>
          <w:rFonts w:ascii="Verdana" w:hAnsi="Verdana"/>
          <w:i/>
          <w:iCs/>
        </w:rPr>
        <w:t>PLoS ONE</w:t>
      </w:r>
      <w:r w:rsidRPr="002B0C38">
        <w:rPr>
          <w:rFonts w:ascii="Verdana" w:hAnsi="Verdana"/>
        </w:rPr>
        <w:t xml:space="preserve"> 8(8): e71634.</w:t>
      </w:r>
    </w:p>
    <w:p w14:paraId="57678A92" w14:textId="77777777" w:rsidR="00201058" w:rsidRPr="002B0C38" w:rsidRDefault="00201058" w:rsidP="00655323">
      <w:pPr>
        <w:pStyle w:val="Bibliography"/>
        <w:jc w:val="both"/>
        <w:rPr>
          <w:rFonts w:ascii="Verdana" w:hAnsi="Verdana"/>
        </w:rPr>
      </w:pPr>
      <w:r w:rsidRPr="002B0C38">
        <w:rPr>
          <w:rFonts w:ascii="Verdana" w:hAnsi="Verdana"/>
        </w:rPr>
        <w:t xml:space="preserve">Giaime, Emilie et al. 2012. “Loss of DJ-1 Does Not Affect Mitochondrial Respiration but Increases ROS Production and Mitochondrial Permeability Transition Pore Opening” ed. Marcel P. van der Brug. </w:t>
      </w:r>
      <w:r w:rsidRPr="002B0C38">
        <w:rPr>
          <w:rFonts w:ascii="Verdana" w:hAnsi="Verdana"/>
          <w:i/>
          <w:iCs/>
        </w:rPr>
        <w:t>PLoS ONE</w:t>
      </w:r>
      <w:r w:rsidRPr="002B0C38">
        <w:rPr>
          <w:rFonts w:ascii="Verdana" w:hAnsi="Verdana"/>
        </w:rPr>
        <w:t xml:space="preserve"> 7(7): e40501.</w:t>
      </w:r>
    </w:p>
    <w:p w14:paraId="3A3BE69F" w14:textId="77777777" w:rsidR="00201058" w:rsidRPr="002B0C38" w:rsidRDefault="00201058" w:rsidP="00655323">
      <w:pPr>
        <w:pStyle w:val="Bibliography"/>
        <w:jc w:val="both"/>
        <w:rPr>
          <w:rFonts w:ascii="Verdana" w:hAnsi="Verdana"/>
        </w:rPr>
      </w:pPr>
      <w:r w:rsidRPr="002B0C38">
        <w:rPr>
          <w:rFonts w:ascii="Verdana" w:hAnsi="Verdana"/>
        </w:rPr>
        <w:t>Giladi, N et al. 2000. “Risk Factors for Dementia, Depression and Psychosis in Long-Standing Parkinson’s Disease.” : 13.</w:t>
      </w:r>
    </w:p>
    <w:p w14:paraId="270B2499" w14:textId="77777777" w:rsidR="00201058" w:rsidRPr="002B0C38" w:rsidRDefault="00201058" w:rsidP="00655323">
      <w:pPr>
        <w:pStyle w:val="Bibliography"/>
        <w:jc w:val="both"/>
        <w:rPr>
          <w:rFonts w:ascii="Verdana" w:hAnsi="Verdana"/>
        </w:rPr>
      </w:pPr>
      <w:r w:rsidRPr="002B0C38">
        <w:rPr>
          <w:rFonts w:ascii="Verdana" w:hAnsi="Verdana"/>
        </w:rPr>
        <w:t xml:space="preserve">Goetz, Christopher G., Murat Emre, and Bruno Dubois. 2009. “Parkinson’s Disease Dementia: Definitions, Guidelines, and Research Perspectives in Diagnosis.” </w:t>
      </w:r>
      <w:r w:rsidRPr="002B0C38">
        <w:rPr>
          <w:rFonts w:ascii="Verdana" w:hAnsi="Verdana"/>
          <w:i/>
          <w:iCs/>
        </w:rPr>
        <w:t>Annals of Neurology</w:t>
      </w:r>
      <w:r w:rsidRPr="002B0C38">
        <w:rPr>
          <w:rFonts w:ascii="Verdana" w:hAnsi="Verdana"/>
        </w:rPr>
        <w:t xml:space="preserve"> 64(S2): S81–92.</w:t>
      </w:r>
    </w:p>
    <w:p w14:paraId="7187DC51" w14:textId="77777777" w:rsidR="00201058" w:rsidRPr="002B0C38" w:rsidRDefault="00201058" w:rsidP="00655323">
      <w:pPr>
        <w:pStyle w:val="Bibliography"/>
        <w:jc w:val="both"/>
        <w:rPr>
          <w:rFonts w:ascii="Verdana" w:hAnsi="Verdana"/>
        </w:rPr>
      </w:pPr>
      <w:r w:rsidRPr="002B0C38">
        <w:rPr>
          <w:rFonts w:ascii="Verdana" w:hAnsi="Verdana"/>
        </w:rPr>
        <w:t xml:space="preserve">Goldman, Jennifer G. et al. 2012. “Entorhinal Cortex Atrophy Differentiates Parkinson’s Disease Patients with and without Dementia: Entorhinal Cortex Parkinson’s Disease Dementia.” </w:t>
      </w:r>
      <w:r w:rsidRPr="002B0C38">
        <w:rPr>
          <w:rFonts w:ascii="Verdana" w:hAnsi="Verdana"/>
          <w:i/>
          <w:iCs/>
        </w:rPr>
        <w:t>Movement Disorders</w:t>
      </w:r>
      <w:r w:rsidRPr="002B0C38">
        <w:rPr>
          <w:rFonts w:ascii="Verdana" w:hAnsi="Verdana"/>
        </w:rPr>
        <w:t xml:space="preserve"> 27(6): 727–34.</w:t>
      </w:r>
    </w:p>
    <w:p w14:paraId="041C0E5C" w14:textId="77777777" w:rsidR="00201058" w:rsidRPr="002B0C38" w:rsidRDefault="00201058" w:rsidP="00655323">
      <w:pPr>
        <w:pStyle w:val="Bibliography"/>
        <w:jc w:val="both"/>
        <w:rPr>
          <w:rFonts w:ascii="Verdana" w:hAnsi="Verdana"/>
        </w:rPr>
      </w:pPr>
      <w:r w:rsidRPr="002B0C38">
        <w:rPr>
          <w:rFonts w:ascii="Verdana" w:hAnsi="Verdana"/>
        </w:rPr>
        <w:t xml:space="preserve">Goris, An et al. 2007. “Tau and α-Synuclein in Susceptibility to, and Dementia in, Parkinson’s Disease.” </w:t>
      </w:r>
      <w:r w:rsidRPr="002B0C38">
        <w:rPr>
          <w:rFonts w:ascii="Verdana" w:hAnsi="Verdana"/>
          <w:i/>
          <w:iCs/>
        </w:rPr>
        <w:t>Annals of Neurology</w:t>
      </w:r>
      <w:r w:rsidRPr="002B0C38">
        <w:rPr>
          <w:rFonts w:ascii="Verdana" w:hAnsi="Verdana"/>
        </w:rPr>
        <w:t xml:space="preserve"> 62(2): 145–53.</w:t>
      </w:r>
    </w:p>
    <w:p w14:paraId="435F8782" w14:textId="77777777" w:rsidR="00201058" w:rsidRPr="002B0C38" w:rsidRDefault="00201058" w:rsidP="00655323">
      <w:pPr>
        <w:pStyle w:val="Bibliography"/>
        <w:jc w:val="both"/>
        <w:rPr>
          <w:rFonts w:ascii="Verdana" w:hAnsi="Verdana"/>
        </w:rPr>
      </w:pPr>
      <w:r w:rsidRPr="002B0C38">
        <w:rPr>
          <w:rFonts w:ascii="Verdana" w:hAnsi="Verdana"/>
        </w:rPr>
        <w:t xml:space="preserve">Greene, James G., Ali Reza Noorian, and Shanthi Srinivasan. 2009. “Delayed Gastric Emptying and Enteric Nervous System Dysfunction in the Rotenone Model of Parkinson’s Disease.” </w:t>
      </w:r>
      <w:r w:rsidRPr="002B0C38">
        <w:rPr>
          <w:rFonts w:ascii="Verdana" w:hAnsi="Verdana"/>
          <w:i/>
          <w:iCs/>
        </w:rPr>
        <w:t>Experimental Neurology</w:t>
      </w:r>
      <w:r w:rsidRPr="002B0C38">
        <w:rPr>
          <w:rFonts w:ascii="Verdana" w:hAnsi="Verdana"/>
        </w:rPr>
        <w:t xml:space="preserve"> 218(1): 154–61.</w:t>
      </w:r>
    </w:p>
    <w:p w14:paraId="42DE66E2" w14:textId="77777777" w:rsidR="00201058" w:rsidRPr="002B0C38" w:rsidRDefault="00201058" w:rsidP="00655323">
      <w:pPr>
        <w:pStyle w:val="Bibliography"/>
        <w:jc w:val="both"/>
        <w:rPr>
          <w:rFonts w:ascii="Verdana" w:hAnsi="Verdana"/>
        </w:rPr>
      </w:pPr>
      <w:r w:rsidRPr="002B0C38">
        <w:rPr>
          <w:rFonts w:ascii="Verdana" w:hAnsi="Verdana"/>
        </w:rPr>
        <w:t xml:space="preserve">Guzman, Jaime N. et al. 2010. “Oxidant Stress Evoked by Pacemaking in Dopaminergic Neurons Is Attenuated by DJ-1.” </w:t>
      </w:r>
      <w:r w:rsidRPr="002B0C38">
        <w:rPr>
          <w:rFonts w:ascii="Verdana" w:hAnsi="Verdana"/>
          <w:i/>
          <w:iCs/>
        </w:rPr>
        <w:t>Nature</w:t>
      </w:r>
      <w:r w:rsidRPr="002B0C38">
        <w:rPr>
          <w:rFonts w:ascii="Verdana" w:hAnsi="Verdana"/>
        </w:rPr>
        <w:t xml:space="preserve"> 468(7324): 696–700.</w:t>
      </w:r>
    </w:p>
    <w:p w14:paraId="691DD214" w14:textId="77777777" w:rsidR="00201058" w:rsidRPr="002B0C38" w:rsidRDefault="00201058" w:rsidP="00655323">
      <w:pPr>
        <w:pStyle w:val="Bibliography"/>
        <w:jc w:val="both"/>
        <w:rPr>
          <w:rFonts w:ascii="Verdana" w:hAnsi="Verdana"/>
        </w:rPr>
      </w:pPr>
      <w:r w:rsidRPr="002B0C38">
        <w:rPr>
          <w:rFonts w:ascii="Verdana" w:hAnsi="Verdana"/>
        </w:rPr>
        <w:t xml:space="preserve">Haikal, Caroline et al. 2021. “The Bacterial Amyloids Phenol Soluble Modulins from Staphylococcus Aureus Catalyze Alpha-Synuclein Aggregation.” </w:t>
      </w:r>
      <w:r w:rsidRPr="002B0C38">
        <w:rPr>
          <w:rFonts w:ascii="Verdana" w:hAnsi="Verdana"/>
          <w:i/>
          <w:iCs/>
        </w:rPr>
        <w:t>International Journal of Molecular Sciences</w:t>
      </w:r>
      <w:r w:rsidRPr="002B0C38">
        <w:rPr>
          <w:rFonts w:ascii="Verdana" w:hAnsi="Verdana"/>
        </w:rPr>
        <w:t xml:space="preserve"> 22(21): 11594.</w:t>
      </w:r>
    </w:p>
    <w:p w14:paraId="38112B46" w14:textId="77777777" w:rsidR="00201058" w:rsidRPr="002B0C38" w:rsidRDefault="00201058" w:rsidP="00655323">
      <w:pPr>
        <w:pStyle w:val="Bibliography"/>
        <w:jc w:val="both"/>
        <w:rPr>
          <w:rFonts w:ascii="Verdana" w:hAnsi="Verdana"/>
        </w:rPr>
      </w:pPr>
      <w:r w:rsidRPr="002B0C38">
        <w:rPr>
          <w:rFonts w:ascii="Verdana" w:hAnsi="Verdana"/>
        </w:rPr>
        <w:t xml:space="preserve">Halliday, Glenda M., James B. Leverenz, Jay S. Schneider, and Charles H. Adler. 2014. “The Neurobiological Basis of Cognitive Impairment in Parkinson’s Disease: Neurobiology of Parkinson’s Disease Dementia.” </w:t>
      </w:r>
      <w:r w:rsidRPr="002B0C38">
        <w:rPr>
          <w:rFonts w:ascii="Verdana" w:hAnsi="Verdana"/>
          <w:i/>
          <w:iCs/>
        </w:rPr>
        <w:t>Movement Disorders</w:t>
      </w:r>
      <w:r w:rsidRPr="002B0C38">
        <w:rPr>
          <w:rFonts w:ascii="Verdana" w:hAnsi="Verdana"/>
        </w:rPr>
        <w:t xml:space="preserve"> 29(5): 634–50.</w:t>
      </w:r>
    </w:p>
    <w:p w14:paraId="05B5E663" w14:textId="77777777" w:rsidR="00201058" w:rsidRPr="002B0C38" w:rsidRDefault="00201058" w:rsidP="00655323">
      <w:pPr>
        <w:pStyle w:val="Bibliography"/>
        <w:jc w:val="both"/>
        <w:rPr>
          <w:rFonts w:ascii="Verdana" w:hAnsi="Verdana"/>
        </w:rPr>
      </w:pPr>
      <w:r w:rsidRPr="002B0C38">
        <w:rPr>
          <w:rFonts w:ascii="Verdana" w:hAnsi="Verdana"/>
        </w:rPr>
        <w:t xml:space="preserve">Hanagasi, Hasmet A., Zeynep Tufekcioglu, and Murat Emre. 2017. “Dementia in Parkinson’s Disease.” </w:t>
      </w:r>
      <w:r w:rsidRPr="002B0C38">
        <w:rPr>
          <w:rFonts w:ascii="Verdana" w:hAnsi="Verdana"/>
          <w:i/>
          <w:iCs/>
        </w:rPr>
        <w:t>Journal of the Neurological Sciences</w:t>
      </w:r>
      <w:r w:rsidRPr="002B0C38">
        <w:rPr>
          <w:rFonts w:ascii="Verdana" w:hAnsi="Verdana"/>
        </w:rPr>
        <w:t xml:space="preserve"> 374: 26–31.</w:t>
      </w:r>
    </w:p>
    <w:p w14:paraId="2E542228" w14:textId="77777777" w:rsidR="00201058" w:rsidRPr="002B0C38" w:rsidRDefault="00201058" w:rsidP="00655323">
      <w:pPr>
        <w:pStyle w:val="Bibliography"/>
        <w:jc w:val="both"/>
        <w:rPr>
          <w:rFonts w:ascii="Verdana" w:hAnsi="Verdana"/>
        </w:rPr>
      </w:pPr>
      <w:r w:rsidRPr="002B0C38">
        <w:rPr>
          <w:rFonts w:ascii="Verdana" w:hAnsi="Verdana"/>
        </w:rPr>
        <w:t xml:space="preserve">Hao, Ling-Yang, Benoit I. Giasson, and Nancy M. Bonini. 2010. “DJ-1 Is Critical for Mitochondrial Function and Rescues PINK1 Loss of Function.” </w:t>
      </w:r>
      <w:r w:rsidRPr="002B0C38">
        <w:rPr>
          <w:rFonts w:ascii="Verdana" w:hAnsi="Verdana"/>
          <w:i/>
          <w:iCs/>
        </w:rPr>
        <w:t>Proceedings of the National Academy of Sciences</w:t>
      </w:r>
      <w:r w:rsidRPr="002B0C38">
        <w:rPr>
          <w:rFonts w:ascii="Verdana" w:hAnsi="Verdana"/>
        </w:rPr>
        <w:t xml:space="preserve"> 107(21): 9747–52.</w:t>
      </w:r>
    </w:p>
    <w:p w14:paraId="6CAF293A"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Hayes, John D., and Albena T. Dinkova-Kostova. 2014. “The Nrf2 Regulatory Network Provides an Interface between Redox and Intermediary Metabolism.” </w:t>
      </w:r>
      <w:r w:rsidRPr="002B0C38">
        <w:rPr>
          <w:rFonts w:ascii="Verdana" w:hAnsi="Verdana"/>
          <w:i/>
          <w:iCs/>
        </w:rPr>
        <w:t>Trends in Biochemical Sciences</w:t>
      </w:r>
      <w:r w:rsidRPr="002B0C38">
        <w:rPr>
          <w:rFonts w:ascii="Verdana" w:hAnsi="Verdana"/>
        </w:rPr>
        <w:t xml:space="preserve"> 39(4): 199–218.</w:t>
      </w:r>
    </w:p>
    <w:p w14:paraId="16CD87F7" w14:textId="77777777" w:rsidR="00201058" w:rsidRPr="002B0C38" w:rsidRDefault="00201058" w:rsidP="00655323">
      <w:pPr>
        <w:pStyle w:val="Bibliography"/>
        <w:jc w:val="both"/>
        <w:rPr>
          <w:rFonts w:ascii="Verdana" w:hAnsi="Verdana"/>
        </w:rPr>
      </w:pPr>
      <w:r w:rsidRPr="002B0C38">
        <w:rPr>
          <w:rFonts w:ascii="Verdana" w:hAnsi="Verdana"/>
        </w:rPr>
        <w:t xml:space="preserve">Hely, Mariese A. et al. 2008. “The Sydney Multicenter Study of Parkinson’s Disease: The Inevitability of Dementia at 20 Years: Twenty Year Sydney Parkinson’s Study.” </w:t>
      </w:r>
      <w:r w:rsidRPr="002B0C38">
        <w:rPr>
          <w:rFonts w:ascii="Verdana" w:hAnsi="Verdana"/>
          <w:i/>
          <w:iCs/>
        </w:rPr>
        <w:t>Movement Disorders</w:t>
      </w:r>
      <w:r w:rsidRPr="002B0C38">
        <w:rPr>
          <w:rFonts w:ascii="Verdana" w:hAnsi="Verdana"/>
        </w:rPr>
        <w:t xml:space="preserve"> 23(6): 837–44.</w:t>
      </w:r>
    </w:p>
    <w:p w14:paraId="65E5C5CD" w14:textId="77777777" w:rsidR="00201058" w:rsidRDefault="00201058" w:rsidP="00655323">
      <w:pPr>
        <w:pStyle w:val="Bibliography"/>
        <w:jc w:val="both"/>
        <w:rPr>
          <w:rFonts w:ascii="Verdana" w:hAnsi="Verdana"/>
        </w:rPr>
      </w:pPr>
      <w:r w:rsidRPr="002B0C38">
        <w:rPr>
          <w:rFonts w:ascii="Verdana" w:hAnsi="Verdana"/>
        </w:rPr>
        <w:t xml:space="preserve">Hendrickx, Diana M. et al. 2021. “A New Synuclein-Transgenic Mouse Model for Early Parkinson’s Reveals Molecular Features of Preclinical Disease.” </w:t>
      </w:r>
      <w:r w:rsidRPr="002B0C38">
        <w:rPr>
          <w:rFonts w:ascii="Verdana" w:hAnsi="Verdana"/>
          <w:i/>
          <w:iCs/>
        </w:rPr>
        <w:t>Molecular Neurobiology</w:t>
      </w:r>
      <w:r w:rsidRPr="002B0C38">
        <w:rPr>
          <w:rFonts w:ascii="Verdana" w:hAnsi="Verdana"/>
        </w:rPr>
        <w:t xml:space="preserve"> 58(2): 576–602.</w:t>
      </w:r>
    </w:p>
    <w:p w14:paraId="76C43F90" w14:textId="77777777" w:rsidR="003E7242" w:rsidRDefault="00B37C7E" w:rsidP="003E7242">
      <w:pPr>
        <w:spacing w:after="0"/>
        <w:ind w:firstLine="0"/>
        <w:jc w:val="both"/>
        <w:rPr>
          <w:rFonts w:ascii="Verdana" w:hAnsi="Verdana"/>
        </w:rPr>
      </w:pPr>
      <w:r w:rsidRPr="00B37C7E">
        <w:rPr>
          <w:rFonts w:ascii="Verdana" w:hAnsi="Verdana"/>
        </w:rPr>
        <w:t>Hernandez-Baltazar</w:t>
      </w:r>
      <w:r w:rsidR="00B3508A">
        <w:rPr>
          <w:rFonts w:ascii="Verdana" w:hAnsi="Verdana"/>
        </w:rPr>
        <w:t xml:space="preserve">, D et al. 2017. </w:t>
      </w:r>
      <w:r w:rsidR="00B3508A" w:rsidRPr="002B0C38">
        <w:rPr>
          <w:rFonts w:ascii="Verdana" w:hAnsi="Verdana"/>
        </w:rPr>
        <w:t>“</w:t>
      </w:r>
      <w:r w:rsidR="003E7242" w:rsidRPr="003E7242">
        <w:rPr>
          <w:rFonts w:ascii="Verdana" w:hAnsi="Verdana"/>
        </w:rPr>
        <w:t>The 6-hydroxydopamine model and</w:t>
      </w:r>
    </w:p>
    <w:p w14:paraId="127E7AE1" w14:textId="4E5D9259" w:rsidR="00B37C7E" w:rsidRPr="00B37C7E" w:rsidRDefault="003E7242" w:rsidP="003E7242">
      <w:pPr>
        <w:ind w:left="720" w:firstLine="0"/>
        <w:jc w:val="both"/>
        <w:rPr>
          <w:rFonts w:ascii="Verdana" w:hAnsi="Verdana"/>
        </w:rPr>
      </w:pPr>
      <w:r w:rsidRPr="003E7242">
        <w:rPr>
          <w:rFonts w:ascii="Verdana" w:hAnsi="Verdana"/>
        </w:rPr>
        <w:t>parkinsonian pathophysiology: Novel findings in an older model.</w:t>
      </w:r>
      <w:r w:rsidRPr="002B0C38">
        <w:rPr>
          <w:rFonts w:ascii="Verdana" w:hAnsi="Verdana"/>
        </w:rPr>
        <w:t>”</w:t>
      </w:r>
      <w:r w:rsidRPr="003E7242">
        <w:rPr>
          <w:rFonts w:ascii="Verdana" w:hAnsi="Verdana"/>
        </w:rPr>
        <w:t xml:space="preserve"> </w:t>
      </w:r>
      <w:r w:rsidRPr="003E7242">
        <w:rPr>
          <w:rFonts w:ascii="Verdana" w:hAnsi="Verdana"/>
          <w:i/>
          <w:iCs/>
        </w:rPr>
        <w:t>Neurologia (Barcelona, Spain)</w:t>
      </w:r>
      <w:r>
        <w:rPr>
          <w:rFonts w:ascii="Verdana" w:hAnsi="Verdana"/>
        </w:rPr>
        <w:t xml:space="preserve"> </w:t>
      </w:r>
      <w:r w:rsidRPr="003E7242">
        <w:rPr>
          <w:rFonts w:ascii="Verdana" w:hAnsi="Verdana"/>
        </w:rPr>
        <w:t>32(8)</w:t>
      </w:r>
      <w:r>
        <w:rPr>
          <w:rFonts w:ascii="Verdana" w:hAnsi="Verdana"/>
        </w:rPr>
        <w:t>:</w:t>
      </w:r>
      <w:r w:rsidRPr="003E7242">
        <w:rPr>
          <w:rFonts w:ascii="Verdana" w:hAnsi="Verdana"/>
        </w:rPr>
        <w:t xml:space="preserve"> 533–539.</w:t>
      </w:r>
    </w:p>
    <w:p w14:paraId="3AE236B8" w14:textId="77777777" w:rsidR="00201058" w:rsidRPr="002B0C38" w:rsidRDefault="00201058" w:rsidP="00655323">
      <w:pPr>
        <w:pStyle w:val="Bibliography"/>
        <w:jc w:val="both"/>
        <w:rPr>
          <w:rFonts w:ascii="Verdana" w:hAnsi="Verdana"/>
        </w:rPr>
      </w:pPr>
      <w:r w:rsidRPr="002B0C38">
        <w:rPr>
          <w:rFonts w:ascii="Verdana" w:hAnsi="Verdana"/>
        </w:rPr>
        <w:t xml:space="preserve">Hilton, David et al. 2014. “Accumulation of α-Synuclein in the Bowel of Patients in the Pre-Clinical Phase of Parkinson’s Disease.” </w:t>
      </w:r>
      <w:r w:rsidRPr="002B0C38">
        <w:rPr>
          <w:rFonts w:ascii="Verdana" w:hAnsi="Verdana"/>
          <w:i/>
          <w:iCs/>
        </w:rPr>
        <w:t>Acta Neuropathologica</w:t>
      </w:r>
      <w:r w:rsidRPr="002B0C38">
        <w:rPr>
          <w:rFonts w:ascii="Verdana" w:hAnsi="Verdana"/>
        </w:rPr>
        <w:t xml:space="preserve"> 127(2): 235–41.</w:t>
      </w:r>
    </w:p>
    <w:p w14:paraId="135A043E" w14:textId="77777777" w:rsidR="00201058" w:rsidRPr="002B0C38" w:rsidRDefault="00201058" w:rsidP="00655323">
      <w:pPr>
        <w:pStyle w:val="Bibliography"/>
        <w:jc w:val="both"/>
        <w:rPr>
          <w:rFonts w:ascii="Verdana" w:hAnsi="Verdana"/>
        </w:rPr>
      </w:pPr>
      <w:r w:rsidRPr="002B0C38">
        <w:rPr>
          <w:rFonts w:ascii="Verdana" w:hAnsi="Verdana"/>
        </w:rPr>
        <w:t xml:space="preserve">Hirano, Shigeki, Hitoshi Shinotoh, and David Eidelberg. 2012. “Functional Brain Imaging of Cognitive Dysfunction in Parkinson’s Disease.” </w:t>
      </w:r>
      <w:r w:rsidRPr="002B0C38">
        <w:rPr>
          <w:rFonts w:ascii="Verdana" w:hAnsi="Verdana"/>
          <w:i/>
          <w:iCs/>
        </w:rPr>
        <w:t>Journal of Neurology, Neurosurgery &amp; Psychiatry</w:t>
      </w:r>
      <w:r w:rsidRPr="002B0C38">
        <w:rPr>
          <w:rFonts w:ascii="Verdana" w:hAnsi="Verdana"/>
        </w:rPr>
        <w:t xml:space="preserve"> 83(10): 963–69.</w:t>
      </w:r>
    </w:p>
    <w:p w14:paraId="7F61785D" w14:textId="77777777" w:rsidR="00201058" w:rsidRPr="002B0C38" w:rsidRDefault="00201058" w:rsidP="00655323">
      <w:pPr>
        <w:pStyle w:val="Bibliography"/>
        <w:jc w:val="both"/>
        <w:rPr>
          <w:rFonts w:ascii="Verdana" w:hAnsi="Verdana"/>
        </w:rPr>
      </w:pPr>
      <w:r w:rsidRPr="002B0C38">
        <w:rPr>
          <w:rFonts w:ascii="Verdana" w:hAnsi="Verdana"/>
        </w:rPr>
        <w:t>Hoehn, Margaret M. “Parkinsonism: Onset, Progression, and Mortality.” : 17.</w:t>
      </w:r>
    </w:p>
    <w:p w14:paraId="595390AE" w14:textId="77777777" w:rsidR="00201058" w:rsidRPr="002B0C38" w:rsidRDefault="00201058" w:rsidP="00655323">
      <w:pPr>
        <w:pStyle w:val="Bibliography"/>
        <w:jc w:val="both"/>
        <w:rPr>
          <w:rFonts w:ascii="Verdana" w:hAnsi="Verdana"/>
        </w:rPr>
      </w:pPr>
      <w:r w:rsidRPr="002B0C38">
        <w:rPr>
          <w:rFonts w:ascii="Verdana" w:hAnsi="Verdana"/>
        </w:rPr>
        <w:t xml:space="preserve">Hollerman, Jeffrey R., Leon Tremblay, and Wolfram Schultz. 2000. “Involvement of Basal Ganglia and Orbitofrontal Cortex in Goal-Directed Behavior.” In </w:t>
      </w:r>
      <w:r w:rsidRPr="002B0C38">
        <w:rPr>
          <w:rFonts w:ascii="Verdana" w:hAnsi="Verdana"/>
          <w:i/>
          <w:iCs/>
        </w:rPr>
        <w:t>Progress in Brain Research</w:t>
      </w:r>
      <w:r w:rsidRPr="002B0C38">
        <w:rPr>
          <w:rFonts w:ascii="Verdana" w:hAnsi="Verdana"/>
        </w:rPr>
        <w:t>, Elsevier, 193–215. https://linkinghub.elsevier.com/retrieve/pii/S0079612300260159 (November 22, 2022).</w:t>
      </w:r>
    </w:p>
    <w:p w14:paraId="75E237A7" w14:textId="77777777" w:rsidR="00201058" w:rsidRPr="002B0C38" w:rsidRDefault="00201058" w:rsidP="00655323">
      <w:pPr>
        <w:pStyle w:val="Bibliography"/>
        <w:jc w:val="both"/>
        <w:rPr>
          <w:rFonts w:ascii="Verdana" w:hAnsi="Verdana"/>
        </w:rPr>
      </w:pPr>
      <w:r w:rsidRPr="002B0C38">
        <w:rPr>
          <w:rFonts w:ascii="Verdana" w:hAnsi="Verdana"/>
        </w:rPr>
        <w:t xml:space="preserve">Holmqvist, Staffan et al. 2014. “Direct Evidence of Parkinson Pathology Spread from the Gastrointestinal Tract to the Brain in Rats.” </w:t>
      </w:r>
      <w:r w:rsidRPr="002B0C38">
        <w:rPr>
          <w:rFonts w:ascii="Verdana" w:hAnsi="Verdana"/>
          <w:i/>
          <w:iCs/>
        </w:rPr>
        <w:t>Acta Neuropathologica</w:t>
      </w:r>
      <w:r w:rsidRPr="002B0C38">
        <w:rPr>
          <w:rFonts w:ascii="Verdana" w:hAnsi="Verdana"/>
        </w:rPr>
        <w:t xml:space="preserve"> 128(6): 805–20.</w:t>
      </w:r>
    </w:p>
    <w:p w14:paraId="027DF6B6" w14:textId="77777777" w:rsidR="00201058" w:rsidRPr="002B0C38" w:rsidRDefault="00201058" w:rsidP="00655323">
      <w:pPr>
        <w:pStyle w:val="Bibliography"/>
        <w:jc w:val="both"/>
        <w:rPr>
          <w:rFonts w:ascii="Verdana" w:hAnsi="Verdana"/>
        </w:rPr>
      </w:pPr>
      <w:r w:rsidRPr="002B0C38">
        <w:rPr>
          <w:rFonts w:ascii="Verdana" w:hAnsi="Verdana"/>
        </w:rPr>
        <w:t xml:space="preserve">Horsager, Jacob et al. 2020. “Brain-First versus Body-First Parkinson’s Disease: A Multimodal Imaging Case-Control Study.” </w:t>
      </w:r>
      <w:r w:rsidRPr="002B0C38">
        <w:rPr>
          <w:rFonts w:ascii="Verdana" w:hAnsi="Verdana"/>
          <w:i/>
          <w:iCs/>
        </w:rPr>
        <w:t>Brain</w:t>
      </w:r>
      <w:r w:rsidRPr="002B0C38">
        <w:rPr>
          <w:rFonts w:ascii="Verdana" w:hAnsi="Verdana"/>
        </w:rPr>
        <w:t xml:space="preserve"> 143(10): 3077–88.</w:t>
      </w:r>
    </w:p>
    <w:p w14:paraId="356E4D1B" w14:textId="77777777" w:rsidR="00201058" w:rsidRPr="002B0C38" w:rsidRDefault="00201058" w:rsidP="00655323">
      <w:pPr>
        <w:pStyle w:val="Bibliography"/>
        <w:jc w:val="both"/>
        <w:rPr>
          <w:rFonts w:ascii="Verdana" w:hAnsi="Verdana"/>
        </w:rPr>
      </w:pPr>
      <w:r w:rsidRPr="002B0C38">
        <w:rPr>
          <w:rFonts w:ascii="Verdana" w:hAnsi="Verdana"/>
        </w:rPr>
        <w:t xml:space="preserve">Horvath, Judit et al. 2013. “Neuropathology of Dementia in a Large Cohort of Patients with Parkinson’s Disease.” </w:t>
      </w:r>
      <w:r w:rsidRPr="002B0C38">
        <w:rPr>
          <w:rFonts w:ascii="Verdana" w:hAnsi="Verdana"/>
          <w:i/>
          <w:iCs/>
        </w:rPr>
        <w:t>Parkinsonism &amp; Related Disorders</w:t>
      </w:r>
      <w:r w:rsidRPr="002B0C38">
        <w:rPr>
          <w:rFonts w:ascii="Verdana" w:hAnsi="Verdana"/>
        </w:rPr>
        <w:t xml:space="preserve"> 19(10): 864–68.</w:t>
      </w:r>
    </w:p>
    <w:p w14:paraId="6390C5FF" w14:textId="77777777" w:rsidR="00201058" w:rsidRPr="002B0C38" w:rsidRDefault="00201058" w:rsidP="00655323">
      <w:pPr>
        <w:pStyle w:val="Bibliography"/>
        <w:jc w:val="both"/>
        <w:rPr>
          <w:rFonts w:ascii="Verdana" w:hAnsi="Verdana"/>
        </w:rPr>
      </w:pPr>
      <w:r w:rsidRPr="002B0C38">
        <w:rPr>
          <w:rFonts w:ascii="Verdana" w:hAnsi="Verdana"/>
        </w:rPr>
        <w:t xml:space="preserve">Ibarretxe-Bilbao, N. et al. 2008. “Hippocampal Head Atrophy Predominance in Parkinson’s Disease with Hallucinations and with Dementia.” </w:t>
      </w:r>
      <w:r w:rsidRPr="002B0C38">
        <w:rPr>
          <w:rFonts w:ascii="Verdana" w:hAnsi="Verdana"/>
          <w:i/>
          <w:iCs/>
        </w:rPr>
        <w:t>Journal of Neurology</w:t>
      </w:r>
      <w:r w:rsidRPr="002B0C38">
        <w:rPr>
          <w:rFonts w:ascii="Verdana" w:hAnsi="Verdana"/>
        </w:rPr>
        <w:t xml:space="preserve"> 255(9): 1324–31.</w:t>
      </w:r>
    </w:p>
    <w:p w14:paraId="4408B987" w14:textId="20AD3B7B" w:rsidR="00201058" w:rsidRPr="002B0C38" w:rsidRDefault="00201058" w:rsidP="00655323">
      <w:pPr>
        <w:pStyle w:val="Bibliography"/>
        <w:jc w:val="both"/>
        <w:rPr>
          <w:rFonts w:ascii="Verdana" w:hAnsi="Verdana"/>
        </w:rPr>
      </w:pPr>
      <w:r w:rsidRPr="002B0C38">
        <w:rPr>
          <w:rFonts w:ascii="Verdana" w:hAnsi="Verdana"/>
        </w:rPr>
        <w:t>Irwin, David</w:t>
      </w:r>
      <w:r w:rsidR="00126B82" w:rsidRPr="002B0C38">
        <w:rPr>
          <w:rFonts w:ascii="Verdana" w:hAnsi="Verdana"/>
        </w:rPr>
        <w:t xml:space="preserve"> J</w:t>
      </w:r>
      <w:r w:rsidRPr="002B0C38">
        <w:rPr>
          <w:rFonts w:ascii="Verdana" w:hAnsi="Verdana"/>
        </w:rPr>
        <w:t>, and</w:t>
      </w:r>
      <w:r w:rsidR="00126B82" w:rsidRPr="002B0C38">
        <w:rPr>
          <w:rFonts w:ascii="Verdana" w:hAnsi="Verdana"/>
        </w:rPr>
        <w:t xml:space="preserve"> </w:t>
      </w:r>
      <w:r w:rsidRPr="002B0C38">
        <w:rPr>
          <w:rFonts w:ascii="Verdana" w:hAnsi="Verdana"/>
        </w:rPr>
        <w:t>Hurtig</w:t>
      </w:r>
      <w:r w:rsidR="00126B82" w:rsidRPr="002B0C38">
        <w:rPr>
          <w:rFonts w:ascii="Verdana" w:hAnsi="Verdana"/>
        </w:rPr>
        <w:t>, Howard I</w:t>
      </w:r>
      <w:r w:rsidRPr="002B0C38">
        <w:rPr>
          <w:rFonts w:ascii="Verdana" w:hAnsi="Verdana"/>
        </w:rPr>
        <w:t xml:space="preserve"> 2018. “The Contribution of Tau, Amyloid-Beta and Alpha-Synuclein Pathology to Dementia in Lewy Body Disorders.” </w:t>
      </w:r>
      <w:r w:rsidRPr="002B0C38">
        <w:rPr>
          <w:rFonts w:ascii="Verdana" w:hAnsi="Verdana"/>
          <w:i/>
          <w:iCs/>
        </w:rPr>
        <w:t>Journal of Alzheimer’s Disease &amp; Parkinsonism</w:t>
      </w:r>
      <w:r w:rsidRPr="002B0C38">
        <w:rPr>
          <w:rFonts w:ascii="Verdana" w:hAnsi="Verdana"/>
        </w:rPr>
        <w:t xml:space="preserve"> 08(04). https://www.omicsonline.org/open-access/the-contribution-of-tau-amyloidbeta-and-alphasynuclein-pathology-todementia-in-lewy-body-disorders-2161-0460-1000444-103649.html (March 15, 2023).</w:t>
      </w:r>
    </w:p>
    <w:p w14:paraId="1DC24D7B"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Jellinger, Kurt A. 2012. “Neurobiology of Cognitive Impairment in Parkinson’s Disease.” </w:t>
      </w:r>
      <w:r w:rsidRPr="002B0C38">
        <w:rPr>
          <w:rFonts w:ascii="Verdana" w:hAnsi="Verdana"/>
          <w:i/>
          <w:iCs/>
        </w:rPr>
        <w:t>Expert Review of Neurotherapeutics</w:t>
      </w:r>
      <w:r w:rsidRPr="002B0C38">
        <w:rPr>
          <w:rFonts w:ascii="Verdana" w:hAnsi="Verdana"/>
        </w:rPr>
        <w:t xml:space="preserve"> 12(12): 1451–66.</w:t>
      </w:r>
    </w:p>
    <w:p w14:paraId="42232E91" w14:textId="77777777" w:rsidR="00201058" w:rsidRPr="002B0C38" w:rsidRDefault="00201058" w:rsidP="00655323">
      <w:pPr>
        <w:pStyle w:val="Bibliography"/>
        <w:jc w:val="both"/>
        <w:rPr>
          <w:rFonts w:ascii="Verdana" w:hAnsi="Verdana"/>
        </w:rPr>
      </w:pPr>
      <w:r w:rsidRPr="002B0C38">
        <w:rPr>
          <w:rFonts w:ascii="Verdana" w:hAnsi="Verdana"/>
        </w:rPr>
        <w:t xml:space="preserve">Jia, Xiuqin et al. 2019. “Entorhinal Cortex Atrophy in Early, Drug-Naive Parkinson’s Disease with Mild Cognitive Impairment.” </w:t>
      </w:r>
      <w:r w:rsidRPr="002B0C38">
        <w:rPr>
          <w:rFonts w:ascii="Verdana" w:hAnsi="Verdana"/>
          <w:i/>
          <w:iCs/>
        </w:rPr>
        <w:t>Aging and disease</w:t>
      </w:r>
      <w:r w:rsidRPr="002B0C38">
        <w:rPr>
          <w:rFonts w:ascii="Verdana" w:hAnsi="Verdana"/>
        </w:rPr>
        <w:t xml:space="preserve"> 10(6): 1221.</w:t>
      </w:r>
    </w:p>
    <w:p w14:paraId="5ABE4412" w14:textId="77777777" w:rsidR="00201058" w:rsidRPr="002B0C38" w:rsidRDefault="00201058" w:rsidP="00655323">
      <w:pPr>
        <w:pStyle w:val="Bibliography"/>
        <w:jc w:val="both"/>
        <w:rPr>
          <w:rFonts w:ascii="Verdana" w:hAnsi="Verdana"/>
        </w:rPr>
      </w:pPr>
      <w:r w:rsidRPr="002B0C38">
        <w:rPr>
          <w:rFonts w:ascii="Verdana" w:hAnsi="Verdana"/>
        </w:rPr>
        <w:t xml:space="preserve">Junn, Eunsung et al. 2009. “Mitochondrial Localization of DJ-1 Leads to Enhanced Neuroprotection.” </w:t>
      </w:r>
      <w:r w:rsidRPr="002B0C38">
        <w:rPr>
          <w:rFonts w:ascii="Verdana" w:hAnsi="Verdana"/>
          <w:i/>
          <w:iCs/>
        </w:rPr>
        <w:t>Journal of Neuroscience Research</w:t>
      </w:r>
      <w:r w:rsidRPr="002B0C38">
        <w:rPr>
          <w:rFonts w:ascii="Verdana" w:hAnsi="Verdana"/>
        </w:rPr>
        <w:t xml:space="preserve"> 87(1): 123–29.</w:t>
      </w:r>
    </w:p>
    <w:p w14:paraId="504646BF" w14:textId="77777777" w:rsidR="00201058" w:rsidRPr="002B0C38" w:rsidRDefault="00201058" w:rsidP="00655323">
      <w:pPr>
        <w:pStyle w:val="Bibliography"/>
        <w:jc w:val="both"/>
        <w:rPr>
          <w:rFonts w:ascii="Verdana" w:hAnsi="Verdana"/>
        </w:rPr>
      </w:pPr>
      <w:r w:rsidRPr="002B0C38">
        <w:rPr>
          <w:rFonts w:ascii="Verdana" w:hAnsi="Verdana"/>
        </w:rPr>
        <w:t xml:space="preserve">Juri, Carlos, MariCruz Rodriguez-Oroz, and Jose A. Obeso. 2010. “The Pathophysiological Basis of Sensory Disturbances in Parkinson’s Disease.” </w:t>
      </w:r>
      <w:r w:rsidRPr="002B0C38">
        <w:rPr>
          <w:rFonts w:ascii="Verdana" w:hAnsi="Verdana"/>
          <w:i/>
          <w:iCs/>
        </w:rPr>
        <w:t>Journal of the Neurological Sciences</w:t>
      </w:r>
      <w:r w:rsidRPr="002B0C38">
        <w:rPr>
          <w:rFonts w:ascii="Verdana" w:hAnsi="Verdana"/>
        </w:rPr>
        <w:t xml:space="preserve"> 289(1–2): 60–65.</w:t>
      </w:r>
    </w:p>
    <w:p w14:paraId="3314EFEB" w14:textId="77777777" w:rsidR="00201058" w:rsidRPr="002B0C38" w:rsidRDefault="00201058" w:rsidP="00655323">
      <w:pPr>
        <w:pStyle w:val="Bibliography"/>
        <w:jc w:val="both"/>
        <w:rPr>
          <w:rFonts w:ascii="Verdana" w:hAnsi="Verdana"/>
        </w:rPr>
      </w:pPr>
      <w:r w:rsidRPr="002B0C38">
        <w:rPr>
          <w:rFonts w:ascii="Verdana" w:hAnsi="Verdana"/>
        </w:rPr>
        <w:t xml:space="preserve">Juurlink, Bernhard H.J, and Marva I Sweeney. 1997. “Mechanisms That Result in Damage During and Following Cerebral Ischemia.” </w:t>
      </w:r>
      <w:r w:rsidRPr="002B0C38">
        <w:rPr>
          <w:rFonts w:ascii="Verdana" w:hAnsi="Verdana"/>
          <w:i/>
          <w:iCs/>
        </w:rPr>
        <w:t>Neuroscience &amp; Biobehavioral Reviews</w:t>
      </w:r>
      <w:r w:rsidRPr="002B0C38">
        <w:rPr>
          <w:rFonts w:ascii="Verdana" w:hAnsi="Verdana"/>
        </w:rPr>
        <w:t xml:space="preserve"> 21(2): 121–28.</w:t>
      </w:r>
    </w:p>
    <w:p w14:paraId="4544DEBE" w14:textId="77777777" w:rsidR="00201058" w:rsidRPr="002B0C38" w:rsidRDefault="00201058" w:rsidP="00655323">
      <w:pPr>
        <w:pStyle w:val="Bibliography"/>
        <w:jc w:val="both"/>
        <w:rPr>
          <w:rFonts w:ascii="Verdana" w:hAnsi="Verdana"/>
        </w:rPr>
      </w:pPr>
      <w:r w:rsidRPr="002B0C38">
        <w:rPr>
          <w:rFonts w:ascii="Verdana" w:hAnsi="Verdana"/>
        </w:rPr>
        <w:t xml:space="preserve">Kahle, Philipp J et al. “Subcellular Localization of Wild-Type and Parkinson’s Disease-Associated Mutant </w:t>
      </w:r>
      <w:r w:rsidRPr="002B0C38">
        <w:rPr>
          <w:rFonts w:ascii="MS Gothic" w:eastAsia="MS Gothic" w:hAnsi="MS Gothic" w:cs="MS Gothic" w:hint="eastAsia"/>
        </w:rPr>
        <w:t>␣</w:t>
      </w:r>
      <w:r w:rsidRPr="002B0C38">
        <w:rPr>
          <w:rFonts w:ascii="Verdana" w:hAnsi="Verdana"/>
        </w:rPr>
        <w:t>-Synuclein in Human and Transgenic Mouse Brain.</w:t>
      </w:r>
      <w:r w:rsidRPr="002B0C38">
        <w:rPr>
          <w:rFonts w:ascii="Verdana" w:hAnsi="Verdana" w:cs="Calibri"/>
        </w:rPr>
        <w:t>”</w:t>
      </w:r>
    </w:p>
    <w:p w14:paraId="7E21E6BA" w14:textId="77777777" w:rsidR="00201058" w:rsidRPr="002B0C38" w:rsidRDefault="00201058" w:rsidP="00655323">
      <w:pPr>
        <w:pStyle w:val="Bibliography"/>
        <w:jc w:val="both"/>
        <w:rPr>
          <w:rFonts w:ascii="Verdana" w:hAnsi="Verdana"/>
        </w:rPr>
      </w:pPr>
      <w:r w:rsidRPr="002B0C38">
        <w:rPr>
          <w:rFonts w:ascii="Verdana" w:hAnsi="Verdana"/>
        </w:rPr>
        <w:t xml:space="preserve">Kalia, Lorraine V, and Anthony E Lang. 2015. “Parkinson’s Disease.” </w:t>
      </w:r>
      <w:r w:rsidRPr="002B0C38">
        <w:rPr>
          <w:rFonts w:ascii="Verdana" w:hAnsi="Verdana"/>
          <w:i/>
          <w:iCs/>
        </w:rPr>
        <w:t>The Lancet</w:t>
      </w:r>
      <w:r w:rsidRPr="002B0C38">
        <w:rPr>
          <w:rFonts w:ascii="Verdana" w:hAnsi="Verdana"/>
        </w:rPr>
        <w:t xml:space="preserve"> 386(9996): 896–912.</w:t>
      </w:r>
    </w:p>
    <w:p w14:paraId="759D6740" w14:textId="77777777" w:rsidR="00201058" w:rsidRPr="002B0C38" w:rsidRDefault="00201058" w:rsidP="00655323">
      <w:pPr>
        <w:pStyle w:val="Bibliography"/>
        <w:jc w:val="both"/>
        <w:rPr>
          <w:rFonts w:ascii="Verdana" w:hAnsi="Verdana"/>
        </w:rPr>
      </w:pPr>
      <w:r w:rsidRPr="002B0C38">
        <w:rPr>
          <w:rFonts w:ascii="Verdana" w:hAnsi="Verdana"/>
        </w:rPr>
        <w:t xml:space="preserve">Kandiah, Nagaendran et al. 2014. “Hippocampal Volume and White Matter Disease in the Prediction of Dementia in Parkinson’s Disease.” </w:t>
      </w:r>
      <w:r w:rsidRPr="002B0C38">
        <w:rPr>
          <w:rFonts w:ascii="Verdana" w:hAnsi="Verdana"/>
          <w:i/>
          <w:iCs/>
        </w:rPr>
        <w:t>Parkinsonism &amp; Related Disorders</w:t>
      </w:r>
      <w:r w:rsidRPr="002B0C38">
        <w:rPr>
          <w:rFonts w:ascii="Verdana" w:hAnsi="Verdana"/>
        </w:rPr>
        <w:t xml:space="preserve"> 20(11): 1203–8.</w:t>
      </w:r>
    </w:p>
    <w:p w14:paraId="328F01DB" w14:textId="77777777" w:rsidR="00201058" w:rsidRPr="002B0C38" w:rsidRDefault="00201058" w:rsidP="00655323">
      <w:pPr>
        <w:pStyle w:val="Bibliography"/>
        <w:jc w:val="both"/>
        <w:rPr>
          <w:rFonts w:ascii="Verdana" w:hAnsi="Verdana"/>
        </w:rPr>
      </w:pPr>
      <w:r w:rsidRPr="002B0C38">
        <w:rPr>
          <w:rFonts w:ascii="Verdana" w:hAnsi="Verdana"/>
        </w:rPr>
        <w:t xml:space="preserve">Kasten, Meike et al. 2018. “Genotype-Phenotype Relations for the Parkinson’s Disease Genes </w:t>
      </w:r>
      <w:r w:rsidRPr="002B0C38">
        <w:rPr>
          <w:rFonts w:ascii="Verdana" w:hAnsi="Verdana"/>
          <w:i/>
          <w:iCs/>
        </w:rPr>
        <w:t>Parkin</w:t>
      </w:r>
      <w:r w:rsidRPr="002B0C38">
        <w:rPr>
          <w:rFonts w:ascii="Verdana" w:hAnsi="Verdana"/>
        </w:rPr>
        <w:t xml:space="preserve"> , </w:t>
      </w:r>
      <w:r w:rsidRPr="002B0C38">
        <w:rPr>
          <w:rFonts w:ascii="Verdana" w:hAnsi="Verdana"/>
          <w:i/>
          <w:iCs/>
        </w:rPr>
        <w:t>PINK1</w:t>
      </w:r>
      <w:r w:rsidRPr="002B0C38">
        <w:rPr>
          <w:rFonts w:ascii="Verdana" w:hAnsi="Verdana"/>
        </w:rPr>
        <w:t xml:space="preserve"> , </w:t>
      </w:r>
      <w:r w:rsidRPr="002B0C38">
        <w:rPr>
          <w:rFonts w:ascii="Verdana" w:hAnsi="Verdana"/>
          <w:i/>
          <w:iCs/>
        </w:rPr>
        <w:t>DJ1:</w:t>
      </w:r>
      <w:r w:rsidRPr="002B0C38">
        <w:rPr>
          <w:rFonts w:ascii="Verdana" w:hAnsi="Verdana"/>
        </w:rPr>
        <w:t xml:space="preserve"> MDSGene Systematic Review: MDSGene REVIEW: </w:t>
      </w:r>
      <w:r w:rsidRPr="002B0C38">
        <w:rPr>
          <w:rFonts w:ascii="Verdana" w:hAnsi="Verdana"/>
          <w:i/>
          <w:iCs/>
        </w:rPr>
        <w:t>Parkin</w:t>
      </w:r>
      <w:r w:rsidRPr="002B0C38">
        <w:rPr>
          <w:rFonts w:ascii="Verdana" w:hAnsi="Verdana"/>
        </w:rPr>
        <w:t xml:space="preserve"> , </w:t>
      </w:r>
      <w:r w:rsidRPr="002B0C38">
        <w:rPr>
          <w:rFonts w:ascii="Verdana" w:hAnsi="Verdana"/>
          <w:i/>
          <w:iCs/>
        </w:rPr>
        <w:t>PINK1</w:t>
      </w:r>
      <w:r w:rsidRPr="002B0C38">
        <w:rPr>
          <w:rFonts w:ascii="Verdana" w:hAnsi="Verdana"/>
        </w:rPr>
        <w:t xml:space="preserve"> , </w:t>
      </w:r>
      <w:r w:rsidRPr="002B0C38">
        <w:rPr>
          <w:rFonts w:ascii="Verdana" w:hAnsi="Verdana"/>
          <w:i/>
          <w:iCs/>
        </w:rPr>
        <w:t>DJ1</w:t>
      </w:r>
      <w:r w:rsidRPr="002B0C38">
        <w:rPr>
          <w:rFonts w:ascii="Verdana" w:hAnsi="Verdana"/>
        </w:rPr>
        <w:t xml:space="preserve">.” </w:t>
      </w:r>
      <w:r w:rsidRPr="002B0C38">
        <w:rPr>
          <w:rFonts w:ascii="Verdana" w:hAnsi="Verdana"/>
          <w:i/>
          <w:iCs/>
        </w:rPr>
        <w:t>Movement Disorders</w:t>
      </w:r>
      <w:r w:rsidRPr="002B0C38">
        <w:rPr>
          <w:rFonts w:ascii="Verdana" w:hAnsi="Verdana"/>
        </w:rPr>
        <w:t xml:space="preserve"> 33(5): 730–41.</w:t>
      </w:r>
    </w:p>
    <w:p w14:paraId="3346EEEC" w14:textId="77777777" w:rsidR="00201058" w:rsidRPr="002B0C38" w:rsidRDefault="00201058" w:rsidP="00655323">
      <w:pPr>
        <w:pStyle w:val="Bibliography"/>
        <w:jc w:val="both"/>
        <w:rPr>
          <w:rFonts w:ascii="Verdana" w:hAnsi="Verdana"/>
        </w:rPr>
      </w:pPr>
      <w:r w:rsidRPr="002B0C38">
        <w:rPr>
          <w:rFonts w:ascii="Verdana" w:hAnsi="Verdana"/>
        </w:rPr>
        <w:t xml:space="preserve">Khan, Naheed L. et al. 2003. “Parkin Disease: A Phenotypic Study of a Large Case Series.” </w:t>
      </w:r>
      <w:r w:rsidRPr="002B0C38">
        <w:rPr>
          <w:rFonts w:ascii="Verdana" w:hAnsi="Verdana"/>
          <w:i/>
          <w:iCs/>
        </w:rPr>
        <w:t>Brain</w:t>
      </w:r>
      <w:r w:rsidRPr="002B0C38">
        <w:rPr>
          <w:rFonts w:ascii="Verdana" w:hAnsi="Verdana"/>
        </w:rPr>
        <w:t xml:space="preserve"> 126(6): 1279–92.</w:t>
      </w:r>
    </w:p>
    <w:p w14:paraId="4348AEB3" w14:textId="77777777" w:rsidR="00201058" w:rsidRPr="002B0C38" w:rsidRDefault="00201058" w:rsidP="00655323">
      <w:pPr>
        <w:pStyle w:val="Bibliography"/>
        <w:jc w:val="both"/>
        <w:rPr>
          <w:rFonts w:ascii="Verdana" w:hAnsi="Verdana"/>
        </w:rPr>
      </w:pPr>
      <w:r w:rsidRPr="002B0C38">
        <w:rPr>
          <w:rFonts w:ascii="Verdana" w:hAnsi="Verdana"/>
        </w:rPr>
        <w:t xml:space="preserve">Killiany, R. J. et al. 2002. “MRI Measures of Entorhinal Cortex vs Hippocampus in Preclinical AD.” </w:t>
      </w:r>
      <w:r w:rsidRPr="002B0C38">
        <w:rPr>
          <w:rFonts w:ascii="Verdana" w:hAnsi="Verdana"/>
          <w:i/>
          <w:iCs/>
        </w:rPr>
        <w:t>Neurology</w:t>
      </w:r>
      <w:r w:rsidRPr="002B0C38">
        <w:rPr>
          <w:rFonts w:ascii="Verdana" w:hAnsi="Verdana"/>
        </w:rPr>
        <w:t xml:space="preserve"> 58(8): 1188–96.</w:t>
      </w:r>
    </w:p>
    <w:p w14:paraId="5662D022" w14:textId="77777777" w:rsidR="00201058" w:rsidRPr="002B0C38" w:rsidRDefault="00201058" w:rsidP="00655323">
      <w:pPr>
        <w:pStyle w:val="Bibliography"/>
        <w:jc w:val="both"/>
        <w:rPr>
          <w:rFonts w:ascii="Verdana" w:hAnsi="Verdana"/>
        </w:rPr>
      </w:pPr>
      <w:r w:rsidRPr="002B0C38">
        <w:rPr>
          <w:rFonts w:ascii="Verdana" w:hAnsi="Verdana"/>
        </w:rPr>
        <w:t xml:space="preserve">Kim, Raymond H. et al. 2005. “Hypersensitivity of DJ-1-Deficient Mice to 1-Methyl-4-Phenyl-1,2,3,6-Tetrahydropyrindine (MPTP) and Oxidative Stress.” </w:t>
      </w:r>
      <w:r w:rsidRPr="002B0C38">
        <w:rPr>
          <w:rFonts w:ascii="Verdana" w:hAnsi="Verdana"/>
          <w:i/>
          <w:iCs/>
        </w:rPr>
        <w:t>Proceedings of the National Academy of Sciences</w:t>
      </w:r>
      <w:r w:rsidRPr="002B0C38">
        <w:rPr>
          <w:rFonts w:ascii="Verdana" w:hAnsi="Verdana"/>
        </w:rPr>
        <w:t xml:space="preserve"> 102(14): 5215–20.</w:t>
      </w:r>
    </w:p>
    <w:p w14:paraId="27D790A7" w14:textId="77777777" w:rsidR="00201058" w:rsidRPr="002B0C38" w:rsidRDefault="00201058" w:rsidP="00655323">
      <w:pPr>
        <w:pStyle w:val="Bibliography"/>
        <w:jc w:val="both"/>
        <w:rPr>
          <w:rFonts w:ascii="Verdana" w:hAnsi="Verdana"/>
        </w:rPr>
      </w:pPr>
      <w:r w:rsidRPr="002B0C38">
        <w:rPr>
          <w:rFonts w:ascii="Verdana" w:hAnsi="Verdana"/>
        </w:rPr>
        <w:t xml:space="preserve">Kim, Sangjune et al. 2019. “Transneuronal Propagation of Pathologic α-Synuclein from the Gut to the Brain Models Parkinson’s Disease.” </w:t>
      </w:r>
      <w:r w:rsidRPr="002B0C38">
        <w:rPr>
          <w:rFonts w:ascii="Verdana" w:hAnsi="Verdana"/>
          <w:i/>
          <w:iCs/>
        </w:rPr>
        <w:t>Neuron</w:t>
      </w:r>
      <w:r w:rsidRPr="002B0C38">
        <w:rPr>
          <w:rFonts w:ascii="Verdana" w:hAnsi="Verdana"/>
        </w:rPr>
        <w:t xml:space="preserve"> 103(4): 627-641.e7.</w:t>
      </w:r>
    </w:p>
    <w:p w14:paraId="13D52A84" w14:textId="77777777" w:rsidR="00201058" w:rsidRPr="002B0C38" w:rsidRDefault="00201058" w:rsidP="00655323">
      <w:pPr>
        <w:pStyle w:val="Bibliography"/>
        <w:jc w:val="both"/>
        <w:rPr>
          <w:rFonts w:ascii="Verdana" w:hAnsi="Verdana"/>
        </w:rPr>
      </w:pPr>
      <w:r w:rsidRPr="002B0C38">
        <w:rPr>
          <w:rFonts w:ascii="Verdana" w:hAnsi="Verdana"/>
        </w:rPr>
        <w:t xml:space="preserve">Kövari, Enikö et al. 2003. “Lewy Body Densities in the Entorhinal and Anterior Cingulate Cortex Predict Cognitive Deficits in Parkinson’s Disease.” </w:t>
      </w:r>
      <w:r w:rsidRPr="002B0C38">
        <w:rPr>
          <w:rFonts w:ascii="Verdana" w:hAnsi="Verdana"/>
          <w:i/>
          <w:iCs/>
        </w:rPr>
        <w:t>Acta Neuropathologica</w:t>
      </w:r>
      <w:r w:rsidRPr="002B0C38">
        <w:rPr>
          <w:rFonts w:ascii="Verdana" w:hAnsi="Verdana"/>
        </w:rPr>
        <w:t xml:space="preserve"> 106(1): 83–88.</w:t>
      </w:r>
    </w:p>
    <w:p w14:paraId="73CCC73E" w14:textId="4B220625" w:rsidR="00201058" w:rsidRPr="002B0C38" w:rsidRDefault="00201058" w:rsidP="00655323">
      <w:pPr>
        <w:pStyle w:val="Bibliography"/>
        <w:jc w:val="both"/>
        <w:rPr>
          <w:rFonts w:ascii="Verdana" w:hAnsi="Verdana"/>
        </w:rPr>
      </w:pPr>
      <w:r w:rsidRPr="002B0C38">
        <w:rPr>
          <w:rFonts w:ascii="Verdana" w:hAnsi="Verdana"/>
        </w:rPr>
        <w:lastRenderedPageBreak/>
        <w:t xml:space="preserve">Krebiehl, Guido et al. 2010. “Reduced Basal Autophagy and Impaired Mitochondrial Dynamics Due to Loss of Parkinson’s Disease-Associated Protein DJ-1” ed. Leonard Petrucelli. </w:t>
      </w:r>
      <w:r w:rsidRPr="002B0C38">
        <w:rPr>
          <w:rFonts w:ascii="Verdana" w:hAnsi="Verdana"/>
          <w:i/>
          <w:iCs/>
        </w:rPr>
        <w:t>PLoS ONE</w:t>
      </w:r>
      <w:r w:rsidRPr="002B0C38">
        <w:rPr>
          <w:rFonts w:ascii="Verdana" w:hAnsi="Verdana"/>
        </w:rPr>
        <w:t xml:space="preserve"> 5(2): e9367.</w:t>
      </w:r>
    </w:p>
    <w:p w14:paraId="6DE45FC1" w14:textId="77777777" w:rsidR="00655323" w:rsidRDefault="00A3046F" w:rsidP="00655323">
      <w:pPr>
        <w:spacing w:after="0"/>
        <w:ind w:firstLine="0"/>
        <w:jc w:val="both"/>
        <w:rPr>
          <w:rFonts w:ascii="Verdana" w:hAnsi="Verdana"/>
        </w:rPr>
      </w:pPr>
      <w:r w:rsidRPr="002B0C38">
        <w:rPr>
          <w:rFonts w:ascii="Verdana" w:hAnsi="Verdana"/>
        </w:rPr>
        <w:t>Kr</w:t>
      </w:r>
      <w:r w:rsidR="009C6392" w:rsidRPr="002B0C38">
        <w:rPr>
          <w:rFonts w:ascii="Verdana" w:hAnsi="Verdana"/>
        </w:rPr>
        <w:t>ü</w:t>
      </w:r>
      <w:r w:rsidRPr="002B0C38">
        <w:rPr>
          <w:rFonts w:ascii="Verdana" w:hAnsi="Verdana"/>
        </w:rPr>
        <w:t xml:space="preserve">ger, Reiko et al. 1998. </w:t>
      </w:r>
      <w:r w:rsidR="005D7F6D" w:rsidRPr="002B0C38">
        <w:rPr>
          <w:rFonts w:ascii="Verdana" w:hAnsi="Verdana"/>
        </w:rPr>
        <w:t>“Ala30Pro mutation in the gene encoding alpha-</w:t>
      </w:r>
    </w:p>
    <w:p w14:paraId="73529BBF" w14:textId="62A4F8A9" w:rsidR="00A3046F" w:rsidRPr="002B0C38" w:rsidRDefault="005D7F6D" w:rsidP="00655323">
      <w:pPr>
        <w:spacing w:after="0"/>
        <w:jc w:val="both"/>
        <w:rPr>
          <w:rFonts w:ascii="Verdana" w:hAnsi="Verdana"/>
        </w:rPr>
      </w:pPr>
      <w:r w:rsidRPr="002B0C38">
        <w:rPr>
          <w:rFonts w:ascii="Verdana" w:hAnsi="Verdana"/>
        </w:rPr>
        <w:t>synuclein in Parkinson's</w:t>
      </w:r>
      <w:r w:rsidR="00655323">
        <w:rPr>
          <w:rFonts w:ascii="Verdana" w:hAnsi="Verdana"/>
        </w:rPr>
        <w:t xml:space="preserve"> </w:t>
      </w:r>
      <w:r w:rsidRPr="002B0C38">
        <w:rPr>
          <w:rFonts w:ascii="Verdana" w:hAnsi="Verdana"/>
        </w:rPr>
        <w:t xml:space="preserve">disease.” </w:t>
      </w:r>
      <w:r w:rsidRPr="002B0C38">
        <w:rPr>
          <w:rFonts w:ascii="Verdana" w:hAnsi="Verdana"/>
          <w:i/>
          <w:iCs/>
        </w:rPr>
        <w:t>Nature genetics</w:t>
      </w:r>
      <w:r w:rsidRPr="002B0C38">
        <w:rPr>
          <w:rFonts w:ascii="Verdana" w:hAnsi="Verdana"/>
        </w:rPr>
        <w:t xml:space="preserve"> 18(2): 106–108.</w:t>
      </w:r>
    </w:p>
    <w:p w14:paraId="120485B2" w14:textId="77777777" w:rsidR="00201058" w:rsidRPr="002B0C38" w:rsidRDefault="00201058" w:rsidP="00655323">
      <w:pPr>
        <w:pStyle w:val="Bibliography"/>
        <w:jc w:val="both"/>
        <w:rPr>
          <w:rFonts w:ascii="Verdana" w:hAnsi="Verdana"/>
        </w:rPr>
      </w:pPr>
      <w:r w:rsidRPr="002B0C38">
        <w:rPr>
          <w:rFonts w:ascii="Verdana" w:hAnsi="Verdana"/>
        </w:rPr>
        <w:t xml:space="preserve">Kunst, Jonas et al. 2019. “Patterns of Grey Matter Atrophy at Different Stages of Parkinson’s and Alzheimer’s Diseases and Relation to Cognition.” </w:t>
      </w:r>
      <w:r w:rsidRPr="002B0C38">
        <w:rPr>
          <w:rFonts w:ascii="Verdana" w:hAnsi="Verdana"/>
          <w:i/>
          <w:iCs/>
        </w:rPr>
        <w:t>Brain Topography</w:t>
      </w:r>
      <w:r w:rsidRPr="002B0C38">
        <w:rPr>
          <w:rFonts w:ascii="Verdana" w:hAnsi="Verdana"/>
        </w:rPr>
        <w:t xml:space="preserve"> 32(1): 142–60.</w:t>
      </w:r>
    </w:p>
    <w:p w14:paraId="5289ADFE" w14:textId="77777777" w:rsidR="00201058" w:rsidRPr="002B0C38" w:rsidRDefault="00201058" w:rsidP="00655323">
      <w:pPr>
        <w:pStyle w:val="Bibliography"/>
        <w:jc w:val="both"/>
        <w:rPr>
          <w:rFonts w:ascii="Verdana" w:hAnsi="Verdana"/>
        </w:rPr>
      </w:pPr>
      <w:r w:rsidRPr="002B0C38">
        <w:rPr>
          <w:rFonts w:ascii="Verdana" w:hAnsi="Verdana"/>
        </w:rPr>
        <w:t xml:space="preserve">Lajqi, Trim et al. 2020. “Memory-Like Responses of Brain Microglia Are Controlled by Developmental State and Pathogen Dose.” </w:t>
      </w:r>
      <w:r w:rsidRPr="002B0C38">
        <w:rPr>
          <w:rFonts w:ascii="Verdana" w:hAnsi="Verdana"/>
          <w:i/>
          <w:iCs/>
        </w:rPr>
        <w:t>Frontiers in Immunology</w:t>
      </w:r>
      <w:r w:rsidRPr="002B0C38">
        <w:rPr>
          <w:rFonts w:ascii="Verdana" w:hAnsi="Verdana"/>
        </w:rPr>
        <w:t xml:space="preserve"> 11: 546415.</w:t>
      </w:r>
    </w:p>
    <w:p w14:paraId="06E4C92F" w14:textId="77777777" w:rsidR="00201058" w:rsidRPr="002B0C38" w:rsidRDefault="00201058" w:rsidP="00655323">
      <w:pPr>
        <w:pStyle w:val="Bibliography"/>
        <w:jc w:val="both"/>
        <w:rPr>
          <w:rFonts w:ascii="Verdana" w:hAnsi="Verdana"/>
        </w:rPr>
      </w:pPr>
      <w:r w:rsidRPr="002B0C38">
        <w:rPr>
          <w:rFonts w:ascii="Verdana" w:hAnsi="Verdana"/>
        </w:rPr>
        <w:t xml:space="preserve">Lavenex, Pierre, and David G. Amaral. 2000. “Hippocampal-Neocortical Interaction: A Hierarchy of Associativity.” </w:t>
      </w:r>
      <w:r w:rsidRPr="002B0C38">
        <w:rPr>
          <w:rFonts w:ascii="Verdana" w:hAnsi="Verdana"/>
          <w:i/>
          <w:iCs/>
        </w:rPr>
        <w:t>Hippocampus</w:t>
      </w:r>
      <w:r w:rsidRPr="002B0C38">
        <w:rPr>
          <w:rFonts w:ascii="Verdana" w:hAnsi="Verdana"/>
        </w:rPr>
        <w:t xml:space="preserve"> 10(4): 420–30.</w:t>
      </w:r>
    </w:p>
    <w:p w14:paraId="1206D6BC" w14:textId="77777777" w:rsidR="00201058" w:rsidRPr="002B0C38" w:rsidRDefault="00201058" w:rsidP="00655323">
      <w:pPr>
        <w:pStyle w:val="Bibliography"/>
        <w:jc w:val="both"/>
        <w:rPr>
          <w:rFonts w:ascii="Verdana" w:hAnsi="Verdana"/>
        </w:rPr>
      </w:pPr>
      <w:r w:rsidRPr="002B0C38">
        <w:rPr>
          <w:rFonts w:ascii="Verdana" w:hAnsi="Verdana"/>
        </w:rPr>
        <w:t xml:space="preserve">Lech, Robert K., and Boris Suchan. 2013. “The Medial Temporal Lobe: Memory and Beyond.” </w:t>
      </w:r>
      <w:r w:rsidRPr="002B0C38">
        <w:rPr>
          <w:rFonts w:ascii="Verdana" w:hAnsi="Verdana"/>
          <w:i/>
          <w:iCs/>
        </w:rPr>
        <w:t>Behavioural Brain Research</w:t>
      </w:r>
      <w:r w:rsidRPr="002B0C38">
        <w:rPr>
          <w:rFonts w:ascii="Verdana" w:hAnsi="Verdana"/>
        </w:rPr>
        <w:t xml:space="preserve"> 254: 45–49.</w:t>
      </w:r>
    </w:p>
    <w:p w14:paraId="2B68A8CA" w14:textId="77777777" w:rsidR="00201058" w:rsidRPr="002B0C38" w:rsidRDefault="00201058" w:rsidP="00655323">
      <w:pPr>
        <w:pStyle w:val="Bibliography"/>
        <w:jc w:val="both"/>
        <w:rPr>
          <w:rFonts w:ascii="Verdana" w:hAnsi="Verdana"/>
        </w:rPr>
      </w:pPr>
      <w:r w:rsidRPr="002B0C38">
        <w:rPr>
          <w:rFonts w:ascii="Verdana" w:hAnsi="Verdana"/>
        </w:rPr>
        <w:t xml:space="preserve">Lenka, Abhishek et al. 2018. “Hippocampal Subfield Atrophy in Patients with Parkinson’s Disease and Psychosis.” </w:t>
      </w:r>
      <w:r w:rsidRPr="002B0C38">
        <w:rPr>
          <w:rFonts w:ascii="Verdana" w:hAnsi="Verdana"/>
          <w:i/>
          <w:iCs/>
        </w:rPr>
        <w:t>Journal of Neural Transmission</w:t>
      </w:r>
      <w:r w:rsidRPr="002B0C38">
        <w:rPr>
          <w:rFonts w:ascii="Verdana" w:hAnsi="Verdana"/>
        </w:rPr>
        <w:t xml:space="preserve"> 125(9): 1361–72.</w:t>
      </w:r>
    </w:p>
    <w:p w14:paraId="69201397" w14:textId="77777777" w:rsidR="00201058" w:rsidRPr="002B0C38" w:rsidRDefault="00201058" w:rsidP="00655323">
      <w:pPr>
        <w:pStyle w:val="Bibliography"/>
        <w:jc w:val="both"/>
        <w:rPr>
          <w:rFonts w:ascii="Verdana" w:hAnsi="Verdana"/>
        </w:rPr>
      </w:pPr>
      <w:r w:rsidRPr="002B0C38">
        <w:rPr>
          <w:rFonts w:ascii="Verdana" w:hAnsi="Verdana"/>
        </w:rPr>
        <w:t xml:space="preserve">Lev, Nirit et al. 2013. “Knocking Out DJ-1 Attenuates Astrocytes Neuroprotection Against 6-Hydroxydopamine Toxicity.” </w:t>
      </w:r>
      <w:r w:rsidRPr="002B0C38">
        <w:rPr>
          <w:rFonts w:ascii="Verdana" w:hAnsi="Verdana"/>
          <w:i/>
          <w:iCs/>
        </w:rPr>
        <w:t>Journal of Molecular Neuroscience</w:t>
      </w:r>
      <w:r w:rsidRPr="002B0C38">
        <w:rPr>
          <w:rFonts w:ascii="Verdana" w:hAnsi="Verdana"/>
        </w:rPr>
        <w:t xml:space="preserve"> 50(3): 542–50.</w:t>
      </w:r>
    </w:p>
    <w:p w14:paraId="0E9C6944" w14:textId="77777777" w:rsidR="00201058" w:rsidRPr="002B0C38" w:rsidRDefault="00201058" w:rsidP="00655323">
      <w:pPr>
        <w:pStyle w:val="Bibliography"/>
        <w:jc w:val="both"/>
        <w:rPr>
          <w:rFonts w:ascii="Verdana" w:hAnsi="Verdana"/>
        </w:rPr>
      </w:pPr>
      <w:r w:rsidRPr="002B0C38">
        <w:rPr>
          <w:rFonts w:ascii="Verdana" w:hAnsi="Verdana"/>
        </w:rPr>
        <w:t>Levy, G, Y Stern, and K Marder. “The Association of Incident Dementia with Mortality in PD.” : 7.</w:t>
      </w:r>
    </w:p>
    <w:p w14:paraId="217F0E47" w14:textId="77777777" w:rsidR="00201058" w:rsidRPr="002B0C38" w:rsidRDefault="00201058" w:rsidP="00655323">
      <w:pPr>
        <w:pStyle w:val="Bibliography"/>
        <w:jc w:val="both"/>
        <w:rPr>
          <w:rFonts w:ascii="Verdana" w:hAnsi="Verdana"/>
        </w:rPr>
      </w:pPr>
      <w:r w:rsidRPr="002B0C38">
        <w:rPr>
          <w:rFonts w:ascii="Verdana" w:hAnsi="Verdana"/>
        </w:rPr>
        <w:t>Lichter, David Gordon, Ralph Holmes Boring Benedict, and Linda Ann Hershey. 2018. “2 Importance of Balance-Gait Disorder 3 as a Risk Factor for Cognitive Impairment, 4 Dementia and Related Non-Motor 5 Symptoms in Parkinson’s Disease.” : 14.</w:t>
      </w:r>
    </w:p>
    <w:p w14:paraId="22537297" w14:textId="77777777" w:rsidR="00201058" w:rsidRPr="002B0C38" w:rsidRDefault="00201058" w:rsidP="00655323">
      <w:pPr>
        <w:pStyle w:val="Bibliography"/>
        <w:jc w:val="both"/>
        <w:rPr>
          <w:rFonts w:ascii="Verdana" w:hAnsi="Verdana"/>
        </w:rPr>
      </w:pPr>
      <w:r w:rsidRPr="002B0C38">
        <w:rPr>
          <w:rFonts w:ascii="Verdana" w:hAnsi="Verdana"/>
        </w:rPr>
        <w:t xml:space="preserve">Litvan, Irene et al. 2012. “Diagnostic Criteria for Mild Cognitive Impairment in Parkinson’s Disease: </w:t>
      </w:r>
      <w:r w:rsidRPr="002B0C38">
        <w:rPr>
          <w:rFonts w:ascii="Verdana" w:hAnsi="Verdana"/>
          <w:i/>
          <w:iCs/>
        </w:rPr>
        <w:t>Movement</w:t>
      </w:r>
      <w:r w:rsidRPr="002B0C38">
        <w:rPr>
          <w:rFonts w:ascii="Verdana" w:hAnsi="Verdana"/>
        </w:rPr>
        <w:t xml:space="preserve"> Disorder Society Task Force Guidelines: PD-MCI Diagnostic Criteria.” </w:t>
      </w:r>
      <w:r w:rsidRPr="002B0C38">
        <w:rPr>
          <w:rFonts w:ascii="Verdana" w:hAnsi="Verdana"/>
          <w:i/>
          <w:iCs/>
        </w:rPr>
        <w:t>Movement Disorders</w:t>
      </w:r>
      <w:r w:rsidRPr="002B0C38">
        <w:rPr>
          <w:rFonts w:ascii="Verdana" w:hAnsi="Verdana"/>
        </w:rPr>
        <w:t xml:space="preserve"> 27(3): 349–56.</w:t>
      </w:r>
    </w:p>
    <w:p w14:paraId="765FD88E" w14:textId="77777777" w:rsidR="00201058" w:rsidRPr="002B0C38" w:rsidRDefault="00201058" w:rsidP="00655323">
      <w:pPr>
        <w:pStyle w:val="Bibliography"/>
        <w:jc w:val="both"/>
        <w:rPr>
          <w:rFonts w:ascii="Verdana" w:hAnsi="Verdana"/>
        </w:rPr>
      </w:pPr>
      <w:r w:rsidRPr="002B0C38">
        <w:rPr>
          <w:rFonts w:ascii="Verdana" w:hAnsi="Verdana"/>
        </w:rPr>
        <w:t xml:space="preserve">Liu, Bojing et al. 2017. “Vagotomy and Parkinson Disease: A Swedish Register–Based Matched-Cohort Study.” </w:t>
      </w:r>
      <w:r w:rsidRPr="002B0C38">
        <w:rPr>
          <w:rFonts w:ascii="Verdana" w:hAnsi="Verdana"/>
          <w:i/>
          <w:iCs/>
        </w:rPr>
        <w:t>Neurology</w:t>
      </w:r>
      <w:r w:rsidRPr="002B0C38">
        <w:rPr>
          <w:rFonts w:ascii="Verdana" w:hAnsi="Verdana"/>
        </w:rPr>
        <w:t xml:space="preserve"> 88(21): 1996–2002.</w:t>
      </w:r>
    </w:p>
    <w:p w14:paraId="5603A749" w14:textId="77777777" w:rsidR="00201058" w:rsidRPr="002B0C38" w:rsidRDefault="00201058" w:rsidP="00655323">
      <w:pPr>
        <w:pStyle w:val="Bibliography"/>
        <w:jc w:val="both"/>
        <w:rPr>
          <w:rFonts w:ascii="Verdana" w:hAnsi="Verdana"/>
        </w:rPr>
      </w:pPr>
      <w:r w:rsidRPr="002B0C38">
        <w:rPr>
          <w:rFonts w:ascii="Verdana" w:hAnsi="Verdana"/>
        </w:rPr>
        <w:t xml:space="preserve">Marder, K. et al. 1995. “The Frequency and Associated Risk Factors for Dementia in Patients With Parkinson’s Disease.” </w:t>
      </w:r>
      <w:r w:rsidRPr="002B0C38">
        <w:rPr>
          <w:rFonts w:ascii="Verdana" w:hAnsi="Verdana"/>
          <w:i/>
          <w:iCs/>
        </w:rPr>
        <w:t>Archives of Neurology</w:t>
      </w:r>
      <w:r w:rsidRPr="002B0C38">
        <w:rPr>
          <w:rFonts w:ascii="Verdana" w:hAnsi="Verdana"/>
        </w:rPr>
        <w:t xml:space="preserve"> 52(7): 695–701.</w:t>
      </w:r>
    </w:p>
    <w:p w14:paraId="65358458" w14:textId="77777777" w:rsidR="00201058" w:rsidRPr="002B0C38" w:rsidRDefault="00201058" w:rsidP="00655323">
      <w:pPr>
        <w:pStyle w:val="Bibliography"/>
        <w:jc w:val="both"/>
        <w:rPr>
          <w:rFonts w:ascii="Verdana" w:hAnsi="Verdana"/>
        </w:rPr>
      </w:pPr>
      <w:r w:rsidRPr="002B0C38">
        <w:rPr>
          <w:rFonts w:ascii="Verdana" w:hAnsi="Verdana"/>
        </w:rPr>
        <w:t xml:space="preserve">Marion, M.-H., M. Qurashi, G. Marshall, and O. Foster. 2008. “Is REM Sleep Behaviour Disorder (RBD) a Risk Factor of Dementia in Idiopathic Parkinson’s Disease?” </w:t>
      </w:r>
      <w:r w:rsidRPr="002B0C38">
        <w:rPr>
          <w:rFonts w:ascii="Verdana" w:hAnsi="Verdana"/>
          <w:i/>
          <w:iCs/>
        </w:rPr>
        <w:t>Journal of Neurology</w:t>
      </w:r>
      <w:r w:rsidRPr="002B0C38">
        <w:rPr>
          <w:rFonts w:ascii="Verdana" w:hAnsi="Verdana"/>
        </w:rPr>
        <w:t xml:space="preserve"> 255(2): 192–96.</w:t>
      </w:r>
    </w:p>
    <w:p w14:paraId="5123023A"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Mattila, Petri M. et al. 2001. “Choline Acetyltransferase Activity and Striatal Dopamine Receptors in Parkinson’s Disease in Relation to Cognitive Impairment.” </w:t>
      </w:r>
      <w:r w:rsidRPr="002B0C38">
        <w:rPr>
          <w:rFonts w:ascii="Verdana" w:hAnsi="Verdana"/>
          <w:i/>
          <w:iCs/>
        </w:rPr>
        <w:t>Acta Neuropathologica</w:t>
      </w:r>
      <w:r w:rsidRPr="002B0C38">
        <w:rPr>
          <w:rFonts w:ascii="Verdana" w:hAnsi="Verdana"/>
        </w:rPr>
        <w:t xml:space="preserve"> 102(2): 160–66.</w:t>
      </w:r>
    </w:p>
    <w:p w14:paraId="4719583E" w14:textId="77777777" w:rsidR="00201058" w:rsidRPr="002B0C38" w:rsidRDefault="00201058" w:rsidP="00655323">
      <w:pPr>
        <w:pStyle w:val="Bibliography"/>
        <w:jc w:val="both"/>
        <w:rPr>
          <w:rFonts w:ascii="Verdana" w:hAnsi="Verdana"/>
        </w:rPr>
      </w:pPr>
      <w:r w:rsidRPr="002B0C38">
        <w:rPr>
          <w:rFonts w:ascii="Verdana" w:hAnsi="Verdana"/>
        </w:rPr>
        <w:t xml:space="preserve">Miller, Renee M. et al. 2007. “Wild-Type and Mutant α-Synuclein Induce a Multi-Component Gene Expression Profile Consistent with Shared Pathophysiology in Different Transgenic Mouse Models of PD.” </w:t>
      </w:r>
      <w:r w:rsidRPr="002B0C38">
        <w:rPr>
          <w:rFonts w:ascii="Verdana" w:hAnsi="Verdana"/>
          <w:i/>
          <w:iCs/>
        </w:rPr>
        <w:t>Experimental Neurology</w:t>
      </w:r>
      <w:r w:rsidRPr="002B0C38">
        <w:rPr>
          <w:rFonts w:ascii="Verdana" w:hAnsi="Verdana"/>
        </w:rPr>
        <w:t xml:space="preserve"> 204(1): 421–32.</w:t>
      </w:r>
    </w:p>
    <w:p w14:paraId="325B0EF4" w14:textId="77777777" w:rsidR="00201058" w:rsidRPr="002B0C38" w:rsidRDefault="00201058" w:rsidP="00655323">
      <w:pPr>
        <w:pStyle w:val="Bibliography"/>
        <w:jc w:val="both"/>
        <w:rPr>
          <w:rFonts w:ascii="Verdana" w:hAnsi="Verdana"/>
        </w:rPr>
      </w:pPr>
      <w:r w:rsidRPr="002B0C38">
        <w:rPr>
          <w:rFonts w:ascii="Verdana" w:hAnsi="Verdana"/>
        </w:rPr>
        <w:t xml:space="preserve">Mitsumoto, Atsushi, and Yasuhito Nakagawa. 2001. “DJ-1 Is an Indicator for Endogenous Reactive Oxygen Species Elicited by Endotoxin.” </w:t>
      </w:r>
      <w:r w:rsidRPr="002B0C38">
        <w:rPr>
          <w:rFonts w:ascii="Verdana" w:hAnsi="Verdana"/>
          <w:i/>
          <w:iCs/>
        </w:rPr>
        <w:t>Free Radical Research</w:t>
      </w:r>
      <w:r w:rsidRPr="002B0C38">
        <w:rPr>
          <w:rFonts w:ascii="Verdana" w:hAnsi="Verdana"/>
        </w:rPr>
        <w:t xml:space="preserve"> 35(6): 885–93.</w:t>
      </w:r>
    </w:p>
    <w:p w14:paraId="6A59649B" w14:textId="77777777" w:rsidR="00201058" w:rsidRPr="002B0C38" w:rsidRDefault="00201058" w:rsidP="00655323">
      <w:pPr>
        <w:pStyle w:val="Bibliography"/>
        <w:jc w:val="both"/>
        <w:rPr>
          <w:rFonts w:ascii="Verdana" w:hAnsi="Verdana"/>
        </w:rPr>
      </w:pPr>
      <w:r w:rsidRPr="002B0C38">
        <w:rPr>
          <w:rFonts w:ascii="Verdana" w:hAnsi="Verdana"/>
        </w:rPr>
        <w:t xml:space="preserve">Miyazaki, Ikuko et al. 2011. “Astrocyte-Derived Metallothionein Protects Dopaminergic Neurons from Dopamine Quinone Toxicity.” </w:t>
      </w:r>
      <w:r w:rsidRPr="002B0C38">
        <w:rPr>
          <w:rFonts w:ascii="Verdana" w:hAnsi="Verdana"/>
          <w:i/>
          <w:iCs/>
        </w:rPr>
        <w:t>Glia</w:t>
      </w:r>
      <w:r w:rsidRPr="002B0C38">
        <w:rPr>
          <w:rFonts w:ascii="Verdana" w:hAnsi="Verdana"/>
        </w:rPr>
        <w:t xml:space="preserve"> 59(3): 435–51.</w:t>
      </w:r>
    </w:p>
    <w:p w14:paraId="02757078" w14:textId="77777777" w:rsidR="00201058" w:rsidRPr="002B0C38" w:rsidRDefault="00201058" w:rsidP="00655323">
      <w:pPr>
        <w:pStyle w:val="Bibliography"/>
        <w:jc w:val="both"/>
        <w:rPr>
          <w:rFonts w:ascii="Verdana" w:hAnsi="Verdana"/>
        </w:rPr>
      </w:pPr>
      <w:r w:rsidRPr="002B0C38">
        <w:rPr>
          <w:rFonts w:ascii="Verdana" w:hAnsi="Verdana"/>
        </w:rPr>
        <w:t xml:space="preserve">Miyazaki, Ikuko, and Masato Asanuma. 2020. “Neuron-Astrocyte Interactions in Parkinson’s Disease.” </w:t>
      </w:r>
      <w:r w:rsidRPr="002B0C38">
        <w:rPr>
          <w:rFonts w:ascii="Verdana" w:hAnsi="Verdana"/>
          <w:i/>
          <w:iCs/>
        </w:rPr>
        <w:t>Cells</w:t>
      </w:r>
      <w:r w:rsidRPr="002B0C38">
        <w:rPr>
          <w:rFonts w:ascii="Verdana" w:hAnsi="Verdana"/>
        </w:rPr>
        <w:t xml:space="preserve"> 9(12): 2623.</w:t>
      </w:r>
    </w:p>
    <w:p w14:paraId="6E685D1E" w14:textId="77777777" w:rsidR="00201058" w:rsidRPr="002B0C38" w:rsidRDefault="00201058" w:rsidP="00655323">
      <w:pPr>
        <w:pStyle w:val="Bibliography"/>
        <w:jc w:val="both"/>
        <w:rPr>
          <w:rFonts w:ascii="Verdana" w:hAnsi="Verdana"/>
        </w:rPr>
      </w:pPr>
      <w:r w:rsidRPr="002B0C38">
        <w:rPr>
          <w:rFonts w:ascii="Verdana" w:hAnsi="Verdana"/>
        </w:rPr>
        <w:t xml:space="preserve">Morgan, John C. et al. 2014. “Mortality in Levodopa-Treated Parkinson’s Disease.” </w:t>
      </w:r>
      <w:r w:rsidRPr="002B0C38">
        <w:rPr>
          <w:rFonts w:ascii="Verdana" w:hAnsi="Verdana"/>
          <w:i/>
          <w:iCs/>
        </w:rPr>
        <w:t>Parkinson’s Disease</w:t>
      </w:r>
      <w:r w:rsidRPr="002B0C38">
        <w:rPr>
          <w:rFonts w:ascii="Verdana" w:hAnsi="Verdana"/>
        </w:rPr>
        <w:t xml:space="preserve"> 2014: 1–8.</w:t>
      </w:r>
    </w:p>
    <w:p w14:paraId="34C94A94" w14:textId="77777777" w:rsidR="00201058" w:rsidRPr="002B0C38" w:rsidRDefault="00201058" w:rsidP="00655323">
      <w:pPr>
        <w:pStyle w:val="Bibliography"/>
        <w:jc w:val="both"/>
        <w:rPr>
          <w:rFonts w:ascii="Verdana" w:hAnsi="Verdana"/>
        </w:rPr>
      </w:pPr>
      <w:r w:rsidRPr="002B0C38">
        <w:rPr>
          <w:rFonts w:ascii="Verdana" w:hAnsi="Verdana"/>
        </w:rPr>
        <w:t xml:space="preserve">Mosharov, Eugene V. et al. 2009. “Interplay between Cytosolic Dopamine, Calcium, and α-Synuclein Causes Selective Death of Substantia Nigra Neurons.” </w:t>
      </w:r>
      <w:r w:rsidRPr="002B0C38">
        <w:rPr>
          <w:rFonts w:ascii="Verdana" w:hAnsi="Verdana"/>
          <w:i/>
          <w:iCs/>
        </w:rPr>
        <w:t>Neuron</w:t>
      </w:r>
      <w:r w:rsidRPr="002B0C38">
        <w:rPr>
          <w:rFonts w:ascii="Verdana" w:hAnsi="Verdana"/>
        </w:rPr>
        <w:t xml:space="preserve"> 62(2): 218–29.</w:t>
      </w:r>
    </w:p>
    <w:p w14:paraId="293ED1EE" w14:textId="77777777" w:rsidR="00201058" w:rsidRPr="002B0C38" w:rsidRDefault="00201058" w:rsidP="00655323">
      <w:pPr>
        <w:pStyle w:val="Bibliography"/>
        <w:jc w:val="both"/>
        <w:rPr>
          <w:rFonts w:ascii="Verdana" w:hAnsi="Verdana"/>
        </w:rPr>
      </w:pPr>
      <w:r w:rsidRPr="002B0C38">
        <w:rPr>
          <w:rFonts w:ascii="Verdana" w:hAnsi="Verdana"/>
        </w:rPr>
        <w:t xml:space="preserve">van Muiswinkel, F.L et al. 2004. “Expression of NAD(P)H:Quinone Oxidoreductase in the Normal and Parkinsonian Substantia Nigra.” </w:t>
      </w:r>
      <w:r w:rsidRPr="002B0C38">
        <w:rPr>
          <w:rFonts w:ascii="Verdana" w:hAnsi="Verdana"/>
          <w:i/>
          <w:iCs/>
        </w:rPr>
        <w:t>Neurobiology of Aging</w:t>
      </w:r>
      <w:r w:rsidRPr="002B0C38">
        <w:rPr>
          <w:rFonts w:ascii="Verdana" w:hAnsi="Verdana"/>
        </w:rPr>
        <w:t xml:space="preserve"> 25(9): 1253–62.</w:t>
      </w:r>
    </w:p>
    <w:p w14:paraId="6A0859D8" w14:textId="77777777" w:rsidR="00201058" w:rsidRPr="002B0C38" w:rsidRDefault="00201058" w:rsidP="00655323">
      <w:pPr>
        <w:pStyle w:val="Bibliography"/>
        <w:jc w:val="both"/>
        <w:rPr>
          <w:rFonts w:ascii="Verdana" w:hAnsi="Verdana"/>
        </w:rPr>
      </w:pPr>
      <w:r w:rsidRPr="002B0C38">
        <w:rPr>
          <w:rFonts w:ascii="Verdana" w:hAnsi="Verdana"/>
        </w:rPr>
        <w:t xml:space="preserve">Mullett, Steven J., Roberto Di Maio, J. Timothy Greenamyre, and David A. Hinkle. 2013. “DJ-1 Expression Modulates Astrocyte-Mediated Protection Against Neuronal Oxidative Stress.” </w:t>
      </w:r>
      <w:r w:rsidRPr="002B0C38">
        <w:rPr>
          <w:rFonts w:ascii="Verdana" w:hAnsi="Verdana"/>
          <w:i/>
          <w:iCs/>
        </w:rPr>
        <w:t>Journal of Molecular Neuroscience</w:t>
      </w:r>
      <w:r w:rsidRPr="002B0C38">
        <w:rPr>
          <w:rFonts w:ascii="Verdana" w:hAnsi="Verdana"/>
        </w:rPr>
        <w:t xml:space="preserve"> 49(3): 507–11.</w:t>
      </w:r>
    </w:p>
    <w:p w14:paraId="5D6BB11F" w14:textId="77777777" w:rsidR="00201058" w:rsidRPr="002B0C38" w:rsidRDefault="00201058" w:rsidP="00655323">
      <w:pPr>
        <w:pStyle w:val="Bibliography"/>
        <w:jc w:val="both"/>
        <w:rPr>
          <w:rFonts w:ascii="Verdana" w:hAnsi="Verdana"/>
        </w:rPr>
      </w:pPr>
      <w:r w:rsidRPr="002B0C38">
        <w:rPr>
          <w:rFonts w:ascii="Verdana" w:hAnsi="Verdana"/>
        </w:rPr>
        <w:t xml:space="preserve">Nagano-Saito, A. et al. 2005. “Cerebral Atrophy and Its Relation to Cognitive Impairment in Parkinson Disease.” </w:t>
      </w:r>
      <w:r w:rsidRPr="002B0C38">
        <w:rPr>
          <w:rFonts w:ascii="Verdana" w:hAnsi="Verdana"/>
          <w:i/>
          <w:iCs/>
        </w:rPr>
        <w:t>Neurology</w:t>
      </w:r>
      <w:r w:rsidRPr="002B0C38">
        <w:rPr>
          <w:rFonts w:ascii="Verdana" w:hAnsi="Verdana"/>
        </w:rPr>
        <w:t xml:space="preserve"> 64(2): 224–29.</w:t>
      </w:r>
    </w:p>
    <w:p w14:paraId="0776E38F" w14:textId="77777777" w:rsidR="00201058" w:rsidRPr="002B0C38" w:rsidRDefault="00201058" w:rsidP="00655323">
      <w:pPr>
        <w:pStyle w:val="Bibliography"/>
        <w:jc w:val="both"/>
        <w:rPr>
          <w:rFonts w:ascii="Verdana" w:hAnsi="Verdana"/>
        </w:rPr>
      </w:pPr>
      <w:r w:rsidRPr="002B0C38">
        <w:rPr>
          <w:rFonts w:ascii="Verdana" w:hAnsi="Verdana"/>
        </w:rPr>
        <w:t xml:space="preserve">Nolano, M. et al. 2008. “Sensory Deficit in Parkinson’s Disease: Evidence of a Cutaneous Denervation.” </w:t>
      </w:r>
      <w:r w:rsidRPr="002B0C38">
        <w:rPr>
          <w:rFonts w:ascii="Verdana" w:hAnsi="Verdana"/>
          <w:i/>
          <w:iCs/>
        </w:rPr>
        <w:t>Brain</w:t>
      </w:r>
      <w:r w:rsidRPr="002B0C38">
        <w:rPr>
          <w:rFonts w:ascii="Verdana" w:hAnsi="Verdana"/>
        </w:rPr>
        <w:t xml:space="preserve"> 131(7): 1903–11.</w:t>
      </w:r>
    </w:p>
    <w:p w14:paraId="77048AA3" w14:textId="77777777" w:rsidR="00201058" w:rsidRPr="002B0C38" w:rsidRDefault="00201058" w:rsidP="00655323">
      <w:pPr>
        <w:pStyle w:val="Bibliography"/>
        <w:jc w:val="both"/>
        <w:rPr>
          <w:rFonts w:ascii="Verdana" w:hAnsi="Verdana"/>
        </w:rPr>
      </w:pPr>
      <w:r w:rsidRPr="002B0C38">
        <w:rPr>
          <w:rFonts w:ascii="Verdana" w:hAnsi="Verdana"/>
        </w:rPr>
        <w:t xml:space="preserve">Pagonabarraga, Javier, and Jaime Kulisevsky. 2012. “Cognitive Impairment and Dementia in Parkinson’s Disease.” </w:t>
      </w:r>
      <w:r w:rsidRPr="002B0C38">
        <w:rPr>
          <w:rFonts w:ascii="Verdana" w:hAnsi="Verdana"/>
          <w:i/>
          <w:iCs/>
        </w:rPr>
        <w:t>Neurobiology of Disease</w:t>
      </w:r>
      <w:r w:rsidRPr="002B0C38">
        <w:rPr>
          <w:rFonts w:ascii="Verdana" w:hAnsi="Verdana"/>
        </w:rPr>
        <w:t xml:space="preserve"> 46(3): 590–96.</w:t>
      </w:r>
    </w:p>
    <w:p w14:paraId="04477712" w14:textId="1F8EF07A" w:rsidR="00201058" w:rsidRDefault="00201058" w:rsidP="00655323">
      <w:pPr>
        <w:pStyle w:val="Bibliography"/>
        <w:jc w:val="both"/>
        <w:rPr>
          <w:rFonts w:ascii="Verdana" w:hAnsi="Verdana"/>
        </w:rPr>
      </w:pPr>
      <w:r w:rsidRPr="002B0C38">
        <w:rPr>
          <w:rFonts w:ascii="Verdana" w:hAnsi="Verdana"/>
        </w:rPr>
        <w:t xml:space="preserve">Pan, Ping Lei et al. 2013. “Gray Matter Atrophy in Parkinson’s Disease with Dementia: Evidence from Meta-Analysis of Voxel-Based Morphometry Studies.” </w:t>
      </w:r>
      <w:r w:rsidRPr="002B0C38">
        <w:rPr>
          <w:rFonts w:ascii="Verdana" w:hAnsi="Verdana"/>
          <w:i/>
          <w:iCs/>
        </w:rPr>
        <w:t>Neurological Sciences</w:t>
      </w:r>
      <w:r w:rsidRPr="002B0C38">
        <w:rPr>
          <w:rFonts w:ascii="Verdana" w:hAnsi="Verdana"/>
        </w:rPr>
        <w:t xml:space="preserve"> 34(5): 613–19.</w:t>
      </w:r>
    </w:p>
    <w:p w14:paraId="5FC5554D" w14:textId="77777777" w:rsidR="00655323" w:rsidRDefault="00687072" w:rsidP="00655323">
      <w:pPr>
        <w:spacing w:after="0"/>
        <w:ind w:firstLine="0"/>
        <w:jc w:val="both"/>
        <w:rPr>
          <w:rFonts w:ascii="Verdana" w:hAnsi="Verdana"/>
        </w:rPr>
      </w:pPr>
      <w:r w:rsidRPr="00687072">
        <w:rPr>
          <w:rFonts w:ascii="Verdana" w:hAnsi="Verdana"/>
        </w:rPr>
        <w:t>Pankratz</w:t>
      </w:r>
      <w:r>
        <w:rPr>
          <w:rFonts w:ascii="Verdana" w:hAnsi="Verdana"/>
        </w:rPr>
        <w:t xml:space="preserve">, Nathan et al. 2006. </w:t>
      </w:r>
      <w:r w:rsidR="00DA0E4A" w:rsidRPr="002B0C38">
        <w:rPr>
          <w:rFonts w:ascii="Verdana" w:hAnsi="Verdana"/>
        </w:rPr>
        <w:t>“</w:t>
      </w:r>
      <w:r w:rsidR="00DA0E4A">
        <w:rPr>
          <w:rFonts w:ascii="Verdana" w:hAnsi="Verdana"/>
        </w:rPr>
        <w:t xml:space="preserve">Presence of an APOE4 allele results </w:t>
      </w:r>
      <w:r w:rsidR="00DA0E4A" w:rsidRPr="00DA0E4A">
        <w:rPr>
          <w:rFonts w:ascii="Verdana" w:hAnsi="Verdana"/>
        </w:rPr>
        <w:t xml:space="preserve"> in</w:t>
      </w:r>
    </w:p>
    <w:p w14:paraId="49AC3264" w14:textId="0FA47B48" w:rsidR="00687072" w:rsidRPr="00687072" w:rsidRDefault="00DA0E4A" w:rsidP="00655323">
      <w:pPr>
        <w:ind w:left="720" w:firstLine="0"/>
        <w:jc w:val="both"/>
        <w:rPr>
          <w:rFonts w:ascii="Verdana" w:hAnsi="Verdana"/>
        </w:rPr>
      </w:pPr>
      <w:r w:rsidRPr="00DA0E4A">
        <w:rPr>
          <w:rFonts w:ascii="Verdana" w:hAnsi="Verdana"/>
        </w:rPr>
        <w:lastRenderedPageBreak/>
        <w:t>significantly earlier onset of Parkinson's disease and a higher risk with dementia</w:t>
      </w:r>
      <w:r>
        <w:rPr>
          <w:rFonts w:ascii="Verdana" w:hAnsi="Verdana"/>
        </w:rPr>
        <w:t>.</w:t>
      </w:r>
      <w:r w:rsidRPr="002B0C38">
        <w:rPr>
          <w:rFonts w:ascii="Verdana" w:hAnsi="Verdana"/>
        </w:rPr>
        <w:t>”</w:t>
      </w:r>
      <w:r>
        <w:rPr>
          <w:rFonts w:ascii="Verdana" w:hAnsi="Verdana"/>
        </w:rPr>
        <w:t xml:space="preserve"> </w:t>
      </w:r>
      <w:r w:rsidR="00655323" w:rsidRPr="00655323">
        <w:rPr>
          <w:rFonts w:ascii="Verdana" w:hAnsi="Verdana"/>
          <w:i/>
          <w:iCs/>
        </w:rPr>
        <w:t>Movement disorders: official journal of the Movement Disorder Society</w:t>
      </w:r>
      <w:r w:rsidR="00655323" w:rsidRPr="00655323">
        <w:rPr>
          <w:rFonts w:ascii="Verdana" w:hAnsi="Verdana"/>
        </w:rPr>
        <w:t xml:space="preserve"> 21(1)</w:t>
      </w:r>
      <w:r w:rsidR="00655323">
        <w:rPr>
          <w:rFonts w:ascii="Verdana" w:hAnsi="Verdana"/>
        </w:rPr>
        <w:t>:</w:t>
      </w:r>
      <w:r w:rsidR="00655323" w:rsidRPr="00655323">
        <w:rPr>
          <w:rFonts w:ascii="Verdana" w:hAnsi="Verdana"/>
        </w:rPr>
        <w:t xml:space="preserve"> 45–49.</w:t>
      </w:r>
    </w:p>
    <w:p w14:paraId="44AF97B9" w14:textId="22316866" w:rsidR="00201058" w:rsidRPr="002B0C38" w:rsidRDefault="00201058" w:rsidP="00655323">
      <w:pPr>
        <w:pStyle w:val="Bibliography"/>
        <w:jc w:val="both"/>
        <w:rPr>
          <w:rFonts w:ascii="Verdana" w:hAnsi="Verdana"/>
        </w:rPr>
      </w:pPr>
      <w:r w:rsidRPr="002B0C38">
        <w:rPr>
          <w:rFonts w:ascii="Verdana" w:hAnsi="Verdana"/>
        </w:rPr>
        <w:t xml:space="preserve">Parkinson, James. 2002. “An Essay on the Shaking Palsy.” </w:t>
      </w:r>
      <w:r w:rsidRPr="002B0C38">
        <w:rPr>
          <w:rFonts w:ascii="Verdana" w:hAnsi="Verdana"/>
          <w:i/>
          <w:iCs/>
        </w:rPr>
        <w:t>J Neuropsychiatry Clin Neurosci</w:t>
      </w:r>
      <w:r w:rsidRPr="002B0C38">
        <w:rPr>
          <w:rFonts w:ascii="Verdana" w:hAnsi="Verdana"/>
        </w:rPr>
        <w:t>: 14.</w:t>
      </w:r>
    </w:p>
    <w:p w14:paraId="1789032E" w14:textId="77777777" w:rsidR="00687072" w:rsidRDefault="00C17FA1" w:rsidP="00655323">
      <w:pPr>
        <w:spacing w:after="0"/>
        <w:ind w:firstLine="0"/>
        <w:jc w:val="both"/>
        <w:rPr>
          <w:rFonts w:ascii="Verdana" w:hAnsi="Verdana"/>
        </w:rPr>
      </w:pPr>
      <w:r w:rsidRPr="002B0C38">
        <w:rPr>
          <w:rFonts w:ascii="Verdana" w:hAnsi="Verdana"/>
        </w:rPr>
        <w:t>Parl</w:t>
      </w:r>
      <w:r w:rsidR="00A37CE2" w:rsidRPr="002B0C38">
        <w:rPr>
          <w:rFonts w:ascii="Verdana" w:hAnsi="Verdana"/>
        </w:rPr>
        <w:t>, Fritz F et al. 2009. “</w:t>
      </w:r>
      <w:r w:rsidR="00605B43" w:rsidRPr="002B0C38">
        <w:rPr>
          <w:rFonts w:ascii="Verdana" w:hAnsi="Verdana"/>
        </w:rPr>
        <w:t>Estrogen Metabolism and Breast Cancer: A Risk</w:t>
      </w:r>
    </w:p>
    <w:p w14:paraId="04267F83" w14:textId="5D29615D" w:rsidR="005D705C" w:rsidRPr="00687072" w:rsidRDefault="00605B43" w:rsidP="00655323">
      <w:pPr>
        <w:spacing w:after="240"/>
        <w:jc w:val="both"/>
        <w:rPr>
          <w:rFonts w:ascii="Verdana" w:hAnsi="Verdana" w:cstheme="minorHAnsi"/>
          <w:color w:val="212121"/>
          <w:shd w:val="clear" w:color="auto" w:fill="FFFFFF"/>
        </w:rPr>
      </w:pPr>
      <w:r w:rsidRPr="002B0C38">
        <w:rPr>
          <w:rFonts w:ascii="Verdana" w:hAnsi="Verdana"/>
        </w:rPr>
        <w:t xml:space="preserve"> Model</w:t>
      </w:r>
      <w:r w:rsidR="00AE38ED" w:rsidRPr="002B0C38">
        <w:rPr>
          <w:rFonts w:ascii="Verdana" w:hAnsi="Verdana" w:cstheme="minorHAnsi"/>
        </w:rPr>
        <w:t xml:space="preserve"> </w:t>
      </w:r>
      <w:r w:rsidR="00AE38ED" w:rsidRPr="002B0C38">
        <w:rPr>
          <w:rFonts w:ascii="Verdana" w:hAnsi="Verdana" w:cstheme="minorHAnsi"/>
          <w:i/>
          <w:iCs/>
          <w:color w:val="212121"/>
          <w:shd w:val="clear" w:color="auto" w:fill="FFFFFF"/>
        </w:rPr>
        <w:t>Annals of the New York Academy of Sciences</w:t>
      </w:r>
      <w:r w:rsidR="00AE38ED" w:rsidRPr="002B0C38">
        <w:rPr>
          <w:rFonts w:ascii="Verdana" w:hAnsi="Verdana" w:cstheme="minorHAnsi"/>
          <w:color w:val="212121"/>
          <w:shd w:val="clear" w:color="auto" w:fill="FFFFFF"/>
        </w:rPr>
        <w:t> 1155</w:t>
      </w:r>
      <w:r w:rsidR="00505BF5" w:rsidRPr="002B0C38">
        <w:rPr>
          <w:rFonts w:ascii="Verdana" w:hAnsi="Verdana" w:cstheme="minorHAnsi"/>
          <w:color w:val="212121"/>
          <w:shd w:val="clear" w:color="auto" w:fill="FFFFFF"/>
        </w:rPr>
        <w:t>:</w:t>
      </w:r>
      <w:r w:rsidR="00AE38ED" w:rsidRPr="002B0C38">
        <w:rPr>
          <w:rFonts w:ascii="Verdana" w:hAnsi="Verdana" w:cstheme="minorHAnsi"/>
          <w:color w:val="212121"/>
          <w:shd w:val="clear" w:color="auto" w:fill="FFFFFF"/>
        </w:rPr>
        <w:t xml:space="preserve"> 68–75.</w:t>
      </w:r>
    </w:p>
    <w:p w14:paraId="397AA293" w14:textId="77777777" w:rsidR="00201058" w:rsidRPr="002B0C38" w:rsidRDefault="00201058" w:rsidP="00655323">
      <w:pPr>
        <w:pStyle w:val="Bibliography"/>
        <w:jc w:val="both"/>
        <w:rPr>
          <w:rFonts w:ascii="Verdana" w:hAnsi="Verdana"/>
        </w:rPr>
      </w:pPr>
      <w:r w:rsidRPr="002B0C38">
        <w:rPr>
          <w:rFonts w:ascii="Verdana" w:hAnsi="Verdana"/>
        </w:rPr>
        <w:t xml:space="preserve">Pedersen, Kenn Freddy, Jan Petter Larsen, Ole-Bjorn Tysnes, and Guido Alves. 2013. “Prognosis of Mild Cognitive Impairment in Early Parkinson Disease: The Norwegian ParkWest Study.” </w:t>
      </w:r>
      <w:r w:rsidRPr="002B0C38">
        <w:rPr>
          <w:rFonts w:ascii="Verdana" w:hAnsi="Verdana"/>
          <w:i/>
          <w:iCs/>
        </w:rPr>
        <w:t>JAMA Neurology</w:t>
      </w:r>
      <w:r w:rsidRPr="002B0C38">
        <w:rPr>
          <w:rFonts w:ascii="Verdana" w:hAnsi="Verdana"/>
        </w:rPr>
        <w:t xml:space="preserve"> 70(5): 580.</w:t>
      </w:r>
    </w:p>
    <w:p w14:paraId="30BBA789" w14:textId="77777777" w:rsidR="00201058" w:rsidRPr="002B0C38" w:rsidRDefault="00201058" w:rsidP="00655323">
      <w:pPr>
        <w:pStyle w:val="Bibliography"/>
        <w:jc w:val="both"/>
        <w:rPr>
          <w:rFonts w:ascii="Verdana" w:hAnsi="Verdana"/>
        </w:rPr>
      </w:pPr>
      <w:r w:rsidRPr="002B0C38">
        <w:rPr>
          <w:rFonts w:ascii="Verdana" w:hAnsi="Verdana"/>
        </w:rPr>
        <w:t xml:space="preserve">Pereira, Joana B. et al. 2013. “Regional Vulnerability of Hippocampal Subfields and Memory Deficits in Parkinson’s Disease: Hippocampal Subfields in PD.” </w:t>
      </w:r>
      <w:r w:rsidRPr="002B0C38">
        <w:rPr>
          <w:rFonts w:ascii="Verdana" w:hAnsi="Verdana"/>
          <w:i/>
          <w:iCs/>
        </w:rPr>
        <w:t>Hippocampus</w:t>
      </w:r>
      <w:r w:rsidRPr="002B0C38">
        <w:rPr>
          <w:rFonts w:ascii="Verdana" w:hAnsi="Verdana"/>
        </w:rPr>
        <w:t xml:space="preserve"> 23(8): 720–28.</w:t>
      </w:r>
    </w:p>
    <w:p w14:paraId="2A170D36" w14:textId="6C608E27" w:rsidR="00201058" w:rsidRPr="002B0C38" w:rsidRDefault="009B481B" w:rsidP="00655323">
      <w:pPr>
        <w:pStyle w:val="Bibliography"/>
        <w:jc w:val="both"/>
        <w:rPr>
          <w:rFonts w:ascii="Verdana" w:hAnsi="Verdana"/>
        </w:rPr>
      </w:pPr>
      <w:r w:rsidRPr="002B0C38">
        <w:rPr>
          <w:rFonts w:ascii="Verdana" w:hAnsi="Verdana"/>
        </w:rPr>
        <w:t>Pereira, Joana B</w:t>
      </w:r>
      <w:r w:rsidR="00201058" w:rsidRPr="002B0C38">
        <w:rPr>
          <w:rFonts w:ascii="Verdana" w:hAnsi="Verdana"/>
        </w:rPr>
        <w:t xml:space="preserve">. 2020. “Longitudinal Degeneration of the Basal Forebrain Predicts Subsequent Dementia in Parkinson’s Disease.” </w:t>
      </w:r>
      <w:r w:rsidR="00201058" w:rsidRPr="002B0C38">
        <w:rPr>
          <w:rFonts w:ascii="Verdana" w:hAnsi="Verdana"/>
          <w:i/>
          <w:iCs/>
        </w:rPr>
        <w:t>Neurobiology of Disease</w:t>
      </w:r>
      <w:r w:rsidR="00201058" w:rsidRPr="002B0C38">
        <w:rPr>
          <w:rFonts w:ascii="Verdana" w:hAnsi="Verdana"/>
        </w:rPr>
        <w:t xml:space="preserve"> 139: 104831.</w:t>
      </w:r>
    </w:p>
    <w:p w14:paraId="634D3CC0" w14:textId="0166B3AF" w:rsidR="00282252" w:rsidRPr="002B0C38" w:rsidRDefault="00201058" w:rsidP="00655323">
      <w:pPr>
        <w:pStyle w:val="Bibliography"/>
        <w:jc w:val="both"/>
        <w:rPr>
          <w:rFonts w:ascii="Verdana" w:hAnsi="Verdana"/>
        </w:rPr>
      </w:pPr>
      <w:r w:rsidRPr="002B0C38">
        <w:rPr>
          <w:rFonts w:ascii="Verdana" w:hAnsi="Verdana"/>
        </w:rPr>
        <w:t xml:space="preserve">Perry, E K et al. 1978. “Correlation of Cholinergic Abnormalities with Senile Plaques and Mental Test Scores in Senile Dementia.” </w:t>
      </w:r>
      <w:r w:rsidRPr="002B0C38">
        <w:rPr>
          <w:rFonts w:ascii="Verdana" w:hAnsi="Verdana"/>
          <w:i/>
          <w:iCs/>
        </w:rPr>
        <w:t>BMJ</w:t>
      </w:r>
      <w:r w:rsidRPr="002B0C38">
        <w:rPr>
          <w:rFonts w:ascii="Verdana" w:hAnsi="Verdana"/>
        </w:rPr>
        <w:t xml:space="preserve"> 2(6150): 1457–59.</w:t>
      </w:r>
    </w:p>
    <w:p w14:paraId="53B57FB3" w14:textId="77777777" w:rsidR="00443388" w:rsidRDefault="006106DA" w:rsidP="00655323">
      <w:pPr>
        <w:spacing w:after="0"/>
        <w:ind w:firstLine="0"/>
        <w:jc w:val="both"/>
        <w:rPr>
          <w:rFonts w:ascii="Verdana" w:hAnsi="Verdana"/>
        </w:rPr>
      </w:pPr>
      <w:r w:rsidRPr="002B0C38">
        <w:rPr>
          <w:rFonts w:ascii="Verdana" w:hAnsi="Verdana"/>
        </w:rPr>
        <w:t>Pham</w:t>
      </w:r>
      <w:r w:rsidR="003907BA" w:rsidRPr="002B0C38">
        <w:rPr>
          <w:rFonts w:ascii="Verdana" w:hAnsi="Verdana"/>
        </w:rPr>
        <w:t>, TT et al. 2010.  “DJ-1-deficient mice show less TH-positive neurons in</w:t>
      </w:r>
    </w:p>
    <w:p w14:paraId="0B8FFA2B" w14:textId="55238E08" w:rsidR="006106DA" w:rsidRPr="002B0C38" w:rsidRDefault="003907BA" w:rsidP="00655323">
      <w:pPr>
        <w:spacing w:after="0"/>
        <w:ind w:left="720" w:firstLine="0"/>
        <w:jc w:val="both"/>
        <w:rPr>
          <w:rFonts w:ascii="Verdana" w:hAnsi="Verdana"/>
        </w:rPr>
      </w:pPr>
      <w:r w:rsidRPr="002B0C38">
        <w:rPr>
          <w:rFonts w:ascii="Verdana" w:hAnsi="Verdana"/>
        </w:rPr>
        <w:t xml:space="preserve">the ventral tegmental area and exhibit non-motoric behavioural impairments.” </w:t>
      </w:r>
      <w:r w:rsidRPr="002B0C38">
        <w:rPr>
          <w:rFonts w:ascii="Verdana" w:hAnsi="Verdana"/>
          <w:i/>
          <w:iCs/>
        </w:rPr>
        <w:t>Genes, brain, and behavior</w:t>
      </w:r>
      <w:r w:rsidRPr="002B0C38">
        <w:rPr>
          <w:rFonts w:ascii="Verdana" w:hAnsi="Verdana"/>
        </w:rPr>
        <w:t xml:space="preserve"> 9(3): 305–317.</w:t>
      </w:r>
    </w:p>
    <w:p w14:paraId="4CD3EE7C" w14:textId="77777777" w:rsidR="00201058" w:rsidRPr="002B0C38" w:rsidRDefault="00201058" w:rsidP="00655323">
      <w:pPr>
        <w:pStyle w:val="Bibliography"/>
        <w:jc w:val="both"/>
        <w:rPr>
          <w:rFonts w:ascii="Verdana" w:hAnsi="Verdana"/>
        </w:rPr>
      </w:pPr>
      <w:r w:rsidRPr="002B0C38">
        <w:rPr>
          <w:rFonts w:ascii="Verdana" w:hAnsi="Verdana"/>
        </w:rPr>
        <w:t xml:space="preserve">Picillo, Marina et al. 2017. “The Relevance of Gender in Parkinson’s Disease: A Review.” </w:t>
      </w:r>
      <w:r w:rsidRPr="002B0C38">
        <w:rPr>
          <w:rFonts w:ascii="Verdana" w:hAnsi="Verdana"/>
          <w:i/>
          <w:iCs/>
        </w:rPr>
        <w:t>Journal of Neurology</w:t>
      </w:r>
      <w:r w:rsidRPr="002B0C38">
        <w:rPr>
          <w:rFonts w:ascii="Verdana" w:hAnsi="Verdana"/>
        </w:rPr>
        <w:t xml:space="preserve"> 264(8): 1583–1607.</w:t>
      </w:r>
    </w:p>
    <w:p w14:paraId="7970DC44" w14:textId="5E854637" w:rsidR="00201058" w:rsidRPr="002B0C38" w:rsidRDefault="00201058" w:rsidP="00655323">
      <w:pPr>
        <w:pStyle w:val="Bibliography"/>
        <w:jc w:val="both"/>
        <w:rPr>
          <w:rFonts w:ascii="Verdana" w:hAnsi="Verdana"/>
        </w:rPr>
      </w:pPr>
      <w:r w:rsidRPr="002B0C38">
        <w:rPr>
          <w:rFonts w:ascii="Verdana" w:hAnsi="Verdana"/>
        </w:rPr>
        <w:t xml:space="preserve">Pigott, Kara et al. 2015. “Longitudinal Study of Normal Cognition in Parkinson Disease.” </w:t>
      </w:r>
      <w:r w:rsidRPr="002B0C38">
        <w:rPr>
          <w:rFonts w:ascii="Verdana" w:hAnsi="Verdana"/>
          <w:i/>
          <w:iCs/>
        </w:rPr>
        <w:t>Neurology</w:t>
      </w:r>
      <w:r w:rsidRPr="002B0C38">
        <w:rPr>
          <w:rFonts w:ascii="Verdana" w:hAnsi="Verdana"/>
        </w:rPr>
        <w:t xml:space="preserve"> 85(15): 1276–82.</w:t>
      </w:r>
    </w:p>
    <w:p w14:paraId="797B0DBB" w14:textId="77777777" w:rsidR="00443388" w:rsidRDefault="001C3DDF" w:rsidP="00655323">
      <w:pPr>
        <w:spacing w:after="0"/>
        <w:ind w:firstLine="0"/>
        <w:jc w:val="both"/>
        <w:rPr>
          <w:rFonts w:ascii="Verdana" w:hAnsi="Verdana"/>
          <w:i/>
          <w:iCs/>
        </w:rPr>
      </w:pPr>
      <w:r w:rsidRPr="002B0C38">
        <w:rPr>
          <w:rFonts w:ascii="Verdana" w:hAnsi="Verdana"/>
        </w:rPr>
        <w:t>Poewe</w:t>
      </w:r>
      <w:r w:rsidR="00B738E9" w:rsidRPr="002B0C38">
        <w:rPr>
          <w:rFonts w:ascii="Verdana" w:hAnsi="Verdana"/>
        </w:rPr>
        <w:t xml:space="preserve">, Werner et al. 2017. “Parkinson disease.” </w:t>
      </w:r>
      <w:r w:rsidR="006D537F" w:rsidRPr="002B0C38">
        <w:rPr>
          <w:rFonts w:ascii="Verdana" w:hAnsi="Verdana"/>
          <w:i/>
          <w:iCs/>
        </w:rPr>
        <w:t xml:space="preserve">Nature </w:t>
      </w:r>
      <w:r w:rsidR="000C6C01" w:rsidRPr="002B0C38">
        <w:rPr>
          <w:rFonts w:ascii="Verdana" w:hAnsi="Verdana"/>
          <w:i/>
          <w:iCs/>
        </w:rPr>
        <w:t>r</w:t>
      </w:r>
      <w:r w:rsidR="006D537F" w:rsidRPr="002B0C38">
        <w:rPr>
          <w:rFonts w:ascii="Verdana" w:hAnsi="Verdana"/>
          <w:i/>
          <w:iCs/>
        </w:rPr>
        <w:t>eviews</w:t>
      </w:r>
      <w:r w:rsidR="000C6C01" w:rsidRPr="002B0C38">
        <w:rPr>
          <w:rFonts w:ascii="Verdana" w:hAnsi="Verdana"/>
          <w:i/>
          <w:iCs/>
        </w:rPr>
        <w:t>.</w:t>
      </w:r>
      <w:r w:rsidR="006D537F" w:rsidRPr="002B0C38">
        <w:rPr>
          <w:rFonts w:ascii="Verdana" w:hAnsi="Verdana"/>
          <w:i/>
          <w:iCs/>
        </w:rPr>
        <w:t xml:space="preserve"> Disease</w:t>
      </w:r>
    </w:p>
    <w:p w14:paraId="39E385BF" w14:textId="53DDA7CC" w:rsidR="001C3DDF" w:rsidRPr="002B0C38" w:rsidRDefault="006D537F" w:rsidP="00655323">
      <w:pPr>
        <w:jc w:val="both"/>
        <w:rPr>
          <w:rFonts w:ascii="Verdana" w:hAnsi="Verdana"/>
        </w:rPr>
      </w:pPr>
      <w:r w:rsidRPr="002B0C38">
        <w:rPr>
          <w:rFonts w:ascii="Verdana" w:hAnsi="Verdana"/>
          <w:i/>
          <w:iCs/>
        </w:rPr>
        <w:t xml:space="preserve"> </w:t>
      </w:r>
      <w:r w:rsidR="000C6C01" w:rsidRPr="002B0C38">
        <w:rPr>
          <w:rFonts w:ascii="Verdana" w:hAnsi="Verdana"/>
          <w:i/>
          <w:iCs/>
        </w:rPr>
        <w:t>p</w:t>
      </w:r>
      <w:r w:rsidRPr="002B0C38">
        <w:rPr>
          <w:rFonts w:ascii="Verdana" w:hAnsi="Verdana"/>
          <w:i/>
          <w:iCs/>
        </w:rPr>
        <w:t xml:space="preserve">rimers </w:t>
      </w:r>
      <w:r w:rsidRPr="002B0C38">
        <w:rPr>
          <w:rFonts w:ascii="Verdana" w:hAnsi="Verdana"/>
        </w:rPr>
        <w:t>3(1):</w:t>
      </w:r>
      <w:r w:rsidR="000C6C01" w:rsidRPr="002B0C38">
        <w:rPr>
          <w:rFonts w:ascii="Verdana" w:hAnsi="Verdana"/>
        </w:rPr>
        <w:t>17013</w:t>
      </w:r>
    </w:p>
    <w:p w14:paraId="79BF1902" w14:textId="77777777" w:rsidR="00201058" w:rsidRPr="002B0C38" w:rsidRDefault="00201058" w:rsidP="00655323">
      <w:pPr>
        <w:pStyle w:val="Bibliography"/>
        <w:jc w:val="both"/>
        <w:rPr>
          <w:rFonts w:ascii="Verdana" w:hAnsi="Verdana"/>
        </w:rPr>
      </w:pPr>
      <w:r w:rsidRPr="002B0C38">
        <w:rPr>
          <w:rFonts w:ascii="Verdana" w:hAnsi="Verdana"/>
        </w:rPr>
        <w:t xml:space="preserve">Polinski, Nicole K. et al. 2018. “Best Practices for Generating and Using Alpha-Synuclein Pre-Formed Fibrils to Model Parkinson’s Disease in Rodents.” </w:t>
      </w:r>
      <w:r w:rsidRPr="002B0C38">
        <w:rPr>
          <w:rFonts w:ascii="Verdana" w:hAnsi="Verdana"/>
          <w:i/>
          <w:iCs/>
        </w:rPr>
        <w:t>Journal of Parkinson’s Disease</w:t>
      </w:r>
      <w:r w:rsidRPr="002B0C38">
        <w:rPr>
          <w:rFonts w:ascii="Verdana" w:hAnsi="Verdana"/>
        </w:rPr>
        <w:t xml:space="preserve"> 8(2): 303–22.</w:t>
      </w:r>
    </w:p>
    <w:p w14:paraId="332F48C1" w14:textId="77777777" w:rsidR="00201058" w:rsidRPr="002B0C38" w:rsidRDefault="00201058" w:rsidP="00655323">
      <w:pPr>
        <w:pStyle w:val="Bibliography"/>
        <w:jc w:val="both"/>
        <w:rPr>
          <w:rFonts w:ascii="Verdana" w:hAnsi="Verdana"/>
        </w:rPr>
      </w:pPr>
      <w:r w:rsidRPr="002B0C38">
        <w:rPr>
          <w:rFonts w:ascii="Verdana" w:hAnsi="Verdana"/>
        </w:rPr>
        <w:t xml:space="preserve">Polymeropoulos, Mihael H. et al. 1997. “Mutation in the α-Synuclein Gene Identified in Families with Parkinson’s Disease.” </w:t>
      </w:r>
      <w:r w:rsidRPr="002B0C38">
        <w:rPr>
          <w:rFonts w:ascii="Verdana" w:hAnsi="Verdana"/>
          <w:i/>
          <w:iCs/>
        </w:rPr>
        <w:t>Science</w:t>
      </w:r>
      <w:r w:rsidRPr="002B0C38">
        <w:rPr>
          <w:rFonts w:ascii="Verdana" w:hAnsi="Verdana"/>
        </w:rPr>
        <w:t xml:space="preserve"> 276(5321): 2045–47.</w:t>
      </w:r>
    </w:p>
    <w:p w14:paraId="3806E4A9" w14:textId="77777777" w:rsidR="00201058" w:rsidRPr="002B0C38" w:rsidRDefault="00201058" w:rsidP="00655323">
      <w:pPr>
        <w:pStyle w:val="Bibliography"/>
        <w:jc w:val="both"/>
        <w:rPr>
          <w:rFonts w:ascii="Verdana" w:hAnsi="Verdana"/>
        </w:rPr>
      </w:pPr>
      <w:r w:rsidRPr="002B0C38">
        <w:rPr>
          <w:rFonts w:ascii="Verdana" w:hAnsi="Verdana"/>
        </w:rPr>
        <w:t xml:space="preserve">Postuma, Ronald B. et al. 2015. “MDS Clinical Diagnostic Criteria for Parkinson’s Disease: MDS-PD Clinical Diagnostic Criteria.” </w:t>
      </w:r>
      <w:r w:rsidRPr="002B0C38">
        <w:rPr>
          <w:rFonts w:ascii="Verdana" w:hAnsi="Verdana"/>
          <w:i/>
          <w:iCs/>
        </w:rPr>
        <w:t>Movement Disorders</w:t>
      </w:r>
      <w:r w:rsidRPr="002B0C38">
        <w:rPr>
          <w:rFonts w:ascii="Verdana" w:hAnsi="Verdana"/>
        </w:rPr>
        <w:t xml:space="preserve"> 30(12): 1591–1601.</w:t>
      </w:r>
    </w:p>
    <w:p w14:paraId="7B7F0B58" w14:textId="77777777" w:rsidR="00201058" w:rsidRPr="002B0C38" w:rsidRDefault="00201058" w:rsidP="00655323">
      <w:pPr>
        <w:pStyle w:val="Bibliography"/>
        <w:jc w:val="both"/>
        <w:rPr>
          <w:rFonts w:ascii="Verdana" w:hAnsi="Verdana"/>
        </w:rPr>
      </w:pPr>
      <w:r w:rsidRPr="002B0C38">
        <w:rPr>
          <w:rFonts w:ascii="Verdana" w:hAnsi="Verdana"/>
        </w:rPr>
        <w:t xml:space="preserve">Ramsey, Chenere P. et al. 2007. “Expression of Nrf2 in Neurodegenerative Diseases:” </w:t>
      </w:r>
      <w:r w:rsidRPr="002B0C38">
        <w:rPr>
          <w:rFonts w:ascii="Verdana" w:hAnsi="Verdana"/>
          <w:i/>
          <w:iCs/>
        </w:rPr>
        <w:t>Journal of Neuropathology and Experimental Neurology</w:t>
      </w:r>
      <w:r w:rsidRPr="002B0C38">
        <w:rPr>
          <w:rFonts w:ascii="Verdana" w:hAnsi="Verdana"/>
        </w:rPr>
        <w:t xml:space="preserve"> 66(1): 75–85.</w:t>
      </w:r>
    </w:p>
    <w:p w14:paraId="53E33B02"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Reiszadeh Jahromi, Samaneh, S. R. Ramesh, David I. Finkelstein, and Mohammad Haddadi. 2021. “α-Synuclein E46K Mutation and Involvement of Oxidative Stress in a Drosophila Model of Parkinson’s Disease” ed. Hélio Teive. </w:t>
      </w:r>
      <w:r w:rsidRPr="002B0C38">
        <w:rPr>
          <w:rFonts w:ascii="Verdana" w:hAnsi="Verdana"/>
          <w:i/>
          <w:iCs/>
        </w:rPr>
        <w:t>Parkinson’s Disease</w:t>
      </w:r>
      <w:r w:rsidRPr="002B0C38">
        <w:rPr>
          <w:rFonts w:ascii="Verdana" w:hAnsi="Verdana"/>
        </w:rPr>
        <w:t xml:space="preserve"> 2021: 1–12.</w:t>
      </w:r>
    </w:p>
    <w:p w14:paraId="4F5BA84C" w14:textId="77777777" w:rsidR="00201058" w:rsidRPr="002B0C38" w:rsidRDefault="00201058" w:rsidP="00655323">
      <w:pPr>
        <w:pStyle w:val="Bibliography"/>
        <w:jc w:val="both"/>
        <w:rPr>
          <w:rFonts w:ascii="Verdana" w:hAnsi="Verdana"/>
        </w:rPr>
      </w:pPr>
      <w:r w:rsidRPr="002B0C38">
        <w:rPr>
          <w:rFonts w:ascii="Verdana" w:hAnsi="Verdana"/>
        </w:rPr>
        <w:t xml:space="preserve">Reuss, Bernhard, and Klaus Unsicker. 2000. “Survival and Differentiation of Dopaminergic Mesencephalic Neurons Are Promoted by Dopamine-Mediated Induction of FGF-2 in Striatal Astroglial Cells.” </w:t>
      </w:r>
      <w:r w:rsidRPr="002B0C38">
        <w:rPr>
          <w:rFonts w:ascii="Verdana" w:hAnsi="Verdana"/>
          <w:i/>
          <w:iCs/>
        </w:rPr>
        <w:t>Molecular and Cellular Neuroscience</w:t>
      </w:r>
      <w:r w:rsidRPr="002B0C38">
        <w:rPr>
          <w:rFonts w:ascii="Verdana" w:hAnsi="Verdana"/>
        </w:rPr>
        <w:t xml:space="preserve"> 16(6): 781–92.</w:t>
      </w:r>
    </w:p>
    <w:p w14:paraId="0A544D05" w14:textId="77777777" w:rsidR="00201058" w:rsidRPr="002B0C38" w:rsidRDefault="00201058" w:rsidP="00655323">
      <w:pPr>
        <w:pStyle w:val="Bibliography"/>
        <w:jc w:val="both"/>
        <w:rPr>
          <w:rFonts w:ascii="Verdana" w:hAnsi="Verdana"/>
        </w:rPr>
      </w:pPr>
      <w:r w:rsidRPr="002B0C38">
        <w:rPr>
          <w:rFonts w:ascii="Verdana" w:hAnsi="Verdana"/>
        </w:rPr>
        <w:t xml:space="preserve">Rinne, Juha O., Jaana Rummukainen Mlic, Leo Paljärvi, and Urpo K. Rinne. 1989. “Dementia in Parkinson’s Disease Is Related to Neuronal Loss in the Medial Substantia Nigra: Dementia in Nigral Degeneration.” </w:t>
      </w:r>
      <w:r w:rsidRPr="002B0C38">
        <w:rPr>
          <w:rFonts w:ascii="Verdana" w:hAnsi="Verdana"/>
          <w:i/>
          <w:iCs/>
        </w:rPr>
        <w:t>Annals of Neurology</w:t>
      </w:r>
      <w:r w:rsidRPr="002B0C38">
        <w:rPr>
          <w:rFonts w:ascii="Verdana" w:hAnsi="Verdana"/>
        </w:rPr>
        <w:t xml:space="preserve"> 26(1): 47–50.</w:t>
      </w:r>
    </w:p>
    <w:p w14:paraId="5F1B7163" w14:textId="77777777" w:rsidR="00201058" w:rsidRPr="002B0C38" w:rsidRDefault="00201058" w:rsidP="00655323">
      <w:pPr>
        <w:pStyle w:val="Bibliography"/>
        <w:jc w:val="both"/>
        <w:rPr>
          <w:rFonts w:ascii="Verdana" w:hAnsi="Verdana"/>
        </w:rPr>
      </w:pPr>
      <w:r w:rsidRPr="002B0C38">
        <w:rPr>
          <w:rFonts w:ascii="Verdana" w:hAnsi="Verdana"/>
        </w:rPr>
        <w:t>Rodrigues, Lais S. et al. 2014. “Olfactory Impairment in the Rotenone Model of Parkinsonâ€</w:t>
      </w:r>
      <w:r w:rsidRPr="002B0C38">
        <w:rPr>
          <w:rFonts w:ascii="Verdana" w:hAnsi="Verdana"/>
          <w:vertAlign w:val="superscript"/>
        </w:rPr>
        <w:t>TM</w:t>
      </w:r>
      <w:r w:rsidRPr="002B0C38">
        <w:rPr>
          <w:rFonts w:ascii="Verdana" w:hAnsi="Verdana"/>
        </w:rPr>
        <w:t xml:space="preserve">s Disease Is Associated with Bulbar Dopaminergic D2 Activity after REM Sleep Deprivation.” </w:t>
      </w:r>
      <w:r w:rsidRPr="002B0C38">
        <w:rPr>
          <w:rFonts w:ascii="Verdana" w:hAnsi="Verdana"/>
          <w:i/>
          <w:iCs/>
        </w:rPr>
        <w:t>Frontiers in Cellular Neuroscience</w:t>
      </w:r>
      <w:r w:rsidRPr="002B0C38">
        <w:rPr>
          <w:rFonts w:ascii="Verdana" w:hAnsi="Verdana"/>
        </w:rPr>
        <w:t xml:space="preserve"> 8. http://journal.frontiersin.org/article/10.3389/fncel.2014.00383/abstract (February 14, 2023).</w:t>
      </w:r>
    </w:p>
    <w:p w14:paraId="3AD9C220" w14:textId="4F3A5D10" w:rsidR="00201058" w:rsidRPr="002B0C38" w:rsidRDefault="00201058" w:rsidP="00655323">
      <w:pPr>
        <w:pStyle w:val="Bibliography"/>
        <w:jc w:val="both"/>
        <w:rPr>
          <w:rFonts w:ascii="Verdana" w:hAnsi="Verdana"/>
        </w:rPr>
      </w:pPr>
      <w:r w:rsidRPr="002B0C38">
        <w:rPr>
          <w:rFonts w:ascii="Verdana" w:hAnsi="Verdana"/>
        </w:rPr>
        <w:t xml:space="preserve">Rodriguez, Jose A. et al. 2015. “Structure of the Toxic Core of α-Synuclein from Invisible Crystals.” </w:t>
      </w:r>
      <w:r w:rsidRPr="002B0C38">
        <w:rPr>
          <w:rFonts w:ascii="Verdana" w:hAnsi="Verdana"/>
          <w:i/>
          <w:iCs/>
        </w:rPr>
        <w:t>Nature</w:t>
      </w:r>
      <w:r w:rsidRPr="002B0C38">
        <w:rPr>
          <w:rFonts w:ascii="Verdana" w:hAnsi="Verdana"/>
        </w:rPr>
        <w:t xml:space="preserve"> 525(7570): 486–90.</w:t>
      </w:r>
    </w:p>
    <w:p w14:paraId="0C593F51" w14:textId="77777777" w:rsidR="00DE3B3E" w:rsidRPr="00B42DE8" w:rsidRDefault="009B481B" w:rsidP="00655323">
      <w:pPr>
        <w:spacing w:after="0"/>
        <w:ind w:firstLine="0"/>
        <w:jc w:val="both"/>
        <w:rPr>
          <w:rFonts w:ascii="Verdana" w:hAnsi="Verdana"/>
          <w:spacing w:val="12"/>
        </w:rPr>
      </w:pPr>
      <w:r w:rsidRPr="00B42DE8">
        <w:rPr>
          <w:rFonts w:ascii="Verdana" w:hAnsi="Verdana"/>
          <w:spacing w:val="12"/>
        </w:rPr>
        <w:t>Romo-Guti</w:t>
      </w:r>
      <w:r w:rsidR="004D4AF8" w:rsidRPr="00B42DE8">
        <w:rPr>
          <w:rFonts w:ascii="Verdana" w:hAnsi="Verdana"/>
          <w:spacing w:val="12"/>
        </w:rPr>
        <w:t>é</w:t>
      </w:r>
      <w:r w:rsidRPr="00B42DE8">
        <w:rPr>
          <w:rFonts w:ascii="Verdana" w:hAnsi="Verdana"/>
          <w:spacing w:val="12"/>
        </w:rPr>
        <w:t>rrez</w:t>
      </w:r>
      <w:r w:rsidR="004D4AF8" w:rsidRPr="00B42DE8">
        <w:rPr>
          <w:rFonts w:ascii="Verdana" w:hAnsi="Verdana"/>
          <w:spacing w:val="12"/>
        </w:rPr>
        <w:t xml:space="preserve">, Diego </w:t>
      </w:r>
      <w:r w:rsidR="00CD0518" w:rsidRPr="00B42DE8">
        <w:rPr>
          <w:rFonts w:ascii="Verdana" w:hAnsi="Verdana"/>
          <w:spacing w:val="12"/>
        </w:rPr>
        <w:t>2015. “Factores genéticos de la demencia en la</w:t>
      </w:r>
    </w:p>
    <w:p w14:paraId="5E43318E" w14:textId="56DEC91C" w:rsidR="00CD0518" w:rsidRPr="002B0C38" w:rsidRDefault="00CD0518" w:rsidP="00DE3B3E">
      <w:pPr>
        <w:spacing w:after="240"/>
        <w:ind w:left="720" w:firstLine="0"/>
        <w:jc w:val="both"/>
        <w:rPr>
          <w:rFonts w:ascii="Verdana" w:hAnsi="Verdana"/>
        </w:rPr>
      </w:pPr>
      <w:r w:rsidRPr="002B0C38">
        <w:rPr>
          <w:rFonts w:ascii="Verdana" w:hAnsi="Verdana"/>
        </w:rPr>
        <w:t xml:space="preserve">enfermedad de Parkinson (EP) [Genetic factors associated with dementia in Parkinson's disease (PD)].” </w:t>
      </w:r>
      <w:r w:rsidRPr="002B0C38">
        <w:rPr>
          <w:rFonts w:ascii="Verdana" w:hAnsi="Verdana"/>
          <w:i/>
          <w:iCs/>
        </w:rPr>
        <w:t>Gaceta medica de Mexico</w:t>
      </w:r>
      <w:r w:rsidRPr="002B0C38">
        <w:rPr>
          <w:rFonts w:ascii="Verdana" w:hAnsi="Verdana"/>
        </w:rPr>
        <w:t xml:space="preserve"> 151(1): 110–118.</w:t>
      </w:r>
    </w:p>
    <w:p w14:paraId="4EF91353" w14:textId="77777777" w:rsidR="00201058" w:rsidRPr="002B0C38" w:rsidRDefault="00201058" w:rsidP="00655323">
      <w:pPr>
        <w:pStyle w:val="Bibliography"/>
        <w:jc w:val="both"/>
        <w:rPr>
          <w:rFonts w:ascii="Verdana" w:hAnsi="Verdana"/>
        </w:rPr>
      </w:pPr>
      <w:r w:rsidRPr="002B0C38">
        <w:rPr>
          <w:rFonts w:ascii="Verdana" w:hAnsi="Verdana"/>
        </w:rPr>
        <w:t xml:space="preserve">Ross, Owen A. et al. 2008. “Genomic Investigation of α-Synuclein Multiplication and Parkinsonism.” </w:t>
      </w:r>
      <w:r w:rsidRPr="002B0C38">
        <w:rPr>
          <w:rFonts w:ascii="Verdana" w:hAnsi="Verdana"/>
          <w:i/>
          <w:iCs/>
        </w:rPr>
        <w:t>Annals of Neurology</w:t>
      </w:r>
      <w:r w:rsidRPr="002B0C38">
        <w:rPr>
          <w:rFonts w:ascii="Verdana" w:hAnsi="Verdana"/>
        </w:rPr>
        <w:t xml:space="preserve"> 63(6): 743–50.</w:t>
      </w:r>
    </w:p>
    <w:p w14:paraId="44673EDA" w14:textId="77777777" w:rsidR="00201058" w:rsidRPr="002B0C38" w:rsidRDefault="00201058" w:rsidP="00655323">
      <w:pPr>
        <w:pStyle w:val="Bibliography"/>
        <w:jc w:val="both"/>
        <w:rPr>
          <w:rFonts w:ascii="Verdana" w:hAnsi="Verdana"/>
        </w:rPr>
      </w:pPr>
      <w:r w:rsidRPr="002B0C38">
        <w:rPr>
          <w:rFonts w:ascii="Verdana" w:hAnsi="Verdana"/>
        </w:rPr>
        <w:t xml:space="preserve">Rousseaux, Maxime W. C. et al. 2012. “Progressive Dopaminergic Cell Loss with Unilateral-to-Bilateral Progression in a Genetic Model of Parkinson Disease.” </w:t>
      </w:r>
      <w:r w:rsidRPr="002B0C38">
        <w:rPr>
          <w:rFonts w:ascii="Verdana" w:hAnsi="Verdana"/>
          <w:i/>
          <w:iCs/>
        </w:rPr>
        <w:t>Proceedings of the National Academy of Sciences</w:t>
      </w:r>
      <w:r w:rsidRPr="002B0C38">
        <w:rPr>
          <w:rFonts w:ascii="Verdana" w:hAnsi="Verdana"/>
        </w:rPr>
        <w:t xml:space="preserve"> 109(39): 15918–23.</w:t>
      </w:r>
    </w:p>
    <w:p w14:paraId="47E31A05" w14:textId="77777777" w:rsidR="00201058" w:rsidRPr="002B0C38" w:rsidRDefault="00201058" w:rsidP="00655323">
      <w:pPr>
        <w:pStyle w:val="Bibliography"/>
        <w:jc w:val="both"/>
        <w:rPr>
          <w:rFonts w:ascii="Verdana" w:hAnsi="Verdana"/>
        </w:rPr>
      </w:pPr>
      <w:r w:rsidRPr="002B0C38">
        <w:rPr>
          <w:rFonts w:ascii="Verdana" w:hAnsi="Verdana"/>
        </w:rPr>
        <w:t xml:space="preserve">Sampson, Timothy R et al. 2020. “A Gut Bacterial Amyloid Promotes α-Synuclein Aggregation and Motor Impairment in Mice.” </w:t>
      </w:r>
      <w:r w:rsidRPr="002B0C38">
        <w:rPr>
          <w:rFonts w:ascii="Verdana" w:hAnsi="Verdana"/>
          <w:i/>
          <w:iCs/>
        </w:rPr>
        <w:t>eLife</w:t>
      </w:r>
      <w:r w:rsidRPr="002B0C38">
        <w:rPr>
          <w:rFonts w:ascii="Verdana" w:hAnsi="Verdana"/>
        </w:rPr>
        <w:t xml:space="preserve"> 9: e53111.</w:t>
      </w:r>
    </w:p>
    <w:p w14:paraId="6E6A1013" w14:textId="77777777" w:rsidR="00201058" w:rsidRPr="002B0C38" w:rsidRDefault="00201058" w:rsidP="00655323">
      <w:pPr>
        <w:pStyle w:val="Bibliography"/>
        <w:jc w:val="both"/>
        <w:rPr>
          <w:rFonts w:ascii="Verdana" w:hAnsi="Verdana"/>
        </w:rPr>
      </w:pPr>
      <w:r w:rsidRPr="002B0C38">
        <w:rPr>
          <w:rFonts w:ascii="Verdana" w:hAnsi="Verdana"/>
        </w:rPr>
        <w:t xml:space="preserve">Santangelo, Gabriella et al. 2015. “Mild Cognitive Impairment in Newly Diagnosed Parkinson’s Disease: A Longitudinal Prospective Study.” </w:t>
      </w:r>
      <w:r w:rsidRPr="002B0C38">
        <w:rPr>
          <w:rFonts w:ascii="Verdana" w:hAnsi="Verdana"/>
          <w:i/>
          <w:iCs/>
        </w:rPr>
        <w:t>Parkinsonism &amp; Related Disorders</w:t>
      </w:r>
      <w:r w:rsidRPr="002B0C38">
        <w:rPr>
          <w:rFonts w:ascii="Verdana" w:hAnsi="Verdana"/>
        </w:rPr>
        <w:t xml:space="preserve"> 21(10): 1219–26.</w:t>
      </w:r>
    </w:p>
    <w:p w14:paraId="75F79612" w14:textId="77777777" w:rsidR="00201058" w:rsidRPr="002B0C38" w:rsidRDefault="00201058" w:rsidP="00655323">
      <w:pPr>
        <w:pStyle w:val="Bibliography"/>
        <w:jc w:val="both"/>
        <w:rPr>
          <w:rFonts w:ascii="Verdana" w:hAnsi="Verdana"/>
        </w:rPr>
      </w:pPr>
      <w:r w:rsidRPr="002B0C38">
        <w:rPr>
          <w:rFonts w:ascii="Verdana" w:hAnsi="Verdana"/>
        </w:rPr>
        <w:t xml:space="preserve">Sasikumar, Sanskriti, and Antonio P. Strafella. 2020. “Imaging Mild Cognitive Impairment and Dementia in Parkinson’s Disease.” </w:t>
      </w:r>
      <w:r w:rsidRPr="002B0C38">
        <w:rPr>
          <w:rFonts w:ascii="Verdana" w:hAnsi="Verdana"/>
          <w:i/>
          <w:iCs/>
        </w:rPr>
        <w:t>Frontiers in Neurology</w:t>
      </w:r>
      <w:r w:rsidRPr="002B0C38">
        <w:rPr>
          <w:rFonts w:ascii="Verdana" w:hAnsi="Verdana"/>
        </w:rPr>
        <w:t xml:space="preserve"> 11: 47.</w:t>
      </w:r>
    </w:p>
    <w:p w14:paraId="36452368" w14:textId="77777777" w:rsidR="00201058" w:rsidRPr="002B0C38" w:rsidRDefault="00201058" w:rsidP="00655323">
      <w:pPr>
        <w:pStyle w:val="Bibliography"/>
        <w:jc w:val="both"/>
        <w:rPr>
          <w:rFonts w:ascii="Verdana" w:hAnsi="Verdana"/>
        </w:rPr>
      </w:pPr>
      <w:r w:rsidRPr="002B0C38">
        <w:rPr>
          <w:rFonts w:ascii="Verdana" w:hAnsi="Verdana"/>
        </w:rPr>
        <w:t>Sathian, K, J Green, J L Vitek, and M R DeLong. “Tactile Spatial Acuity and Roughness Discrimination:”</w:t>
      </w:r>
    </w:p>
    <w:p w14:paraId="156C11CB" w14:textId="3A21CDFC" w:rsidR="00201058" w:rsidRPr="002B0C38" w:rsidRDefault="00201058" w:rsidP="00655323">
      <w:pPr>
        <w:pStyle w:val="Bibliography"/>
        <w:jc w:val="both"/>
        <w:rPr>
          <w:rFonts w:ascii="Verdana" w:hAnsi="Verdana"/>
        </w:rPr>
      </w:pPr>
      <w:r w:rsidRPr="002B0C38">
        <w:rPr>
          <w:rFonts w:ascii="Verdana" w:hAnsi="Verdana"/>
        </w:rPr>
        <w:lastRenderedPageBreak/>
        <w:t xml:space="preserve">Schaser, Allison J. et al. 2019. “Alpha-Synuclein Is a DNA Binding Protein That Modulates DNA Repair with Implications for Lewy Body Disorders.” </w:t>
      </w:r>
      <w:r w:rsidRPr="002B0C38">
        <w:rPr>
          <w:rFonts w:ascii="Verdana" w:hAnsi="Verdana"/>
          <w:i/>
          <w:iCs/>
        </w:rPr>
        <w:t>Scientific Reports</w:t>
      </w:r>
      <w:r w:rsidRPr="002B0C38">
        <w:rPr>
          <w:rFonts w:ascii="Verdana" w:hAnsi="Verdana"/>
        </w:rPr>
        <w:t xml:space="preserve"> 9(1): 10919.</w:t>
      </w:r>
    </w:p>
    <w:p w14:paraId="050771DA" w14:textId="77777777" w:rsidR="00D44B94" w:rsidRPr="002B0C38" w:rsidRDefault="007B61C4" w:rsidP="00655323">
      <w:pPr>
        <w:spacing w:after="0"/>
        <w:ind w:firstLine="0"/>
        <w:jc w:val="both"/>
        <w:rPr>
          <w:rFonts w:ascii="Verdana" w:hAnsi="Verdana"/>
        </w:rPr>
      </w:pPr>
      <w:r w:rsidRPr="002B0C38">
        <w:rPr>
          <w:rFonts w:ascii="Verdana" w:hAnsi="Verdana"/>
        </w:rPr>
        <w:t>Schipper, H</w:t>
      </w:r>
      <w:r w:rsidR="00E71DA6" w:rsidRPr="002B0C38">
        <w:rPr>
          <w:rFonts w:ascii="Verdana" w:hAnsi="Verdana"/>
        </w:rPr>
        <w:t>yman</w:t>
      </w:r>
      <w:r w:rsidRPr="002B0C38">
        <w:rPr>
          <w:rFonts w:ascii="Verdana" w:hAnsi="Verdana"/>
        </w:rPr>
        <w:t xml:space="preserve"> M.</w:t>
      </w:r>
      <w:r w:rsidR="00E71DA6" w:rsidRPr="002B0C38">
        <w:rPr>
          <w:rFonts w:ascii="Verdana" w:hAnsi="Verdana"/>
        </w:rPr>
        <w:t xml:space="preserve"> et al. </w:t>
      </w:r>
      <w:r w:rsidRPr="002B0C38">
        <w:rPr>
          <w:rFonts w:ascii="Verdana" w:hAnsi="Verdana"/>
        </w:rPr>
        <w:t xml:space="preserve">1998. </w:t>
      </w:r>
      <w:r w:rsidR="00E71DA6" w:rsidRPr="002B0C38">
        <w:rPr>
          <w:rFonts w:ascii="Verdana" w:hAnsi="Verdana"/>
        </w:rPr>
        <w:t>“</w:t>
      </w:r>
      <w:r w:rsidRPr="002B0C38">
        <w:rPr>
          <w:rFonts w:ascii="Verdana" w:hAnsi="Verdana"/>
        </w:rPr>
        <w:t xml:space="preserve">Neural heme oxygenase-1 expression in idiopathic Parkinson's </w:t>
      </w:r>
    </w:p>
    <w:p w14:paraId="3DE80035" w14:textId="0F8BE61C" w:rsidR="007B61C4" w:rsidRPr="002B0C38" w:rsidRDefault="007B61C4" w:rsidP="00655323">
      <w:pPr>
        <w:jc w:val="both"/>
        <w:rPr>
          <w:rFonts w:ascii="Verdana" w:hAnsi="Verdana"/>
        </w:rPr>
      </w:pPr>
      <w:r w:rsidRPr="002B0C38">
        <w:rPr>
          <w:rFonts w:ascii="Verdana" w:hAnsi="Verdana"/>
        </w:rPr>
        <w:t>disease.</w:t>
      </w:r>
      <w:r w:rsidR="00E71DA6" w:rsidRPr="002B0C38">
        <w:rPr>
          <w:rFonts w:ascii="Verdana" w:hAnsi="Verdana"/>
        </w:rPr>
        <w:t>”</w:t>
      </w:r>
      <w:r w:rsidRPr="002B0C38">
        <w:rPr>
          <w:rFonts w:ascii="Verdana" w:hAnsi="Verdana"/>
        </w:rPr>
        <w:t xml:space="preserve"> </w:t>
      </w:r>
      <w:r w:rsidRPr="002B0C38">
        <w:rPr>
          <w:rFonts w:ascii="Verdana" w:hAnsi="Verdana"/>
          <w:i/>
          <w:iCs/>
        </w:rPr>
        <w:t>Experimental neurology</w:t>
      </w:r>
      <w:r w:rsidRPr="002B0C38">
        <w:rPr>
          <w:rFonts w:ascii="Verdana" w:hAnsi="Verdana"/>
        </w:rPr>
        <w:t xml:space="preserve"> 150(1)</w:t>
      </w:r>
      <w:r w:rsidR="00D44B94" w:rsidRPr="002B0C38">
        <w:rPr>
          <w:rFonts w:ascii="Verdana" w:hAnsi="Verdana"/>
        </w:rPr>
        <w:t>:</w:t>
      </w:r>
      <w:r w:rsidRPr="002B0C38">
        <w:rPr>
          <w:rFonts w:ascii="Verdana" w:hAnsi="Verdana"/>
        </w:rPr>
        <w:t xml:space="preserve"> 60–68.</w:t>
      </w:r>
    </w:p>
    <w:p w14:paraId="6DF35762" w14:textId="77777777" w:rsidR="00201058" w:rsidRPr="002B0C38" w:rsidRDefault="00201058" w:rsidP="00655323">
      <w:pPr>
        <w:pStyle w:val="Bibliography"/>
        <w:jc w:val="both"/>
        <w:rPr>
          <w:rFonts w:ascii="Verdana" w:hAnsi="Verdana"/>
        </w:rPr>
      </w:pPr>
      <w:r w:rsidRPr="002B0C38">
        <w:rPr>
          <w:rFonts w:ascii="Verdana" w:hAnsi="Verdana"/>
        </w:rPr>
        <w:t xml:space="preserve">Schmit, Kristopher J et al. 2022. </w:t>
      </w:r>
      <w:r w:rsidRPr="002B0C38">
        <w:rPr>
          <w:rFonts w:ascii="Verdana" w:hAnsi="Verdana"/>
          <w:i/>
          <w:iCs/>
        </w:rPr>
        <w:t>Dietary Fibre Deprivation and Bacterial Curli Exposure Shift Gut Microbiome and Exacerbate Parkinson’s Disease-like Pathologies in an Alpha-Synuclein-Overexpressing Mouse</w:t>
      </w:r>
      <w:r w:rsidRPr="002B0C38">
        <w:rPr>
          <w:rFonts w:ascii="Verdana" w:hAnsi="Verdana"/>
        </w:rPr>
        <w:t>. Neuroscience. preprint. http://biorxiv.org/lookup/doi/10.1101/2022.03.21.485143 (December 13, 2022).</w:t>
      </w:r>
    </w:p>
    <w:p w14:paraId="2B6C451C" w14:textId="77777777" w:rsidR="00201058" w:rsidRPr="002B0C38" w:rsidRDefault="00201058" w:rsidP="00655323">
      <w:pPr>
        <w:pStyle w:val="Bibliography"/>
        <w:jc w:val="both"/>
        <w:rPr>
          <w:rFonts w:ascii="Verdana" w:hAnsi="Verdana"/>
        </w:rPr>
      </w:pPr>
      <w:r w:rsidRPr="002B0C38">
        <w:rPr>
          <w:rFonts w:ascii="Verdana" w:hAnsi="Verdana"/>
        </w:rPr>
        <w:t xml:space="preserve">Sekeres, Melanie J., Gordon Winocur, and Morris Moscovitch. 2018. “The Hippocampus and Related Neocortical Structures in Memory Transformation.” </w:t>
      </w:r>
      <w:r w:rsidRPr="002B0C38">
        <w:rPr>
          <w:rFonts w:ascii="Verdana" w:hAnsi="Verdana"/>
          <w:i/>
          <w:iCs/>
        </w:rPr>
        <w:t>Neuroscience Letters</w:t>
      </w:r>
      <w:r w:rsidRPr="002B0C38">
        <w:rPr>
          <w:rFonts w:ascii="Verdana" w:hAnsi="Verdana"/>
        </w:rPr>
        <w:t xml:space="preserve"> 680: 39–53.</w:t>
      </w:r>
    </w:p>
    <w:p w14:paraId="73A41C69" w14:textId="77777777" w:rsidR="00201058" w:rsidRPr="002B0C38" w:rsidRDefault="00201058" w:rsidP="00655323">
      <w:pPr>
        <w:pStyle w:val="Bibliography"/>
        <w:jc w:val="both"/>
        <w:rPr>
          <w:rFonts w:ascii="Verdana" w:hAnsi="Verdana"/>
        </w:rPr>
      </w:pPr>
      <w:r w:rsidRPr="002B0C38">
        <w:rPr>
          <w:rFonts w:ascii="Verdana" w:hAnsi="Verdana"/>
        </w:rPr>
        <w:t xml:space="preserve">Semchuk, K. M., E. J. Love, and R. G. Lee. 1992. “Parkinson’s Disease and Exposure to Agricultural Work and Pesticide Chemicals.” </w:t>
      </w:r>
      <w:r w:rsidRPr="002B0C38">
        <w:rPr>
          <w:rFonts w:ascii="Verdana" w:hAnsi="Verdana"/>
          <w:i/>
          <w:iCs/>
        </w:rPr>
        <w:t>Neurology</w:t>
      </w:r>
      <w:r w:rsidRPr="002B0C38">
        <w:rPr>
          <w:rFonts w:ascii="Verdana" w:hAnsi="Verdana"/>
        </w:rPr>
        <w:t xml:space="preserve"> 42(7): 1328–1328.</w:t>
      </w:r>
    </w:p>
    <w:p w14:paraId="79E2CECB" w14:textId="77777777" w:rsidR="00201058" w:rsidRPr="002B0C38" w:rsidRDefault="00201058" w:rsidP="00655323">
      <w:pPr>
        <w:pStyle w:val="Bibliography"/>
        <w:jc w:val="both"/>
        <w:rPr>
          <w:rFonts w:ascii="Verdana" w:hAnsi="Verdana"/>
        </w:rPr>
      </w:pPr>
      <w:r w:rsidRPr="002B0C38">
        <w:rPr>
          <w:rFonts w:ascii="Verdana" w:hAnsi="Verdana"/>
        </w:rPr>
        <w:t xml:space="preserve">Shahmoradian, Sarah H. et al. 2019. “Lewy Pathology in Parkinson’s Disease Consists of Crowded Organelles and Lipid Membranes.” </w:t>
      </w:r>
      <w:r w:rsidRPr="002B0C38">
        <w:rPr>
          <w:rFonts w:ascii="Verdana" w:hAnsi="Verdana"/>
          <w:i/>
          <w:iCs/>
        </w:rPr>
        <w:t>Nature Neuroscience</w:t>
      </w:r>
      <w:r w:rsidRPr="002B0C38">
        <w:rPr>
          <w:rFonts w:ascii="Verdana" w:hAnsi="Verdana"/>
        </w:rPr>
        <w:t xml:space="preserve"> 22(7): 1099–1109.</w:t>
      </w:r>
    </w:p>
    <w:p w14:paraId="0D243C42" w14:textId="77777777" w:rsidR="00201058" w:rsidRPr="002B0C38" w:rsidRDefault="00201058" w:rsidP="00655323">
      <w:pPr>
        <w:pStyle w:val="Bibliography"/>
        <w:jc w:val="both"/>
        <w:rPr>
          <w:rFonts w:ascii="Verdana" w:hAnsi="Verdana"/>
        </w:rPr>
      </w:pPr>
      <w:r w:rsidRPr="002B0C38">
        <w:rPr>
          <w:rFonts w:ascii="Verdana" w:hAnsi="Verdana"/>
        </w:rPr>
        <w:t xml:space="preserve">Shannon, Kathleen M. et al. 2012. “Alpha-Synuclein in Colonic Submucosa in Early Untreated Parkinson’s Disease: Colonic α-Synuclein in Parkinson’s Disease.” </w:t>
      </w:r>
      <w:r w:rsidRPr="002B0C38">
        <w:rPr>
          <w:rFonts w:ascii="Verdana" w:hAnsi="Verdana"/>
          <w:i/>
          <w:iCs/>
        </w:rPr>
        <w:t>Movement Disorders</w:t>
      </w:r>
      <w:r w:rsidRPr="002B0C38">
        <w:rPr>
          <w:rFonts w:ascii="Verdana" w:hAnsi="Verdana"/>
        </w:rPr>
        <w:t xml:space="preserve"> 27(6): 709–15.</w:t>
      </w:r>
    </w:p>
    <w:p w14:paraId="422862DA" w14:textId="77777777" w:rsidR="00201058" w:rsidRPr="002B0C38" w:rsidRDefault="00201058" w:rsidP="00655323">
      <w:pPr>
        <w:pStyle w:val="Bibliography"/>
        <w:jc w:val="both"/>
        <w:rPr>
          <w:rFonts w:ascii="Verdana" w:hAnsi="Verdana"/>
        </w:rPr>
      </w:pPr>
      <w:r w:rsidRPr="002B0C38">
        <w:rPr>
          <w:rFonts w:ascii="Verdana" w:hAnsi="Verdana"/>
        </w:rPr>
        <w:t xml:space="preserve">Sian, Jeswinder et al. 1994. “Alterations in Glutathione Levels in Parkinson’s Disease and Other Neurodegenerative Disorders Affecting Basal Ganglia.” </w:t>
      </w:r>
      <w:r w:rsidRPr="002B0C38">
        <w:rPr>
          <w:rFonts w:ascii="Verdana" w:hAnsi="Verdana"/>
          <w:i/>
          <w:iCs/>
        </w:rPr>
        <w:t>Annals of Neurology</w:t>
      </w:r>
      <w:r w:rsidRPr="002B0C38">
        <w:rPr>
          <w:rFonts w:ascii="Verdana" w:hAnsi="Verdana"/>
        </w:rPr>
        <w:t xml:space="preserve"> 36(3): 348–55.</w:t>
      </w:r>
    </w:p>
    <w:p w14:paraId="22652BD9" w14:textId="77777777" w:rsidR="00201058" w:rsidRPr="002B0C38" w:rsidRDefault="00201058" w:rsidP="00655323">
      <w:pPr>
        <w:pStyle w:val="Bibliography"/>
        <w:jc w:val="both"/>
        <w:rPr>
          <w:rFonts w:ascii="Verdana" w:hAnsi="Verdana"/>
        </w:rPr>
      </w:pPr>
      <w:r w:rsidRPr="002B0C38">
        <w:rPr>
          <w:rFonts w:ascii="Verdana" w:hAnsi="Verdana"/>
        </w:rPr>
        <w:t xml:space="preserve">Siddiqui, Almas et al. 2012. “Selective Binding of Nuclear Alpha-Synuclein to the PGC1alpha Promoter under Conditions of Oxidative Stress May Contribute to Losses in Mitochondrial Function: Implications for Parkinson’s Disease.” </w:t>
      </w:r>
      <w:r w:rsidRPr="002B0C38">
        <w:rPr>
          <w:rFonts w:ascii="Verdana" w:hAnsi="Verdana"/>
          <w:i/>
          <w:iCs/>
        </w:rPr>
        <w:t>Free Radical Biology and Medicine</w:t>
      </w:r>
      <w:r w:rsidRPr="002B0C38">
        <w:rPr>
          <w:rFonts w:ascii="Verdana" w:hAnsi="Verdana"/>
        </w:rPr>
        <w:t xml:space="preserve"> 53(4): 993–1003.</w:t>
      </w:r>
    </w:p>
    <w:p w14:paraId="1E4FF7D4" w14:textId="77777777" w:rsidR="00201058" w:rsidRPr="002B0C38" w:rsidRDefault="00201058" w:rsidP="00655323">
      <w:pPr>
        <w:pStyle w:val="Bibliography"/>
        <w:jc w:val="both"/>
        <w:rPr>
          <w:rFonts w:ascii="Verdana" w:hAnsi="Verdana"/>
        </w:rPr>
      </w:pPr>
      <w:r w:rsidRPr="002B0C38">
        <w:rPr>
          <w:rFonts w:ascii="Verdana" w:hAnsi="Verdana"/>
        </w:rPr>
        <w:t xml:space="preserve">da Silva, Franciele Cascaes et al. 2018. “Effects of Physical Exercise Programs on Cognitive Function in Parkinson’s Disease Patients: A Systematic Review of Randomized Controlled Trials of the Last 10 Years” ed. Stephen D Ginsberg. </w:t>
      </w:r>
      <w:r w:rsidRPr="002B0C38">
        <w:rPr>
          <w:rFonts w:ascii="Verdana" w:hAnsi="Verdana"/>
          <w:i/>
          <w:iCs/>
        </w:rPr>
        <w:t>PLOS ONE</w:t>
      </w:r>
      <w:r w:rsidRPr="002B0C38">
        <w:rPr>
          <w:rFonts w:ascii="Verdana" w:hAnsi="Verdana"/>
        </w:rPr>
        <w:t xml:space="preserve"> 13(2): e0193113.</w:t>
      </w:r>
    </w:p>
    <w:p w14:paraId="7CE34B3E" w14:textId="77777777" w:rsidR="00201058" w:rsidRPr="002B0C38" w:rsidRDefault="00201058" w:rsidP="00655323">
      <w:pPr>
        <w:pStyle w:val="Bibliography"/>
        <w:jc w:val="both"/>
        <w:rPr>
          <w:rFonts w:ascii="Verdana" w:hAnsi="Verdana"/>
        </w:rPr>
      </w:pPr>
      <w:r w:rsidRPr="002B0C38">
        <w:rPr>
          <w:rFonts w:ascii="Verdana" w:hAnsi="Verdana"/>
        </w:rPr>
        <w:t xml:space="preserve">Singleton, A. B. et al. 2003. “α-Synuclein Locus Triplication Causes Parkinson’s Disease.” </w:t>
      </w:r>
      <w:r w:rsidRPr="002B0C38">
        <w:rPr>
          <w:rFonts w:ascii="Verdana" w:hAnsi="Verdana"/>
          <w:i/>
          <w:iCs/>
        </w:rPr>
        <w:t>Science</w:t>
      </w:r>
      <w:r w:rsidRPr="002B0C38">
        <w:rPr>
          <w:rFonts w:ascii="Verdana" w:hAnsi="Verdana"/>
        </w:rPr>
        <w:t xml:space="preserve"> 302(5646): 841–841.</w:t>
      </w:r>
    </w:p>
    <w:p w14:paraId="36CA7173" w14:textId="77777777" w:rsidR="00201058" w:rsidRPr="002B0C38" w:rsidRDefault="00201058" w:rsidP="00655323">
      <w:pPr>
        <w:pStyle w:val="Bibliography"/>
        <w:jc w:val="both"/>
        <w:rPr>
          <w:rFonts w:ascii="Verdana" w:hAnsi="Verdana"/>
        </w:rPr>
      </w:pPr>
      <w:r w:rsidRPr="002B0C38">
        <w:rPr>
          <w:rFonts w:ascii="Verdana" w:hAnsi="Verdana"/>
        </w:rPr>
        <w:t xml:space="preserve">Smith, Callum et al. 2019. “Neuropathology of Dementia in Patients with Parkinson’s Disease: A Systematic Review of Autopsy Studies.” </w:t>
      </w:r>
      <w:r w:rsidRPr="002B0C38">
        <w:rPr>
          <w:rFonts w:ascii="Verdana" w:hAnsi="Verdana"/>
          <w:i/>
          <w:iCs/>
        </w:rPr>
        <w:t>Journal of Neurology, Neurosurgery &amp; Psychiatry</w:t>
      </w:r>
      <w:r w:rsidRPr="002B0C38">
        <w:rPr>
          <w:rFonts w:ascii="Verdana" w:hAnsi="Verdana"/>
        </w:rPr>
        <w:t>: jnnp-2019-321111.</w:t>
      </w:r>
    </w:p>
    <w:p w14:paraId="0F6F2039"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Sofroniew, Michael V., and Harry V. Vinters. 2010. “Astrocytes: Biology and Pathology.” </w:t>
      </w:r>
      <w:r w:rsidRPr="002B0C38">
        <w:rPr>
          <w:rFonts w:ascii="Verdana" w:hAnsi="Verdana"/>
          <w:i/>
          <w:iCs/>
        </w:rPr>
        <w:t>Acta Neuropathologica</w:t>
      </w:r>
      <w:r w:rsidRPr="002B0C38">
        <w:rPr>
          <w:rFonts w:ascii="Verdana" w:hAnsi="Verdana"/>
        </w:rPr>
        <w:t xml:space="preserve"> 119(1): 7–35.</w:t>
      </w:r>
    </w:p>
    <w:p w14:paraId="3533DD36" w14:textId="77777777" w:rsidR="00201058" w:rsidRPr="002B0C38" w:rsidRDefault="00201058" w:rsidP="00655323">
      <w:pPr>
        <w:pStyle w:val="Bibliography"/>
        <w:jc w:val="both"/>
        <w:rPr>
          <w:rFonts w:ascii="Verdana" w:hAnsi="Verdana"/>
        </w:rPr>
      </w:pPr>
      <w:r w:rsidRPr="002B0C38">
        <w:rPr>
          <w:rFonts w:ascii="Verdana" w:hAnsi="Verdana"/>
        </w:rPr>
        <w:t xml:space="preserve">Somme, Johanne H. et al. 2011. “Initial Neuropsychological Impairments in Patients with the E46K Mutation of the α-Synuclein Gene (PARK 1).” </w:t>
      </w:r>
      <w:r w:rsidRPr="002B0C38">
        <w:rPr>
          <w:rFonts w:ascii="Verdana" w:hAnsi="Verdana"/>
          <w:i/>
          <w:iCs/>
        </w:rPr>
        <w:t>Journal of the Neurological Sciences</w:t>
      </w:r>
      <w:r w:rsidRPr="002B0C38">
        <w:rPr>
          <w:rFonts w:ascii="Verdana" w:hAnsi="Verdana"/>
        </w:rPr>
        <w:t xml:space="preserve"> 310(1–2): 86–89.</w:t>
      </w:r>
    </w:p>
    <w:p w14:paraId="21BA246E" w14:textId="77777777" w:rsidR="00201058" w:rsidRPr="002B0C38" w:rsidRDefault="00201058" w:rsidP="00655323">
      <w:pPr>
        <w:pStyle w:val="Bibliography"/>
        <w:jc w:val="both"/>
        <w:rPr>
          <w:rFonts w:ascii="Verdana" w:hAnsi="Verdana"/>
        </w:rPr>
      </w:pPr>
      <w:r w:rsidRPr="002B0C38">
        <w:rPr>
          <w:rFonts w:ascii="Verdana" w:hAnsi="Verdana"/>
        </w:rPr>
        <w:t xml:space="preserve">Spillantini, Maria Grazia et al. 1998. “Parkinson’s Disease and Dementia with Lewy Bodies.” </w:t>
      </w:r>
      <w:r w:rsidRPr="002B0C38">
        <w:rPr>
          <w:rFonts w:ascii="Verdana" w:hAnsi="Verdana"/>
          <w:i/>
          <w:iCs/>
        </w:rPr>
        <w:t>Proc. Natl. Acad. Sci. USA</w:t>
      </w:r>
      <w:r w:rsidRPr="002B0C38">
        <w:rPr>
          <w:rFonts w:ascii="Verdana" w:hAnsi="Verdana"/>
        </w:rPr>
        <w:t>: 5.</w:t>
      </w:r>
    </w:p>
    <w:p w14:paraId="7D145232" w14:textId="77777777" w:rsidR="00201058" w:rsidRPr="002B0C38" w:rsidRDefault="00201058" w:rsidP="00655323">
      <w:pPr>
        <w:pStyle w:val="Bibliography"/>
        <w:jc w:val="both"/>
        <w:rPr>
          <w:rFonts w:ascii="Verdana" w:hAnsi="Verdana"/>
        </w:rPr>
      </w:pPr>
      <w:r w:rsidRPr="002B0C38">
        <w:rPr>
          <w:rFonts w:ascii="Verdana" w:hAnsi="Verdana"/>
        </w:rPr>
        <w:t xml:space="preserve">Stence, Nick, Marc Waite, and Michael E. Dailey. 2001. “Dynamics of Microglial Activation: A Confocal Time-Lapse Analysis in Hippocampal Slices.” </w:t>
      </w:r>
      <w:r w:rsidRPr="002B0C38">
        <w:rPr>
          <w:rFonts w:ascii="Verdana" w:hAnsi="Verdana"/>
          <w:i/>
          <w:iCs/>
        </w:rPr>
        <w:t>Glia</w:t>
      </w:r>
      <w:r w:rsidRPr="002B0C38">
        <w:rPr>
          <w:rFonts w:ascii="Verdana" w:hAnsi="Verdana"/>
        </w:rPr>
        <w:t xml:space="preserve"> 33(3): 256–66.</w:t>
      </w:r>
    </w:p>
    <w:p w14:paraId="0FA237E3" w14:textId="77777777" w:rsidR="00201058" w:rsidRPr="002B0C38" w:rsidRDefault="00201058" w:rsidP="00655323">
      <w:pPr>
        <w:pStyle w:val="Bibliography"/>
        <w:jc w:val="both"/>
        <w:rPr>
          <w:rFonts w:ascii="Verdana" w:hAnsi="Verdana"/>
        </w:rPr>
      </w:pPr>
      <w:r w:rsidRPr="002B0C38">
        <w:rPr>
          <w:rFonts w:ascii="Verdana" w:hAnsi="Verdana"/>
        </w:rPr>
        <w:t xml:space="preserve">Straniero, Letizia et al. 2020. “The SPID-GBA Study: Sex Distribution, Penetrance, Incidence, and Dementia in GBA-PD.” </w:t>
      </w:r>
      <w:r w:rsidRPr="002B0C38">
        <w:rPr>
          <w:rFonts w:ascii="Verdana" w:hAnsi="Verdana"/>
          <w:i/>
          <w:iCs/>
        </w:rPr>
        <w:t>Neurology Genetics</w:t>
      </w:r>
      <w:r w:rsidRPr="002B0C38">
        <w:rPr>
          <w:rFonts w:ascii="Verdana" w:hAnsi="Verdana"/>
        </w:rPr>
        <w:t xml:space="preserve"> 6(6): e523.</w:t>
      </w:r>
    </w:p>
    <w:p w14:paraId="5D46AC58" w14:textId="77777777" w:rsidR="00201058" w:rsidRPr="002B0C38" w:rsidRDefault="00201058" w:rsidP="00655323">
      <w:pPr>
        <w:pStyle w:val="Bibliography"/>
        <w:jc w:val="both"/>
        <w:rPr>
          <w:rFonts w:ascii="Verdana" w:hAnsi="Verdana"/>
        </w:rPr>
      </w:pPr>
      <w:r w:rsidRPr="002B0C38">
        <w:rPr>
          <w:rFonts w:ascii="Verdana" w:hAnsi="Verdana"/>
        </w:rPr>
        <w:t xml:space="preserve">Su, Xiaomin et al. 2008. “Synuclein Activates Microglia in a Model of Parkinson’s Disease.” </w:t>
      </w:r>
      <w:r w:rsidRPr="002B0C38">
        <w:rPr>
          <w:rFonts w:ascii="Verdana" w:hAnsi="Verdana"/>
          <w:i/>
          <w:iCs/>
        </w:rPr>
        <w:t>Neurobiology of Aging</w:t>
      </w:r>
      <w:r w:rsidRPr="002B0C38">
        <w:rPr>
          <w:rFonts w:ascii="Verdana" w:hAnsi="Verdana"/>
        </w:rPr>
        <w:t xml:space="preserve"> 29(11): 1690–1701.</w:t>
      </w:r>
    </w:p>
    <w:p w14:paraId="7B4EA49A" w14:textId="77777777" w:rsidR="00201058" w:rsidRPr="002B0C38" w:rsidRDefault="00201058" w:rsidP="00655323">
      <w:pPr>
        <w:pStyle w:val="Bibliography"/>
        <w:jc w:val="both"/>
        <w:rPr>
          <w:rFonts w:ascii="Verdana" w:hAnsi="Verdana"/>
        </w:rPr>
      </w:pPr>
      <w:r w:rsidRPr="002B0C38">
        <w:rPr>
          <w:rFonts w:ascii="Verdana" w:hAnsi="Verdana"/>
        </w:rPr>
        <w:t xml:space="preserve">Subramaniam, Sudhakar R. et al. 2018. “Chronic Nicotine Improves Cognitive and Social Impairment in Mice Overexpressing Wild Type α-Synuclein.” </w:t>
      </w:r>
      <w:r w:rsidRPr="002B0C38">
        <w:rPr>
          <w:rFonts w:ascii="Verdana" w:hAnsi="Verdana"/>
          <w:i/>
          <w:iCs/>
        </w:rPr>
        <w:t>Neurobiology of Disease</w:t>
      </w:r>
      <w:r w:rsidRPr="002B0C38">
        <w:rPr>
          <w:rFonts w:ascii="Verdana" w:hAnsi="Verdana"/>
        </w:rPr>
        <w:t xml:space="preserve"> 117: 170–80.</w:t>
      </w:r>
    </w:p>
    <w:p w14:paraId="130D92B9" w14:textId="77777777" w:rsidR="00201058" w:rsidRPr="002B0C38" w:rsidRDefault="00201058" w:rsidP="00655323">
      <w:pPr>
        <w:pStyle w:val="Bibliography"/>
        <w:jc w:val="both"/>
        <w:rPr>
          <w:rFonts w:ascii="Verdana" w:hAnsi="Verdana"/>
        </w:rPr>
      </w:pPr>
      <w:r w:rsidRPr="002B0C38">
        <w:rPr>
          <w:rFonts w:ascii="Verdana" w:hAnsi="Verdana"/>
        </w:rPr>
        <w:t xml:space="preserve">Tagliaferro, Patricia, and Robert E. Burke. 2016. “Retrograde Axonal Degeneration in Parkinson Disease.” </w:t>
      </w:r>
      <w:r w:rsidRPr="002B0C38">
        <w:rPr>
          <w:rFonts w:ascii="Verdana" w:hAnsi="Verdana"/>
          <w:i/>
          <w:iCs/>
        </w:rPr>
        <w:t>Journal of Parkinson’s Disease</w:t>
      </w:r>
      <w:r w:rsidRPr="002B0C38">
        <w:rPr>
          <w:rFonts w:ascii="Verdana" w:hAnsi="Verdana"/>
        </w:rPr>
        <w:t xml:space="preserve"> 6(1): 1–15.</w:t>
      </w:r>
    </w:p>
    <w:p w14:paraId="0AC2708B" w14:textId="77777777" w:rsidR="00201058" w:rsidRPr="002B0C38" w:rsidRDefault="00201058" w:rsidP="00655323">
      <w:pPr>
        <w:pStyle w:val="Bibliography"/>
        <w:jc w:val="both"/>
        <w:rPr>
          <w:rFonts w:ascii="Verdana" w:hAnsi="Verdana"/>
        </w:rPr>
      </w:pPr>
      <w:r w:rsidRPr="002B0C38">
        <w:rPr>
          <w:rFonts w:ascii="Verdana" w:hAnsi="Verdana"/>
        </w:rPr>
        <w:t>Taguchi, Tomoyuki et al. “A-Synuclein BAC Transgenic Mice Exhibited RBD-like Behaviour and Hyposmia: A Prodromal Parkinson’s Disease Model.”</w:t>
      </w:r>
    </w:p>
    <w:p w14:paraId="606433D9" w14:textId="77777777" w:rsidR="00201058" w:rsidRPr="002B0C38" w:rsidRDefault="00201058" w:rsidP="00655323">
      <w:pPr>
        <w:pStyle w:val="Bibliography"/>
        <w:jc w:val="both"/>
        <w:rPr>
          <w:rFonts w:ascii="Verdana" w:hAnsi="Verdana"/>
        </w:rPr>
      </w:pPr>
      <w:r w:rsidRPr="002B0C38">
        <w:rPr>
          <w:rFonts w:ascii="Verdana" w:hAnsi="Verdana"/>
        </w:rPr>
        <w:t xml:space="preserve">Thenganatt, Mary Ann, and Joseph Jankovic. 2014. “Parkinson Disease Subtypes.” </w:t>
      </w:r>
      <w:r w:rsidRPr="002B0C38">
        <w:rPr>
          <w:rFonts w:ascii="Verdana" w:hAnsi="Verdana"/>
          <w:i/>
          <w:iCs/>
        </w:rPr>
        <w:t>JAMA Neurology</w:t>
      </w:r>
      <w:r w:rsidRPr="002B0C38">
        <w:rPr>
          <w:rFonts w:ascii="Verdana" w:hAnsi="Verdana"/>
        </w:rPr>
        <w:t xml:space="preserve"> 71(4): 499.</w:t>
      </w:r>
    </w:p>
    <w:p w14:paraId="7F26043D" w14:textId="77777777" w:rsidR="00201058" w:rsidRPr="002B0C38" w:rsidRDefault="00201058" w:rsidP="00655323">
      <w:pPr>
        <w:pStyle w:val="Bibliography"/>
        <w:jc w:val="both"/>
        <w:rPr>
          <w:rFonts w:ascii="Verdana" w:hAnsi="Verdana"/>
        </w:rPr>
      </w:pPr>
      <w:r w:rsidRPr="002B0C38">
        <w:rPr>
          <w:rFonts w:ascii="Verdana" w:hAnsi="Verdana"/>
        </w:rPr>
        <w:t xml:space="preserve">Uversky, Vladimir N., Jie Li, and Anthony L. Fink. 2001. “Evidence for a Partially Folded Intermediate in α-Synuclein Fibril Formation.” </w:t>
      </w:r>
      <w:r w:rsidRPr="002B0C38">
        <w:rPr>
          <w:rFonts w:ascii="Verdana" w:hAnsi="Verdana"/>
          <w:i/>
          <w:iCs/>
        </w:rPr>
        <w:t>Journal of Biological Chemistry</w:t>
      </w:r>
      <w:r w:rsidRPr="002B0C38">
        <w:rPr>
          <w:rFonts w:ascii="Verdana" w:hAnsi="Verdana"/>
        </w:rPr>
        <w:t xml:space="preserve"> 276(14): 10737–44.</w:t>
      </w:r>
    </w:p>
    <w:p w14:paraId="707D9463" w14:textId="77777777" w:rsidR="00201058" w:rsidRPr="002B0C38" w:rsidRDefault="00201058" w:rsidP="00655323">
      <w:pPr>
        <w:pStyle w:val="Bibliography"/>
        <w:jc w:val="both"/>
        <w:rPr>
          <w:rFonts w:ascii="Verdana" w:hAnsi="Verdana"/>
        </w:rPr>
      </w:pPr>
      <w:r w:rsidRPr="002B0C38">
        <w:rPr>
          <w:rFonts w:ascii="Verdana" w:hAnsi="Verdana"/>
        </w:rPr>
        <w:t xml:space="preserve">Vo, Quynh et al. 2014. “Polysomnographic Features of Sleep Disturbances and REM Sleep Behavior Disorder in the Unilateral 6-OHDA Lesioned Hemiparkinsonian Rat.” </w:t>
      </w:r>
      <w:r w:rsidRPr="002B0C38">
        <w:rPr>
          <w:rFonts w:ascii="Verdana" w:hAnsi="Verdana"/>
          <w:i/>
          <w:iCs/>
        </w:rPr>
        <w:t>Parkinson’s Disease</w:t>
      </w:r>
      <w:r w:rsidRPr="002B0C38">
        <w:rPr>
          <w:rFonts w:ascii="Verdana" w:hAnsi="Verdana"/>
        </w:rPr>
        <w:t xml:space="preserve"> 2014: 1–8.</w:t>
      </w:r>
    </w:p>
    <w:p w14:paraId="1CB2A077" w14:textId="77777777" w:rsidR="00201058" w:rsidRPr="002B0C38" w:rsidRDefault="00201058" w:rsidP="00655323">
      <w:pPr>
        <w:pStyle w:val="Bibliography"/>
        <w:jc w:val="both"/>
        <w:rPr>
          <w:rFonts w:ascii="Verdana" w:hAnsi="Verdana"/>
        </w:rPr>
      </w:pPr>
      <w:r w:rsidRPr="002B0C38">
        <w:rPr>
          <w:rFonts w:ascii="Verdana" w:hAnsi="Verdana"/>
        </w:rPr>
        <w:t xml:space="preserve">Wakabayashi, Koichi et al. 2013. “The Lewy Body in Parkinson’s Disease and Related Neurodegenerative Disorders.” </w:t>
      </w:r>
      <w:r w:rsidRPr="002B0C38">
        <w:rPr>
          <w:rFonts w:ascii="Verdana" w:hAnsi="Verdana"/>
          <w:i/>
          <w:iCs/>
        </w:rPr>
        <w:t>Molecular Neurobiology</w:t>
      </w:r>
      <w:r w:rsidRPr="002B0C38">
        <w:rPr>
          <w:rFonts w:ascii="Verdana" w:hAnsi="Verdana"/>
        </w:rPr>
        <w:t xml:space="preserve"> 47(2): 495–508.</w:t>
      </w:r>
    </w:p>
    <w:p w14:paraId="0BC2AA82" w14:textId="77777777" w:rsidR="00201058" w:rsidRPr="002B0C38" w:rsidRDefault="00201058" w:rsidP="00655323">
      <w:pPr>
        <w:pStyle w:val="Bibliography"/>
        <w:jc w:val="both"/>
        <w:rPr>
          <w:rFonts w:ascii="Verdana" w:hAnsi="Verdana"/>
        </w:rPr>
      </w:pPr>
      <w:r w:rsidRPr="002B0C38">
        <w:rPr>
          <w:rFonts w:ascii="Verdana" w:hAnsi="Verdana"/>
        </w:rPr>
        <w:t xml:space="preserve">Watts, Lora Talley, Mary Latha Rathinam, Steven Schenker, and George I. Henderson. 2005. “Astrocytes Protect Neurons from Ethanol-Induced Oxidative Stress and Apoptotic Death.” </w:t>
      </w:r>
      <w:r w:rsidRPr="002B0C38">
        <w:rPr>
          <w:rFonts w:ascii="Verdana" w:hAnsi="Verdana"/>
          <w:i/>
          <w:iCs/>
        </w:rPr>
        <w:t>Journal of Neuroscience Research</w:t>
      </w:r>
      <w:r w:rsidRPr="002B0C38">
        <w:rPr>
          <w:rFonts w:ascii="Verdana" w:hAnsi="Verdana"/>
        </w:rPr>
        <w:t xml:space="preserve"> 80(5): 655–66.</w:t>
      </w:r>
    </w:p>
    <w:p w14:paraId="4613F652" w14:textId="77777777" w:rsidR="00201058" w:rsidRPr="002B0C38" w:rsidRDefault="00201058" w:rsidP="00655323">
      <w:pPr>
        <w:pStyle w:val="Bibliography"/>
        <w:jc w:val="both"/>
        <w:rPr>
          <w:rFonts w:ascii="Verdana" w:hAnsi="Verdana"/>
        </w:rPr>
      </w:pPr>
      <w:r w:rsidRPr="002B0C38">
        <w:rPr>
          <w:rFonts w:ascii="Verdana" w:hAnsi="Verdana"/>
        </w:rPr>
        <w:lastRenderedPageBreak/>
        <w:t xml:space="preserve">Wendeln, Ann-Christin et al. 2018. “Innate Immune Memory in the Brain Shapes Neurological Disease Hallmarks.” </w:t>
      </w:r>
      <w:r w:rsidRPr="002B0C38">
        <w:rPr>
          <w:rFonts w:ascii="Verdana" w:hAnsi="Verdana"/>
          <w:i/>
          <w:iCs/>
        </w:rPr>
        <w:t>Nature</w:t>
      </w:r>
      <w:r w:rsidRPr="002B0C38">
        <w:rPr>
          <w:rFonts w:ascii="Verdana" w:hAnsi="Verdana"/>
        </w:rPr>
        <w:t xml:space="preserve"> 556(7701): 332–38.</w:t>
      </w:r>
    </w:p>
    <w:p w14:paraId="06DD915E" w14:textId="77777777" w:rsidR="00201058" w:rsidRPr="002B0C38" w:rsidRDefault="00201058" w:rsidP="00655323">
      <w:pPr>
        <w:pStyle w:val="Bibliography"/>
        <w:jc w:val="both"/>
        <w:rPr>
          <w:rFonts w:ascii="Verdana" w:hAnsi="Verdana"/>
        </w:rPr>
      </w:pPr>
      <w:r w:rsidRPr="002B0C38">
        <w:rPr>
          <w:rFonts w:ascii="Verdana" w:hAnsi="Verdana"/>
        </w:rPr>
        <w:t xml:space="preserve">Wooten, G F. 2004. “Are Men at Greater Risk for Parkinson’s Disease than Women?” </w:t>
      </w:r>
      <w:r w:rsidRPr="002B0C38">
        <w:rPr>
          <w:rFonts w:ascii="Verdana" w:hAnsi="Verdana"/>
          <w:i/>
          <w:iCs/>
        </w:rPr>
        <w:t>Journal of Neurology, Neurosurgery &amp; Psychiatry</w:t>
      </w:r>
      <w:r w:rsidRPr="002B0C38">
        <w:rPr>
          <w:rFonts w:ascii="Verdana" w:hAnsi="Verdana"/>
        </w:rPr>
        <w:t xml:space="preserve"> 75(4): 637–39.</w:t>
      </w:r>
    </w:p>
    <w:p w14:paraId="7D1E7400" w14:textId="77777777" w:rsidR="00201058" w:rsidRPr="002B0C38" w:rsidRDefault="00201058" w:rsidP="00655323">
      <w:pPr>
        <w:pStyle w:val="Bibliography"/>
        <w:jc w:val="both"/>
        <w:rPr>
          <w:rFonts w:ascii="Verdana" w:hAnsi="Verdana"/>
        </w:rPr>
      </w:pPr>
      <w:r w:rsidRPr="002B0C38">
        <w:rPr>
          <w:rFonts w:ascii="Verdana" w:hAnsi="Verdana"/>
        </w:rPr>
        <w:t xml:space="preserve">Xu, Shaoqing, Xiaodong Yang, Yiwei Qian, and Qin Xiao. 2018. “Parkinson’s Disease-Related DJ-1 Modulates the Expression of Uncoupling Protein 4 against Oxidative Stress.” </w:t>
      </w:r>
      <w:r w:rsidRPr="002B0C38">
        <w:rPr>
          <w:rFonts w:ascii="Verdana" w:hAnsi="Verdana"/>
          <w:i/>
          <w:iCs/>
        </w:rPr>
        <w:t>Journal of Neurochemistry</w:t>
      </w:r>
      <w:r w:rsidRPr="002B0C38">
        <w:rPr>
          <w:rFonts w:ascii="Verdana" w:hAnsi="Verdana"/>
        </w:rPr>
        <w:t xml:space="preserve"> 145(4): 312–22.</w:t>
      </w:r>
    </w:p>
    <w:p w14:paraId="14550E54" w14:textId="77777777" w:rsidR="00201058" w:rsidRPr="002B0C38" w:rsidRDefault="00201058" w:rsidP="00655323">
      <w:pPr>
        <w:pStyle w:val="Bibliography"/>
        <w:jc w:val="both"/>
        <w:rPr>
          <w:rFonts w:ascii="Verdana" w:hAnsi="Verdana"/>
        </w:rPr>
      </w:pPr>
      <w:r w:rsidRPr="002B0C38">
        <w:rPr>
          <w:rFonts w:ascii="Verdana" w:hAnsi="Verdana"/>
        </w:rPr>
        <w:t xml:space="preserve">Yan, Jia-Qing et al. 2014. “Overexpression of Human E46K Mutant α-Synuclein Impairs Macroautophagy via Inactivation of JNK1-Bcl-2 Pathway.” </w:t>
      </w:r>
      <w:r w:rsidRPr="002B0C38">
        <w:rPr>
          <w:rFonts w:ascii="Verdana" w:hAnsi="Verdana"/>
          <w:i/>
          <w:iCs/>
        </w:rPr>
        <w:t>Molecular Neurobiology</w:t>
      </w:r>
      <w:r w:rsidRPr="002B0C38">
        <w:rPr>
          <w:rFonts w:ascii="Verdana" w:hAnsi="Verdana"/>
        </w:rPr>
        <w:t xml:space="preserve"> 50(2): 685–701.</w:t>
      </w:r>
    </w:p>
    <w:p w14:paraId="1E135667" w14:textId="77777777" w:rsidR="00201058" w:rsidRPr="002B0C38" w:rsidRDefault="00201058" w:rsidP="00655323">
      <w:pPr>
        <w:pStyle w:val="Bibliography"/>
        <w:jc w:val="both"/>
        <w:rPr>
          <w:rFonts w:ascii="Verdana" w:hAnsi="Verdana"/>
        </w:rPr>
      </w:pPr>
      <w:r w:rsidRPr="002B0C38">
        <w:rPr>
          <w:rFonts w:ascii="Verdana" w:hAnsi="Verdana"/>
        </w:rPr>
        <w:t xml:space="preserve">Yang, Fan et al. 2014. “Activated Astrocytes Enhance the Dopaminergic Differentiation of Stem Cells and Promote Brain Repair through BFGF.” </w:t>
      </w:r>
      <w:r w:rsidRPr="002B0C38">
        <w:rPr>
          <w:rFonts w:ascii="Verdana" w:hAnsi="Verdana"/>
          <w:i/>
          <w:iCs/>
        </w:rPr>
        <w:t>Nature Communications</w:t>
      </w:r>
      <w:r w:rsidRPr="002B0C38">
        <w:rPr>
          <w:rFonts w:ascii="Verdana" w:hAnsi="Verdana"/>
        </w:rPr>
        <w:t xml:space="preserve"> 5(1): 5627.</w:t>
      </w:r>
    </w:p>
    <w:p w14:paraId="66E6757F" w14:textId="77777777" w:rsidR="00201058" w:rsidRPr="002B0C38" w:rsidRDefault="00201058" w:rsidP="00655323">
      <w:pPr>
        <w:pStyle w:val="Bibliography"/>
        <w:jc w:val="both"/>
        <w:rPr>
          <w:rFonts w:ascii="Verdana" w:hAnsi="Verdana"/>
        </w:rPr>
      </w:pPr>
      <w:r w:rsidRPr="002B0C38">
        <w:rPr>
          <w:rFonts w:ascii="Verdana" w:hAnsi="Verdana"/>
        </w:rPr>
        <w:t xml:space="preserve">Yelnik, J. 2002. “Functional Anatomy of the Basal Ganglia.” </w:t>
      </w:r>
      <w:r w:rsidRPr="002B0C38">
        <w:rPr>
          <w:rFonts w:ascii="Verdana" w:hAnsi="Verdana"/>
          <w:i/>
          <w:iCs/>
        </w:rPr>
        <w:t>Movement Disorders</w:t>
      </w:r>
      <w:r w:rsidRPr="002B0C38">
        <w:rPr>
          <w:rFonts w:ascii="Verdana" w:hAnsi="Verdana"/>
        </w:rPr>
        <w:t xml:space="preserve"> 17(S3): S15–21.</w:t>
      </w:r>
    </w:p>
    <w:p w14:paraId="32367F4D" w14:textId="77777777" w:rsidR="00201058" w:rsidRPr="002B0C38" w:rsidRDefault="00201058" w:rsidP="00655323">
      <w:pPr>
        <w:pStyle w:val="Bibliography"/>
        <w:jc w:val="both"/>
        <w:rPr>
          <w:rFonts w:ascii="Verdana" w:hAnsi="Verdana"/>
        </w:rPr>
      </w:pPr>
      <w:r w:rsidRPr="002B0C38">
        <w:rPr>
          <w:rFonts w:ascii="Verdana" w:hAnsi="Verdana"/>
        </w:rPr>
        <w:t xml:space="preserve">Zabetian, Cyrus P. et al. 2007. “Association Analysis of MAPT H1 Haplotype and Subhaplotypes in Parkinson’s Disease.” </w:t>
      </w:r>
      <w:r w:rsidRPr="002B0C38">
        <w:rPr>
          <w:rFonts w:ascii="Verdana" w:hAnsi="Verdana"/>
          <w:i/>
          <w:iCs/>
        </w:rPr>
        <w:t>Annals of Neurology</w:t>
      </w:r>
      <w:r w:rsidRPr="002B0C38">
        <w:rPr>
          <w:rFonts w:ascii="Verdana" w:hAnsi="Verdana"/>
        </w:rPr>
        <w:t xml:space="preserve"> 62(2): 137–44.</w:t>
      </w:r>
    </w:p>
    <w:p w14:paraId="6FBE719B" w14:textId="77777777" w:rsidR="00201058" w:rsidRPr="002B0C38" w:rsidRDefault="00201058" w:rsidP="00655323">
      <w:pPr>
        <w:pStyle w:val="Bibliography"/>
        <w:jc w:val="both"/>
        <w:rPr>
          <w:rFonts w:ascii="Verdana" w:hAnsi="Verdana"/>
        </w:rPr>
      </w:pPr>
      <w:r w:rsidRPr="002B0C38">
        <w:rPr>
          <w:rFonts w:ascii="Verdana" w:hAnsi="Verdana"/>
        </w:rPr>
        <w:t xml:space="preserve">Zarranz, Juan J. et al. 2004. “The New Mutation, E46K, of α-Synuclein Causes Parkinson and Lewy Body Dementia: New α-Synuclein Gene Mutation.” </w:t>
      </w:r>
      <w:r w:rsidRPr="002B0C38">
        <w:rPr>
          <w:rFonts w:ascii="Verdana" w:hAnsi="Verdana"/>
          <w:i/>
          <w:iCs/>
        </w:rPr>
        <w:t>Annals of Neurology</w:t>
      </w:r>
      <w:r w:rsidRPr="002B0C38">
        <w:rPr>
          <w:rFonts w:ascii="Verdana" w:hAnsi="Verdana"/>
        </w:rPr>
        <w:t xml:space="preserve"> 55(2): 164–73.</w:t>
      </w:r>
    </w:p>
    <w:p w14:paraId="78192FD5" w14:textId="77777777" w:rsidR="00201058" w:rsidRPr="002B0C38" w:rsidRDefault="00201058" w:rsidP="00655323">
      <w:pPr>
        <w:pStyle w:val="Bibliography"/>
        <w:jc w:val="both"/>
        <w:rPr>
          <w:rFonts w:ascii="Verdana" w:hAnsi="Verdana"/>
        </w:rPr>
      </w:pPr>
      <w:r w:rsidRPr="002B0C38">
        <w:rPr>
          <w:rFonts w:ascii="Verdana" w:hAnsi="Verdana"/>
        </w:rPr>
        <w:t xml:space="preserve">van der Zee, Sygrid et al. 2018. “Monoaminergic Markers Across the Cognitive Spectrum of Lewy Body Disease.” </w:t>
      </w:r>
      <w:r w:rsidRPr="002B0C38">
        <w:rPr>
          <w:rFonts w:ascii="Verdana" w:hAnsi="Verdana"/>
          <w:i/>
          <w:iCs/>
        </w:rPr>
        <w:t>Journal of Parkinson’s Disease</w:t>
      </w:r>
      <w:r w:rsidRPr="002B0C38">
        <w:rPr>
          <w:rFonts w:ascii="Verdana" w:hAnsi="Verdana"/>
        </w:rPr>
        <w:t xml:space="preserve"> 8(1): 71–84.</w:t>
      </w:r>
    </w:p>
    <w:p w14:paraId="794CE733" w14:textId="77777777" w:rsidR="00201058" w:rsidRPr="002B0C38" w:rsidRDefault="00201058" w:rsidP="00655323">
      <w:pPr>
        <w:pStyle w:val="Bibliography"/>
        <w:jc w:val="both"/>
        <w:rPr>
          <w:rFonts w:ascii="Verdana" w:hAnsi="Verdana"/>
        </w:rPr>
      </w:pPr>
      <w:r w:rsidRPr="002B0C38">
        <w:rPr>
          <w:rFonts w:ascii="Verdana" w:hAnsi="Verdana"/>
        </w:rPr>
        <w:t xml:space="preserve">Zhang, Jing et al. 1999. “Parkinson’s Disease Is Associated with Oxidative Damage to Cytoplasmic DNA and RNA in Substantia Nigra Neurons.” </w:t>
      </w:r>
      <w:r w:rsidRPr="002B0C38">
        <w:rPr>
          <w:rFonts w:ascii="Verdana" w:hAnsi="Verdana"/>
          <w:i/>
          <w:iCs/>
        </w:rPr>
        <w:t>The American Journal of Pathology</w:t>
      </w:r>
      <w:r w:rsidRPr="002B0C38">
        <w:rPr>
          <w:rFonts w:ascii="Verdana" w:hAnsi="Verdana"/>
        </w:rPr>
        <w:t xml:space="preserve"> 154(5): 1423–29.</w:t>
      </w:r>
    </w:p>
    <w:p w14:paraId="164E943A" w14:textId="77777777" w:rsidR="00201058" w:rsidRPr="002B0C38" w:rsidRDefault="00201058" w:rsidP="00655323">
      <w:pPr>
        <w:pStyle w:val="Bibliography"/>
        <w:jc w:val="both"/>
        <w:rPr>
          <w:rFonts w:ascii="Verdana" w:hAnsi="Verdana"/>
        </w:rPr>
      </w:pPr>
      <w:r w:rsidRPr="002B0C38">
        <w:rPr>
          <w:rFonts w:ascii="Verdana" w:hAnsi="Verdana"/>
        </w:rPr>
        <w:t xml:space="preserve">Zhang, Sufang, Qian Xiao, and Weidong Le. 2015. “Olfactory Dysfunction and Neurotransmitter Disturbance in Olfactory Bulb of Transgenic Mice Expressing Human A53T Mutant α-Synuclein” ed. Xiao-Jiang Li. </w:t>
      </w:r>
      <w:r w:rsidRPr="002B0C38">
        <w:rPr>
          <w:rFonts w:ascii="Verdana" w:hAnsi="Verdana"/>
          <w:i/>
          <w:iCs/>
        </w:rPr>
        <w:t>PLOS ONE</w:t>
      </w:r>
      <w:r w:rsidRPr="002B0C38">
        <w:rPr>
          <w:rFonts w:ascii="Verdana" w:hAnsi="Verdana"/>
        </w:rPr>
        <w:t xml:space="preserve"> 10(3): e0119928.</w:t>
      </w:r>
    </w:p>
    <w:p w14:paraId="5F9942EB" w14:textId="77777777" w:rsidR="00201058" w:rsidRPr="002B0C38" w:rsidRDefault="00201058" w:rsidP="00655323">
      <w:pPr>
        <w:pStyle w:val="Bibliography"/>
        <w:jc w:val="both"/>
        <w:rPr>
          <w:rFonts w:ascii="Verdana" w:hAnsi="Verdana"/>
        </w:rPr>
      </w:pPr>
      <w:r w:rsidRPr="002B0C38">
        <w:rPr>
          <w:rFonts w:ascii="Verdana" w:hAnsi="Verdana"/>
        </w:rPr>
        <w:t xml:space="preserve">Zhang, Wenqian et al. 2021. “Astrocyte-Derived Exosomes Protect Hippocampal Neurons after Traumatic Brain Injury by Suppressing Mitochondrial Oxidative Stress and Apoptosis.” </w:t>
      </w:r>
      <w:r w:rsidRPr="002B0C38">
        <w:rPr>
          <w:rFonts w:ascii="Verdana" w:hAnsi="Verdana"/>
          <w:i/>
          <w:iCs/>
        </w:rPr>
        <w:t>Aging</w:t>
      </w:r>
      <w:r w:rsidRPr="002B0C38">
        <w:rPr>
          <w:rFonts w:ascii="Verdana" w:hAnsi="Verdana"/>
        </w:rPr>
        <w:t xml:space="preserve"> 13(17): 21642–58.</w:t>
      </w:r>
    </w:p>
    <w:p w14:paraId="15A92703" w14:textId="77777777" w:rsidR="00201058" w:rsidRPr="002B0C38" w:rsidRDefault="00201058" w:rsidP="00655323">
      <w:pPr>
        <w:pStyle w:val="Bibliography"/>
        <w:jc w:val="both"/>
        <w:rPr>
          <w:rFonts w:ascii="Verdana" w:hAnsi="Verdana"/>
        </w:rPr>
      </w:pPr>
      <w:r w:rsidRPr="002B0C38">
        <w:rPr>
          <w:rFonts w:ascii="Verdana" w:hAnsi="Verdana"/>
        </w:rPr>
        <w:t xml:space="preserve">Zhou, Wenbo et al. 2006. “The Oxidation State of DJ-1 Regulates Its Chaperone Activity Toward α-Synuclein.” </w:t>
      </w:r>
      <w:r w:rsidRPr="002B0C38">
        <w:rPr>
          <w:rFonts w:ascii="Verdana" w:hAnsi="Verdana"/>
          <w:i/>
          <w:iCs/>
        </w:rPr>
        <w:t>Journal of Molecular Biology</w:t>
      </w:r>
      <w:r w:rsidRPr="002B0C38">
        <w:rPr>
          <w:rFonts w:ascii="Verdana" w:hAnsi="Verdana"/>
        </w:rPr>
        <w:t xml:space="preserve"> 356(4): 1036–48.</w:t>
      </w:r>
    </w:p>
    <w:p w14:paraId="0E4D210B" w14:textId="082593F4" w:rsidR="00AE17C4" w:rsidRPr="00B33345" w:rsidRDefault="00391A26" w:rsidP="00B33345">
      <w:pPr>
        <w:ind w:firstLine="0"/>
        <w:jc w:val="both"/>
        <w:rPr>
          <w:rFonts w:ascii="Verdana" w:hAnsi="Verdana"/>
          <w:lang w:val="en-GB"/>
        </w:rPr>
      </w:pPr>
      <w:r w:rsidRPr="002B0C38">
        <w:rPr>
          <w:rFonts w:ascii="Verdana" w:hAnsi="Verdana"/>
          <w:lang w:val="en-GB"/>
        </w:rPr>
        <w:fldChar w:fldCharType="end"/>
      </w:r>
    </w:p>
    <w:sectPr w:rsidR="00AE17C4" w:rsidRPr="00B33345" w:rsidSect="008B2596">
      <w:pgSz w:w="11907" w:h="16840" w:code="9"/>
      <w:pgMar w:top="1440" w:right="1418" w:bottom="1440"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D43534" w14:textId="77777777" w:rsidR="00A87E43" w:rsidRDefault="00A87E43" w:rsidP="00E6615A">
      <w:pPr>
        <w:spacing w:after="0" w:line="240" w:lineRule="auto"/>
      </w:pPr>
      <w:r>
        <w:separator/>
      </w:r>
    </w:p>
  </w:endnote>
  <w:endnote w:type="continuationSeparator" w:id="0">
    <w:p w14:paraId="419BDC1E" w14:textId="77777777" w:rsidR="00A87E43" w:rsidRDefault="00A87E43" w:rsidP="00E66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Nobel-Regular">
    <w:altName w:val="Times New Roman"/>
    <w:charset w:val="00"/>
    <w:family w:val="auto"/>
    <w:pitch w:val="variable"/>
  </w:font>
  <w:font w:name="NimbusRomNo9L-Regu">
    <w:altName w:val="Calibri"/>
    <w:panose1 w:val="00000000000000000000"/>
    <w:charset w:val="00"/>
    <w:family w:val="auto"/>
    <w:notTrueType/>
    <w:pitch w:val="default"/>
    <w:sig w:usb0="00000003" w:usb1="00000000" w:usb2="00000000" w:usb3="00000000" w:csb0="0000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102321"/>
      <w:docPartObj>
        <w:docPartGallery w:val="Page Numbers (Bottom of Page)"/>
        <w:docPartUnique/>
      </w:docPartObj>
    </w:sdtPr>
    <w:sdtEndPr>
      <w:rPr>
        <w:noProof/>
      </w:rPr>
    </w:sdtEndPr>
    <w:sdtContent>
      <w:p w14:paraId="03B0A483" w14:textId="77777777" w:rsidR="00FC378C" w:rsidRDefault="00FC378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AA3FB20" w14:textId="77777777" w:rsidR="00FC378C" w:rsidRDefault="00FC37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A7789" w14:textId="77777777" w:rsidR="00FC378C" w:rsidRDefault="00FC378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F8BDB" w14:textId="65B39918" w:rsidR="00026830" w:rsidRDefault="00026830" w:rsidP="00026830">
    <w:pPr>
      <w:pStyle w:val="Footer"/>
      <w:ind w:firstLine="0"/>
    </w:pPr>
  </w:p>
  <w:p w14:paraId="4E9510D9" w14:textId="77777777" w:rsidR="00026830" w:rsidRDefault="000268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57B70" w14:textId="7D66C36F" w:rsidR="00026830" w:rsidRDefault="00026830" w:rsidP="00026830">
    <w:pPr>
      <w:pStyle w:val="Footer"/>
      <w:ind w:firstLine="0"/>
    </w:pPr>
  </w:p>
  <w:p w14:paraId="06ED5BB8" w14:textId="77777777" w:rsidR="00026830" w:rsidRDefault="0002683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3880592"/>
      <w:docPartObj>
        <w:docPartGallery w:val="Page Numbers (Bottom of Page)"/>
        <w:docPartUnique/>
      </w:docPartObj>
    </w:sdtPr>
    <w:sdtEndPr>
      <w:rPr>
        <w:noProof/>
      </w:rPr>
    </w:sdtEndPr>
    <w:sdtContent>
      <w:p w14:paraId="5737B155" w14:textId="1C8425DF" w:rsidR="00F8037D" w:rsidRDefault="00F8037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6C9DFD" w14:textId="77777777" w:rsidR="00F8037D" w:rsidRDefault="00F803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78DD15" w14:textId="77777777" w:rsidR="00A87E43" w:rsidRDefault="00A87E43" w:rsidP="00E6615A">
      <w:pPr>
        <w:spacing w:after="0" w:line="240" w:lineRule="auto"/>
      </w:pPr>
      <w:r>
        <w:separator/>
      </w:r>
    </w:p>
  </w:footnote>
  <w:footnote w:type="continuationSeparator" w:id="0">
    <w:p w14:paraId="1F98BD2C" w14:textId="77777777" w:rsidR="00A87E43" w:rsidRDefault="00A87E43" w:rsidP="00E661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21A5C"/>
    <w:multiLevelType w:val="multilevel"/>
    <w:tmpl w:val="42309F7A"/>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4"/>
      <w:numFmt w:val="decimal"/>
      <w:lvlText w:val="1.%3"/>
      <w:lvlJc w:val="left"/>
      <w:pPr>
        <w:ind w:left="1080" w:hanging="360"/>
      </w:pPr>
      <w:rPr>
        <w:rFonts w:hint="default"/>
      </w:rPr>
    </w:lvl>
    <w:lvl w:ilvl="3">
      <w:start w:val="1"/>
      <w:numFmt w:val="decimal"/>
      <w:lvlText w:val="1.%4"/>
      <w:lvlJc w:val="left"/>
      <w:pPr>
        <w:ind w:left="1440" w:hanging="360"/>
      </w:pPr>
      <w:rPr>
        <w:rFonts w:hint="default"/>
        <w:color w:val="auto"/>
        <w:sz w:val="24"/>
        <w:szCs w:val="24"/>
      </w:rPr>
    </w:lvl>
    <w:lvl w:ilvl="4">
      <w:start w:val="1"/>
      <w:numFmt w:val="decimal"/>
      <w:lvlText w:val="1.4.%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5D5E9D"/>
    <w:multiLevelType w:val="multilevel"/>
    <w:tmpl w:val="0B6A2304"/>
    <w:lvl w:ilvl="0">
      <w:start w:val="3"/>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4"/>
      <w:numFmt w:val="decimal"/>
      <w:lvlText w:val="2.%3"/>
      <w:lvlJc w:val="left"/>
      <w:pPr>
        <w:ind w:left="1080" w:hanging="360"/>
      </w:pPr>
      <w:rPr>
        <w:rFonts w:hint="default"/>
      </w:rPr>
    </w:lvl>
    <w:lvl w:ilvl="3">
      <w:start w:val="5"/>
      <w:numFmt w:val="decimal"/>
      <w:lvlText w:val="2.%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F351201"/>
    <w:multiLevelType w:val="multilevel"/>
    <w:tmpl w:val="CA2C840C"/>
    <w:lvl w:ilvl="0">
      <w:start w:val="2"/>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2"/>
      <w:numFmt w:val="decimal"/>
      <w:lvlText w:val="1.5.%3"/>
      <w:lvlJc w:val="left"/>
      <w:pPr>
        <w:ind w:left="1080" w:hanging="360"/>
      </w:pPr>
      <w:rPr>
        <w:rFonts w:hint="default"/>
      </w:rPr>
    </w:lvl>
    <w:lvl w:ilvl="3">
      <w:start w:val="1"/>
      <w:numFmt w:val="decimal"/>
      <w:lvlText w:val="2.%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4AF2290"/>
    <w:multiLevelType w:val="multilevel"/>
    <w:tmpl w:val="0D34C0A8"/>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1.5.%3"/>
      <w:lvlJc w:val="left"/>
      <w:pPr>
        <w:ind w:left="1080" w:hanging="360"/>
      </w:pPr>
      <w:rPr>
        <w:rFonts w:hint="default"/>
      </w:rPr>
    </w:lvl>
    <w:lvl w:ilvl="3">
      <w:start w:val="5"/>
      <w:numFmt w:val="decimal"/>
      <w:lvlText w:val="1.%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F6C3232"/>
    <w:multiLevelType w:val="hybridMultilevel"/>
    <w:tmpl w:val="398E7714"/>
    <w:lvl w:ilvl="0" w:tplc="F978153A">
      <w:start w:val="1"/>
      <w:numFmt w:val="decimal"/>
      <w:suff w:val="nothing"/>
      <w:lvlText w:val="7.%1"/>
      <w:lvlJc w:val="left"/>
      <w:pPr>
        <w:ind w:left="785" w:hanging="360"/>
      </w:pPr>
      <w:rPr>
        <w:rFonts w:ascii="Verdana" w:hAnsi="Verdana"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BE76E9A"/>
    <w:multiLevelType w:val="hybridMultilevel"/>
    <w:tmpl w:val="7B90DB0C"/>
    <w:lvl w:ilvl="0" w:tplc="D206D6E4">
      <w:start w:val="1"/>
      <w:numFmt w:val="decimal"/>
      <w:lvlText w:val="8.%1"/>
      <w:lvlJc w:val="left"/>
      <w:pPr>
        <w:ind w:left="927" w:hanging="360"/>
      </w:pPr>
      <w:rPr>
        <w:rFonts w:hint="default"/>
        <w:b/>
        <w:bCs/>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38652BAE"/>
    <w:multiLevelType w:val="hybridMultilevel"/>
    <w:tmpl w:val="7AE89F7C"/>
    <w:lvl w:ilvl="0" w:tplc="2402B68A">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C485E6A"/>
    <w:multiLevelType w:val="hybridMultilevel"/>
    <w:tmpl w:val="4D32F59A"/>
    <w:lvl w:ilvl="0" w:tplc="D74E5ECC">
      <w:start w:val="3"/>
      <w:numFmt w:val="decimal"/>
      <w:suff w:val="nothing"/>
      <w:lvlText w:val="3.%1"/>
      <w:lvlJc w:val="left"/>
      <w:pPr>
        <w:ind w:left="0" w:firstLine="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4DE2CFA"/>
    <w:multiLevelType w:val="multilevel"/>
    <w:tmpl w:val="F6B40D6C"/>
    <w:lvl w:ilvl="0">
      <w:start w:val="1"/>
      <w:numFmt w:val="decimal"/>
      <w:lvlText w:val="%1"/>
      <w:lvlJc w:val="left"/>
      <w:pPr>
        <w:ind w:left="360" w:hanging="360"/>
      </w:pPr>
      <w:rPr>
        <w:rFonts w:hint="default"/>
      </w:rPr>
    </w:lvl>
    <w:lvl w:ilvl="1">
      <w:start w:val="6"/>
      <w:numFmt w:val="decimal"/>
      <w:suff w:val="nothing"/>
      <w:lvlText w:val="%1.%2"/>
      <w:lvlJc w:val="left"/>
      <w:pPr>
        <w:ind w:left="720" w:hanging="360"/>
      </w:pPr>
      <w:rPr>
        <w:rFonts w:hint="default"/>
        <w:sz w:val="24"/>
        <w:szCs w:val="24"/>
      </w:rPr>
    </w:lvl>
    <w:lvl w:ilvl="2">
      <w:start w:val="2"/>
      <w:numFmt w:val="decimal"/>
      <w:lvlText w:val="1.5.%3"/>
      <w:lvlJc w:val="left"/>
      <w:pPr>
        <w:ind w:left="1080" w:hanging="360"/>
      </w:pPr>
      <w:rPr>
        <w:rFonts w:hint="default"/>
      </w:rPr>
    </w:lvl>
    <w:lvl w:ilvl="3">
      <w:start w:val="1"/>
      <w:numFmt w:val="decimal"/>
      <w:lvlText w:val="2.%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5842ACE"/>
    <w:multiLevelType w:val="hybridMultilevel"/>
    <w:tmpl w:val="001A508A"/>
    <w:lvl w:ilvl="0" w:tplc="61427898">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8B05536"/>
    <w:multiLevelType w:val="multilevel"/>
    <w:tmpl w:val="A72256A2"/>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1.3.%3"/>
      <w:lvlJc w:val="left"/>
      <w:pPr>
        <w:ind w:left="1080" w:hanging="360"/>
      </w:pPr>
      <w:rPr>
        <w:rFonts w:hint="default"/>
      </w:rPr>
    </w:lvl>
    <w:lvl w:ilvl="3">
      <w:start w:val="1"/>
      <w:numFmt w:val="decimal"/>
      <w:lvlText w:val="1.%4"/>
      <w:lvlJc w:val="left"/>
      <w:pPr>
        <w:ind w:left="1440" w:hanging="360"/>
      </w:pPr>
      <w:rPr>
        <w:rFonts w:hint="default"/>
        <w:color w:val="auto"/>
        <w:sz w:val="24"/>
        <w:szCs w:val="24"/>
      </w:rPr>
    </w:lvl>
    <w:lvl w:ilvl="4">
      <w:start w:val="1"/>
      <w:numFmt w:val="decimal"/>
      <w:lvlText w:val="1.1.%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B250B82"/>
    <w:multiLevelType w:val="multilevel"/>
    <w:tmpl w:val="24F42D70"/>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E265A45"/>
    <w:multiLevelType w:val="hybridMultilevel"/>
    <w:tmpl w:val="48A69322"/>
    <w:lvl w:ilvl="0" w:tplc="B8400E50">
      <w:start w:val="1"/>
      <w:numFmt w:val="decimal"/>
      <w:lvlText w:val="2.%1"/>
      <w:lvlJc w:val="left"/>
      <w:pPr>
        <w:ind w:left="720" w:hanging="360"/>
      </w:pPr>
      <w:rPr>
        <w:rFonts w:hint="default"/>
      </w:rPr>
    </w:lvl>
    <w:lvl w:ilvl="1" w:tplc="B8400E50">
      <w:start w:val="1"/>
      <w:numFmt w:val="decimal"/>
      <w:lvlText w:val="2.%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6606E7F"/>
    <w:multiLevelType w:val="hybridMultilevel"/>
    <w:tmpl w:val="3DA2FDAE"/>
    <w:lvl w:ilvl="0" w:tplc="3F864390">
      <w:start w:val="1"/>
      <w:numFmt w:val="bullet"/>
      <w:suff w:val="space"/>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8475CC9"/>
    <w:multiLevelType w:val="multilevel"/>
    <w:tmpl w:val="59F80C6A"/>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1.3.%3"/>
      <w:lvlJc w:val="left"/>
      <w:pPr>
        <w:ind w:left="1080" w:hanging="360"/>
      </w:pPr>
      <w:rPr>
        <w:rFonts w:hint="default"/>
      </w:rPr>
    </w:lvl>
    <w:lvl w:ilvl="3">
      <w:start w:val="2"/>
      <w:numFmt w:val="decimal"/>
      <w:lvlText w:val="1.3.%4"/>
      <w:lvlJc w:val="left"/>
      <w:pPr>
        <w:ind w:left="1440" w:hanging="360"/>
      </w:pPr>
      <w:rPr>
        <w:rFonts w:hint="default"/>
      </w:rPr>
    </w:lvl>
    <w:lvl w:ilvl="4">
      <w:start w:val="1"/>
      <w:numFmt w:val="decimal"/>
      <w:lvlText w:val="1.1.%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CEB6940"/>
    <w:multiLevelType w:val="multilevel"/>
    <w:tmpl w:val="2496F8E4"/>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1.3.%3"/>
      <w:lvlJc w:val="left"/>
      <w:pPr>
        <w:ind w:left="1080" w:hanging="360"/>
      </w:pPr>
      <w:rPr>
        <w:rFonts w:hint="default"/>
      </w:rPr>
    </w:lvl>
    <w:lvl w:ilvl="3">
      <w:start w:val="1"/>
      <w:numFmt w:val="decimal"/>
      <w:lvlText w:val="1.%4"/>
      <w:lvlJc w:val="left"/>
      <w:pPr>
        <w:ind w:left="1440" w:hanging="360"/>
      </w:pPr>
      <w:rPr>
        <w:rFonts w:hint="default"/>
        <w:color w:val="auto"/>
        <w:sz w:val="24"/>
        <w:szCs w:val="24"/>
      </w:rPr>
    </w:lvl>
    <w:lvl w:ilvl="4">
      <w:start w:val="1"/>
      <w:numFmt w:val="decimal"/>
      <w:lvlText w:val="1.1.%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E8321B2"/>
    <w:multiLevelType w:val="hybridMultilevel"/>
    <w:tmpl w:val="B9A2147A"/>
    <w:lvl w:ilvl="0" w:tplc="B7BC4C4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06E37DC"/>
    <w:multiLevelType w:val="multilevel"/>
    <w:tmpl w:val="E618E950"/>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1"/>
      <w:numFmt w:val="decimal"/>
      <w:lvlText w:val="2.3.%3"/>
      <w:lvlJc w:val="left"/>
      <w:pPr>
        <w:ind w:left="1080" w:hanging="360"/>
      </w:pPr>
      <w:rPr>
        <w:rFonts w:hint="default"/>
      </w:rPr>
    </w:lvl>
    <w:lvl w:ilvl="3">
      <w:start w:val="1"/>
      <w:numFmt w:val="decimal"/>
      <w:lvlText w:val="2.3.%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630D3E64"/>
    <w:multiLevelType w:val="multilevel"/>
    <w:tmpl w:val="665C4EF0"/>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4"/>
      <w:numFmt w:val="decimal"/>
      <w:lvlText w:val="2.%3"/>
      <w:lvlJc w:val="left"/>
      <w:pPr>
        <w:ind w:left="1080" w:hanging="360"/>
      </w:pPr>
      <w:rPr>
        <w:rFonts w:hint="default"/>
      </w:rPr>
    </w:lvl>
    <w:lvl w:ilvl="3">
      <w:start w:val="5"/>
      <w:numFmt w:val="decimal"/>
      <w:lvlText w:val="2.%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43506BE"/>
    <w:multiLevelType w:val="hybridMultilevel"/>
    <w:tmpl w:val="03182A42"/>
    <w:lvl w:ilvl="0" w:tplc="058C36EA">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E25340"/>
    <w:multiLevelType w:val="hybridMultilevel"/>
    <w:tmpl w:val="7EC005DE"/>
    <w:lvl w:ilvl="0" w:tplc="08DC4006">
      <w:start w:val="50"/>
      <w:numFmt w:val="bullet"/>
      <w:lvlText w:val="-"/>
      <w:lvlJc w:val="left"/>
      <w:pPr>
        <w:ind w:left="1080" w:hanging="360"/>
      </w:pPr>
      <w:rPr>
        <w:rFonts w:ascii="Verdana" w:eastAsiaTheme="minorHAnsi" w:hAnsi="Verdana"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732D67C4"/>
    <w:multiLevelType w:val="hybridMultilevel"/>
    <w:tmpl w:val="E0804B1A"/>
    <w:lvl w:ilvl="0" w:tplc="3FD6582C">
      <w:start w:val="1"/>
      <w:numFmt w:val="decimal"/>
      <w:suff w:val="nothing"/>
      <w:lvlText w:val="3.%1"/>
      <w:lvlJc w:val="left"/>
      <w:pPr>
        <w:ind w:left="0" w:firstLine="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6224B69"/>
    <w:multiLevelType w:val="multilevel"/>
    <w:tmpl w:val="60620944"/>
    <w:lvl w:ilvl="0">
      <w:start w:val="1"/>
      <w:numFmt w:val="decimal"/>
      <w:lvlText w:val="%1"/>
      <w:lvlJc w:val="left"/>
      <w:pPr>
        <w:ind w:left="360" w:hanging="360"/>
      </w:pPr>
      <w:rPr>
        <w:rFonts w:hint="default"/>
      </w:rPr>
    </w:lvl>
    <w:lvl w:ilvl="1">
      <w:start w:val="1"/>
      <w:numFmt w:val="decimal"/>
      <w:suff w:val="nothing"/>
      <w:lvlText w:val="%1.%2"/>
      <w:lvlJc w:val="left"/>
      <w:pPr>
        <w:ind w:left="720" w:hanging="360"/>
      </w:pPr>
      <w:rPr>
        <w:rFonts w:hint="default"/>
        <w:sz w:val="24"/>
        <w:szCs w:val="24"/>
      </w:rPr>
    </w:lvl>
    <w:lvl w:ilvl="2">
      <w:start w:val="4"/>
      <w:numFmt w:val="decimal"/>
      <w:lvlText w:val="2.%3"/>
      <w:lvlJc w:val="left"/>
      <w:pPr>
        <w:ind w:left="1080" w:hanging="360"/>
      </w:pPr>
      <w:rPr>
        <w:rFonts w:hint="default"/>
      </w:rPr>
    </w:lvl>
    <w:lvl w:ilvl="3">
      <w:start w:val="1"/>
      <w:numFmt w:val="decimal"/>
      <w:lvlText w:val="2.3.%4"/>
      <w:lvlJc w:val="left"/>
      <w:pPr>
        <w:ind w:left="1440" w:hanging="360"/>
      </w:pPr>
      <w:rPr>
        <w:rFonts w:hint="default"/>
      </w:rPr>
    </w:lvl>
    <w:lvl w:ilvl="4">
      <w:start w:val="1"/>
      <w:numFmt w:val="decimal"/>
      <w:lvlText w:val="1.5.%5"/>
      <w:lvlJc w:val="left"/>
      <w:pPr>
        <w:ind w:left="1800" w:hanging="36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79230F80"/>
    <w:multiLevelType w:val="hybridMultilevel"/>
    <w:tmpl w:val="9CEECE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7E0962CD"/>
    <w:multiLevelType w:val="hybridMultilevel"/>
    <w:tmpl w:val="49A00E5E"/>
    <w:lvl w:ilvl="0" w:tplc="ED4288D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F536A02"/>
    <w:multiLevelType w:val="hybridMultilevel"/>
    <w:tmpl w:val="0F92D71C"/>
    <w:lvl w:ilvl="0" w:tplc="6366ABD8">
      <w:start w:val="8"/>
      <w:numFmt w:val="bullet"/>
      <w:lvlText w:val="-"/>
      <w:lvlJc w:val="left"/>
      <w:pPr>
        <w:ind w:left="1080" w:hanging="360"/>
      </w:pPr>
      <w:rPr>
        <w:rFonts w:ascii="Verdana" w:eastAsiaTheme="minorHAnsi" w:hAnsi="Verdana"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903226219">
    <w:abstractNumId w:val="12"/>
  </w:num>
  <w:num w:numId="2" w16cid:durableId="734743729">
    <w:abstractNumId w:val="23"/>
  </w:num>
  <w:num w:numId="3" w16cid:durableId="2114394973">
    <w:abstractNumId w:val="21"/>
  </w:num>
  <w:num w:numId="4" w16cid:durableId="778528522">
    <w:abstractNumId w:val="7"/>
  </w:num>
  <w:num w:numId="5" w16cid:durableId="1055742598">
    <w:abstractNumId w:val="4"/>
  </w:num>
  <w:num w:numId="6" w16cid:durableId="1583829558">
    <w:abstractNumId w:val="5"/>
  </w:num>
  <w:num w:numId="7" w16cid:durableId="18701197">
    <w:abstractNumId w:val="20"/>
  </w:num>
  <w:num w:numId="8" w16cid:durableId="25757090">
    <w:abstractNumId w:val="11"/>
  </w:num>
  <w:num w:numId="9" w16cid:durableId="250891534">
    <w:abstractNumId w:val="15"/>
  </w:num>
  <w:num w:numId="10" w16cid:durableId="1227837235">
    <w:abstractNumId w:val="14"/>
  </w:num>
  <w:num w:numId="11" w16cid:durableId="195243079">
    <w:abstractNumId w:val="10"/>
  </w:num>
  <w:num w:numId="12" w16cid:durableId="118302658">
    <w:abstractNumId w:val="0"/>
  </w:num>
  <w:num w:numId="13" w16cid:durableId="1919368192">
    <w:abstractNumId w:val="3"/>
  </w:num>
  <w:num w:numId="14" w16cid:durableId="766535723">
    <w:abstractNumId w:val="2"/>
  </w:num>
  <w:num w:numId="15" w16cid:durableId="568811491">
    <w:abstractNumId w:val="17"/>
  </w:num>
  <w:num w:numId="16" w16cid:durableId="1303580855">
    <w:abstractNumId w:val="22"/>
  </w:num>
  <w:num w:numId="17" w16cid:durableId="1309238991">
    <w:abstractNumId w:val="18"/>
  </w:num>
  <w:num w:numId="18" w16cid:durableId="1650280599">
    <w:abstractNumId w:val="1"/>
  </w:num>
  <w:num w:numId="19" w16cid:durableId="1748114591">
    <w:abstractNumId w:val="8"/>
  </w:num>
  <w:num w:numId="20" w16cid:durableId="1687058390">
    <w:abstractNumId w:val="25"/>
  </w:num>
  <w:num w:numId="21" w16cid:durableId="1270503907">
    <w:abstractNumId w:val="9"/>
  </w:num>
  <w:num w:numId="22" w16cid:durableId="524296641">
    <w:abstractNumId w:val="6"/>
  </w:num>
  <w:num w:numId="23" w16cid:durableId="74592651">
    <w:abstractNumId w:val="13"/>
  </w:num>
  <w:num w:numId="24" w16cid:durableId="1823348345">
    <w:abstractNumId w:val="16"/>
  </w:num>
  <w:num w:numId="25" w16cid:durableId="1113554895">
    <w:abstractNumId w:val="24"/>
  </w:num>
  <w:num w:numId="26" w16cid:durableId="761805150">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mirrorMargin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E5B"/>
    <w:rsid w:val="00000125"/>
    <w:rsid w:val="00000DDA"/>
    <w:rsid w:val="00000EAE"/>
    <w:rsid w:val="00001025"/>
    <w:rsid w:val="00001048"/>
    <w:rsid w:val="000012F5"/>
    <w:rsid w:val="0000147C"/>
    <w:rsid w:val="00001AA8"/>
    <w:rsid w:val="00001DAF"/>
    <w:rsid w:val="00001E5F"/>
    <w:rsid w:val="00002342"/>
    <w:rsid w:val="000025E4"/>
    <w:rsid w:val="000025E8"/>
    <w:rsid w:val="0000384E"/>
    <w:rsid w:val="000051AE"/>
    <w:rsid w:val="000051F9"/>
    <w:rsid w:val="00005849"/>
    <w:rsid w:val="00005D11"/>
    <w:rsid w:val="00006265"/>
    <w:rsid w:val="000065FA"/>
    <w:rsid w:val="000066C4"/>
    <w:rsid w:val="00006C2C"/>
    <w:rsid w:val="00006F18"/>
    <w:rsid w:val="000071CC"/>
    <w:rsid w:val="00007A9A"/>
    <w:rsid w:val="00007B54"/>
    <w:rsid w:val="00007CE6"/>
    <w:rsid w:val="0001005B"/>
    <w:rsid w:val="00010344"/>
    <w:rsid w:val="00010913"/>
    <w:rsid w:val="00010D95"/>
    <w:rsid w:val="000114F1"/>
    <w:rsid w:val="00011644"/>
    <w:rsid w:val="0001256C"/>
    <w:rsid w:val="000128A5"/>
    <w:rsid w:val="00012A1C"/>
    <w:rsid w:val="00012F46"/>
    <w:rsid w:val="000133AF"/>
    <w:rsid w:val="00013454"/>
    <w:rsid w:val="00013BAE"/>
    <w:rsid w:val="00013D8F"/>
    <w:rsid w:val="00013E98"/>
    <w:rsid w:val="00014193"/>
    <w:rsid w:val="00014617"/>
    <w:rsid w:val="000146E0"/>
    <w:rsid w:val="000149E3"/>
    <w:rsid w:val="00014B8B"/>
    <w:rsid w:val="00014D3A"/>
    <w:rsid w:val="00014E94"/>
    <w:rsid w:val="000150F3"/>
    <w:rsid w:val="00015237"/>
    <w:rsid w:val="000154FE"/>
    <w:rsid w:val="0001583A"/>
    <w:rsid w:val="000160F5"/>
    <w:rsid w:val="00016845"/>
    <w:rsid w:val="0001697C"/>
    <w:rsid w:val="00016D24"/>
    <w:rsid w:val="0001745A"/>
    <w:rsid w:val="0001767C"/>
    <w:rsid w:val="000177DC"/>
    <w:rsid w:val="0002000B"/>
    <w:rsid w:val="0002038A"/>
    <w:rsid w:val="00020943"/>
    <w:rsid w:val="0002121D"/>
    <w:rsid w:val="000214A5"/>
    <w:rsid w:val="00021AF6"/>
    <w:rsid w:val="00021C2B"/>
    <w:rsid w:val="00021F4F"/>
    <w:rsid w:val="0002220B"/>
    <w:rsid w:val="00022293"/>
    <w:rsid w:val="0002285A"/>
    <w:rsid w:val="00022CD5"/>
    <w:rsid w:val="00022E0B"/>
    <w:rsid w:val="0002375F"/>
    <w:rsid w:val="00023E11"/>
    <w:rsid w:val="00023F8E"/>
    <w:rsid w:val="00024293"/>
    <w:rsid w:val="000248C8"/>
    <w:rsid w:val="00024C25"/>
    <w:rsid w:val="00025485"/>
    <w:rsid w:val="00025C06"/>
    <w:rsid w:val="0002637A"/>
    <w:rsid w:val="00026830"/>
    <w:rsid w:val="00026D97"/>
    <w:rsid w:val="00026FB1"/>
    <w:rsid w:val="000270A6"/>
    <w:rsid w:val="00027471"/>
    <w:rsid w:val="000277A6"/>
    <w:rsid w:val="000278D2"/>
    <w:rsid w:val="00027A89"/>
    <w:rsid w:val="0003019E"/>
    <w:rsid w:val="00030244"/>
    <w:rsid w:val="000306D5"/>
    <w:rsid w:val="00030887"/>
    <w:rsid w:val="000309C8"/>
    <w:rsid w:val="000312E4"/>
    <w:rsid w:val="00031341"/>
    <w:rsid w:val="00031427"/>
    <w:rsid w:val="00031A12"/>
    <w:rsid w:val="00032C5E"/>
    <w:rsid w:val="00032DAB"/>
    <w:rsid w:val="00033346"/>
    <w:rsid w:val="0003339E"/>
    <w:rsid w:val="000334A2"/>
    <w:rsid w:val="000334F2"/>
    <w:rsid w:val="0003379C"/>
    <w:rsid w:val="00033FC9"/>
    <w:rsid w:val="00034297"/>
    <w:rsid w:val="000345F5"/>
    <w:rsid w:val="00035528"/>
    <w:rsid w:val="00035932"/>
    <w:rsid w:val="00035AE8"/>
    <w:rsid w:val="00036EBD"/>
    <w:rsid w:val="00036F98"/>
    <w:rsid w:val="0003752E"/>
    <w:rsid w:val="000376B1"/>
    <w:rsid w:val="00040569"/>
    <w:rsid w:val="000408C5"/>
    <w:rsid w:val="0004095A"/>
    <w:rsid w:val="00040A5A"/>
    <w:rsid w:val="00040DA7"/>
    <w:rsid w:val="00040E41"/>
    <w:rsid w:val="00041E01"/>
    <w:rsid w:val="000422BD"/>
    <w:rsid w:val="0004248D"/>
    <w:rsid w:val="0004309A"/>
    <w:rsid w:val="0004366A"/>
    <w:rsid w:val="00043C80"/>
    <w:rsid w:val="000443DC"/>
    <w:rsid w:val="000443EE"/>
    <w:rsid w:val="00044C4C"/>
    <w:rsid w:val="0004552F"/>
    <w:rsid w:val="00045692"/>
    <w:rsid w:val="00045E05"/>
    <w:rsid w:val="00046374"/>
    <w:rsid w:val="000466A6"/>
    <w:rsid w:val="0004696D"/>
    <w:rsid w:val="000469EC"/>
    <w:rsid w:val="00046CF6"/>
    <w:rsid w:val="00046E94"/>
    <w:rsid w:val="000471A8"/>
    <w:rsid w:val="00047669"/>
    <w:rsid w:val="000476A9"/>
    <w:rsid w:val="00047CD8"/>
    <w:rsid w:val="00047EDD"/>
    <w:rsid w:val="00050270"/>
    <w:rsid w:val="000506EE"/>
    <w:rsid w:val="00050827"/>
    <w:rsid w:val="00050A83"/>
    <w:rsid w:val="00051827"/>
    <w:rsid w:val="00052266"/>
    <w:rsid w:val="00052455"/>
    <w:rsid w:val="00052AB9"/>
    <w:rsid w:val="00053043"/>
    <w:rsid w:val="00053957"/>
    <w:rsid w:val="000544D2"/>
    <w:rsid w:val="00054720"/>
    <w:rsid w:val="00054FDE"/>
    <w:rsid w:val="000557D1"/>
    <w:rsid w:val="00055A67"/>
    <w:rsid w:val="00056065"/>
    <w:rsid w:val="000562C1"/>
    <w:rsid w:val="000568CA"/>
    <w:rsid w:val="000602BA"/>
    <w:rsid w:val="00060DA1"/>
    <w:rsid w:val="00061148"/>
    <w:rsid w:val="000617B9"/>
    <w:rsid w:val="0006247D"/>
    <w:rsid w:val="0006268E"/>
    <w:rsid w:val="000627C7"/>
    <w:rsid w:val="00063CA2"/>
    <w:rsid w:val="0006414C"/>
    <w:rsid w:val="0006460D"/>
    <w:rsid w:val="000647C7"/>
    <w:rsid w:val="00064B25"/>
    <w:rsid w:val="00065006"/>
    <w:rsid w:val="0006509D"/>
    <w:rsid w:val="000651E5"/>
    <w:rsid w:val="00065721"/>
    <w:rsid w:val="000658CA"/>
    <w:rsid w:val="00065A56"/>
    <w:rsid w:val="0006618A"/>
    <w:rsid w:val="00066206"/>
    <w:rsid w:val="00066447"/>
    <w:rsid w:val="00066A95"/>
    <w:rsid w:val="000671E6"/>
    <w:rsid w:val="00067CAE"/>
    <w:rsid w:val="00067DA7"/>
    <w:rsid w:val="0007003A"/>
    <w:rsid w:val="0007017D"/>
    <w:rsid w:val="00070432"/>
    <w:rsid w:val="000707C1"/>
    <w:rsid w:val="000708B4"/>
    <w:rsid w:val="000717A0"/>
    <w:rsid w:val="00071E04"/>
    <w:rsid w:val="00073138"/>
    <w:rsid w:val="000732E2"/>
    <w:rsid w:val="0007348D"/>
    <w:rsid w:val="00073BBB"/>
    <w:rsid w:val="00074761"/>
    <w:rsid w:val="000749C3"/>
    <w:rsid w:val="00074B4F"/>
    <w:rsid w:val="00075C3F"/>
    <w:rsid w:val="00076A09"/>
    <w:rsid w:val="0007709E"/>
    <w:rsid w:val="00077369"/>
    <w:rsid w:val="0007740B"/>
    <w:rsid w:val="00077424"/>
    <w:rsid w:val="000778C7"/>
    <w:rsid w:val="00077F6E"/>
    <w:rsid w:val="00077FF3"/>
    <w:rsid w:val="000801D7"/>
    <w:rsid w:val="000801ED"/>
    <w:rsid w:val="00080E33"/>
    <w:rsid w:val="00081492"/>
    <w:rsid w:val="0008182D"/>
    <w:rsid w:val="00082284"/>
    <w:rsid w:val="00082BAA"/>
    <w:rsid w:val="00083303"/>
    <w:rsid w:val="0008371B"/>
    <w:rsid w:val="000838D2"/>
    <w:rsid w:val="0008393B"/>
    <w:rsid w:val="000846F0"/>
    <w:rsid w:val="000847AD"/>
    <w:rsid w:val="00084FB1"/>
    <w:rsid w:val="00085923"/>
    <w:rsid w:val="00085B9D"/>
    <w:rsid w:val="0008680E"/>
    <w:rsid w:val="00086BAE"/>
    <w:rsid w:val="00086CA2"/>
    <w:rsid w:val="0008717D"/>
    <w:rsid w:val="00087ADE"/>
    <w:rsid w:val="0009068B"/>
    <w:rsid w:val="00090A35"/>
    <w:rsid w:val="00090C9C"/>
    <w:rsid w:val="00090D6B"/>
    <w:rsid w:val="00090FA1"/>
    <w:rsid w:val="00091519"/>
    <w:rsid w:val="00091E03"/>
    <w:rsid w:val="00092503"/>
    <w:rsid w:val="000925E5"/>
    <w:rsid w:val="0009301A"/>
    <w:rsid w:val="000931BD"/>
    <w:rsid w:val="000935BD"/>
    <w:rsid w:val="00093D22"/>
    <w:rsid w:val="00093D3C"/>
    <w:rsid w:val="000940ED"/>
    <w:rsid w:val="00094EF0"/>
    <w:rsid w:val="00094FFC"/>
    <w:rsid w:val="000954DE"/>
    <w:rsid w:val="00096258"/>
    <w:rsid w:val="0009648D"/>
    <w:rsid w:val="000966E4"/>
    <w:rsid w:val="0009676B"/>
    <w:rsid w:val="00096F74"/>
    <w:rsid w:val="00097B5E"/>
    <w:rsid w:val="000A087F"/>
    <w:rsid w:val="000A08DB"/>
    <w:rsid w:val="000A0B86"/>
    <w:rsid w:val="000A0D71"/>
    <w:rsid w:val="000A0DA4"/>
    <w:rsid w:val="000A1453"/>
    <w:rsid w:val="000A1649"/>
    <w:rsid w:val="000A1676"/>
    <w:rsid w:val="000A16F6"/>
    <w:rsid w:val="000A1739"/>
    <w:rsid w:val="000A1B3A"/>
    <w:rsid w:val="000A1B95"/>
    <w:rsid w:val="000A1BB9"/>
    <w:rsid w:val="000A1C87"/>
    <w:rsid w:val="000A20C2"/>
    <w:rsid w:val="000A2250"/>
    <w:rsid w:val="000A2548"/>
    <w:rsid w:val="000A307D"/>
    <w:rsid w:val="000A3C6C"/>
    <w:rsid w:val="000A4172"/>
    <w:rsid w:val="000A456B"/>
    <w:rsid w:val="000A4B2F"/>
    <w:rsid w:val="000A4C8F"/>
    <w:rsid w:val="000A4D1F"/>
    <w:rsid w:val="000A57BA"/>
    <w:rsid w:val="000A5B02"/>
    <w:rsid w:val="000A664B"/>
    <w:rsid w:val="000A6781"/>
    <w:rsid w:val="000A7B03"/>
    <w:rsid w:val="000B1324"/>
    <w:rsid w:val="000B20F5"/>
    <w:rsid w:val="000B321E"/>
    <w:rsid w:val="000B35A9"/>
    <w:rsid w:val="000B35F0"/>
    <w:rsid w:val="000B4700"/>
    <w:rsid w:val="000B4702"/>
    <w:rsid w:val="000B47B0"/>
    <w:rsid w:val="000B47C6"/>
    <w:rsid w:val="000B497F"/>
    <w:rsid w:val="000B4F0D"/>
    <w:rsid w:val="000B5234"/>
    <w:rsid w:val="000B5ECF"/>
    <w:rsid w:val="000B6483"/>
    <w:rsid w:val="000B655A"/>
    <w:rsid w:val="000B6A8C"/>
    <w:rsid w:val="000B6DDB"/>
    <w:rsid w:val="000B6E62"/>
    <w:rsid w:val="000B6FD1"/>
    <w:rsid w:val="000B7007"/>
    <w:rsid w:val="000B732B"/>
    <w:rsid w:val="000B733D"/>
    <w:rsid w:val="000B7D79"/>
    <w:rsid w:val="000C021D"/>
    <w:rsid w:val="000C06C0"/>
    <w:rsid w:val="000C0B2E"/>
    <w:rsid w:val="000C0C18"/>
    <w:rsid w:val="000C109C"/>
    <w:rsid w:val="000C10C0"/>
    <w:rsid w:val="000C125C"/>
    <w:rsid w:val="000C16AF"/>
    <w:rsid w:val="000C17D9"/>
    <w:rsid w:val="000C185E"/>
    <w:rsid w:val="000C1C71"/>
    <w:rsid w:val="000C1E23"/>
    <w:rsid w:val="000C1F60"/>
    <w:rsid w:val="000C20E7"/>
    <w:rsid w:val="000C2113"/>
    <w:rsid w:val="000C2446"/>
    <w:rsid w:val="000C2AE7"/>
    <w:rsid w:val="000C3002"/>
    <w:rsid w:val="000C3493"/>
    <w:rsid w:val="000C3C28"/>
    <w:rsid w:val="000C43E7"/>
    <w:rsid w:val="000C4944"/>
    <w:rsid w:val="000C4A2E"/>
    <w:rsid w:val="000C4C45"/>
    <w:rsid w:val="000C59D9"/>
    <w:rsid w:val="000C5E3B"/>
    <w:rsid w:val="000C6154"/>
    <w:rsid w:val="000C618C"/>
    <w:rsid w:val="000C6385"/>
    <w:rsid w:val="000C63F4"/>
    <w:rsid w:val="000C66D5"/>
    <w:rsid w:val="000C6C01"/>
    <w:rsid w:val="000C74B9"/>
    <w:rsid w:val="000C7A91"/>
    <w:rsid w:val="000C7D6F"/>
    <w:rsid w:val="000D099C"/>
    <w:rsid w:val="000D09B5"/>
    <w:rsid w:val="000D10AF"/>
    <w:rsid w:val="000D157C"/>
    <w:rsid w:val="000D193C"/>
    <w:rsid w:val="000D1C64"/>
    <w:rsid w:val="000D1E9C"/>
    <w:rsid w:val="000D20C1"/>
    <w:rsid w:val="000D23BE"/>
    <w:rsid w:val="000D271B"/>
    <w:rsid w:val="000D2A58"/>
    <w:rsid w:val="000D3227"/>
    <w:rsid w:val="000D3B40"/>
    <w:rsid w:val="000D3EA0"/>
    <w:rsid w:val="000D413B"/>
    <w:rsid w:val="000D464B"/>
    <w:rsid w:val="000D4750"/>
    <w:rsid w:val="000D4827"/>
    <w:rsid w:val="000D4B33"/>
    <w:rsid w:val="000D4D03"/>
    <w:rsid w:val="000D5284"/>
    <w:rsid w:val="000D59FA"/>
    <w:rsid w:val="000D5A63"/>
    <w:rsid w:val="000D5CE5"/>
    <w:rsid w:val="000D5F7C"/>
    <w:rsid w:val="000D60CB"/>
    <w:rsid w:val="000D6649"/>
    <w:rsid w:val="000D6932"/>
    <w:rsid w:val="000D793D"/>
    <w:rsid w:val="000E0015"/>
    <w:rsid w:val="000E0769"/>
    <w:rsid w:val="000E0935"/>
    <w:rsid w:val="000E1722"/>
    <w:rsid w:val="000E17B0"/>
    <w:rsid w:val="000E1A27"/>
    <w:rsid w:val="000E212D"/>
    <w:rsid w:val="000E2C0D"/>
    <w:rsid w:val="000E2E8E"/>
    <w:rsid w:val="000E2EE2"/>
    <w:rsid w:val="000E394A"/>
    <w:rsid w:val="000E457A"/>
    <w:rsid w:val="000E4C64"/>
    <w:rsid w:val="000E598B"/>
    <w:rsid w:val="000E5F48"/>
    <w:rsid w:val="000E71E8"/>
    <w:rsid w:val="000F034C"/>
    <w:rsid w:val="000F0421"/>
    <w:rsid w:val="000F06F2"/>
    <w:rsid w:val="000F0850"/>
    <w:rsid w:val="000F0AD9"/>
    <w:rsid w:val="000F1008"/>
    <w:rsid w:val="000F15F5"/>
    <w:rsid w:val="000F178B"/>
    <w:rsid w:val="000F17E2"/>
    <w:rsid w:val="000F1FB6"/>
    <w:rsid w:val="000F2737"/>
    <w:rsid w:val="000F2CAE"/>
    <w:rsid w:val="000F2DE0"/>
    <w:rsid w:val="000F3079"/>
    <w:rsid w:val="000F321D"/>
    <w:rsid w:val="000F38E8"/>
    <w:rsid w:val="000F3C34"/>
    <w:rsid w:val="000F3C48"/>
    <w:rsid w:val="000F3FF6"/>
    <w:rsid w:val="000F4C01"/>
    <w:rsid w:val="000F4C88"/>
    <w:rsid w:val="000F4E25"/>
    <w:rsid w:val="000F532A"/>
    <w:rsid w:val="000F582F"/>
    <w:rsid w:val="000F5A65"/>
    <w:rsid w:val="000F66C1"/>
    <w:rsid w:val="000F6B78"/>
    <w:rsid w:val="000F71C6"/>
    <w:rsid w:val="000F7BC7"/>
    <w:rsid w:val="001004A8"/>
    <w:rsid w:val="00100B71"/>
    <w:rsid w:val="00100DED"/>
    <w:rsid w:val="00100EAE"/>
    <w:rsid w:val="00101869"/>
    <w:rsid w:val="00101996"/>
    <w:rsid w:val="00101D0D"/>
    <w:rsid w:val="001023BA"/>
    <w:rsid w:val="00102441"/>
    <w:rsid w:val="00102892"/>
    <w:rsid w:val="00103086"/>
    <w:rsid w:val="001033DC"/>
    <w:rsid w:val="00103DA9"/>
    <w:rsid w:val="00103EE2"/>
    <w:rsid w:val="001044E0"/>
    <w:rsid w:val="00104B79"/>
    <w:rsid w:val="00104E5D"/>
    <w:rsid w:val="001050A1"/>
    <w:rsid w:val="00105276"/>
    <w:rsid w:val="001058AE"/>
    <w:rsid w:val="001059CD"/>
    <w:rsid w:val="00106307"/>
    <w:rsid w:val="00106719"/>
    <w:rsid w:val="0010730F"/>
    <w:rsid w:val="00107432"/>
    <w:rsid w:val="0010789D"/>
    <w:rsid w:val="001079EA"/>
    <w:rsid w:val="00107BB2"/>
    <w:rsid w:val="00110338"/>
    <w:rsid w:val="00110553"/>
    <w:rsid w:val="0011069D"/>
    <w:rsid w:val="00110950"/>
    <w:rsid w:val="00110B1C"/>
    <w:rsid w:val="00110BF3"/>
    <w:rsid w:val="001110DE"/>
    <w:rsid w:val="001111C9"/>
    <w:rsid w:val="00111357"/>
    <w:rsid w:val="001116B6"/>
    <w:rsid w:val="00111914"/>
    <w:rsid w:val="00111CEA"/>
    <w:rsid w:val="0011239C"/>
    <w:rsid w:val="00112526"/>
    <w:rsid w:val="00112D02"/>
    <w:rsid w:val="00112D96"/>
    <w:rsid w:val="001133F1"/>
    <w:rsid w:val="00113C8F"/>
    <w:rsid w:val="00113EC1"/>
    <w:rsid w:val="001141EF"/>
    <w:rsid w:val="00115884"/>
    <w:rsid w:val="00115E05"/>
    <w:rsid w:val="00116476"/>
    <w:rsid w:val="00116752"/>
    <w:rsid w:val="00116F99"/>
    <w:rsid w:val="0011700E"/>
    <w:rsid w:val="00117012"/>
    <w:rsid w:val="0011722B"/>
    <w:rsid w:val="0011756F"/>
    <w:rsid w:val="00117C76"/>
    <w:rsid w:val="001200A5"/>
    <w:rsid w:val="00120F0D"/>
    <w:rsid w:val="001216A4"/>
    <w:rsid w:val="00121739"/>
    <w:rsid w:val="0012182F"/>
    <w:rsid w:val="00121ECA"/>
    <w:rsid w:val="001221F2"/>
    <w:rsid w:val="001225FC"/>
    <w:rsid w:val="001226F6"/>
    <w:rsid w:val="001229B8"/>
    <w:rsid w:val="00122BB7"/>
    <w:rsid w:val="00122DDA"/>
    <w:rsid w:val="00122E7A"/>
    <w:rsid w:val="00123259"/>
    <w:rsid w:val="00123803"/>
    <w:rsid w:val="00123A66"/>
    <w:rsid w:val="00123D51"/>
    <w:rsid w:val="00123E83"/>
    <w:rsid w:val="00124294"/>
    <w:rsid w:val="00124C9B"/>
    <w:rsid w:val="00125040"/>
    <w:rsid w:val="001254C4"/>
    <w:rsid w:val="001259C1"/>
    <w:rsid w:val="00125A38"/>
    <w:rsid w:val="00125C05"/>
    <w:rsid w:val="001268DA"/>
    <w:rsid w:val="00126B82"/>
    <w:rsid w:val="00126E5A"/>
    <w:rsid w:val="001270CD"/>
    <w:rsid w:val="00127574"/>
    <w:rsid w:val="0012765C"/>
    <w:rsid w:val="00127F60"/>
    <w:rsid w:val="0013049D"/>
    <w:rsid w:val="00131355"/>
    <w:rsid w:val="0013137A"/>
    <w:rsid w:val="0013150A"/>
    <w:rsid w:val="00131AEA"/>
    <w:rsid w:val="00131B85"/>
    <w:rsid w:val="00131FFB"/>
    <w:rsid w:val="001323A5"/>
    <w:rsid w:val="0013319A"/>
    <w:rsid w:val="001338C5"/>
    <w:rsid w:val="001338EA"/>
    <w:rsid w:val="00133A4F"/>
    <w:rsid w:val="00133C28"/>
    <w:rsid w:val="00133CD4"/>
    <w:rsid w:val="00133E71"/>
    <w:rsid w:val="00134AD4"/>
    <w:rsid w:val="00134D02"/>
    <w:rsid w:val="0013529B"/>
    <w:rsid w:val="00136A57"/>
    <w:rsid w:val="00136AFC"/>
    <w:rsid w:val="00137206"/>
    <w:rsid w:val="001374D2"/>
    <w:rsid w:val="00137616"/>
    <w:rsid w:val="00137B63"/>
    <w:rsid w:val="00137CA8"/>
    <w:rsid w:val="001407A5"/>
    <w:rsid w:val="001409A4"/>
    <w:rsid w:val="00140EA7"/>
    <w:rsid w:val="00140EF2"/>
    <w:rsid w:val="00141202"/>
    <w:rsid w:val="001415D1"/>
    <w:rsid w:val="001417D0"/>
    <w:rsid w:val="001417F3"/>
    <w:rsid w:val="00141862"/>
    <w:rsid w:val="001422AD"/>
    <w:rsid w:val="0014340F"/>
    <w:rsid w:val="00143643"/>
    <w:rsid w:val="001442E5"/>
    <w:rsid w:val="001443EE"/>
    <w:rsid w:val="00144B4B"/>
    <w:rsid w:val="00145125"/>
    <w:rsid w:val="00145323"/>
    <w:rsid w:val="001453EE"/>
    <w:rsid w:val="00146963"/>
    <w:rsid w:val="00146EA3"/>
    <w:rsid w:val="00147849"/>
    <w:rsid w:val="00147CA9"/>
    <w:rsid w:val="00147E96"/>
    <w:rsid w:val="00147F4C"/>
    <w:rsid w:val="00150210"/>
    <w:rsid w:val="00150377"/>
    <w:rsid w:val="00150D38"/>
    <w:rsid w:val="001511A5"/>
    <w:rsid w:val="00151648"/>
    <w:rsid w:val="00151D27"/>
    <w:rsid w:val="001522B4"/>
    <w:rsid w:val="001523F6"/>
    <w:rsid w:val="00152948"/>
    <w:rsid w:val="00152978"/>
    <w:rsid w:val="00152F6E"/>
    <w:rsid w:val="0015304E"/>
    <w:rsid w:val="001534BE"/>
    <w:rsid w:val="00153535"/>
    <w:rsid w:val="00153B75"/>
    <w:rsid w:val="00153BA5"/>
    <w:rsid w:val="00153FD6"/>
    <w:rsid w:val="00154DC8"/>
    <w:rsid w:val="0015508E"/>
    <w:rsid w:val="001552CE"/>
    <w:rsid w:val="0015546E"/>
    <w:rsid w:val="001554AE"/>
    <w:rsid w:val="001555A8"/>
    <w:rsid w:val="001555E4"/>
    <w:rsid w:val="001556E0"/>
    <w:rsid w:val="00155AFE"/>
    <w:rsid w:val="00155B34"/>
    <w:rsid w:val="00155E73"/>
    <w:rsid w:val="00155F87"/>
    <w:rsid w:val="0015626A"/>
    <w:rsid w:val="0015723E"/>
    <w:rsid w:val="0015761B"/>
    <w:rsid w:val="00157DFC"/>
    <w:rsid w:val="00160482"/>
    <w:rsid w:val="001606CF"/>
    <w:rsid w:val="001614C4"/>
    <w:rsid w:val="00161A2B"/>
    <w:rsid w:val="001636D9"/>
    <w:rsid w:val="00163782"/>
    <w:rsid w:val="00163B2A"/>
    <w:rsid w:val="00163D27"/>
    <w:rsid w:val="00164434"/>
    <w:rsid w:val="001644B8"/>
    <w:rsid w:val="001653D0"/>
    <w:rsid w:val="0016548F"/>
    <w:rsid w:val="00165DE4"/>
    <w:rsid w:val="00165EAF"/>
    <w:rsid w:val="001665F0"/>
    <w:rsid w:val="00166D69"/>
    <w:rsid w:val="00166E0E"/>
    <w:rsid w:val="00166E12"/>
    <w:rsid w:val="00166FCB"/>
    <w:rsid w:val="00166FF9"/>
    <w:rsid w:val="001671DF"/>
    <w:rsid w:val="00167405"/>
    <w:rsid w:val="0016751F"/>
    <w:rsid w:val="00167C4D"/>
    <w:rsid w:val="001710DE"/>
    <w:rsid w:val="0017176E"/>
    <w:rsid w:val="00172930"/>
    <w:rsid w:val="00173103"/>
    <w:rsid w:val="00174D18"/>
    <w:rsid w:val="00174F0F"/>
    <w:rsid w:val="00174FB4"/>
    <w:rsid w:val="00175579"/>
    <w:rsid w:val="00175603"/>
    <w:rsid w:val="00175AF0"/>
    <w:rsid w:val="00176469"/>
    <w:rsid w:val="0017665C"/>
    <w:rsid w:val="00176C96"/>
    <w:rsid w:val="0017738C"/>
    <w:rsid w:val="00177CBA"/>
    <w:rsid w:val="00177F57"/>
    <w:rsid w:val="0018063C"/>
    <w:rsid w:val="00180861"/>
    <w:rsid w:val="00181C52"/>
    <w:rsid w:val="00181C5E"/>
    <w:rsid w:val="00181D1B"/>
    <w:rsid w:val="00181E85"/>
    <w:rsid w:val="00181ECC"/>
    <w:rsid w:val="00182178"/>
    <w:rsid w:val="001827E1"/>
    <w:rsid w:val="00182A8D"/>
    <w:rsid w:val="00182BAB"/>
    <w:rsid w:val="0018301B"/>
    <w:rsid w:val="00183167"/>
    <w:rsid w:val="0018358E"/>
    <w:rsid w:val="00183A8E"/>
    <w:rsid w:val="00183B38"/>
    <w:rsid w:val="0018414E"/>
    <w:rsid w:val="00184260"/>
    <w:rsid w:val="00184468"/>
    <w:rsid w:val="00184606"/>
    <w:rsid w:val="0018492C"/>
    <w:rsid w:val="00184CCB"/>
    <w:rsid w:val="00184E41"/>
    <w:rsid w:val="001857EB"/>
    <w:rsid w:val="001859D3"/>
    <w:rsid w:val="00185F6C"/>
    <w:rsid w:val="001862AE"/>
    <w:rsid w:val="00186850"/>
    <w:rsid w:val="001869A5"/>
    <w:rsid w:val="00187185"/>
    <w:rsid w:val="001872FD"/>
    <w:rsid w:val="00187803"/>
    <w:rsid w:val="00187EF4"/>
    <w:rsid w:val="001900E9"/>
    <w:rsid w:val="001900EB"/>
    <w:rsid w:val="00191020"/>
    <w:rsid w:val="00192196"/>
    <w:rsid w:val="00192B46"/>
    <w:rsid w:val="00192FB2"/>
    <w:rsid w:val="001932EF"/>
    <w:rsid w:val="00193388"/>
    <w:rsid w:val="00193641"/>
    <w:rsid w:val="001937BA"/>
    <w:rsid w:val="00194246"/>
    <w:rsid w:val="00194B96"/>
    <w:rsid w:val="00194CAB"/>
    <w:rsid w:val="00194F90"/>
    <w:rsid w:val="001950F0"/>
    <w:rsid w:val="001955AB"/>
    <w:rsid w:val="001955AC"/>
    <w:rsid w:val="001956EC"/>
    <w:rsid w:val="00195783"/>
    <w:rsid w:val="00195E97"/>
    <w:rsid w:val="00196303"/>
    <w:rsid w:val="00196427"/>
    <w:rsid w:val="001969C3"/>
    <w:rsid w:val="00196A57"/>
    <w:rsid w:val="00197548"/>
    <w:rsid w:val="001A0735"/>
    <w:rsid w:val="001A0870"/>
    <w:rsid w:val="001A0F62"/>
    <w:rsid w:val="001A1155"/>
    <w:rsid w:val="001A12C8"/>
    <w:rsid w:val="001A1938"/>
    <w:rsid w:val="001A1DAE"/>
    <w:rsid w:val="001A1EFA"/>
    <w:rsid w:val="001A2299"/>
    <w:rsid w:val="001A2BBB"/>
    <w:rsid w:val="001A414C"/>
    <w:rsid w:val="001A47FD"/>
    <w:rsid w:val="001A4DC5"/>
    <w:rsid w:val="001A4F92"/>
    <w:rsid w:val="001A5031"/>
    <w:rsid w:val="001A50E1"/>
    <w:rsid w:val="001A558C"/>
    <w:rsid w:val="001A567A"/>
    <w:rsid w:val="001A586E"/>
    <w:rsid w:val="001A5981"/>
    <w:rsid w:val="001A6036"/>
    <w:rsid w:val="001A611B"/>
    <w:rsid w:val="001A67BE"/>
    <w:rsid w:val="001A698E"/>
    <w:rsid w:val="001A6A04"/>
    <w:rsid w:val="001A7672"/>
    <w:rsid w:val="001A796E"/>
    <w:rsid w:val="001B020F"/>
    <w:rsid w:val="001B0673"/>
    <w:rsid w:val="001B074F"/>
    <w:rsid w:val="001B0A4B"/>
    <w:rsid w:val="001B0C0C"/>
    <w:rsid w:val="001B113A"/>
    <w:rsid w:val="001B14BF"/>
    <w:rsid w:val="001B1897"/>
    <w:rsid w:val="001B2543"/>
    <w:rsid w:val="001B2B90"/>
    <w:rsid w:val="001B3178"/>
    <w:rsid w:val="001B323D"/>
    <w:rsid w:val="001B3855"/>
    <w:rsid w:val="001B39F5"/>
    <w:rsid w:val="001B3B85"/>
    <w:rsid w:val="001B417F"/>
    <w:rsid w:val="001B47FB"/>
    <w:rsid w:val="001B4B60"/>
    <w:rsid w:val="001B5110"/>
    <w:rsid w:val="001B51F7"/>
    <w:rsid w:val="001B5C8B"/>
    <w:rsid w:val="001B5E45"/>
    <w:rsid w:val="001B602F"/>
    <w:rsid w:val="001B6332"/>
    <w:rsid w:val="001B687B"/>
    <w:rsid w:val="001B69F9"/>
    <w:rsid w:val="001B70B0"/>
    <w:rsid w:val="001B712A"/>
    <w:rsid w:val="001B7522"/>
    <w:rsid w:val="001B7D1C"/>
    <w:rsid w:val="001C00F6"/>
    <w:rsid w:val="001C052F"/>
    <w:rsid w:val="001C0861"/>
    <w:rsid w:val="001C0DEA"/>
    <w:rsid w:val="001C1DAF"/>
    <w:rsid w:val="001C2249"/>
    <w:rsid w:val="001C2439"/>
    <w:rsid w:val="001C27A1"/>
    <w:rsid w:val="001C2A3E"/>
    <w:rsid w:val="001C2D17"/>
    <w:rsid w:val="001C3090"/>
    <w:rsid w:val="001C3498"/>
    <w:rsid w:val="001C34FF"/>
    <w:rsid w:val="001C35A4"/>
    <w:rsid w:val="001C3A3F"/>
    <w:rsid w:val="001C3D4A"/>
    <w:rsid w:val="001C3DDF"/>
    <w:rsid w:val="001C473E"/>
    <w:rsid w:val="001C47E3"/>
    <w:rsid w:val="001C4A29"/>
    <w:rsid w:val="001C4A60"/>
    <w:rsid w:val="001C4E1C"/>
    <w:rsid w:val="001C5174"/>
    <w:rsid w:val="001C5185"/>
    <w:rsid w:val="001C51C4"/>
    <w:rsid w:val="001C5434"/>
    <w:rsid w:val="001C57FE"/>
    <w:rsid w:val="001C5966"/>
    <w:rsid w:val="001C59C5"/>
    <w:rsid w:val="001C5F3A"/>
    <w:rsid w:val="001C6601"/>
    <w:rsid w:val="001C66B9"/>
    <w:rsid w:val="001C6D08"/>
    <w:rsid w:val="001C706D"/>
    <w:rsid w:val="001C72FA"/>
    <w:rsid w:val="001C7621"/>
    <w:rsid w:val="001C7885"/>
    <w:rsid w:val="001C7A35"/>
    <w:rsid w:val="001D00DA"/>
    <w:rsid w:val="001D15AA"/>
    <w:rsid w:val="001D1D0E"/>
    <w:rsid w:val="001D1D78"/>
    <w:rsid w:val="001D1D9C"/>
    <w:rsid w:val="001D20A1"/>
    <w:rsid w:val="001D20AA"/>
    <w:rsid w:val="001D2472"/>
    <w:rsid w:val="001D259B"/>
    <w:rsid w:val="001D2CB1"/>
    <w:rsid w:val="001D3164"/>
    <w:rsid w:val="001D3237"/>
    <w:rsid w:val="001D3705"/>
    <w:rsid w:val="001D3BDF"/>
    <w:rsid w:val="001D3F48"/>
    <w:rsid w:val="001D505F"/>
    <w:rsid w:val="001D507B"/>
    <w:rsid w:val="001D5361"/>
    <w:rsid w:val="001D590D"/>
    <w:rsid w:val="001D5A30"/>
    <w:rsid w:val="001D608F"/>
    <w:rsid w:val="001D66D3"/>
    <w:rsid w:val="001D685B"/>
    <w:rsid w:val="001D6A9C"/>
    <w:rsid w:val="001D7231"/>
    <w:rsid w:val="001D7279"/>
    <w:rsid w:val="001D73C2"/>
    <w:rsid w:val="001D7788"/>
    <w:rsid w:val="001D7ABC"/>
    <w:rsid w:val="001D7EA5"/>
    <w:rsid w:val="001E007E"/>
    <w:rsid w:val="001E238A"/>
    <w:rsid w:val="001E29B2"/>
    <w:rsid w:val="001E39FE"/>
    <w:rsid w:val="001E3F99"/>
    <w:rsid w:val="001E418A"/>
    <w:rsid w:val="001E419F"/>
    <w:rsid w:val="001E45BF"/>
    <w:rsid w:val="001E479D"/>
    <w:rsid w:val="001E4C06"/>
    <w:rsid w:val="001E5E87"/>
    <w:rsid w:val="001E68CE"/>
    <w:rsid w:val="001E6B14"/>
    <w:rsid w:val="001E7062"/>
    <w:rsid w:val="001E74B0"/>
    <w:rsid w:val="001E76E6"/>
    <w:rsid w:val="001E7983"/>
    <w:rsid w:val="001E7D5D"/>
    <w:rsid w:val="001F0535"/>
    <w:rsid w:val="001F0A1E"/>
    <w:rsid w:val="001F0B50"/>
    <w:rsid w:val="001F1376"/>
    <w:rsid w:val="001F186C"/>
    <w:rsid w:val="001F21E6"/>
    <w:rsid w:val="001F247A"/>
    <w:rsid w:val="001F25FF"/>
    <w:rsid w:val="001F364F"/>
    <w:rsid w:val="001F3734"/>
    <w:rsid w:val="001F4905"/>
    <w:rsid w:val="001F587C"/>
    <w:rsid w:val="001F5A56"/>
    <w:rsid w:val="001F771D"/>
    <w:rsid w:val="001F772A"/>
    <w:rsid w:val="001F7DD5"/>
    <w:rsid w:val="001F7E64"/>
    <w:rsid w:val="00200315"/>
    <w:rsid w:val="00200918"/>
    <w:rsid w:val="00200E5C"/>
    <w:rsid w:val="00201058"/>
    <w:rsid w:val="00201080"/>
    <w:rsid w:val="002016C5"/>
    <w:rsid w:val="00201EAD"/>
    <w:rsid w:val="002029D3"/>
    <w:rsid w:val="00202A98"/>
    <w:rsid w:val="002030D9"/>
    <w:rsid w:val="002033E6"/>
    <w:rsid w:val="002036A3"/>
    <w:rsid w:val="00203B24"/>
    <w:rsid w:val="00203BFE"/>
    <w:rsid w:val="00204B83"/>
    <w:rsid w:val="00204F6E"/>
    <w:rsid w:val="0020560C"/>
    <w:rsid w:val="00205836"/>
    <w:rsid w:val="002068F6"/>
    <w:rsid w:val="00206EC7"/>
    <w:rsid w:val="002070AF"/>
    <w:rsid w:val="00207BE9"/>
    <w:rsid w:val="002100FF"/>
    <w:rsid w:val="00210FAE"/>
    <w:rsid w:val="00211671"/>
    <w:rsid w:val="00211890"/>
    <w:rsid w:val="00211A16"/>
    <w:rsid w:val="00211BB3"/>
    <w:rsid w:val="00211E54"/>
    <w:rsid w:val="002127C5"/>
    <w:rsid w:val="00212B06"/>
    <w:rsid w:val="00212D82"/>
    <w:rsid w:val="0021379D"/>
    <w:rsid w:val="00213DFF"/>
    <w:rsid w:val="002146CF"/>
    <w:rsid w:val="002148B1"/>
    <w:rsid w:val="002148DA"/>
    <w:rsid w:val="00214CF5"/>
    <w:rsid w:val="00214E2D"/>
    <w:rsid w:val="00214F7F"/>
    <w:rsid w:val="00215585"/>
    <w:rsid w:val="002162FA"/>
    <w:rsid w:val="002172D7"/>
    <w:rsid w:val="00217684"/>
    <w:rsid w:val="00217DFD"/>
    <w:rsid w:val="002200A9"/>
    <w:rsid w:val="0022050C"/>
    <w:rsid w:val="00220603"/>
    <w:rsid w:val="00220A5F"/>
    <w:rsid w:val="00220C8F"/>
    <w:rsid w:val="0022195B"/>
    <w:rsid w:val="00221C74"/>
    <w:rsid w:val="00221CCC"/>
    <w:rsid w:val="00222094"/>
    <w:rsid w:val="0022272D"/>
    <w:rsid w:val="002228A5"/>
    <w:rsid w:val="00222BDA"/>
    <w:rsid w:val="00223FBA"/>
    <w:rsid w:val="00224265"/>
    <w:rsid w:val="00224281"/>
    <w:rsid w:val="00224671"/>
    <w:rsid w:val="00224E5D"/>
    <w:rsid w:val="0022555E"/>
    <w:rsid w:val="0022585C"/>
    <w:rsid w:val="00225BC6"/>
    <w:rsid w:val="00225D36"/>
    <w:rsid w:val="00226523"/>
    <w:rsid w:val="002265C3"/>
    <w:rsid w:val="0022662D"/>
    <w:rsid w:val="00226F08"/>
    <w:rsid w:val="00230860"/>
    <w:rsid w:val="002311FC"/>
    <w:rsid w:val="0023173A"/>
    <w:rsid w:val="00231D60"/>
    <w:rsid w:val="00231EC7"/>
    <w:rsid w:val="00232052"/>
    <w:rsid w:val="002328D5"/>
    <w:rsid w:val="0023293C"/>
    <w:rsid w:val="0023389C"/>
    <w:rsid w:val="00233B9F"/>
    <w:rsid w:val="00233EE8"/>
    <w:rsid w:val="00233F43"/>
    <w:rsid w:val="002341E2"/>
    <w:rsid w:val="0023450C"/>
    <w:rsid w:val="00234627"/>
    <w:rsid w:val="002346B2"/>
    <w:rsid w:val="0023549A"/>
    <w:rsid w:val="002357D8"/>
    <w:rsid w:val="00235AE7"/>
    <w:rsid w:val="00236070"/>
    <w:rsid w:val="00236105"/>
    <w:rsid w:val="00236DEA"/>
    <w:rsid w:val="00236F84"/>
    <w:rsid w:val="00237BC6"/>
    <w:rsid w:val="00237E9A"/>
    <w:rsid w:val="00240B45"/>
    <w:rsid w:val="00240E8D"/>
    <w:rsid w:val="00241005"/>
    <w:rsid w:val="00241CF7"/>
    <w:rsid w:val="00241FF6"/>
    <w:rsid w:val="0024207A"/>
    <w:rsid w:val="002423BA"/>
    <w:rsid w:val="002424BA"/>
    <w:rsid w:val="002426A0"/>
    <w:rsid w:val="002426B0"/>
    <w:rsid w:val="0024312B"/>
    <w:rsid w:val="002433CC"/>
    <w:rsid w:val="00243892"/>
    <w:rsid w:val="002439E9"/>
    <w:rsid w:val="00243AE8"/>
    <w:rsid w:val="002441FE"/>
    <w:rsid w:val="002445EE"/>
    <w:rsid w:val="00244894"/>
    <w:rsid w:val="00245065"/>
    <w:rsid w:val="00245193"/>
    <w:rsid w:val="002451B6"/>
    <w:rsid w:val="0024544C"/>
    <w:rsid w:val="00246610"/>
    <w:rsid w:val="00246A38"/>
    <w:rsid w:val="00246AC5"/>
    <w:rsid w:val="00246C4B"/>
    <w:rsid w:val="0024710D"/>
    <w:rsid w:val="002471A9"/>
    <w:rsid w:val="00247313"/>
    <w:rsid w:val="00251BB0"/>
    <w:rsid w:val="00252354"/>
    <w:rsid w:val="00252500"/>
    <w:rsid w:val="002532DC"/>
    <w:rsid w:val="00253B82"/>
    <w:rsid w:val="00253D51"/>
    <w:rsid w:val="0025419C"/>
    <w:rsid w:val="00254B54"/>
    <w:rsid w:val="0025531B"/>
    <w:rsid w:val="00255592"/>
    <w:rsid w:val="00255749"/>
    <w:rsid w:val="002564D7"/>
    <w:rsid w:val="00256DAE"/>
    <w:rsid w:val="00257011"/>
    <w:rsid w:val="002607AD"/>
    <w:rsid w:val="002611E4"/>
    <w:rsid w:val="00261587"/>
    <w:rsid w:val="00261D9C"/>
    <w:rsid w:val="002621DD"/>
    <w:rsid w:val="002621F4"/>
    <w:rsid w:val="00262538"/>
    <w:rsid w:val="00262A14"/>
    <w:rsid w:val="00262E02"/>
    <w:rsid w:val="0026371C"/>
    <w:rsid w:val="00263BCA"/>
    <w:rsid w:val="00264013"/>
    <w:rsid w:val="0026458B"/>
    <w:rsid w:val="002645E1"/>
    <w:rsid w:val="00264D69"/>
    <w:rsid w:val="0026507F"/>
    <w:rsid w:val="002653DF"/>
    <w:rsid w:val="00265A9F"/>
    <w:rsid w:val="00265C13"/>
    <w:rsid w:val="00265CBF"/>
    <w:rsid w:val="002661D7"/>
    <w:rsid w:val="00266333"/>
    <w:rsid w:val="00266FDF"/>
    <w:rsid w:val="002672F3"/>
    <w:rsid w:val="00267532"/>
    <w:rsid w:val="00267DC9"/>
    <w:rsid w:val="002700CC"/>
    <w:rsid w:val="002701BB"/>
    <w:rsid w:val="002708FC"/>
    <w:rsid w:val="00270E4C"/>
    <w:rsid w:val="00270F14"/>
    <w:rsid w:val="002710EB"/>
    <w:rsid w:val="002712D5"/>
    <w:rsid w:val="00272646"/>
    <w:rsid w:val="002733AF"/>
    <w:rsid w:val="00273647"/>
    <w:rsid w:val="00273EC8"/>
    <w:rsid w:val="00274B1F"/>
    <w:rsid w:val="00275051"/>
    <w:rsid w:val="002751BB"/>
    <w:rsid w:val="00275221"/>
    <w:rsid w:val="00275EA2"/>
    <w:rsid w:val="002764DF"/>
    <w:rsid w:val="002767F1"/>
    <w:rsid w:val="00276D09"/>
    <w:rsid w:val="00277310"/>
    <w:rsid w:val="0027787A"/>
    <w:rsid w:val="00277DF9"/>
    <w:rsid w:val="00280044"/>
    <w:rsid w:val="00280958"/>
    <w:rsid w:val="00280ACA"/>
    <w:rsid w:val="0028165F"/>
    <w:rsid w:val="0028187C"/>
    <w:rsid w:val="00282252"/>
    <w:rsid w:val="0028236A"/>
    <w:rsid w:val="00282A1F"/>
    <w:rsid w:val="00282D2D"/>
    <w:rsid w:val="00282E43"/>
    <w:rsid w:val="0028391C"/>
    <w:rsid w:val="00284095"/>
    <w:rsid w:val="00284A61"/>
    <w:rsid w:val="00284ADC"/>
    <w:rsid w:val="00284D59"/>
    <w:rsid w:val="00284FCB"/>
    <w:rsid w:val="002859B9"/>
    <w:rsid w:val="00285BEA"/>
    <w:rsid w:val="00285D95"/>
    <w:rsid w:val="002863DF"/>
    <w:rsid w:val="0028641C"/>
    <w:rsid w:val="002867BB"/>
    <w:rsid w:val="00286BF4"/>
    <w:rsid w:val="00286D0E"/>
    <w:rsid w:val="00287F0D"/>
    <w:rsid w:val="00290019"/>
    <w:rsid w:val="0029019A"/>
    <w:rsid w:val="00290561"/>
    <w:rsid w:val="0029065F"/>
    <w:rsid w:val="00290A1F"/>
    <w:rsid w:val="00290F07"/>
    <w:rsid w:val="00290FC3"/>
    <w:rsid w:val="002917A9"/>
    <w:rsid w:val="00291B0B"/>
    <w:rsid w:val="00291DAF"/>
    <w:rsid w:val="002921F7"/>
    <w:rsid w:val="002929D5"/>
    <w:rsid w:val="002930C9"/>
    <w:rsid w:val="00293633"/>
    <w:rsid w:val="00293831"/>
    <w:rsid w:val="00293BBD"/>
    <w:rsid w:val="00293C41"/>
    <w:rsid w:val="002940C6"/>
    <w:rsid w:val="00295496"/>
    <w:rsid w:val="0029646B"/>
    <w:rsid w:val="002972E8"/>
    <w:rsid w:val="00297EE2"/>
    <w:rsid w:val="002A0B0A"/>
    <w:rsid w:val="002A1305"/>
    <w:rsid w:val="002A1898"/>
    <w:rsid w:val="002A1DB1"/>
    <w:rsid w:val="002A202C"/>
    <w:rsid w:val="002A2540"/>
    <w:rsid w:val="002A2862"/>
    <w:rsid w:val="002A30F2"/>
    <w:rsid w:val="002A3518"/>
    <w:rsid w:val="002A3A76"/>
    <w:rsid w:val="002A41AE"/>
    <w:rsid w:val="002A48E9"/>
    <w:rsid w:val="002A4AD3"/>
    <w:rsid w:val="002A4B75"/>
    <w:rsid w:val="002A4BE5"/>
    <w:rsid w:val="002A58AC"/>
    <w:rsid w:val="002A5A72"/>
    <w:rsid w:val="002A6166"/>
    <w:rsid w:val="002A616F"/>
    <w:rsid w:val="002A6483"/>
    <w:rsid w:val="002A6A3B"/>
    <w:rsid w:val="002A6D3E"/>
    <w:rsid w:val="002A705F"/>
    <w:rsid w:val="002A70B6"/>
    <w:rsid w:val="002A74B2"/>
    <w:rsid w:val="002A74DF"/>
    <w:rsid w:val="002A74E2"/>
    <w:rsid w:val="002A7DD6"/>
    <w:rsid w:val="002B0C38"/>
    <w:rsid w:val="002B0FA3"/>
    <w:rsid w:val="002B13F1"/>
    <w:rsid w:val="002B159A"/>
    <w:rsid w:val="002B1616"/>
    <w:rsid w:val="002B2203"/>
    <w:rsid w:val="002B2EC1"/>
    <w:rsid w:val="002B34FE"/>
    <w:rsid w:val="002B45D8"/>
    <w:rsid w:val="002B499E"/>
    <w:rsid w:val="002B4D5C"/>
    <w:rsid w:val="002B53FE"/>
    <w:rsid w:val="002B5882"/>
    <w:rsid w:val="002B6523"/>
    <w:rsid w:val="002B6C0B"/>
    <w:rsid w:val="002B7078"/>
    <w:rsid w:val="002B723C"/>
    <w:rsid w:val="002B740A"/>
    <w:rsid w:val="002B7E85"/>
    <w:rsid w:val="002C00F3"/>
    <w:rsid w:val="002C0323"/>
    <w:rsid w:val="002C0E0E"/>
    <w:rsid w:val="002C1019"/>
    <w:rsid w:val="002C1DBC"/>
    <w:rsid w:val="002C3193"/>
    <w:rsid w:val="002C34D4"/>
    <w:rsid w:val="002C3AF1"/>
    <w:rsid w:val="002C3CFE"/>
    <w:rsid w:val="002C40DC"/>
    <w:rsid w:val="002C43B3"/>
    <w:rsid w:val="002C44C0"/>
    <w:rsid w:val="002C44DE"/>
    <w:rsid w:val="002C488D"/>
    <w:rsid w:val="002C4F00"/>
    <w:rsid w:val="002C4F0D"/>
    <w:rsid w:val="002C524A"/>
    <w:rsid w:val="002C580D"/>
    <w:rsid w:val="002C58F5"/>
    <w:rsid w:val="002C5930"/>
    <w:rsid w:val="002C5C9B"/>
    <w:rsid w:val="002C5F65"/>
    <w:rsid w:val="002C6733"/>
    <w:rsid w:val="002C6F3B"/>
    <w:rsid w:val="002C70A7"/>
    <w:rsid w:val="002C7881"/>
    <w:rsid w:val="002C79DB"/>
    <w:rsid w:val="002D026E"/>
    <w:rsid w:val="002D0CFC"/>
    <w:rsid w:val="002D1257"/>
    <w:rsid w:val="002D1261"/>
    <w:rsid w:val="002D15B0"/>
    <w:rsid w:val="002D177B"/>
    <w:rsid w:val="002D34A9"/>
    <w:rsid w:val="002D35BC"/>
    <w:rsid w:val="002D410A"/>
    <w:rsid w:val="002D43BB"/>
    <w:rsid w:val="002D4C85"/>
    <w:rsid w:val="002D5101"/>
    <w:rsid w:val="002D519E"/>
    <w:rsid w:val="002D531D"/>
    <w:rsid w:val="002D58EE"/>
    <w:rsid w:val="002D62FF"/>
    <w:rsid w:val="002D6EEF"/>
    <w:rsid w:val="002D7343"/>
    <w:rsid w:val="002D764B"/>
    <w:rsid w:val="002D7E8C"/>
    <w:rsid w:val="002E03B4"/>
    <w:rsid w:val="002E10D6"/>
    <w:rsid w:val="002E1571"/>
    <w:rsid w:val="002E1EEF"/>
    <w:rsid w:val="002E330B"/>
    <w:rsid w:val="002E348B"/>
    <w:rsid w:val="002E35B2"/>
    <w:rsid w:val="002E51E0"/>
    <w:rsid w:val="002E55F4"/>
    <w:rsid w:val="002E5DBF"/>
    <w:rsid w:val="002E6208"/>
    <w:rsid w:val="002E6A32"/>
    <w:rsid w:val="002E70AB"/>
    <w:rsid w:val="002F0298"/>
    <w:rsid w:val="002F04B1"/>
    <w:rsid w:val="002F05B5"/>
    <w:rsid w:val="002F1655"/>
    <w:rsid w:val="002F1F56"/>
    <w:rsid w:val="002F2283"/>
    <w:rsid w:val="002F268C"/>
    <w:rsid w:val="002F2744"/>
    <w:rsid w:val="002F38D0"/>
    <w:rsid w:val="002F3A70"/>
    <w:rsid w:val="002F3DCF"/>
    <w:rsid w:val="002F3E6A"/>
    <w:rsid w:val="002F3F19"/>
    <w:rsid w:val="002F5087"/>
    <w:rsid w:val="002F527E"/>
    <w:rsid w:val="002F6122"/>
    <w:rsid w:val="002F638A"/>
    <w:rsid w:val="002F67EE"/>
    <w:rsid w:val="002F681A"/>
    <w:rsid w:val="002F6976"/>
    <w:rsid w:val="002F6C70"/>
    <w:rsid w:val="002F6FD4"/>
    <w:rsid w:val="002F74F3"/>
    <w:rsid w:val="002F7582"/>
    <w:rsid w:val="002F7689"/>
    <w:rsid w:val="002F7AC1"/>
    <w:rsid w:val="003006C3"/>
    <w:rsid w:val="00300F64"/>
    <w:rsid w:val="00300F9E"/>
    <w:rsid w:val="00301167"/>
    <w:rsid w:val="0030128B"/>
    <w:rsid w:val="00301575"/>
    <w:rsid w:val="00301AAA"/>
    <w:rsid w:val="00302726"/>
    <w:rsid w:val="00302BFF"/>
    <w:rsid w:val="003036F4"/>
    <w:rsid w:val="00303842"/>
    <w:rsid w:val="00303888"/>
    <w:rsid w:val="00303933"/>
    <w:rsid w:val="00303CC1"/>
    <w:rsid w:val="00304478"/>
    <w:rsid w:val="003044EB"/>
    <w:rsid w:val="0030479F"/>
    <w:rsid w:val="00304BE7"/>
    <w:rsid w:val="00304E1A"/>
    <w:rsid w:val="0030500A"/>
    <w:rsid w:val="00305112"/>
    <w:rsid w:val="00305282"/>
    <w:rsid w:val="003052EF"/>
    <w:rsid w:val="00305689"/>
    <w:rsid w:val="003057D4"/>
    <w:rsid w:val="00306C66"/>
    <w:rsid w:val="00306F10"/>
    <w:rsid w:val="00307236"/>
    <w:rsid w:val="003074A8"/>
    <w:rsid w:val="00307CC7"/>
    <w:rsid w:val="003101CE"/>
    <w:rsid w:val="00310761"/>
    <w:rsid w:val="00310E6D"/>
    <w:rsid w:val="00311095"/>
    <w:rsid w:val="0031125B"/>
    <w:rsid w:val="0031157E"/>
    <w:rsid w:val="003118E0"/>
    <w:rsid w:val="00311D91"/>
    <w:rsid w:val="0031217B"/>
    <w:rsid w:val="003125DF"/>
    <w:rsid w:val="00312D7F"/>
    <w:rsid w:val="00312F0D"/>
    <w:rsid w:val="00312FE5"/>
    <w:rsid w:val="00313E11"/>
    <w:rsid w:val="003146B4"/>
    <w:rsid w:val="00314E56"/>
    <w:rsid w:val="003162BB"/>
    <w:rsid w:val="0031642E"/>
    <w:rsid w:val="00316E77"/>
    <w:rsid w:val="00316F7F"/>
    <w:rsid w:val="00317B46"/>
    <w:rsid w:val="00317BA6"/>
    <w:rsid w:val="00317FC7"/>
    <w:rsid w:val="00320023"/>
    <w:rsid w:val="00320073"/>
    <w:rsid w:val="0032035B"/>
    <w:rsid w:val="003204FD"/>
    <w:rsid w:val="00320916"/>
    <w:rsid w:val="003215EC"/>
    <w:rsid w:val="00321632"/>
    <w:rsid w:val="00321708"/>
    <w:rsid w:val="00321C3C"/>
    <w:rsid w:val="003223DE"/>
    <w:rsid w:val="0032246D"/>
    <w:rsid w:val="003224AC"/>
    <w:rsid w:val="00323342"/>
    <w:rsid w:val="00323376"/>
    <w:rsid w:val="003234B8"/>
    <w:rsid w:val="00323772"/>
    <w:rsid w:val="00323DAF"/>
    <w:rsid w:val="003245E9"/>
    <w:rsid w:val="003249A1"/>
    <w:rsid w:val="00325079"/>
    <w:rsid w:val="00326119"/>
    <w:rsid w:val="003263B6"/>
    <w:rsid w:val="00326BDD"/>
    <w:rsid w:val="00326CC1"/>
    <w:rsid w:val="00326CC7"/>
    <w:rsid w:val="00326EF8"/>
    <w:rsid w:val="0032740F"/>
    <w:rsid w:val="00327B26"/>
    <w:rsid w:val="00327CE0"/>
    <w:rsid w:val="00330A00"/>
    <w:rsid w:val="00331771"/>
    <w:rsid w:val="00331790"/>
    <w:rsid w:val="00331CCF"/>
    <w:rsid w:val="00332A94"/>
    <w:rsid w:val="00332E1A"/>
    <w:rsid w:val="00332E69"/>
    <w:rsid w:val="003330B3"/>
    <w:rsid w:val="0033346E"/>
    <w:rsid w:val="00333ADA"/>
    <w:rsid w:val="00333F3A"/>
    <w:rsid w:val="00334099"/>
    <w:rsid w:val="0033424D"/>
    <w:rsid w:val="00334566"/>
    <w:rsid w:val="00334B68"/>
    <w:rsid w:val="00335B33"/>
    <w:rsid w:val="00336177"/>
    <w:rsid w:val="00336BC8"/>
    <w:rsid w:val="0033775C"/>
    <w:rsid w:val="00337787"/>
    <w:rsid w:val="003377D9"/>
    <w:rsid w:val="003402C9"/>
    <w:rsid w:val="0034038F"/>
    <w:rsid w:val="003406CC"/>
    <w:rsid w:val="00340786"/>
    <w:rsid w:val="0034086F"/>
    <w:rsid w:val="00340E60"/>
    <w:rsid w:val="00340FB4"/>
    <w:rsid w:val="00341426"/>
    <w:rsid w:val="00341D48"/>
    <w:rsid w:val="00341EDD"/>
    <w:rsid w:val="00342500"/>
    <w:rsid w:val="00342C89"/>
    <w:rsid w:val="00342EF4"/>
    <w:rsid w:val="00343356"/>
    <w:rsid w:val="0034359A"/>
    <w:rsid w:val="003437D5"/>
    <w:rsid w:val="00343CE4"/>
    <w:rsid w:val="003440C1"/>
    <w:rsid w:val="00344A0F"/>
    <w:rsid w:val="00344D6E"/>
    <w:rsid w:val="00344D7B"/>
    <w:rsid w:val="00344F9A"/>
    <w:rsid w:val="003454D5"/>
    <w:rsid w:val="003461D5"/>
    <w:rsid w:val="00346E75"/>
    <w:rsid w:val="00347059"/>
    <w:rsid w:val="00347995"/>
    <w:rsid w:val="00347F78"/>
    <w:rsid w:val="00347FBC"/>
    <w:rsid w:val="003501D5"/>
    <w:rsid w:val="003506D5"/>
    <w:rsid w:val="00351240"/>
    <w:rsid w:val="00351527"/>
    <w:rsid w:val="00351531"/>
    <w:rsid w:val="003517D5"/>
    <w:rsid w:val="00351B65"/>
    <w:rsid w:val="00351BDA"/>
    <w:rsid w:val="0035222F"/>
    <w:rsid w:val="003522C5"/>
    <w:rsid w:val="00352C0C"/>
    <w:rsid w:val="00353E74"/>
    <w:rsid w:val="00354032"/>
    <w:rsid w:val="003544EA"/>
    <w:rsid w:val="003548BB"/>
    <w:rsid w:val="00354CFA"/>
    <w:rsid w:val="00354D6B"/>
    <w:rsid w:val="003555FB"/>
    <w:rsid w:val="00355707"/>
    <w:rsid w:val="00355E9C"/>
    <w:rsid w:val="0035617A"/>
    <w:rsid w:val="0035625D"/>
    <w:rsid w:val="00356609"/>
    <w:rsid w:val="00356950"/>
    <w:rsid w:val="00356EAE"/>
    <w:rsid w:val="003573F3"/>
    <w:rsid w:val="00357E57"/>
    <w:rsid w:val="003603A2"/>
    <w:rsid w:val="00360AF9"/>
    <w:rsid w:val="00360D83"/>
    <w:rsid w:val="00360FC7"/>
    <w:rsid w:val="0036106C"/>
    <w:rsid w:val="0036111B"/>
    <w:rsid w:val="00361289"/>
    <w:rsid w:val="003614E0"/>
    <w:rsid w:val="00361C18"/>
    <w:rsid w:val="00361E28"/>
    <w:rsid w:val="00362447"/>
    <w:rsid w:val="003624B5"/>
    <w:rsid w:val="00362658"/>
    <w:rsid w:val="00363219"/>
    <w:rsid w:val="00363857"/>
    <w:rsid w:val="00363F15"/>
    <w:rsid w:val="003641C9"/>
    <w:rsid w:val="00364334"/>
    <w:rsid w:val="003643B3"/>
    <w:rsid w:val="003649A6"/>
    <w:rsid w:val="00365885"/>
    <w:rsid w:val="00365A67"/>
    <w:rsid w:val="00366632"/>
    <w:rsid w:val="00366754"/>
    <w:rsid w:val="00367A97"/>
    <w:rsid w:val="00367AD9"/>
    <w:rsid w:val="00367D9D"/>
    <w:rsid w:val="0037074B"/>
    <w:rsid w:val="0037171C"/>
    <w:rsid w:val="00371CA3"/>
    <w:rsid w:val="003720CC"/>
    <w:rsid w:val="00372250"/>
    <w:rsid w:val="003725C8"/>
    <w:rsid w:val="00372FF5"/>
    <w:rsid w:val="00373067"/>
    <w:rsid w:val="00373193"/>
    <w:rsid w:val="00373844"/>
    <w:rsid w:val="00374225"/>
    <w:rsid w:val="0037477A"/>
    <w:rsid w:val="00374D00"/>
    <w:rsid w:val="00374DB4"/>
    <w:rsid w:val="003750CB"/>
    <w:rsid w:val="00375750"/>
    <w:rsid w:val="003758C7"/>
    <w:rsid w:val="00375B02"/>
    <w:rsid w:val="00375B0D"/>
    <w:rsid w:val="00375B18"/>
    <w:rsid w:val="00375ECC"/>
    <w:rsid w:val="00375FEB"/>
    <w:rsid w:val="00376364"/>
    <w:rsid w:val="00376416"/>
    <w:rsid w:val="00376D2B"/>
    <w:rsid w:val="00376D41"/>
    <w:rsid w:val="00380233"/>
    <w:rsid w:val="003809BC"/>
    <w:rsid w:val="00380D04"/>
    <w:rsid w:val="00381122"/>
    <w:rsid w:val="003811FE"/>
    <w:rsid w:val="00381530"/>
    <w:rsid w:val="00381679"/>
    <w:rsid w:val="00381C1E"/>
    <w:rsid w:val="00382652"/>
    <w:rsid w:val="003826D4"/>
    <w:rsid w:val="00382753"/>
    <w:rsid w:val="00382EC9"/>
    <w:rsid w:val="00383604"/>
    <w:rsid w:val="0038412E"/>
    <w:rsid w:val="003841B7"/>
    <w:rsid w:val="00384329"/>
    <w:rsid w:val="00384DE0"/>
    <w:rsid w:val="00386106"/>
    <w:rsid w:val="00386B43"/>
    <w:rsid w:val="003872F7"/>
    <w:rsid w:val="0038743D"/>
    <w:rsid w:val="0038746C"/>
    <w:rsid w:val="003874A1"/>
    <w:rsid w:val="00387D1E"/>
    <w:rsid w:val="00390242"/>
    <w:rsid w:val="003907BA"/>
    <w:rsid w:val="00390FD9"/>
    <w:rsid w:val="003911C2"/>
    <w:rsid w:val="003913CB"/>
    <w:rsid w:val="0039150D"/>
    <w:rsid w:val="00391A26"/>
    <w:rsid w:val="00391A27"/>
    <w:rsid w:val="00391B26"/>
    <w:rsid w:val="00391FE5"/>
    <w:rsid w:val="00392C70"/>
    <w:rsid w:val="00393061"/>
    <w:rsid w:val="0039316D"/>
    <w:rsid w:val="00393480"/>
    <w:rsid w:val="003937B3"/>
    <w:rsid w:val="003938CE"/>
    <w:rsid w:val="00393FD2"/>
    <w:rsid w:val="003942BE"/>
    <w:rsid w:val="003944AF"/>
    <w:rsid w:val="0039491C"/>
    <w:rsid w:val="003951C7"/>
    <w:rsid w:val="00395A15"/>
    <w:rsid w:val="00395A28"/>
    <w:rsid w:val="003966B2"/>
    <w:rsid w:val="00396852"/>
    <w:rsid w:val="0039689A"/>
    <w:rsid w:val="003969A7"/>
    <w:rsid w:val="00396E76"/>
    <w:rsid w:val="00397909"/>
    <w:rsid w:val="003A0046"/>
    <w:rsid w:val="003A0133"/>
    <w:rsid w:val="003A1351"/>
    <w:rsid w:val="003A2707"/>
    <w:rsid w:val="003A2CB1"/>
    <w:rsid w:val="003A2D5C"/>
    <w:rsid w:val="003A2F73"/>
    <w:rsid w:val="003A307D"/>
    <w:rsid w:val="003A3221"/>
    <w:rsid w:val="003A3373"/>
    <w:rsid w:val="003A3575"/>
    <w:rsid w:val="003A3D2D"/>
    <w:rsid w:val="003A3FA4"/>
    <w:rsid w:val="003A4C69"/>
    <w:rsid w:val="003A4DBA"/>
    <w:rsid w:val="003A51BB"/>
    <w:rsid w:val="003A5287"/>
    <w:rsid w:val="003A5366"/>
    <w:rsid w:val="003A5378"/>
    <w:rsid w:val="003A5558"/>
    <w:rsid w:val="003A62EF"/>
    <w:rsid w:val="003A6593"/>
    <w:rsid w:val="003A6A5D"/>
    <w:rsid w:val="003A6B7D"/>
    <w:rsid w:val="003A7700"/>
    <w:rsid w:val="003A7A15"/>
    <w:rsid w:val="003B0251"/>
    <w:rsid w:val="003B064A"/>
    <w:rsid w:val="003B0660"/>
    <w:rsid w:val="003B097F"/>
    <w:rsid w:val="003B0D87"/>
    <w:rsid w:val="003B0E26"/>
    <w:rsid w:val="003B116B"/>
    <w:rsid w:val="003B13DB"/>
    <w:rsid w:val="003B2857"/>
    <w:rsid w:val="003B28A5"/>
    <w:rsid w:val="003B30A3"/>
    <w:rsid w:val="003B3305"/>
    <w:rsid w:val="003B3A79"/>
    <w:rsid w:val="003B3C2D"/>
    <w:rsid w:val="003B4374"/>
    <w:rsid w:val="003B5161"/>
    <w:rsid w:val="003B5E2F"/>
    <w:rsid w:val="003B5E56"/>
    <w:rsid w:val="003B6703"/>
    <w:rsid w:val="003B6B2C"/>
    <w:rsid w:val="003B73E7"/>
    <w:rsid w:val="003B76AC"/>
    <w:rsid w:val="003B7C22"/>
    <w:rsid w:val="003C108D"/>
    <w:rsid w:val="003C1925"/>
    <w:rsid w:val="003C292C"/>
    <w:rsid w:val="003C2BF7"/>
    <w:rsid w:val="003C41F9"/>
    <w:rsid w:val="003C4216"/>
    <w:rsid w:val="003C4D79"/>
    <w:rsid w:val="003C51DD"/>
    <w:rsid w:val="003C52F7"/>
    <w:rsid w:val="003C552E"/>
    <w:rsid w:val="003C62D4"/>
    <w:rsid w:val="003C6434"/>
    <w:rsid w:val="003C6982"/>
    <w:rsid w:val="003C6AF1"/>
    <w:rsid w:val="003C6B20"/>
    <w:rsid w:val="003C6F68"/>
    <w:rsid w:val="003C772D"/>
    <w:rsid w:val="003C79FC"/>
    <w:rsid w:val="003C7CA7"/>
    <w:rsid w:val="003D01B6"/>
    <w:rsid w:val="003D09CA"/>
    <w:rsid w:val="003D0FA4"/>
    <w:rsid w:val="003D104F"/>
    <w:rsid w:val="003D1440"/>
    <w:rsid w:val="003D15D9"/>
    <w:rsid w:val="003D1DFF"/>
    <w:rsid w:val="003D292D"/>
    <w:rsid w:val="003D30B2"/>
    <w:rsid w:val="003D33BE"/>
    <w:rsid w:val="003D33E6"/>
    <w:rsid w:val="003D374E"/>
    <w:rsid w:val="003D3923"/>
    <w:rsid w:val="003D3B0E"/>
    <w:rsid w:val="003D3E88"/>
    <w:rsid w:val="003D3FA7"/>
    <w:rsid w:val="003D48BA"/>
    <w:rsid w:val="003D4FAC"/>
    <w:rsid w:val="003D5236"/>
    <w:rsid w:val="003D580E"/>
    <w:rsid w:val="003D5898"/>
    <w:rsid w:val="003D5E63"/>
    <w:rsid w:val="003D60D8"/>
    <w:rsid w:val="003D6580"/>
    <w:rsid w:val="003D666A"/>
    <w:rsid w:val="003D6861"/>
    <w:rsid w:val="003D74DE"/>
    <w:rsid w:val="003D7ADD"/>
    <w:rsid w:val="003E0322"/>
    <w:rsid w:val="003E0364"/>
    <w:rsid w:val="003E0815"/>
    <w:rsid w:val="003E0E8F"/>
    <w:rsid w:val="003E1072"/>
    <w:rsid w:val="003E1316"/>
    <w:rsid w:val="003E1365"/>
    <w:rsid w:val="003E1833"/>
    <w:rsid w:val="003E2C6E"/>
    <w:rsid w:val="003E2DB9"/>
    <w:rsid w:val="003E2F44"/>
    <w:rsid w:val="003E2FFE"/>
    <w:rsid w:val="003E33D6"/>
    <w:rsid w:val="003E459C"/>
    <w:rsid w:val="003E4A41"/>
    <w:rsid w:val="003E4BCB"/>
    <w:rsid w:val="003E5368"/>
    <w:rsid w:val="003E5658"/>
    <w:rsid w:val="003E5CA8"/>
    <w:rsid w:val="003E5D17"/>
    <w:rsid w:val="003E7242"/>
    <w:rsid w:val="003E73A6"/>
    <w:rsid w:val="003E74C7"/>
    <w:rsid w:val="003E78C3"/>
    <w:rsid w:val="003E790F"/>
    <w:rsid w:val="003E7E2A"/>
    <w:rsid w:val="003E7F84"/>
    <w:rsid w:val="003F1625"/>
    <w:rsid w:val="003F1F83"/>
    <w:rsid w:val="003F2096"/>
    <w:rsid w:val="003F2AB4"/>
    <w:rsid w:val="003F2B2E"/>
    <w:rsid w:val="003F2C73"/>
    <w:rsid w:val="003F36A0"/>
    <w:rsid w:val="003F38A0"/>
    <w:rsid w:val="003F3A59"/>
    <w:rsid w:val="003F4D48"/>
    <w:rsid w:val="003F4E19"/>
    <w:rsid w:val="003F535A"/>
    <w:rsid w:val="003F5643"/>
    <w:rsid w:val="003F6534"/>
    <w:rsid w:val="003F6B88"/>
    <w:rsid w:val="003F6CC5"/>
    <w:rsid w:val="003F71C0"/>
    <w:rsid w:val="003F7885"/>
    <w:rsid w:val="004001D3"/>
    <w:rsid w:val="00400813"/>
    <w:rsid w:val="00401065"/>
    <w:rsid w:val="00401421"/>
    <w:rsid w:val="00401487"/>
    <w:rsid w:val="004015FB"/>
    <w:rsid w:val="004019EC"/>
    <w:rsid w:val="00401AC3"/>
    <w:rsid w:val="00401EB8"/>
    <w:rsid w:val="004023FA"/>
    <w:rsid w:val="004026B1"/>
    <w:rsid w:val="00402AC2"/>
    <w:rsid w:val="00402C7D"/>
    <w:rsid w:val="00403718"/>
    <w:rsid w:val="0040492A"/>
    <w:rsid w:val="00404A16"/>
    <w:rsid w:val="00404A84"/>
    <w:rsid w:val="00404C22"/>
    <w:rsid w:val="00404E58"/>
    <w:rsid w:val="004050F6"/>
    <w:rsid w:val="00405145"/>
    <w:rsid w:val="0040540C"/>
    <w:rsid w:val="00405652"/>
    <w:rsid w:val="00405D0F"/>
    <w:rsid w:val="00406084"/>
    <w:rsid w:val="00406757"/>
    <w:rsid w:val="00406D14"/>
    <w:rsid w:val="00406F77"/>
    <w:rsid w:val="00410313"/>
    <w:rsid w:val="00410777"/>
    <w:rsid w:val="00410A73"/>
    <w:rsid w:val="00410E0D"/>
    <w:rsid w:val="00410E54"/>
    <w:rsid w:val="00411663"/>
    <w:rsid w:val="00411911"/>
    <w:rsid w:val="00411D7A"/>
    <w:rsid w:val="0041214A"/>
    <w:rsid w:val="00413656"/>
    <w:rsid w:val="00413A7C"/>
    <w:rsid w:val="00413D02"/>
    <w:rsid w:val="00413F2E"/>
    <w:rsid w:val="00414A69"/>
    <w:rsid w:val="00414C18"/>
    <w:rsid w:val="00415317"/>
    <w:rsid w:val="00415401"/>
    <w:rsid w:val="004154DA"/>
    <w:rsid w:val="00415862"/>
    <w:rsid w:val="00415D07"/>
    <w:rsid w:val="00415D3D"/>
    <w:rsid w:val="00415D56"/>
    <w:rsid w:val="0041630B"/>
    <w:rsid w:val="004166D3"/>
    <w:rsid w:val="0041673B"/>
    <w:rsid w:val="004174EF"/>
    <w:rsid w:val="004177C1"/>
    <w:rsid w:val="0041786E"/>
    <w:rsid w:val="00417D72"/>
    <w:rsid w:val="00420532"/>
    <w:rsid w:val="00420F3E"/>
    <w:rsid w:val="0042184D"/>
    <w:rsid w:val="00421CD5"/>
    <w:rsid w:val="00421D3F"/>
    <w:rsid w:val="00421E50"/>
    <w:rsid w:val="004222EC"/>
    <w:rsid w:val="00422774"/>
    <w:rsid w:val="0042296E"/>
    <w:rsid w:val="00422984"/>
    <w:rsid w:val="0042326A"/>
    <w:rsid w:val="004232FD"/>
    <w:rsid w:val="004233C0"/>
    <w:rsid w:val="00423E55"/>
    <w:rsid w:val="004245E4"/>
    <w:rsid w:val="0042495F"/>
    <w:rsid w:val="00425226"/>
    <w:rsid w:val="00425FE1"/>
    <w:rsid w:val="004264AA"/>
    <w:rsid w:val="0042672D"/>
    <w:rsid w:val="00426870"/>
    <w:rsid w:val="00426975"/>
    <w:rsid w:val="00426DA8"/>
    <w:rsid w:val="0042714B"/>
    <w:rsid w:val="00427184"/>
    <w:rsid w:val="0042725C"/>
    <w:rsid w:val="004279D8"/>
    <w:rsid w:val="00427A4A"/>
    <w:rsid w:val="00427FC1"/>
    <w:rsid w:val="00430BD9"/>
    <w:rsid w:val="00431139"/>
    <w:rsid w:val="00431517"/>
    <w:rsid w:val="00431A90"/>
    <w:rsid w:val="00431AF7"/>
    <w:rsid w:val="00431C2E"/>
    <w:rsid w:val="00431E58"/>
    <w:rsid w:val="00431EFB"/>
    <w:rsid w:val="00432858"/>
    <w:rsid w:val="00432871"/>
    <w:rsid w:val="00432D72"/>
    <w:rsid w:val="004333B0"/>
    <w:rsid w:val="004335D4"/>
    <w:rsid w:val="004338B2"/>
    <w:rsid w:val="00433A33"/>
    <w:rsid w:val="00433EFA"/>
    <w:rsid w:val="0043444A"/>
    <w:rsid w:val="004348B4"/>
    <w:rsid w:val="00435162"/>
    <w:rsid w:val="004358C9"/>
    <w:rsid w:val="00435CE3"/>
    <w:rsid w:val="00435E5C"/>
    <w:rsid w:val="00436FD7"/>
    <w:rsid w:val="0043712D"/>
    <w:rsid w:val="00437D66"/>
    <w:rsid w:val="00437EEB"/>
    <w:rsid w:val="00440471"/>
    <w:rsid w:val="00440616"/>
    <w:rsid w:val="00441372"/>
    <w:rsid w:val="004415B9"/>
    <w:rsid w:val="0044173F"/>
    <w:rsid w:val="00442114"/>
    <w:rsid w:val="00442375"/>
    <w:rsid w:val="004426B7"/>
    <w:rsid w:val="00442CBA"/>
    <w:rsid w:val="00442E12"/>
    <w:rsid w:val="00442E50"/>
    <w:rsid w:val="00442F87"/>
    <w:rsid w:val="004432A2"/>
    <w:rsid w:val="00443388"/>
    <w:rsid w:val="00443532"/>
    <w:rsid w:val="00444016"/>
    <w:rsid w:val="004444E6"/>
    <w:rsid w:val="00444C8D"/>
    <w:rsid w:val="004452AC"/>
    <w:rsid w:val="004454E8"/>
    <w:rsid w:val="00445A78"/>
    <w:rsid w:val="00445A83"/>
    <w:rsid w:val="00445BBD"/>
    <w:rsid w:val="00445F31"/>
    <w:rsid w:val="004465F3"/>
    <w:rsid w:val="00447288"/>
    <w:rsid w:val="004475D4"/>
    <w:rsid w:val="004500D7"/>
    <w:rsid w:val="0045051A"/>
    <w:rsid w:val="004505A5"/>
    <w:rsid w:val="0045076D"/>
    <w:rsid w:val="004518DE"/>
    <w:rsid w:val="00451B0E"/>
    <w:rsid w:val="004526F6"/>
    <w:rsid w:val="0045285D"/>
    <w:rsid w:val="00452E8A"/>
    <w:rsid w:val="004532D4"/>
    <w:rsid w:val="00453A06"/>
    <w:rsid w:val="00453AF2"/>
    <w:rsid w:val="00454211"/>
    <w:rsid w:val="00454557"/>
    <w:rsid w:val="00455182"/>
    <w:rsid w:val="00455C9A"/>
    <w:rsid w:val="00455D3F"/>
    <w:rsid w:val="00455E6C"/>
    <w:rsid w:val="00456DDB"/>
    <w:rsid w:val="00457292"/>
    <w:rsid w:val="004572CE"/>
    <w:rsid w:val="004608E2"/>
    <w:rsid w:val="004608E4"/>
    <w:rsid w:val="00460AA8"/>
    <w:rsid w:val="00460BF8"/>
    <w:rsid w:val="00460D7B"/>
    <w:rsid w:val="004610F8"/>
    <w:rsid w:val="004614CB"/>
    <w:rsid w:val="00461D55"/>
    <w:rsid w:val="00461E58"/>
    <w:rsid w:val="004620AE"/>
    <w:rsid w:val="00462637"/>
    <w:rsid w:val="004628E9"/>
    <w:rsid w:val="004630E8"/>
    <w:rsid w:val="00463468"/>
    <w:rsid w:val="00463575"/>
    <w:rsid w:val="004644B5"/>
    <w:rsid w:val="0046669F"/>
    <w:rsid w:val="00466979"/>
    <w:rsid w:val="00466F95"/>
    <w:rsid w:val="00467619"/>
    <w:rsid w:val="004677A9"/>
    <w:rsid w:val="00467ED6"/>
    <w:rsid w:val="004700D7"/>
    <w:rsid w:val="00470351"/>
    <w:rsid w:val="0047046D"/>
    <w:rsid w:val="00470A0B"/>
    <w:rsid w:val="0047167D"/>
    <w:rsid w:val="004719E3"/>
    <w:rsid w:val="0047200D"/>
    <w:rsid w:val="0047300F"/>
    <w:rsid w:val="00473D3F"/>
    <w:rsid w:val="00474EDA"/>
    <w:rsid w:val="00475136"/>
    <w:rsid w:val="004755B9"/>
    <w:rsid w:val="00475906"/>
    <w:rsid w:val="00475938"/>
    <w:rsid w:val="00477002"/>
    <w:rsid w:val="004774F2"/>
    <w:rsid w:val="00480669"/>
    <w:rsid w:val="004807AF"/>
    <w:rsid w:val="0048089E"/>
    <w:rsid w:val="00480C18"/>
    <w:rsid w:val="00480F56"/>
    <w:rsid w:val="004814C6"/>
    <w:rsid w:val="0048178D"/>
    <w:rsid w:val="004820D6"/>
    <w:rsid w:val="004823E5"/>
    <w:rsid w:val="004824E4"/>
    <w:rsid w:val="004829A5"/>
    <w:rsid w:val="00482E3F"/>
    <w:rsid w:val="0048320D"/>
    <w:rsid w:val="00484225"/>
    <w:rsid w:val="00484504"/>
    <w:rsid w:val="004845DA"/>
    <w:rsid w:val="00484AD8"/>
    <w:rsid w:val="00484CF7"/>
    <w:rsid w:val="004850AA"/>
    <w:rsid w:val="00485239"/>
    <w:rsid w:val="00485642"/>
    <w:rsid w:val="00485708"/>
    <w:rsid w:val="00485F58"/>
    <w:rsid w:val="004865E9"/>
    <w:rsid w:val="004866D9"/>
    <w:rsid w:val="004868F4"/>
    <w:rsid w:val="00486A73"/>
    <w:rsid w:val="00486DB8"/>
    <w:rsid w:val="004870F4"/>
    <w:rsid w:val="0048716F"/>
    <w:rsid w:val="004877B3"/>
    <w:rsid w:val="00487BD9"/>
    <w:rsid w:val="00487D3B"/>
    <w:rsid w:val="00490841"/>
    <w:rsid w:val="00490CC5"/>
    <w:rsid w:val="00490CF5"/>
    <w:rsid w:val="004913D4"/>
    <w:rsid w:val="00491AC6"/>
    <w:rsid w:val="00491EF8"/>
    <w:rsid w:val="00492015"/>
    <w:rsid w:val="004928B1"/>
    <w:rsid w:val="00492D58"/>
    <w:rsid w:val="00493105"/>
    <w:rsid w:val="0049337F"/>
    <w:rsid w:val="00493A08"/>
    <w:rsid w:val="00493BE1"/>
    <w:rsid w:val="00493F74"/>
    <w:rsid w:val="004955BE"/>
    <w:rsid w:val="00496069"/>
    <w:rsid w:val="004964C5"/>
    <w:rsid w:val="004967D6"/>
    <w:rsid w:val="004967D8"/>
    <w:rsid w:val="004967E3"/>
    <w:rsid w:val="004975B8"/>
    <w:rsid w:val="00497CCC"/>
    <w:rsid w:val="00497D12"/>
    <w:rsid w:val="00497F8B"/>
    <w:rsid w:val="004A0034"/>
    <w:rsid w:val="004A004F"/>
    <w:rsid w:val="004A0926"/>
    <w:rsid w:val="004A0CA0"/>
    <w:rsid w:val="004A111D"/>
    <w:rsid w:val="004A11B8"/>
    <w:rsid w:val="004A1568"/>
    <w:rsid w:val="004A167A"/>
    <w:rsid w:val="004A1931"/>
    <w:rsid w:val="004A1A62"/>
    <w:rsid w:val="004A26FC"/>
    <w:rsid w:val="004A28C5"/>
    <w:rsid w:val="004A2DEB"/>
    <w:rsid w:val="004A36F0"/>
    <w:rsid w:val="004A3EF3"/>
    <w:rsid w:val="004A3F0F"/>
    <w:rsid w:val="004A4975"/>
    <w:rsid w:val="004A4D9A"/>
    <w:rsid w:val="004A502A"/>
    <w:rsid w:val="004A55A3"/>
    <w:rsid w:val="004A57F2"/>
    <w:rsid w:val="004A6727"/>
    <w:rsid w:val="004A7173"/>
    <w:rsid w:val="004B0455"/>
    <w:rsid w:val="004B09D4"/>
    <w:rsid w:val="004B0AEC"/>
    <w:rsid w:val="004B0AF8"/>
    <w:rsid w:val="004B0D69"/>
    <w:rsid w:val="004B0E78"/>
    <w:rsid w:val="004B165A"/>
    <w:rsid w:val="004B1736"/>
    <w:rsid w:val="004B175D"/>
    <w:rsid w:val="004B17E9"/>
    <w:rsid w:val="004B20F4"/>
    <w:rsid w:val="004B2490"/>
    <w:rsid w:val="004B2608"/>
    <w:rsid w:val="004B26B3"/>
    <w:rsid w:val="004B3538"/>
    <w:rsid w:val="004B37FC"/>
    <w:rsid w:val="004B4ADE"/>
    <w:rsid w:val="004B4EB8"/>
    <w:rsid w:val="004B6AC8"/>
    <w:rsid w:val="004B6C13"/>
    <w:rsid w:val="004B7CAB"/>
    <w:rsid w:val="004B7D1F"/>
    <w:rsid w:val="004C0251"/>
    <w:rsid w:val="004C0815"/>
    <w:rsid w:val="004C0970"/>
    <w:rsid w:val="004C0ECE"/>
    <w:rsid w:val="004C100C"/>
    <w:rsid w:val="004C1F94"/>
    <w:rsid w:val="004C3AAE"/>
    <w:rsid w:val="004C3B24"/>
    <w:rsid w:val="004C3FD4"/>
    <w:rsid w:val="004C41C7"/>
    <w:rsid w:val="004C454E"/>
    <w:rsid w:val="004C5359"/>
    <w:rsid w:val="004C5CFA"/>
    <w:rsid w:val="004C5D7C"/>
    <w:rsid w:val="004C5E2B"/>
    <w:rsid w:val="004C6030"/>
    <w:rsid w:val="004C6199"/>
    <w:rsid w:val="004C7426"/>
    <w:rsid w:val="004C74AF"/>
    <w:rsid w:val="004C7791"/>
    <w:rsid w:val="004C7BA8"/>
    <w:rsid w:val="004C7E17"/>
    <w:rsid w:val="004C7EC1"/>
    <w:rsid w:val="004D0E71"/>
    <w:rsid w:val="004D17FB"/>
    <w:rsid w:val="004D1F02"/>
    <w:rsid w:val="004D2116"/>
    <w:rsid w:val="004D2176"/>
    <w:rsid w:val="004D228C"/>
    <w:rsid w:val="004D243D"/>
    <w:rsid w:val="004D2482"/>
    <w:rsid w:val="004D36DE"/>
    <w:rsid w:val="004D49A9"/>
    <w:rsid w:val="004D4AF8"/>
    <w:rsid w:val="004D4CE0"/>
    <w:rsid w:val="004D4FEC"/>
    <w:rsid w:val="004D539B"/>
    <w:rsid w:val="004D66CC"/>
    <w:rsid w:val="004D752A"/>
    <w:rsid w:val="004D765F"/>
    <w:rsid w:val="004D781B"/>
    <w:rsid w:val="004D7A7F"/>
    <w:rsid w:val="004D7E6D"/>
    <w:rsid w:val="004E0350"/>
    <w:rsid w:val="004E0597"/>
    <w:rsid w:val="004E0866"/>
    <w:rsid w:val="004E09EB"/>
    <w:rsid w:val="004E0C74"/>
    <w:rsid w:val="004E1530"/>
    <w:rsid w:val="004E1665"/>
    <w:rsid w:val="004E2308"/>
    <w:rsid w:val="004E2673"/>
    <w:rsid w:val="004E2A3A"/>
    <w:rsid w:val="004E2B93"/>
    <w:rsid w:val="004E33B4"/>
    <w:rsid w:val="004E3780"/>
    <w:rsid w:val="004E3B95"/>
    <w:rsid w:val="004E41B7"/>
    <w:rsid w:val="004E509A"/>
    <w:rsid w:val="004E5626"/>
    <w:rsid w:val="004E5BA4"/>
    <w:rsid w:val="004E5BB0"/>
    <w:rsid w:val="004E5FB4"/>
    <w:rsid w:val="004E617F"/>
    <w:rsid w:val="004E65B8"/>
    <w:rsid w:val="004E69F0"/>
    <w:rsid w:val="004E6C02"/>
    <w:rsid w:val="004E711E"/>
    <w:rsid w:val="004E716B"/>
    <w:rsid w:val="004E7F95"/>
    <w:rsid w:val="004F0024"/>
    <w:rsid w:val="004F022B"/>
    <w:rsid w:val="004F0310"/>
    <w:rsid w:val="004F0364"/>
    <w:rsid w:val="004F0762"/>
    <w:rsid w:val="004F0C0B"/>
    <w:rsid w:val="004F107D"/>
    <w:rsid w:val="004F10BC"/>
    <w:rsid w:val="004F110F"/>
    <w:rsid w:val="004F2847"/>
    <w:rsid w:val="004F2E33"/>
    <w:rsid w:val="004F311A"/>
    <w:rsid w:val="004F3AEA"/>
    <w:rsid w:val="004F3D29"/>
    <w:rsid w:val="004F4013"/>
    <w:rsid w:val="004F4789"/>
    <w:rsid w:val="004F4D81"/>
    <w:rsid w:val="004F4E0D"/>
    <w:rsid w:val="004F5237"/>
    <w:rsid w:val="004F5917"/>
    <w:rsid w:val="004F5CC5"/>
    <w:rsid w:val="004F5D22"/>
    <w:rsid w:val="004F5DD9"/>
    <w:rsid w:val="004F6221"/>
    <w:rsid w:val="004F6A5D"/>
    <w:rsid w:val="004F7345"/>
    <w:rsid w:val="005003C2"/>
    <w:rsid w:val="005005C8"/>
    <w:rsid w:val="00500989"/>
    <w:rsid w:val="00500A33"/>
    <w:rsid w:val="00500DEC"/>
    <w:rsid w:val="005011F8"/>
    <w:rsid w:val="0050163B"/>
    <w:rsid w:val="005018EA"/>
    <w:rsid w:val="005025B1"/>
    <w:rsid w:val="00502670"/>
    <w:rsid w:val="005032D7"/>
    <w:rsid w:val="00504C26"/>
    <w:rsid w:val="00505399"/>
    <w:rsid w:val="00505508"/>
    <w:rsid w:val="00505A3B"/>
    <w:rsid w:val="00505BF5"/>
    <w:rsid w:val="00505E67"/>
    <w:rsid w:val="00505F4C"/>
    <w:rsid w:val="00505F8F"/>
    <w:rsid w:val="00506490"/>
    <w:rsid w:val="00506CB6"/>
    <w:rsid w:val="00507ED7"/>
    <w:rsid w:val="00510127"/>
    <w:rsid w:val="0051021E"/>
    <w:rsid w:val="0051042E"/>
    <w:rsid w:val="005111B0"/>
    <w:rsid w:val="00511DF8"/>
    <w:rsid w:val="005120DF"/>
    <w:rsid w:val="00513C86"/>
    <w:rsid w:val="00514F60"/>
    <w:rsid w:val="00514FDC"/>
    <w:rsid w:val="005154B9"/>
    <w:rsid w:val="005156EA"/>
    <w:rsid w:val="00515FB7"/>
    <w:rsid w:val="005161AF"/>
    <w:rsid w:val="005166D5"/>
    <w:rsid w:val="00516972"/>
    <w:rsid w:val="0051750B"/>
    <w:rsid w:val="00517681"/>
    <w:rsid w:val="00517A13"/>
    <w:rsid w:val="00517A52"/>
    <w:rsid w:val="00517F7F"/>
    <w:rsid w:val="00520013"/>
    <w:rsid w:val="00520354"/>
    <w:rsid w:val="00520B01"/>
    <w:rsid w:val="00521588"/>
    <w:rsid w:val="005217AC"/>
    <w:rsid w:val="005217C2"/>
    <w:rsid w:val="00522064"/>
    <w:rsid w:val="0052257B"/>
    <w:rsid w:val="00522CE4"/>
    <w:rsid w:val="00522CFB"/>
    <w:rsid w:val="00522EEF"/>
    <w:rsid w:val="00522F75"/>
    <w:rsid w:val="00523518"/>
    <w:rsid w:val="00523964"/>
    <w:rsid w:val="00523A25"/>
    <w:rsid w:val="00524457"/>
    <w:rsid w:val="00524725"/>
    <w:rsid w:val="00524AF8"/>
    <w:rsid w:val="00525865"/>
    <w:rsid w:val="00525B7D"/>
    <w:rsid w:val="0052632C"/>
    <w:rsid w:val="00526DF5"/>
    <w:rsid w:val="0052728D"/>
    <w:rsid w:val="005272DC"/>
    <w:rsid w:val="005276BD"/>
    <w:rsid w:val="0052786E"/>
    <w:rsid w:val="00527B80"/>
    <w:rsid w:val="00530135"/>
    <w:rsid w:val="00530CBA"/>
    <w:rsid w:val="00530F42"/>
    <w:rsid w:val="0053146B"/>
    <w:rsid w:val="00531483"/>
    <w:rsid w:val="00531660"/>
    <w:rsid w:val="0053168B"/>
    <w:rsid w:val="0053179D"/>
    <w:rsid w:val="00531B4A"/>
    <w:rsid w:val="00531B7A"/>
    <w:rsid w:val="00531ED4"/>
    <w:rsid w:val="00532042"/>
    <w:rsid w:val="0053221E"/>
    <w:rsid w:val="005322CE"/>
    <w:rsid w:val="00532E22"/>
    <w:rsid w:val="00533098"/>
    <w:rsid w:val="0053382B"/>
    <w:rsid w:val="00533879"/>
    <w:rsid w:val="005339F0"/>
    <w:rsid w:val="0053445A"/>
    <w:rsid w:val="00534646"/>
    <w:rsid w:val="00534874"/>
    <w:rsid w:val="00534B04"/>
    <w:rsid w:val="00534B6A"/>
    <w:rsid w:val="00534C9B"/>
    <w:rsid w:val="00535035"/>
    <w:rsid w:val="00535A80"/>
    <w:rsid w:val="00535B52"/>
    <w:rsid w:val="00535DE5"/>
    <w:rsid w:val="00536A7F"/>
    <w:rsid w:val="005375C5"/>
    <w:rsid w:val="005378F0"/>
    <w:rsid w:val="00537BE7"/>
    <w:rsid w:val="00537BF3"/>
    <w:rsid w:val="005406AD"/>
    <w:rsid w:val="00540E25"/>
    <w:rsid w:val="00541047"/>
    <w:rsid w:val="00541539"/>
    <w:rsid w:val="00541706"/>
    <w:rsid w:val="00541C52"/>
    <w:rsid w:val="00542E2B"/>
    <w:rsid w:val="00543728"/>
    <w:rsid w:val="00543C5A"/>
    <w:rsid w:val="00544BE6"/>
    <w:rsid w:val="00544D0C"/>
    <w:rsid w:val="005453EC"/>
    <w:rsid w:val="00545645"/>
    <w:rsid w:val="00545740"/>
    <w:rsid w:val="0054590A"/>
    <w:rsid w:val="0054626B"/>
    <w:rsid w:val="00546530"/>
    <w:rsid w:val="00546605"/>
    <w:rsid w:val="00546AF1"/>
    <w:rsid w:val="00546E34"/>
    <w:rsid w:val="00546E85"/>
    <w:rsid w:val="005470E8"/>
    <w:rsid w:val="005476FC"/>
    <w:rsid w:val="005509DC"/>
    <w:rsid w:val="00550D9E"/>
    <w:rsid w:val="005521D3"/>
    <w:rsid w:val="005526B6"/>
    <w:rsid w:val="005528ED"/>
    <w:rsid w:val="00553677"/>
    <w:rsid w:val="005537D7"/>
    <w:rsid w:val="00553C9C"/>
    <w:rsid w:val="00553E23"/>
    <w:rsid w:val="00554214"/>
    <w:rsid w:val="00554988"/>
    <w:rsid w:val="00554B3F"/>
    <w:rsid w:val="00555754"/>
    <w:rsid w:val="00555E14"/>
    <w:rsid w:val="005561D1"/>
    <w:rsid w:val="005566D5"/>
    <w:rsid w:val="005567DF"/>
    <w:rsid w:val="0055687F"/>
    <w:rsid w:val="005569D7"/>
    <w:rsid w:val="00556D86"/>
    <w:rsid w:val="005570D1"/>
    <w:rsid w:val="005572FE"/>
    <w:rsid w:val="00557B12"/>
    <w:rsid w:val="0056139B"/>
    <w:rsid w:val="005613CA"/>
    <w:rsid w:val="0056185A"/>
    <w:rsid w:val="00561FF2"/>
    <w:rsid w:val="0056315F"/>
    <w:rsid w:val="00563C8A"/>
    <w:rsid w:val="005640EB"/>
    <w:rsid w:val="00564423"/>
    <w:rsid w:val="005648C4"/>
    <w:rsid w:val="005648CE"/>
    <w:rsid w:val="0056548C"/>
    <w:rsid w:val="005656D7"/>
    <w:rsid w:val="00565857"/>
    <w:rsid w:val="00565AD4"/>
    <w:rsid w:val="005665BC"/>
    <w:rsid w:val="00566A80"/>
    <w:rsid w:val="00566F19"/>
    <w:rsid w:val="00566F68"/>
    <w:rsid w:val="00567A4B"/>
    <w:rsid w:val="00570297"/>
    <w:rsid w:val="00570750"/>
    <w:rsid w:val="005708C7"/>
    <w:rsid w:val="00570F12"/>
    <w:rsid w:val="00570FCE"/>
    <w:rsid w:val="00570FDF"/>
    <w:rsid w:val="0057131C"/>
    <w:rsid w:val="00571786"/>
    <w:rsid w:val="00571A1A"/>
    <w:rsid w:val="00571E1D"/>
    <w:rsid w:val="00571EE2"/>
    <w:rsid w:val="00572700"/>
    <w:rsid w:val="005728DC"/>
    <w:rsid w:val="005732F3"/>
    <w:rsid w:val="005733C4"/>
    <w:rsid w:val="00573DAC"/>
    <w:rsid w:val="00573E2D"/>
    <w:rsid w:val="005740F3"/>
    <w:rsid w:val="005747FC"/>
    <w:rsid w:val="00575092"/>
    <w:rsid w:val="005757C9"/>
    <w:rsid w:val="0057583E"/>
    <w:rsid w:val="00575A89"/>
    <w:rsid w:val="00576194"/>
    <w:rsid w:val="005767A1"/>
    <w:rsid w:val="00576DF4"/>
    <w:rsid w:val="0057747B"/>
    <w:rsid w:val="005775FB"/>
    <w:rsid w:val="00577618"/>
    <w:rsid w:val="0057763D"/>
    <w:rsid w:val="00577808"/>
    <w:rsid w:val="005779C7"/>
    <w:rsid w:val="00577BCE"/>
    <w:rsid w:val="00577C5B"/>
    <w:rsid w:val="0058158C"/>
    <w:rsid w:val="00581859"/>
    <w:rsid w:val="00582007"/>
    <w:rsid w:val="00582D36"/>
    <w:rsid w:val="00582ECF"/>
    <w:rsid w:val="005831D8"/>
    <w:rsid w:val="005833E4"/>
    <w:rsid w:val="00583D28"/>
    <w:rsid w:val="00583F0E"/>
    <w:rsid w:val="00584156"/>
    <w:rsid w:val="0058437E"/>
    <w:rsid w:val="00584BBF"/>
    <w:rsid w:val="00584E87"/>
    <w:rsid w:val="005852F5"/>
    <w:rsid w:val="005854E0"/>
    <w:rsid w:val="00585E3F"/>
    <w:rsid w:val="00586049"/>
    <w:rsid w:val="0058658C"/>
    <w:rsid w:val="00586EB0"/>
    <w:rsid w:val="00587165"/>
    <w:rsid w:val="005872DF"/>
    <w:rsid w:val="00587826"/>
    <w:rsid w:val="00587EFF"/>
    <w:rsid w:val="00587F72"/>
    <w:rsid w:val="00590F4A"/>
    <w:rsid w:val="00591748"/>
    <w:rsid w:val="00591E74"/>
    <w:rsid w:val="00592324"/>
    <w:rsid w:val="005934DA"/>
    <w:rsid w:val="005935D2"/>
    <w:rsid w:val="00593659"/>
    <w:rsid w:val="005938CC"/>
    <w:rsid w:val="00593A3B"/>
    <w:rsid w:val="00594500"/>
    <w:rsid w:val="00594528"/>
    <w:rsid w:val="00594997"/>
    <w:rsid w:val="00595685"/>
    <w:rsid w:val="005956AF"/>
    <w:rsid w:val="005958B3"/>
    <w:rsid w:val="00595936"/>
    <w:rsid w:val="00595A61"/>
    <w:rsid w:val="00595D11"/>
    <w:rsid w:val="005961A0"/>
    <w:rsid w:val="00597207"/>
    <w:rsid w:val="00597222"/>
    <w:rsid w:val="005975A4"/>
    <w:rsid w:val="005979A6"/>
    <w:rsid w:val="00597A35"/>
    <w:rsid w:val="00597BE9"/>
    <w:rsid w:val="005A166E"/>
    <w:rsid w:val="005A27C4"/>
    <w:rsid w:val="005A30D4"/>
    <w:rsid w:val="005A3770"/>
    <w:rsid w:val="005A3787"/>
    <w:rsid w:val="005A4979"/>
    <w:rsid w:val="005A4AE3"/>
    <w:rsid w:val="005A4B52"/>
    <w:rsid w:val="005A5019"/>
    <w:rsid w:val="005A57DB"/>
    <w:rsid w:val="005A5C12"/>
    <w:rsid w:val="005A5E92"/>
    <w:rsid w:val="005A678E"/>
    <w:rsid w:val="005A69E2"/>
    <w:rsid w:val="005A6A0B"/>
    <w:rsid w:val="005A6B5D"/>
    <w:rsid w:val="005A72D1"/>
    <w:rsid w:val="005A7906"/>
    <w:rsid w:val="005A7953"/>
    <w:rsid w:val="005A7CA4"/>
    <w:rsid w:val="005A7FA8"/>
    <w:rsid w:val="005B0835"/>
    <w:rsid w:val="005B0A3A"/>
    <w:rsid w:val="005B0CC8"/>
    <w:rsid w:val="005B1220"/>
    <w:rsid w:val="005B128E"/>
    <w:rsid w:val="005B14E0"/>
    <w:rsid w:val="005B1B86"/>
    <w:rsid w:val="005B20A4"/>
    <w:rsid w:val="005B375A"/>
    <w:rsid w:val="005B3B76"/>
    <w:rsid w:val="005B426F"/>
    <w:rsid w:val="005B49C0"/>
    <w:rsid w:val="005B4A94"/>
    <w:rsid w:val="005B6126"/>
    <w:rsid w:val="005B636E"/>
    <w:rsid w:val="005B6407"/>
    <w:rsid w:val="005B6913"/>
    <w:rsid w:val="005B6ECC"/>
    <w:rsid w:val="005B78DF"/>
    <w:rsid w:val="005B7ED1"/>
    <w:rsid w:val="005C0789"/>
    <w:rsid w:val="005C0E49"/>
    <w:rsid w:val="005C12B7"/>
    <w:rsid w:val="005C15D4"/>
    <w:rsid w:val="005C18C4"/>
    <w:rsid w:val="005C1F5E"/>
    <w:rsid w:val="005C1F7C"/>
    <w:rsid w:val="005C266B"/>
    <w:rsid w:val="005C2893"/>
    <w:rsid w:val="005C2AE3"/>
    <w:rsid w:val="005C360F"/>
    <w:rsid w:val="005C38D8"/>
    <w:rsid w:val="005C39CB"/>
    <w:rsid w:val="005C3BF9"/>
    <w:rsid w:val="005C4A15"/>
    <w:rsid w:val="005C4BB9"/>
    <w:rsid w:val="005C5380"/>
    <w:rsid w:val="005C5B51"/>
    <w:rsid w:val="005C5DA7"/>
    <w:rsid w:val="005C6B93"/>
    <w:rsid w:val="005C6C6C"/>
    <w:rsid w:val="005C7A37"/>
    <w:rsid w:val="005C7BBB"/>
    <w:rsid w:val="005D003F"/>
    <w:rsid w:val="005D0C6C"/>
    <w:rsid w:val="005D0DD6"/>
    <w:rsid w:val="005D1CFB"/>
    <w:rsid w:val="005D1E60"/>
    <w:rsid w:val="005D254F"/>
    <w:rsid w:val="005D295C"/>
    <w:rsid w:val="005D2E00"/>
    <w:rsid w:val="005D3505"/>
    <w:rsid w:val="005D3A1F"/>
    <w:rsid w:val="005D3E06"/>
    <w:rsid w:val="005D5183"/>
    <w:rsid w:val="005D6017"/>
    <w:rsid w:val="005D66B8"/>
    <w:rsid w:val="005D67FD"/>
    <w:rsid w:val="005D705C"/>
    <w:rsid w:val="005D7271"/>
    <w:rsid w:val="005D76AF"/>
    <w:rsid w:val="005D7A72"/>
    <w:rsid w:val="005D7F6D"/>
    <w:rsid w:val="005E00C2"/>
    <w:rsid w:val="005E018D"/>
    <w:rsid w:val="005E05A8"/>
    <w:rsid w:val="005E0930"/>
    <w:rsid w:val="005E0B70"/>
    <w:rsid w:val="005E2D11"/>
    <w:rsid w:val="005E2E38"/>
    <w:rsid w:val="005E46FE"/>
    <w:rsid w:val="005E518A"/>
    <w:rsid w:val="005E5230"/>
    <w:rsid w:val="005E52F2"/>
    <w:rsid w:val="005E532A"/>
    <w:rsid w:val="005E5377"/>
    <w:rsid w:val="005E5401"/>
    <w:rsid w:val="005E5B4C"/>
    <w:rsid w:val="005E6B1A"/>
    <w:rsid w:val="005E703B"/>
    <w:rsid w:val="005E7062"/>
    <w:rsid w:val="005E71B6"/>
    <w:rsid w:val="005E7881"/>
    <w:rsid w:val="005E7976"/>
    <w:rsid w:val="005F050C"/>
    <w:rsid w:val="005F07CA"/>
    <w:rsid w:val="005F246B"/>
    <w:rsid w:val="005F267F"/>
    <w:rsid w:val="005F2F5B"/>
    <w:rsid w:val="005F339C"/>
    <w:rsid w:val="005F34C3"/>
    <w:rsid w:val="005F3C93"/>
    <w:rsid w:val="005F3E98"/>
    <w:rsid w:val="005F40BD"/>
    <w:rsid w:val="005F4226"/>
    <w:rsid w:val="005F429A"/>
    <w:rsid w:val="005F43C9"/>
    <w:rsid w:val="005F4783"/>
    <w:rsid w:val="005F4811"/>
    <w:rsid w:val="005F4F05"/>
    <w:rsid w:val="005F5EA0"/>
    <w:rsid w:val="005F6B7C"/>
    <w:rsid w:val="005F73C5"/>
    <w:rsid w:val="005F76F9"/>
    <w:rsid w:val="006009EB"/>
    <w:rsid w:val="00600DA1"/>
    <w:rsid w:val="0060135F"/>
    <w:rsid w:val="006013B1"/>
    <w:rsid w:val="0060145E"/>
    <w:rsid w:val="0060213C"/>
    <w:rsid w:val="00602337"/>
    <w:rsid w:val="00602B1E"/>
    <w:rsid w:val="006035EB"/>
    <w:rsid w:val="00603EE3"/>
    <w:rsid w:val="006045B2"/>
    <w:rsid w:val="00604E26"/>
    <w:rsid w:val="00605B43"/>
    <w:rsid w:val="00605DF4"/>
    <w:rsid w:val="00606134"/>
    <w:rsid w:val="006061B4"/>
    <w:rsid w:val="006061B6"/>
    <w:rsid w:val="00607300"/>
    <w:rsid w:val="006106DA"/>
    <w:rsid w:val="00610755"/>
    <w:rsid w:val="006108DE"/>
    <w:rsid w:val="00611018"/>
    <w:rsid w:val="00611D50"/>
    <w:rsid w:val="00611F14"/>
    <w:rsid w:val="00612230"/>
    <w:rsid w:val="0061244E"/>
    <w:rsid w:val="00612752"/>
    <w:rsid w:val="006129BE"/>
    <w:rsid w:val="00613274"/>
    <w:rsid w:val="006133C4"/>
    <w:rsid w:val="0061348F"/>
    <w:rsid w:val="00613575"/>
    <w:rsid w:val="00613D60"/>
    <w:rsid w:val="00613E88"/>
    <w:rsid w:val="00614238"/>
    <w:rsid w:val="00614D98"/>
    <w:rsid w:val="00615873"/>
    <w:rsid w:val="00615E87"/>
    <w:rsid w:val="006166DD"/>
    <w:rsid w:val="00616771"/>
    <w:rsid w:val="00617226"/>
    <w:rsid w:val="0061785B"/>
    <w:rsid w:val="00617A08"/>
    <w:rsid w:val="006210CF"/>
    <w:rsid w:val="0062136E"/>
    <w:rsid w:val="00621E68"/>
    <w:rsid w:val="006226DA"/>
    <w:rsid w:val="00622B26"/>
    <w:rsid w:val="00622D62"/>
    <w:rsid w:val="00623214"/>
    <w:rsid w:val="00623568"/>
    <w:rsid w:val="0062370A"/>
    <w:rsid w:val="0062377B"/>
    <w:rsid w:val="00623EEC"/>
    <w:rsid w:val="00624261"/>
    <w:rsid w:val="0062479A"/>
    <w:rsid w:val="00624A20"/>
    <w:rsid w:val="00625235"/>
    <w:rsid w:val="0062553C"/>
    <w:rsid w:val="006260E1"/>
    <w:rsid w:val="00626884"/>
    <w:rsid w:val="00626D9D"/>
    <w:rsid w:val="0062711C"/>
    <w:rsid w:val="006277BA"/>
    <w:rsid w:val="00630385"/>
    <w:rsid w:val="006307C1"/>
    <w:rsid w:val="00630ABA"/>
    <w:rsid w:val="006311A8"/>
    <w:rsid w:val="00632379"/>
    <w:rsid w:val="00632956"/>
    <w:rsid w:val="00632C1A"/>
    <w:rsid w:val="00632F43"/>
    <w:rsid w:val="00633179"/>
    <w:rsid w:val="00633297"/>
    <w:rsid w:val="00633DE5"/>
    <w:rsid w:val="006340BC"/>
    <w:rsid w:val="00634113"/>
    <w:rsid w:val="0063545C"/>
    <w:rsid w:val="00635AC3"/>
    <w:rsid w:val="00635F52"/>
    <w:rsid w:val="00636CCB"/>
    <w:rsid w:val="00637919"/>
    <w:rsid w:val="00637C15"/>
    <w:rsid w:val="00637F32"/>
    <w:rsid w:val="006400E5"/>
    <w:rsid w:val="006401B1"/>
    <w:rsid w:val="00640717"/>
    <w:rsid w:val="00640B77"/>
    <w:rsid w:val="00641311"/>
    <w:rsid w:val="006414C9"/>
    <w:rsid w:val="00641687"/>
    <w:rsid w:val="006417B9"/>
    <w:rsid w:val="0064275C"/>
    <w:rsid w:val="006427DD"/>
    <w:rsid w:val="00642C22"/>
    <w:rsid w:val="00643302"/>
    <w:rsid w:val="006439C9"/>
    <w:rsid w:val="00643D62"/>
    <w:rsid w:val="00644123"/>
    <w:rsid w:val="00644307"/>
    <w:rsid w:val="00645016"/>
    <w:rsid w:val="00645026"/>
    <w:rsid w:val="0064525E"/>
    <w:rsid w:val="006459E2"/>
    <w:rsid w:val="006461B6"/>
    <w:rsid w:val="006461D6"/>
    <w:rsid w:val="006462BA"/>
    <w:rsid w:val="00646FD8"/>
    <w:rsid w:val="006474F9"/>
    <w:rsid w:val="00647659"/>
    <w:rsid w:val="00647B2D"/>
    <w:rsid w:val="00647BE3"/>
    <w:rsid w:val="00647F7A"/>
    <w:rsid w:val="006500DA"/>
    <w:rsid w:val="0065064A"/>
    <w:rsid w:val="0065069F"/>
    <w:rsid w:val="0065194F"/>
    <w:rsid w:val="00651BA9"/>
    <w:rsid w:val="00651C53"/>
    <w:rsid w:val="00651D8F"/>
    <w:rsid w:val="006520D2"/>
    <w:rsid w:val="006524C8"/>
    <w:rsid w:val="0065299B"/>
    <w:rsid w:val="00652DDB"/>
    <w:rsid w:val="006530E5"/>
    <w:rsid w:val="00653655"/>
    <w:rsid w:val="00653D14"/>
    <w:rsid w:val="006549E6"/>
    <w:rsid w:val="00654AF6"/>
    <w:rsid w:val="00654D05"/>
    <w:rsid w:val="00654F45"/>
    <w:rsid w:val="00655323"/>
    <w:rsid w:val="006557A4"/>
    <w:rsid w:val="00655C68"/>
    <w:rsid w:val="00656291"/>
    <w:rsid w:val="00656622"/>
    <w:rsid w:val="00656752"/>
    <w:rsid w:val="00656B40"/>
    <w:rsid w:val="00656E96"/>
    <w:rsid w:val="00656ED4"/>
    <w:rsid w:val="00657930"/>
    <w:rsid w:val="00657A3C"/>
    <w:rsid w:val="00660E5B"/>
    <w:rsid w:val="00660EE2"/>
    <w:rsid w:val="00660F01"/>
    <w:rsid w:val="006611E8"/>
    <w:rsid w:val="00661CDA"/>
    <w:rsid w:val="00661DCF"/>
    <w:rsid w:val="00662021"/>
    <w:rsid w:val="006620F5"/>
    <w:rsid w:val="00662618"/>
    <w:rsid w:val="00662B9C"/>
    <w:rsid w:val="00662CDE"/>
    <w:rsid w:val="00662D9C"/>
    <w:rsid w:val="00662E80"/>
    <w:rsid w:val="006630FD"/>
    <w:rsid w:val="006632E9"/>
    <w:rsid w:val="006633B4"/>
    <w:rsid w:val="0066345A"/>
    <w:rsid w:val="00663E5D"/>
    <w:rsid w:val="00664B1E"/>
    <w:rsid w:val="00664CF2"/>
    <w:rsid w:val="00665395"/>
    <w:rsid w:val="0066545E"/>
    <w:rsid w:val="0066571B"/>
    <w:rsid w:val="00665948"/>
    <w:rsid w:val="00665B88"/>
    <w:rsid w:val="00666AC3"/>
    <w:rsid w:val="00666D83"/>
    <w:rsid w:val="006672F1"/>
    <w:rsid w:val="006675C5"/>
    <w:rsid w:val="00667625"/>
    <w:rsid w:val="006679C6"/>
    <w:rsid w:val="00670110"/>
    <w:rsid w:val="0067096B"/>
    <w:rsid w:val="006709A3"/>
    <w:rsid w:val="00672BC0"/>
    <w:rsid w:val="00672D9F"/>
    <w:rsid w:val="00672E47"/>
    <w:rsid w:val="00672F9A"/>
    <w:rsid w:val="00673A76"/>
    <w:rsid w:val="00674007"/>
    <w:rsid w:val="006745A7"/>
    <w:rsid w:val="006745FA"/>
    <w:rsid w:val="00675183"/>
    <w:rsid w:val="00675207"/>
    <w:rsid w:val="006752C8"/>
    <w:rsid w:val="006758EB"/>
    <w:rsid w:val="00675D11"/>
    <w:rsid w:val="00676262"/>
    <w:rsid w:val="00676965"/>
    <w:rsid w:val="00676C7B"/>
    <w:rsid w:val="00676CB3"/>
    <w:rsid w:val="00676CED"/>
    <w:rsid w:val="00680059"/>
    <w:rsid w:val="00680CC2"/>
    <w:rsid w:val="00680CC3"/>
    <w:rsid w:val="00680D6A"/>
    <w:rsid w:val="00681026"/>
    <w:rsid w:val="00681C15"/>
    <w:rsid w:val="006820E6"/>
    <w:rsid w:val="00682167"/>
    <w:rsid w:val="006823A7"/>
    <w:rsid w:val="006829FB"/>
    <w:rsid w:val="00683A0B"/>
    <w:rsid w:val="00683D0D"/>
    <w:rsid w:val="00683F61"/>
    <w:rsid w:val="00684471"/>
    <w:rsid w:val="00684624"/>
    <w:rsid w:val="006846F3"/>
    <w:rsid w:val="00684710"/>
    <w:rsid w:val="00684A7F"/>
    <w:rsid w:val="00684D23"/>
    <w:rsid w:val="00685116"/>
    <w:rsid w:val="00685519"/>
    <w:rsid w:val="0068571D"/>
    <w:rsid w:val="00685F6B"/>
    <w:rsid w:val="00685FDD"/>
    <w:rsid w:val="006861F2"/>
    <w:rsid w:val="006864C0"/>
    <w:rsid w:val="006869C2"/>
    <w:rsid w:val="00686E87"/>
    <w:rsid w:val="00686F14"/>
    <w:rsid w:val="00687072"/>
    <w:rsid w:val="006875E6"/>
    <w:rsid w:val="00687998"/>
    <w:rsid w:val="0069010C"/>
    <w:rsid w:val="00690171"/>
    <w:rsid w:val="006905CD"/>
    <w:rsid w:val="006907D6"/>
    <w:rsid w:val="00690D04"/>
    <w:rsid w:val="00690E75"/>
    <w:rsid w:val="00690F45"/>
    <w:rsid w:val="00690FEF"/>
    <w:rsid w:val="00691FBF"/>
    <w:rsid w:val="00692100"/>
    <w:rsid w:val="00692194"/>
    <w:rsid w:val="0069297C"/>
    <w:rsid w:val="00692AB7"/>
    <w:rsid w:val="00692DCE"/>
    <w:rsid w:val="00693239"/>
    <w:rsid w:val="00693563"/>
    <w:rsid w:val="00693DD1"/>
    <w:rsid w:val="006943E5"/>
    <w:rsid w:val="00694895"/>
    <w:rsid w:val="006948D6"/>
    <w:rsid w:val="00695781"/>
    <w:rsid w:val="00695C25"/>
    <w:rsid w:val="00695D9F"/>
    <w:rsid w:val="006962F1"/>
    <w:rsid w:val="00696997"/>
    <w:rsid w:val="00696D70"/>
    <w:rsid w:val="00697342"/>
    <w:rsid w:val="00697B0B"/>
    <w:rsid w:val="006A03B4"/>
    <w:rsid w:val="006A05B3"/>
    <w:rsid w:val="006A0600"/>
    <w:rsid w:val="006A1601"/>
    <w:rsid w:val="006A1D4A"/>
    <w:rsid w:val="006A29E3"/>
    <w:rsid w:val="006A353A"/>
    <w:rsid w:val="006A3EDB"/>
    <w:rsid w:val="006A3F15"/>
    <w:rsid w:val="006A450A"/>
    <w:rsid w:val="006A5EDE"/>
    <w:rsid w:val="006A60EB"/>
    <w:rsid w:val="006A6721"/>
    <w:rsid w:val="006A6EA6"/>
    <w:rsid w:val="006A717F"/>
    <w:rsid w:val="006A7218"/>
    <w:rsid w:val="006A7926"/>
    <w:rsid w:val="006A79E6"/>
    <w:rsid w:val="006A7AEC"/>
    <w:rsid w:val="006B07C6"/>
    <w:rsid w:val="006B1596"/>
    <w:rsid w:val="006B1C7C"/>
    <w:rsid w:val="006B25DD"/>
    <w:rsid w:val="006B28C0"/>
    <w:rsid w:val="006B2DEF"/>
    <w:rsid w:val="006B2F7C"/>
    <w:rsid w:val="006B301D"/>
    <w:rsid w:val="006B3947"/>
    <w:rsid w:val="006B42AD"/>
    <w:rsid w:val="006B4E3B"/>
    <w:rsid w:val="006B50C3"/>
    <w:rsid w:val="006B5AF9"/>
    <w:rsid w:val="006B5BCB"/>
    <w:rsid w:val="006B6977"/>
    <w:rsid w:val="006B6C04"/>
    <w:rsid w:val="006B6CE2"/>
    <w:rsid w:val="006B7576"/>
    <w:rsid w:val="006B7A91"/>
    <w:rsid w:val="006B7CED"/>
    <w:rsid w:val="006C05C7"/>
    <w:rsid w:val="006C05EE"/>
    <w:rsid w:val="006C07A7"/>
    <w:rsid w:val="006C12BA"/>
    <w:rsid w:val="006C174B"/>
    <w:rsid w:val="006C186A"/>
    <w:rsid w:val="006C1FC5"/>
    <w:rsid w:val="006C2B60"/>
    <w:rsid w:val="006C2CB6"/>
    <w:rsid w:val="006C3085"/>
    <w:rsid w:val="006C34BA"/>
    <w:rsid w:val="006C4483"/>
    <w:rsid w:val="006C5403"/>
    <w:rsid w:val="006C56C4"/>
    <w:rsid w:val="006C6FF6"/>
    <w:rsid w:val="006C712F"/>
    <w:rsid w:val="006C7496"/>
    <w:rsid w:val="006C7E87"/>
    <w:rsid w:val="006D0143"/>
    <w:rsid w:val="006D06A7"/>
    <w:rsid w:val="006D0B71"/>
    <w:rsid w:val="006D156D"/>
    <w:rsid w:val="006D179A"/>
    <w:rsid w:val="006D2159"/>
    <w:rsid w:val="006D265E"/>
    <w:rsid w:val="006D2737"/>
    <w:rsid w:val="006D31EF"/>
    <w:rsid w:val="006D32B0"/>
    <w:rsid w:val="006D3385"/>
    <w:rsid w:val="006D33E8"/>
    <w:rsid w:val="006D4C35"/>
    <w:rsid w:val="006D4D17"/>
    <w:rsid w:val="006D5229"/>
    <w:rsid w:val="006D52AC"/>
    <w:rsid w:val="006D537F"/>
    <w:rsid w:val="006D581D"/>
    <w:rsid w:val="006D62B9"/>
    <w:rsid w:val="006D67A1"/>
    <w:rsid w:val="006D693C"/>
    <w:rsid w:val="006D6D26"/>
    <w:rsid w:val="006D743E"/>
    <w:rsid w:val="006D7495"/>
    <w:rsid w:val="006D7555"/>
    <w:rsid w:val="006D7D3A"/>
    <w:rsid w:val="006E0203"/>
    <w:rsid w:val="006E021C"/>
    <w:rsid w:val="006E0331"/>
    <w:rsid w:val="006E144F"/>
    <w:rsid w:val="006E208D"/>
    <w:rsid w:val="006E2A26"/>
    <w:rsid w:val="006E2B43"/>
    <w:rsid w:val="006E2EAB"/>
    <w:rsid w:val="006E3552"/>
    <w:rsid w:val="006E3D0C"/>
    <w:rsid w:val="006E3FD0"/>
    <w:rsid w:val="006E419B"/>
    <w:rsid w:val="006E4267"/>
    <w:rsid w:val="006E4454"/>
    <w:rsid w:val="006E4DE3"/>
    <w:rsid w:val="006E4FA8"/>
    <w:rsid w:val="006E5AC3"/>
    <w:rsid w:val="006E5E8C"/>
    <w:rsid w:val="006E602D"/>
    <w:rsid w:val="006E605C"/>
    <w:rsid w:val="006E6707"/>
    <w:rsid w:val="006E6A28"/>
    <w:rsid w:val="006E7FB2"/>
    <w:rsid w:val="006F0990"/>
    <w:rsid w:val="006F10A2"/>
    <w:rsid w:val="006F1401"/>
    <w:rsid w:val="006F165C"/>
    <w:rsid w:val="006F171F"/>
    <w:rsid w:val="006F198A"/>
    <w:rsid w:val="006F280F"/>
    <w:rsid w:val="006F28D9"/>
    <w:rsid w:val="006F28EF"/>
    <w:rsid w:val="006F28FE"/>
    <w:rsid w:val="006F3098"/>
    <w:rsid w:val="006F3123"/>
    <w:rsid w:val="006F33DE"/>
    <w:rsid w:val="006F3ABB"/>
    <w:rsid w:val="006F482E"/>
    <w:rsid w:val="006F4DB0"/>
    <w:rsid w:val="006F5A5A"/>
    <w:rsid w:val="006F5B4E"/>
    <w:rsid w:val="006F6941"/>
    <w:rsid w:val="006F6B67"/>
    <w:rsid w:val="006F7277"/>
    <w:rsid w:val="006F76C9"/>
    <w:rsid w:val="006F7AAA"/>
    <w:rsid w:val="006F7D0F"/>
    <w:rsid w:val="006F7E92"/>
    <w:rsid w:val="00700286"/>
    <w:rsid w:val="00700B7F"/>
    <w:rsid w:val="00700B93"/>
    <w:rsid w:val="00700F82"/>
    <w:rsid w:val="00701026"/>
    <w:rsid w:val="0070119E"/>
    <w:rsid w:val="007012B6"/>
    <w:rsid w:val="007013C2"/>
    <w:rsid w:val="00701E90"/>
    <w:rsid w:val="007021A9"/>
    <w:rsid w:val="007021B2"/>
    <w:rsid w:val="00702C15"/>
    <w:rsid w:val="00702CE7"/>
    <w:rsid w:val="00702FC6"/>
    <w:rsid w:val="00703DF2"/>
    <w:rsid w:val="007042BC"/>
    <w:rsid w:val="0070437F"/>
    <w:rsid w:val="0070569B"/>
    <w:rsid w:val="007057B7"/>
    <w:rsid w:val="00705913"/>
    <w:rsid w:val="007059EF"/>
    <w:rsid w:val="00705DC6"/>
    <w:rsid w:val="00706083"/>
    <w:rsid w:val="00706629"/>
    <w:rsid w:val="00706C39"/>
    <w:rsid w:val="00707244"/>
    <w:rsid w:val="007075EB"/>
    <w:rsid w:val="00707DC8"/>
    <w:rsid w:val="00710088"/>
    <w:rsid w:val="00710983"/>
    <w:rsid w:val="007117E0"/>
    <w:rsid w:val="00711C80"/>
    <w:rsid w:val="00711E6F"/>
    <w:rsid w:val="0071204F"/>
    <w:rsid w:val="00712360"/>
    <w:rsid w:val="00712399"/>
    <w:rsid w:val="00713028"/>
    <w:rsid w:val="00713366"/>
    <w:rsid w:val="00713942"/>
    <w:rsid w:val="00713A24"/>
    <w:rsid w:val="00713ED4"/>
    <w:rsid w:val="00714284"/>
    <w:rsid w:val="00714704"/>
    <w:rsid w:val="007153ED"/>
    <w:rsid w:val="00715DC2"/>
    <w:rsid w:val="00716538"/>
    <w:rsid w:val="007168EB"/>
    <w:rsid w:val="00716E5E"/>
    <w:rsid w:val="00716EB1"/>
    <w:rsid w:val="007170A4"/>
    <w:rsid w:val="00717590"/>
    <w:rsid w:val="007177CD"/>
    <w:rsid w:val="0071786F"/>
    <w:rsid w:val="00720306"/>
    <w:rsid w:val="00720744"/>
    <w:rsid w:val="00720A35"/>
    <w:rsid w:val="00721140"/>
    <w:rsid w:val="007213A2"/>
    <w:rsid w:val="007217A9"/>
    <w:rsid w:val="00721DBE"/>
    <w:rsid w:val="007220AF"/>
    <w:rsid w:val="007220B1"/>
    <w:rsid w:val="00722C69"/>
    <w:rsid w:val="00722CF1"/>
    <w:rsid w:val="00722DA6"/>
    <w:rsid w:val="007239E0"/>
    <w:rsid w:val="00724476"/>
    <w:rsid w:val="00724A91"/>
    <w:rsid w:val="00724BC6"/>
    <w:rsid w:val="0072513F"/>
    <w:rsid w:val="00725809"/>
    <w:rsid w:val="00726463"/>
    <w:rsid w:val="007264D8"/>
    <w:rsid w:val="007268FF"/>
    <w:rsid w:val="00727102"/>
    <w:rsid w:val="0072713F"/>
    <w:rsid w:val="0072725B"/>
    <w:rsid w:val="00727B9E"/>
    <w:rsid w:val="0073002D"/>
    <w:rsid w:val="007302CF"/>
    <w:rsid w:val="007309DA"/>
    <w:rsid w:val="007309F4"/>
    <w:rsid w:val="00730B70"/>
    <w:rsid w:val="00730E20"/>
    <w:rsid w:val="007312BD"/>
    <w:rsid w:val="00731FC7"/>
    <w:rsid w:val="00732183"/>
    <w:rsid w:val="0073250C"/>
    <w:rsid w:val="007326F1"/>
    <w:rsid w:val="00732E78"/>
    <w:rsid w:val="007332A9"/>
    <w:rsid w:val="007335E0"/>
    <w:rsid w:val="007338BE"/>
    <w:rsid w:val="00733CF9"/>
    <w:rsid w:val="007342EE"/>
    <w:rsid w:val="00734AA6"/>
    <w:rsid w:val="00734AAE"/>
    <w:rsid w:val="00734B84"/>
    <w:rsid w:val="00734E4E"/>
    <w:rsid w:val="007352B5"/>
    <w:rsid w:val="00735352"/>
    <w:rsid w:val="00735402"/>
    <w:rsid w:val="0073551D"/>
    <w:rsid w:val="00735AA9"/>
    <w:rsid w:val="00736466"/>
    <w:rsid w:val="00737187"/>
    <w:rsid w:val="007375A9"/>
    <w:rsid w:val="00737638"/>
    <w:rsid w:val="007376B0"/>
    <w:rsid w:val="00737903"/>
    <w:rsid w:val="00737B61"/>
    <w:rsid w:val="00740D1A"/>
    <w:rsid w:val="00741CAF"/>
    <w:rsid w:val="0074241F"/>
    <w:rsid w:val="007425B4"/>
    <w:rsid w:val="007426F7"/>
    <w:rsid w:val="0074270D"/>
    <w:rsid w:val="00742A15"/>
    <w:rsid w:val="00742D51"/>
    <w:rsid w:val="00742F4B"/>
    <w:rsid w:val="0074349F"/>
    <w:rsid w:val="007436B2"/>
    <w:rsid w:val="00743834"/>
    <w:rsid w:val="00743DA4"/>
    <w:rsid w:val="00743E7F"/>
    <w:rsid w:val="0074403F"/>
    <w:rsid w:val="00744603"/>
    <w:rsid w:val="00744713"/>
    <w:rsid w:val="00744AF5"/>
    <w:rsid w:val="00745356"/>
    <w:rsid w:val="00745BC4"/>
    <w:rsid w:val="00745E90"/>
    <w:rsid w:val="0074631D"/>
    <w:rsid w:val="00746F48"/>
    <w:rsid w:val="00747A62"/>
    <w:rsid w:val="00747B33"/>
    <w:rsid w:val="007507B6"/>
    <w:rsid w:val="00750C5E"/>
    <w:rsid w:val="00751169"/>
    <w:rsid w:val="007513DB"/>
    <w:rsid w:val="007519B1"/>
    <w:rsid w:val="00751C80"/>
    <w:rsid w:val="00752070"/>
    <w:rsid w:val="00752762"/>
    <w:rsid w:val="00752CE8"/>
    <w:rsid w:val="007536EA"/>
    <w:rsid w:val="00753B51"/>
    <w:rsid w:val="00754F5A"/>
    <w:rsid w:val="007551E5"/>
    <w:rsid w:val="007554EF"/>
    <w:rsid w:val="0075588C"/>
    <w:rsid w:val="00755ADE"/>
    <w:rsid w:val="00755C81"/>
    <w:rsid w:val="00755ED0"/>
    <w:rsid w:val="0075647B"/>
    <w:rsid w:val="00757157"/>
    <w:rsid w:val="00760DF9"/>
    <w:rsid w:val="00762336"/>
    <w:rsid w:val="0076282F"/>
    <w:rsid w:val="00763057"/>
    <w:rsid w:val="007630B4"/>
    <w:rsid w:val="00763B09"/>
    <w:rsid w:val="00763BDE"/>
    <w:rsid w:val="00763C87"/>
    <w:rsid w:val="00764DF7"/>
    <w:rsid w:val="00764E6B"/>
    <w:rsid w:val="007666BF"/>
    <w:rsid w:val="0076692B"/>
    <w:rsid w:val="00767F9D"/>
    <w:rsid w:val="00770975"/>
    <w:rsid w:val="00770990"/>
    <w:rsid w:val="00771625"/>
    <w:rsid w:val="0077165D"/>
    <w:rsid w:val="0077295A"/>
    <w:rsid w:val="00772BE4"/>
    <w:rsid w:val="007736E0"/>
    <w:rsid w:val="007737F6"/>
    <w:rsid w:val="007737F7"/>
    <w:rsid w:val="00773951"/>
    <w:rsid w:val="00773CC1"/>
    <w:rsid w:val="0077406F"/>
    <w:rsid w:val="007741F6"/>
    <w:rsid w:val="007751B7"/>
    <w:rsid w:val="007751EC"/>
    <w:rsid w:val="0077530A"/>
    <w:rsid w:val="007753D1"/>
    <w:rsid w:val="00775672"/>
    <w:rsid w:val="007769CF"/>
    <w:rsid w:val="007771F5"/>
    <w:rsid w:val="007800F4"/>
    <w:rsid w:val="00780364"/>
    <w:rsid w:val="0078045F"/>
    <w:rsid w:val="007804EB"/>
    <w:rsid w:val="007805CB"/>
    <w:rsid w:val="007806AD"/>
    <w:rsid w:val="00780FEC"/>
    <w:rsid w:val="00781638"/>
    <w:rsid w:val="00781AEB"/>
    <w:rsid w:val="00781B79"/>
    <w:rsid w:val="00781D82"/>
    <w:rsid w:val="0078203A"/>
    <w:rsid w:val="007823F9"/>
    <w:rsid w:val="007825BB"/>
    <w:rsid w:val="00782CAD"/>
    <w:rsid w:val="0078312C"/>
    <w:rsid w:val="0078419A"/>
    <w:rsid w:val="00784399"/>
    <w:rsid w:val="007843C0"/>
    <w:rsid w:val="007848F8"/>
    <w:rsid w:val="00784C1E"/>
    <w:rsid w:val="007852F0"/>
    <w:rsid w:val="007854C4"/>
    <w:rsid w:val="00785A3B"/>
    <w:rsid w:val="00785ACA"/>
    <w:rsid w:val="0078621B"/>
    <w:rsid w:val="0078638E"/>
    <w:rsid w:val="0078646E"/>
    <w:rsid w:val="00786AF5"/>
    <w:rsid w:val="00787047"/>
    <w:rsid w:val="007875ED"/>
    <w:rsid w:val="00787C11"/>
    <w:rsid w:val="00787FF5"/>
    <w:rsid w:val="00790600"/>
    <w:rsid w:val="007918AA"/>
    <w:rsid w:val="007924A5"/>
    <w:rsid w:val="0079288D"/>
    <w:rsid w:val="0079292C"/>
    <w:rsid w:val="00792ADC"/>
    <w:rsid w:val="007931B5"/>
    <w:rsid w:val="007932DF"/>
    <w:rsid w:val="00793760"/>
    <w:rsid w:val="00793BFB"/>
    <w:rsid w:val="00793D33"/>
    <w:rsid w:val="00794067"/>
    <w:rsid w:val="0079490B"/>
    <w:rsid w:val="007958CE"/>
    <w:rsid w:val="00795A4D"/>
    <w:rsid w:val="007960BF"/>
    <w:rsid w:val="007972CB"/>
    <w:rsid w:val="007A008A"/>
    <w:rsid w:val="007A0411"/>
    <w:rsid w:val="007A05B2"/>
    <w:rsid w:val="007A09C9"/>
    <w:rsid w:val="007A0C2D"/>
    <w:rsid w:val="007A0DC7"/>
    <w:rsid w:val="007A1384"/>
    <w:rsid w:val="007A1505"/>
    <w:rsid w:val="007A1EB1"/>
    <w:rsid w:val="007A1FDF"/>
    <w:rsid w:val="007A3DA4"/>
    <w:rsid w:val="007A453A"/>
    <w:rsid w:val="007A48EC"/>
    <w:rsid w:val="007A4B48"/>
    <w:rsid w:val="007A5102"/>
    <w:rsid w:val="007A5597"/>
    <w:rsid w:val="007A5A6B"/>
    <w:rsid w:val="007A5EFB"/>
    <w:rsid w:val="007A6AB7"/>
    <w:rsid w:val="007A6DA2"/>
    <w:rsid w:val="007A700C"/>
    <w:rsid w:val="007A70E8"/>
    <w:rsid w:val="007A7536"/>
    <w:rsid w:val="007A75D8"/>
    <w:rsid w:val="007A7B1A"/>
    <w:rsid w:val="007A7F5D"/>
    <w:rsid w:val="007B021E"/>
    <w:rsid w:val="007B07D4"/>
    <w:rsid w:val="007B0A88"/>
    <w:rsid w:val="007B0FCB"/>
    <w:rsid w:val="007B144B"/>
    <w:rsid w:val="007B1644"/>
    <w:rsid w:val="007B1923"/>
    <w:rsid w:val="007B1B01"/>
    <w:rsid w:val="007B21D2"/>
    <w:rsid w:val="007B22AB"/>
    <w:rsid w:val="007B2302"/>
    <w:rsid w:val="007B25F8"/>
    <w:rsid w:val="007B2619"/>
    <w:rsid w:val="007B27F5"/>
    <w:rsid w:val="007B2E4A"/>
    <w:rsid w:val="007B3908"/>
    <w:rsid w:val="007B41C4"/>
    <w:rsid w:val="007B42FA"/>
    <w:rsid w:val="007B4778"/>
    <w:rsid w:val="007B4B2C"/>
    <w:rsid w:val="007B5472"/>
    <w:rsid w:val="007B5486"/>
    <w:rsid w:val="007B5E01"/>
    <w:rsid w:val="007B5FED"/>
    <w:rsid w:val="007B61C4"/>
    <w:rsid w:val="007B6969"/>
    <w:rsid w:val="007B7E4F"/>
    <w:rsid w:val="007B7ECA"/>
    <w:rsid w:val="007C0283"/>
    <w:rsid w:val="007C1575"/>
    <w:rsid w:val="007C1BD7"/>
    <w:rsid w:val="007C1C18"/>
    <w:rsid w:val="007C1F3A"/>
    <w:rsid w:val="007C1FA8"/>
    <w:rsid w:val="007C20AD"/>
    <w:rsid w:val="007C20EC"/>
    <w:rsid w:val="007C22C9"/>
    <w:rsid w:val="007C25B3"/>
    <w:rsid w:val="007C3049"/>
    <w:rsid w:val="007C347E"/>
    <w:rsid w:val="007C3529"/>
    <w:rsid w:val="007C4126"/>
    <w:rsid w:val="007C4451"/>
    <w:rsid w:val="007C4978"/>
    <w:rsid w:val="007C534C"/>
    <w:rsid w:val="007C54B9"/>
    <w:rsid w:val="007C5567"/>
    <w:rsid w:val="007C5F15"/>
    <w:rsid w:val="007C605F"/>
    <w:rsid w:val="007C729C"/>
    <w:rsid w:val="007C780A"/>
    <w:rsid w:val="007D07AE"/>
    <w:rsid w:val="007D0F85"/>
    <w:rsid w:val="007D105F"/>
    <w:rsid w:val="007D10D4"/>
    <w:rsid w:val="007D11CB"/>
    <w:rsid w:val="007D1231"/>
    <w:rsid w:val="007D12D8"/>
    <w:rsid w:val="007D177F"/>
    <w:rsid w:val="007D1A82"/>
    <w:rsid w:val="007D1B6E"/>
    <w:rsid w:val="007D1BBF"/>
    <w:rsid w:val="007D2246"/>
    <w:rsid w:val="007D27EF"/>
    <w:rsid w:val="007D2BC4"/>
    <w:rsid w:val="007D2BD8"/>
    <w:rsid w:val="007D3CEE"/>
    <w:rsid w:val="007D43C4"/>
    <w:rsid w:val="007D51B7"/>
    <w:rsid w:val="007D5C14"/>
    <w:rsid w:val="007D6048"/>
    <w:rsid w:val="007D6592"/>
    <w:rsid w:val="007D6E18"/>
    <w:rsid w:val="007D7D58"/>
    <w:rsid w:val="007E0195"/>
    <w:rsid w:val="007E01D4"/>
    <w:rsid w:val="007E09C8"/>
    <w:rsid w:val="007E144C"/>
    <w:rsid w:val="007E1B61"/>
    <w:rsid w:val="007E1C60"/>
    <w:rsid w:val="007E22D5"/>
    <w:rsid w:val="007E2606"/>
    <w:rsid w:val="007E2777"/>
    <w:rsid w:val="007E27F0"/>
    <w:rsid w:val="007E2AFB"/>
    <w:rsid w:val="007E2B19"/>
    <w:rsid w:val="007E423D"/>
    <w:rsid w:val="007E4557"/>
    <w:rsid w:val="007E4565"/>
    <w:rsid w:val="007E502C"/>
    <w:rsid w:val="007E51B6"/>
    <w:rsid w:val="007E532B"/>
    <w:rsid w:val="007E5708"/>
    <w:rsid w:val="007E5830"/>
    <w:rsid w:val="007E67E5"/>
    <w:rsid w:val="007E6A7F"/>
    <w:rsid w:val="007E73F9"/>
    <w:rsid w:val="007F0200"/>
    <w:rsid w:val="007F0BBE"/>
    <w:rsid w:val="007F100D"/>
    <w:rsid w:val="007F1958"/>
    <w:rsid w:val="007F1C72"/>
    <w:rsid w:val="007F1EF8"/>
    <w:rsid w:val="007F2217"/>
    <w:rsid w:val="007F27CC"/>
    <w:rsid w:val="007F2D6C"/>
    <w:rsid w:val="007F3C68"/>
    <w:rsid w:val="007F3EC4"/>
    <w:rsid w:val="007F46D8"/>
    <w:rsid w:val="007F49E6"/>
    <w:rsid w:val="007F55FF"/>
    <w:rsid w:val="007F564D"/>
    <w:rsid w:val="007F588B"/>
    <w:rsid w:val="007F594C"/>
    <w:rsid w:val="007F5962"/>
    <w:rsid w:val="007F5B0E"/>
    <w:rsid w:val="007F5CA1"/>
    <w:rsid w:val="007F6DB0"/>
    <w:rsid w:val="007F743B"/>
    <w:rsid w:val="00800045"/>
    <w:rsid w:val="00800ED4"/>
    <w:rsid w:val="00801E1E"/>
    <w:rsid w:val="00801E30"/>
    <w:rsid w:val="00802056"/>
    <w:rsid w:val="0080334E"/>
    <w:rsid w:val="00803F58"/>
    <w:rsid w:val="00804318"/>
    <w:rsid w:val="008046A6"/>
    <w:rsid w:val="00804C0D"/>
    <w:rsid w:val="00804E96"/>
    <w:rsid w:val="00805113"/>
    <w:rsid w:val="0080570F"/>
    <w:rsid w:val="00805AC7"/>
    <w:rsid w:val="00805CB4"/>
    <w:rsid w:val="00806A13"/>
    <w:rsid w:val="00806C34"/>
    <w:rsid w:val="00806EB8"/>
    <w:rsid w:val="00807868"/>
    <w:rsid w:val="008078AD"/>
    <w:rsid w:val="00807D06"/>
    <w:rsid w:val="00807F62"/>
    <w:rsid w:val="00810684"/>
    <w:rsid w:val="008106F4"/>
    <w:rsid w:val="008111BE"/>
    <w:rsid w:val="008111BF"/>
    <w:rsid w:val="0081197D"/>
    <w:rsid w:val="008119FF"/>
    <w:rsid w:val="00811D9E"/>
    <w:rsid w:val="00812B4A"/>
    <w:rsid w:val="00812C0C"/>
    <w:rsid w:val="00813F28"/>
    <w:rsid w:val="00814499"/>
    <w:rsid w:val="00814A18"/>
    <w:rsid w:val="008152EC"/>
    <w:rsid w:val="008153FE"/>
    <w:rsid w:val="008155E6"/>
    <w:rsid w:val="008159D2"/>
    <w:rsid w:val="00815E7D"/>
    <w:rsid w:val="00815EFD"/>
    <w:rsid w:val="00816487"/>
    <w:rsid w:val="00816D48"/>
    <w:rsid w:val="00817281"/>
    <w:rsid w:val="008172ED"/>
    <w:rsid w:val="008174E3"/>
    <w:rsid w:val="008206F1"/>
    <w:rsid w:val="00820912"/>
    <w:rsid w:val="00820989"/>
    <w:rsid w:val="00821041"/>
    <w:rsid w:val="008214D9"/>
    <w:rsid w:val="008224E1"/>
    <w:rsid w:val="00822D56"/>
    <w:rsid w:val="00823223"/>
    <w:rsid w:val="00823AEA"/>
    <w:rsid w:val="00824415"/>
    <w:rsid w:val="008247A8"/>
    <w:rsid w:val="00824AA2"/>
    <w:rsid w:val="008250CF"/>
    <w:rsid w:val="008251AF"/>
    <w:rsid w:val="008254F2"/>
    <w:rsid w:val="008263D5"/>
    <w:rsid w:val="008264B5"/>
    <w:rsid w:val="00827479"/>
    <w:rsid w:val="00827673"/>
    <w:rsid w:val="00827E4E"/>
    <w:rsid w:val="008303F2"/>
    <w:rsid w:val="0083063A"/>
    <w:rsid w:val="00830722"/>
    <w:rsid w:val="0083078A"/>
    <w:rsid w:val="0083092E"/>
    <w:rsid w:val="00830BB1"/>
    <w:rsid w:val="00830D40"/>
    <w:rsid w:val="00830ED5"/>
    <w:rsid w:val="008317EE"/>
    <w:rsid w:val="008318AC"/>
    <w:rsid w:val="00831FDB"/>
    <w:rsid w:val="00832FBE"/>
    <w:rsid w:val="00833AFF"/>
    <w:rsid w:val="00833B2E"/>
    <w:rsid w:val="0083475B"/>
    <w:rsid w:val="00834B47"/>
    <w:rsid w:val="008354E2"/>
    <w:rsid w:val="00835C49"/>
    <w:rsid w:val="00835E03"/>
    <w:rsid w:val="00836119"/>
    <w:rsid w:val="008369F5"/>
    <w:rsid w:val="00836B72"/>
    <w:rsid w:val="00837185"/>
    <w:rsid w:val="008374CC"/>
    <w:rsid w:val="008377BE"/>
    <w:rsid w:val="0083792A"/>
    <w:rsid w:val="00837B74"/>
    <w:rsid w:val="00837DAB"/>
    <w:rsid w:val="00837F49"/>
    <w:rsid w:val="00840C6D"/>
    <w:rsid w:val="00840E92"/>
    <w:rsid w:val="008411C8"/>
    <w:rsid w:val="008412E0"/>
    <w:rsid w:val="00841B64"/>
    <w:rsid w:val="008421D6"/>
    <w:rsid w:val="0084267E"/>
    <w:rsid w:val="00842A26"/>
    <w:rsid w:val="00842A54"/>
    <w:rsid w:val="00842AED"/>
    <w:rsid w:val="00842E01"/>
    <w:rsid w:val="00842FDE"/>
    <w:rsid w:val="00843056"/>
    <w:rsid w:val="0084386D"/>
    <w:rsid w:val="00843E75"/>
    <w:rsid w:val="008447C2"/>
    <w:rsid w:val="00844F0F"/>
    <w:rsid w:val="00845637"/>
    <w:rsid w:val="0084587B"/>
    <w:rsid w:val="00845955"/>
    <w:rsid w:val="00845EE4"/>
    <w:rsid w:val="00845EEE"/>
    <w:rsid w:val="008460BA"/>
    <w:rsid w:val="0084649E"/>
    <w:rsid w:val="00846677"/>
    <w:rsid w:val="00846BB5"/>
    <w:rsid w:val="00847644"/>
    <w:rsid w:val="00847993"/>
    <w:rsid w:val="00847EBB"/>
    <w:rsid w:val="00850032"/>
    <w:rsid w:val="008503E8"/>
    <w:rsid w:val="00850FB1"/>
    <w:rsid w:val="008511EA"/>
    <w:rsid w:val="008513EE"/>
    <w:rsid w:val="00851403"/>
    <w:rsid w:val="0085177E"/>
    <w:rsid w:val="008521C3"/>
    <w:rsid w:val="008525CD"/>
    <w:rsid w:val="00853275"/>
    <w:rsid w:val="008535FF"/>
    <w:rsid w:val="00853600"/>
    <w:rsid w:val="00854722"/>
    <w:rsid w:val="00854EDF"/>
    <w:rsid w:val="00854F4B"/>
    <w:rsid w:val="008552F8"/>
    <w:rsid w:val="008556EF"/>
    <w:rsid w:val="0085605C"/>
    <w:rsid w:val="00856102"/>
    <w:rsid w:val="008561A8"/>
    <w:rsid w:val="008561B1"/>
    <w:rsid w:val="00856633"/>
    <w:rsid w:val="00857165"/>
    <w:rsid w:val="008572D1"/>
    <w:rsid w:val="0085758D"/>
    <w:rsid w:val="00857A77"/>
    <w:rsid w:val="00857CB3"/>
    <w:rsid w:val="00857DC7"/>
    <w:rsid w:val="00857E04"/>
    <w:rsid w:val="00860298"/>
    <w:rsid w:val="0086029D"/>
    <w:rsid w:val="00861639"/>
    <w:rsid w:val="008618E4"/>
    <w:rsid w:val="0086216E"/>
    <w:rsid w:val="0086226B"/>
    <w:rsid w:val="008628ED"/>
    <w:rsid w:val="008629C0"/>
    <w:rsid w:val="00862A81"/>
    <w:rsid w:val="008632FB"/>
    <w:rsid w:val="00863D07"/>
    <w:rsid w:val="00864EE4"/>
    <w:rsid w:val="00865679"/>
    <w:rsid w:val="00865712"/>
    <w:rsid w:val="00865C55"/>
    <w:rsid w:val="008665B2"/>
    <w:rsid w:val="00866995"/>
    <w:rsid w:val="0086741A"/>
    <w:rsid w:val="0086774E"/>
    <w:rsid w:val="0086797D"/>
    <w:rsid w:val="00870396"/>
    <w:rsid w:val="008705B0"/>
    <w:rsid w:val="0087114E"/>
    <w:rsid w:val="0087150E"/>
    <w:rsid w:val="00871C0A"/>
    <w:rsid w:val="00871F25"/>
    <w:rsid w:val="00872768"/>
    <w:rsid w:val="00872911"/>
    <w:rsid w:val="008729FF"/>
    <w:rsid w:val="00872C87"/>
    <w:rsid w:val="00872D24"/>
    <w:rsid w:val="00874132"/>
    <w:rsid w:val="00874490"/>
    <w:rsid w:val="0087467A"/>
    <w:rsid w:val="0087496F"/>
    <w:rsid w:val="008749DB"/>
    <w:rsid w:val="00874B9E"/>
    <w:rsid w:val="00874E2A"/>
    <w:rsid w:val="00875665"/>
    <w:rsid w:val="008756E8"/>
    <w:rsid w:val="00875C4C"/>
    <w:rsid w:val="00875DA6"/>
    <w:rsid w:val="00875DDB"/>
    <w:rsid w:val="00875FF6"/>
    <w:rsid w:val="0087634C"/>
    <w:rsid w:val="008767DF"/>
    <w:rsid w:val="00876E75"/>
    <w:rsid w:val="0087715C"/>
    <w:rsid w:val="0087734A"/>
    <w:rsid w:val="0087790C"/>
    <w:rsid w:val="00877B83"/>
    <w:rsid w:val="00877F20"/>
    <w:rsid w:val="0088001D"/>
    <w:rsid w:val="008802AA"/>
    <w:rsid w:val="0088073A"/>
    <w:rsid w:val="0088075D"/>
    <w:rsid w:val="008808C0"/>
    <w:rsid w:val="008809B3"/>
    <w:rsid w:val="00880D98"/>
    <w:rsid w:val="00881631"/>
    <w:rsid w:val="00881978"/>
    <w:rsid w:val="00881BDF"/>
    <w:rsid w:val="00881BF7"/>
    <w:rsid w:val="00882975"/>
    <w:rsid w:val="00882C45"/>
    <w:rsid w:val="00882CF7"/>
    <w:rsid w:val="00883018"/>
    <w:rsid w:val="0088329E"/>
    <w:rsid w:val="008838C1"/>
    <w:rsid w:val="0088399E"/>
    <w:rsid w:val="00883DA7"/>
    <w:rsid w:val="00884120"/>
    <w:rsid w:val="008843A8"/>
    <w:rsid w:val="008847EB"/>
    <w:rsid w:val="00885279"/>
    <w:rsid w:val="00885B99"/>
    <w:rsid w:val="00886184"/>
    <w:rsid w:val="0088626C"/>
    <w:rsid w:val="008865A1"/>
    <w:rsid w:val="008865D7"/>
    <w:rsid w:val="00886D45"/>
    <w:rsid w:val="00886E57"/>
    <w:rsid w:val="00887A25"/>
    <w:rsid w:val="00887EE2"/>
    <w:rsid w:val="008905F6"/>
    <w:rsid w:val="0089079F"/>
    <w:rsid w:val="00890CBE"/>
    <w:rsid w:val="00890F49"/>
    <w:rsid w:val="0089127A"/>
    <w:rsid w:val="00891474"/>
    <w:rsid w:val="00891568"/>
    <w:rsid w:val="00892237"/>
    <w:rsid w:val="008924BC"/>
    <w:rsid w:val="00892959"/>
    <w:rsid w:val="00892AFA"/>
    <w:rsid w:val="00892C72"/>
    <w:rsid w:val="008935F1"/>
    <w:rsid w:val="00893B14"/>
    <w:rsid w:val="00893F96"/>
    <w:rsid w:val="008942FF"/>
    <w:rsid w:val="00894C6A"/>
    <w:rsid w:val="00894EA1"/>
    <w:rsid w:val="00895139"/>
    <w:rsid w:val="0089545A"/>
    <w:rsid w:val="00895EAD"/>
    <w:rsid w:val="00895F90"/>
    <w:rsid w:val="00896EF8"/>
    <w:rsid w:val="00897673"/>
    <w:rsid w:val="00897A8A"/>
    <w:rsid w:val="00897D68"/>
    <w:rsid w:val="00897FBB"/>
    <w:rsid w:val="008A008B"/>
    <w:rsid w:val="008A03B3"/>
    <w:rsid w:val="008A1D8F"/>
    <w:rsid w:val="008A1F6F"/>
    <w:rsid w:val="008A2167"/>
    <w:rsid w:val="008A3073"/>
    <w:rsid w:val="008A319C"/>
    <w:rsid w:val="008A3692"/>
    <w:rsid w:val="008A3C5F"/>
    <w:rsid w:val="008A3EF2"/>
    <w:rsid w:val="008A4489"/>
    <w:rsid w:val="008A465C"/>
    <w:rsid w:val="008A4756"/>
    <w:rsid w:val="008A4B5C"/>
    <w:rsid w:val="008A4B9F"/>
    <w:rsid w:val="008A51F6"/>
    <w:rsid w:val="008A5564"/>
    <w:rsid w:val="008A5748"/>
    <w:rsid w:val="008A5750"/>
    <w:rsid w:val="008A5A60"/>
    <w:rsid w:val="008A5F23"/>
    <w:rsid w:val="008A5FFF"/>
    <w:rsid w:val="008A6F84"/>
    <w:rsid w:val="008A701A"/>
    <w:rsid w:val="008A7634"/>
    <w:rsid w:val="008A76BB"/>
    <w:rsid w:val="008B0180"/>
    <w:rsid w:val="008B02BE"/>
    <w:rsid w:val="008B0AFE"/>
    <w:rsid w:val="008B0E3C"/>
    <w:rsid w:val="008B13A4"/>
    <w:rsid w:val="008B1E0E"/>
    <w:rsid w:val="008B2575"/>
    <w:rsid w:val="008B2596"/>
    <w:rsid w:val="008B2DB6"/>
    <w:rsid w:val="008B370C"/>
    <w:rsid w:val="008B3784"/>
    <w:rsid w:val="008B42F8"/>
    <w:rsid w:val="008B579B"/>
    <w:rsid w:val="008B66DC"/>
    <w:rsid w:val="008B6EF0"/>
    <w:rsid w:val="008B6F8E"/>
    <w:rsid w:val="008B7116"/>
    <w:rsid w:val="008B723B"/>
    <w:rsid w:val="008B733F"/>
    <w:rsid w:val="008B7373"/>
    <w:rsid w:val="008B7415"/>
    <w:rsid w:val="008B773E"/>
    <w:rsid w:val="008C0A02"/>
    <w:rsid w:val="008C0D2B"/>
    <w:rsid w:val="008C1448"/>
    <w:rsid w:val="008C1470"/>
    <w:rsid w:val="008C1C8D"/>
    <w:rsid w:val="008C1CDC"/>
    <w:rsid w:val="008C1DFD"/>
    <w:rsid w:val="008C20D0"/>
    <w:rsid w:val="008C222C"/>
    <w:rsid w:val="008C2AC9"/>
    <w:rsid w:val="008C2E85"/>
    <w:rsid w:val="008C3C10"/>
    <w:rsid w:val="008C4033"/>
    <w:rsid w:val="008C4ABF"/>
    <w:rsid w:val="008C4EDE"/>
    <w:rsid w:val="008C52CC"/>
    <w:rsid w:val="008C59A3"/>
    <w:rsid w:val="008C5B31"/>
    <w:rsid w:val="008C5EE2"/>
    <w:rsid w:val="008C64BC"/>
    <w:rsid w:val="008C6DC9"/>
    <w:rsid w:val="008C6F47"/>
    <w:rsid w:val="008C7565"/>
    <w:rsid w:val="008C77E4"/>
    <w:rsid w:val="008D00D5"/>
    <w:rsid w:val="008D0759"/>
    <w:rsid w:val="008D0C11"/>
    <w:rsid w:val="008D0E70"/>
    <w:rsid w:val="008D11D8"/>
    <w:rsid w:val="008D1DE3"/>
    <w:rsid w:val="008D1E67"/>
    <w:rsid w:val="008D2479"/>
    <w:rsid w:val="008D2718"/>
    <w:rsid w:val="008D2938"/>
    <w:rsid w:val="008D2E60"/>
    <w:rsid w:val="008D3959"/>
    <w:rsid w:val="008D3E87"/>
    <w:rsid w:val="008D4183"/>
    <w:rsid w:val="008D4D63"/>
    <w:rsid w:val="008D4FD2"/>
    <w:rsid w:val="008D5465"/>
    <w:rsid w:val="008D5D99"/>
    <w:rsid w:val="008D6285"/>
    <w:rsid w:val="008D7798"/>
    <w:rsid w:val="008D7967"/>
    <w:rsid w:val="008E03A4"/>
    <w:rsid w:val="008E082E"/>
    <w:rsid w:val="008E0B92"/>
    <w:rsid w:val="008E0FB4"/>
    <w:rsid w:val="008E1C98"/>
    <w:rsid w:val="008E35B8"/>
    <w:rsid w:val="008E3905"/>
    <w:rsid w:val="008E498D"/>
    <w:rsid w:val="008E4BFA"/>
    <w:rsid w:val="008E4F81"/>
    <w:rsid w:val="008E5221"/>
    <w:rsid w:val="008E5426"/>
    <w:rsid w:val="008E55CC"/>
    <w:rsid w:val="008E5BD5"/>
    <w:rsid w:val="008E5E90"/>
    <w:rsid w:val="008E609F"/>
    <w:rsid w:val="008E64C3"/>
    <w:rsid w:val="008E6954"/>
    <w:rsid w:val="008E7802"/>
    <w:rsid w:val="008F05FA"/>
    <w:rsid w:val="008F0811"/>
    <w:rsid w:val="008F082B"/>
    <w:rsid w:val="008F0CB8"/>
    <w:rsid w:val="008F0E32"/>
    <w:rsid w:val="008F0EBD"/>
    <w:rsid w:val="008F161B"/>
    <w:rsid w:val="008F1741"/>
    <w:rsid w:val="008F1BE2"/>
    <w:rsid w:val="008F2FE6"/>
    <w:rsid w:val="008F3076"/>
    <w:rsid w:val="008F378F"/>
    <w:rsid w:val="008F3C8F"/>
    <w:rsid w:val="008F43EC"/>
    <w:rsid w:val="008F44C3"/>
    <w:rsid w:val="008F55B7"/>
    <w:rsid w:val="008F5B34"/>
    <w:rsid w:val="008F5CDC"/>
    <w:rsid w:val="008F6173"/>
    <w:rsid w:val="008F647E"/>
    <w:rsid w:val="008F6545"/>
    <w:rsid w:val="008F6A83"/>
    <w:rsid w:val="008F6C54"/>
    <w:rsid w:val="008F72D6"/>
    <w:rsid w:val="008F771B"/>
    <w:rsid w:val="008F7BC5"/>
    <w:rsid w:val="0090005E"/>
    <w:rsid w:val="009001FE"/>
    <w:rsid w:val="0090042E"/>
    <w:rsid w:val="009006DF"/>
    <w:rsid w:val="00900BF1"/>
    <w:rsid w:val="0090127D"/>
    <w:rsid w:val="00901795"/>
    <w:rsid w:val="009018C5"/>
    <w:rsid w:val="00901D2B"/>
    <w:rsid w:val="00901F9F"/>
    <w:rsid w:val="00902476"/>
    <w:rsid w:val="00902E54"/>
    <w:rsid w:val="009036D7"/>
    <w:rsid w:val="00903F01"/>
    <w:rsid w:val="00903F17"/>
    <w:rsid w:val="0090407D"/>
    <w:rsid w:val="00904286"/>
    <w:rsid w:val="00904A1C"/>
    <w:rsid w:val="00904D1F"/>
    <w:rsid w:val="00904FBB"/>
    <w:rsid w:val="0090518F"/>
    <w:rsid w:val="009053EB"/>
    <w:rsid w:val="0090557C"/>
    <w:rsid w:val="00905718"/>
    <w:rsid w:val="00906CCB"/>
    <w:rsid w:val="0090729B"/>
    <w:rsid w:val="009076DC"/>
    <w:rsid w:val="00910569"/>
    <w:rsid w:val="00910E1E"/>
    <w:rsid w:val="0091126A"/>
    <w:rsid w:val="00911605"/>
    <w:rsid w:val="00911872"/>
    <w:rsid w:val="00912D21"/>
    <w:rsid w:val="00912E23"/>
    <w:rsid w:val="009130A8"/>
    <w:rsid w:val="00913204"/>
    <w:rsid w:val="00913955"/>
    <w:rsid w:val="00913B8A"/>
    <w:rsid w:val="00914BD8"/>
    <w:rsid w:val="00914FB8"/>
    <w:rsid w:val="0091541A"/>
    <w:rsid w:val="009157B8"/>
    <w:rsid w:val="00915DC8"/>
    <w:rsid w:val="00915FCA"/>
    <w:rsid w:val="009166A8"/>
    <w:rsid w:val="0091692A"/>
    <w:rsid w:val="00916999"/>
    <w:rsid w:val="00916A35"/>
    <w:rsid w:val="00916C25"/>
    <w:rsid w:val="009172A1"/>
    <w:rsid w:val="00920332"/>
    <w:rsid w:val="00920BE0"/>
    <w:rsid w:val="00921100"/>
    <w:rsid w:val="009212B3"/>
    <w:rsid w:val="00921BEA"/>
    <w:rsid w:val="00922452"/>
    <w:rsid w:val="00922F00"/>
    <w:rsid w:val="00923219"/>
    <w:rsid w:val="00923B04"/>
    <w:rsid w:val="00923FF5"/>
    <w:rsid w:val="00924F79"/>
    <w:rsid w:val="0092561F"/>
    <w:rsid w:val="00925AD9"/>
    <w:rsid w:val="00925DFD"/>
    <w:rsid w:val="009261E8"/>
    <w:rsid w:val="00926651"/>
    <w:rsid w:val="0092667A"/>
    <w:rsid w:val="00927369"/>
    <w:rsid w:val="0092747E"/>
    <w:rsid w:val="00927CD0"/>
    <w:rsid w:val="00927DC7"/>
    <w:rsid w:val="00927EA1"/>
    <w:rsid w:val="00930021"/>
    <w:rsid w:val="0093012D"/>
    <w:rsid w:val="009316ED"/>
    <w:rsid w:val="00932008"/>
    <w:rsid w:val="00932530"/>
    <w:rsid w:val="009328C3"/>
    <w:rsid w:val="0093296F"/>
    <w:rsid w:val="00932B85"/>
    <w:rsid w:val="00932EAE"/>
    <w:rsid w:val="00932FB8"/>
    <w:rsid w:val="00933820"/>
    <w:rsid w:val="00933956"/>
    <w:rsid w:val="00933B0D"/>
    <w:rsid w:val="00934432"/>
    <w:rsid w:val="00935427"/>
    <w:rsid w:val="00935567"/>
    <w:rsid w:val="00935812"/>
    <w:rsid w:val="00935C01"/>
    <w:rsid w:val="00935F46"/>
    <w:rsid w:val="00936518"/>
    <w:rsid w:val="009367B4"/>
    <w:rsid w:val="00936843"/>
    <w:rsid w:val="00936B53"/>
    <w:rsid w:val="00936BE7"/>
    <w:rsid w:val="009370C1"/>
    <w:rsid w:val="009377B1"/>
    <w:rsid w:val="009377ED"/>
    <w:rsid w:val="00940624"/>
    <w:rsid w:val="009408C2"/>
    <w:rsid w:val="009408D7"/>
    <w:rsid w:val="00941381"/>
    <w:rsid w:val="00941678"/>
    <w:rsid w:val="00941B83"/>
    <w:rsid w:val="0094257C"/>
    <w:rsid w:val="00942AD3"/>
    <w:rsid w:val="00943470"/>
    <w:rsid w:val="009434B0"/>
    <w:rsid w:val="0094362B"/>
    <w:rsid w:val="00943FD3"/>
    <w:rsid w:val="009441B1"/>
    <w:rsid w:val="0094433C"/>
    <w:rsid w:val="009444BA"/>
    <w:rsid w:val="009448FB"/>
    <w:rsid w:val="00944C55"/>
    <w:rsid w:val="00944F5A"/>
    <w:rsid w:val="00945831"/>
    <w:rsid w:val="00945ACE"/>
    <w:rsid w:val="009478AC"/>
    <w:rsid w:val="0095017D"/>
    <w:rsid w:val="009501A2"/>
    <w:rsid w:val="009506F5"/>
    <w:rsid w:val="00950A3E"/>
    <w:rsid w:val="00950D87"/>
    <w:rsid w:val="00950DD3"/>
    <w:rsid w:val="0095130B"/>
    <w:rsid w:val="0095165F"/>
    <w:rsid w:val="00951E62"/>
    <w:rsid w:val="00952927"/>
    <w:rsid w:val="009537C3"/>
    <w:rsid w:val="00953A3C"/>
    <w:rsid w:val="00953ED8"/>
    <w:rsid w:val="009550FB"/>
    <w:rsid w:val="009551AB"/>
    <w:rsid w:val="00955258"/>
    <w:rsid w:val="00955441"/>
    <w:rsid w:val="009557E2"/>
    <w:rsid w:val="00955858"/>
    <w:rsid w:val="00955C17"/>
    <w:rsid w:val="00955D0C"/>
    <w:rsid w:val="00955DD3"/>
    <w:rsid w:val="0095622C"/>
    <w:rsid w:val="00956460"/>
    <w:rsid w:val="00956A37"/>
    <w:rsid w:val="00956FEA"/>
    <w:rsid w:val="00957D77"/>
    <w:rsid w:val="00960373"/>
    <w:rsid w:val="0096042C"/>
    <w:rsid w:val="00960864"/>
    <w:rsid w:val="0096137D"/>
    <w:rsid w:val="0096183F"/>
    <w:rsid w:val="00961983"/>
    <w:rsid w:val="009619EA"/>
    <w:rsid w:val="00961FAA"/>
    <w:rsid w:val="009620E4"/>
    <w:rsid w:val="00962687"/>
    <w:rsid w:val="00962991"/>
    <w:rsid w:val="00962C27"/>
    <w:rsid w:val="00962FE7"/>
    <w:rsid w:val="0096307B"/>
    <w:rsid w:val="009639B5"/>
    <w:rsid w:val="00964831"/>
    <w:rsid w:val="009650A8"/>
    <w:rsid w:val="0096555B"/>
    <w:rsid w:val="009658F8"/>
    <w:rsid w:val="00965AE4"/>
    <w:rsid w:val="009669E2"/>
    <w:rsid w:val="00966DCB"/>
    <w:rsid w:val="0096759E"/>
    <w:rsid w:val="00967833"/>
    <w:rsid w:val="00967AB0"/>
    <w:rsid w:val="00970662"/>
    <w:rsid w:val="00970D60"/>
    <w:rsid w:val="00970EBE"/>
    <w:rsid w:val="00970ECF"/>
    <w:rsid w:val="00970F1B"/>
    <w:rsid w:val="0097111F"/>
    <w:rsid w:val="00971699"/>
    <w:rsid w:val="00971FF3"/>
    <w:rsid w:val="00972266"/>
    <w:rsid w:val="00972A89"/>
    <w:rsid w:val="00972B05"/>
    <w:rsid w:val="009731B8"/>
    <w:rsid w:val="00973741"/>
    <w:rsid w:val="00973B62"/>
    <w:rsid w:val="00974232"/>
    <w:rsid w:val="009747EB"/>
    <w:rsid w:val="009749C2"/>
    <w:rsid w:val="00974A4A"/>
    <w:rsid w:val="00974C6F"/>
    <w:rsid w:val="00974D21"/>
    <w:rsid w:val="00975931"/>
    <w:rsid w:val="00975F02"/>
    <w:rsid w:val="00975F38"/>
    <w:rsid w:val="00975F4F"/>
    <w:rsid w:val="00976B3D"/>
    <w:rsid w:val="00976DBA"/>
    <w:rsid w:val="00977047"/>
    <w:rsid w:val="00977B66"/>
    <w:rsid w:val="00977F2A"/>
    <w:rsid w:val="0098008C"/>
    <w:rsid w:val="00980F33"/>
    <w:rsid w:val="00981227"/>
    <w:rsid w:val="00981A81"/>
    <w:rsid w:val="00981B52"/>
    <w:rsid w:val="00981B84"/>
    <w:rsid w:val="00981BA4"/>
    <w:rsid w:val="00981C28"/>
    <w:rsid w:val="0098256C"/>
    <w:rsid w:val="00982942"/>
    <w:rsid w:val="00983279"/>
    <w:rsid w:val="00983646"/>
    <w:rsid w:val="0098392A"/>
    <w:rsid w:val="00983E17"/>
    <w:rsid w:val="0098409C"/>
    <w:rsid w:val="009846D3"/>
    <w:rsid w:val="00984980"/>
    <w:rsid w:val="009853C4"/>
    <w:rsid w:val="00985D0A"/>
    <w:rsid w:val="00986013"/>
    <w:rsid w:val="009860B9"/>
    <w:rsid w:val="0098628B"/>
    <w:rsid w:val="0098663A"/>
    <w:rsid w:val="00986A76"/>
    <w:rsid w:val="00986AAB"/>
    <w:rsid w:val="00986F15"/>
    <w:rsid w:val="0098717A"/>
    <w:rsid w:val="009874C5"/>
    <w:rsid w:val="0098784B"/>
    <w:rsid w:val="00987DA1"/>
    <w:rsid w:val="00987E07"/>
    <w:rsid w:val="0099033D"/>
    <w:rsid w:val="00990D2B"/>
    <w:rsid w:val="00990E6D"/>
    <w:rsid w:val="0099100F"/>
    <w:rsid w:val="00991C82"/>
    <w:rsid w:val="00991FD0"/>
    <w:rsid w:val="00992379"/>
    <w:rsid w:val="00993781"/>
    <w:rsid w:val="009943F6"/>
    <w:rsid w:val="00994ECA"/>
    <w:rsid w:val="009959E0"/>
    <w:rsid w:val="00996804"/>
    <w:rsid w:val="00997B46"/>
    <w:rsid w:val="00997D94"/>
    <w:rsid w:val="009A069D"/>
    <w:rsid w:val="009A0821"/>
    <w:rsid w:val="009A08B1"/>
    <w:rsid w:val="009A0971"/>
    <w:rsid w:val="009A0B63"/>
    <w:rsid w:val="009A1BF8"/>
    <w:rsid w:val="009A1D91"/>
    <w:rsid w:val="009A2AA6"/>
    <w:rsid w:val="009A2B39"/>
    <w:rsid w:val="009A2C71"/>
    <w:rsid w:val="009A38FB"/>
    <w:rsid w:val="009A3F05"/>
    <w:rsid w:val="009A40A2"/>
    <w:rsid w:val="009A40F4"/>
    <w:rsid w:val="009A44D8"/>
    <w:rsid w:val="009A46BC"/>
    <w:rsid w:val="009A495B"/>
    <w:rsid w:val="009A5139"/>
    <w:rsid w:val="009A5441"/>
    <w:rsid w:val="009A57EF"/>
    <w:rsid w:val="009A5A7A"/>
    <w:rsid w:val="009A5CBD"/>
    <w:rsid w:val="009A5F33"/>
    <w:rsid w:val="009A5F97"/>
    <w:rsid w:val="009A6211"/>
    <w:rsid w:val="009A6801"/>
    <w:rsid w:val="009A6A22"/>
    <w:rsid w:val="009A6BFD"/>
    <w:rsid w:val="009A6FD7"/>
    <w:rsid w:val="009A7209"/>
    <w:rsid w:val="009A7A74"/>
    <w:rsid w:val="009A7DB0"/>
    <w:rsid w:val="009B006B"/>
    <w:rsid w:val="009B0130"/>
    <w:rsid w:val="009B048D"/>
    <w:rsid w:val="009B052E"/>
    <w:rsid w:val="009B0594"/>
    <w:rsid w:val="009B1265"/>
    <w:rsid w:val="009B150F"/>
    <w:rsid w:val="009B18C8"/>
    <w:rsid w:val="009B1D89"/>
    <w:rsid w:val="009B20EE"/>
    <w:rsid w:val="009B2115"/>
    <w:rsid w:val="009B2F59"/>
    <w:rsid w:val="009B328D"/>
    <w:rsid w:val="009B3752"/>
    <w:rsid w:val="009B37C9"/>
    <w:rsid w:val="009B3C86"/>
    <w:rsid w:val="009B44EB"/>
    <w:rsid w:val="009B46BE"/>
    <w:rsid w:val="009B4770"/>
    <w:rsid w:val="009B481B"/>
    <w:rsid w:val="009B4DA1"/>
    <w:rsid w:val="009B5034"/>
    <w:rsid w:val="009B524D"/>
    <w:rsid w:val="009B55DB"/>
    <w:rsid w:val="009B5B67"/>
    <w:rsid w:val="009B6B09"/>
    <w:rsid w:val="009B6D09"/>
    <w:rsid w:val="009B6E70"/>
    <w:rsid w:val="009B71C4"/>
    <w:rsid w:val="009B76D6"/>
    <w:rsid w:val="009B7AD6"/>
    <w:rsid w:val="009C006A"/>
    <w:rsid w:val="009C00B8"/>
    <w:rsid w:val="009C0744"/>
    <w:rsid w:val="009C0FF0"/>
    <w:rsid w:val="009C1008"/>
    <w:rsid w:val="009C1162"/>
    <w:rsid w:val="009C159E"/>
    <w:rsid w:val="009C23E9"/>
    <w:rsid w:val="009C2F7F"/>
    <w:rsid w:val="009C35E4"/>
    <w:rsid w:val="009C3C88"/>
    <w:rsid w:val="009C42BE"/>
    <w:rsid w:val="009C4C66"/>
    <w:rsid w:val="009C4CDA"/>
    <w:rsid w:val="009C4E8F"/>
    <w:rsid w:val="009C5187"/>
    <w:rsid w:val="009C5444"/>
    <w:rsid w:val="009C5C5D"/>
    <w:rsid w:val="009C5FF1"/>
    <w:rsid w:val="009C607E"/>
    <w:rsid w:val="009C61B7"/>
    <w:rsid w:val="009C6392"/>
    <w:rsid w:val="009C655F"/>
    <w:rsid w:val="009C6817"/>
    <w:rsid w:val="009C7475"/>
    <w:rsid w:val="009C796E"/>
    <w:rsid w:val="009C7BC3"/>
    <w:rsid w:val="009D02B1"/>
    <w:rsid w:val="009D07A7"/>
    <w:rsid w:val="009D0B4D"/>
    <w:rsid w:val="009D119D"/>
    <w:rsid w:val="009D1403"/>
    <w:rsid w:val="009D151A"/>
    <w:rsid w:val="009D1D58"/>
    <w:rsid w:val="009D208D"/>
    <w:rsid w:val="009D22F6"/>
    <w:rsid w:val="009D23E0"/>
    <w:rsid w:val="009D26C6"/>
    <w:rsid w:val="009D2F82"/>
    <w:rsid w:val="009D3B44"/>
    <w:rsid w:val="009D48F4"/>
    <w:rsid w:val="009D4D7F"/>
    <w:rsid w:val="009D5021"/>
    <w:rsid w:val="009D5219"/>
    <w:rsid w:val="009D54B8"/>
    <w:rsid w:val="009D5798"/>
    <w:rsid w:val="009D5A6A"/>
    <w:rsid w:val="009D5C66"/>
    <w:rsid w:val="009D5C99"/>
    <w:rsid w:val="009D614A"/>
    <w:rsid w:val="009D63A9"/>
    <w:rsid w:val="009D68A7"/>
    <w:rsid w:val="009D6A73"/>
    <w:rsid w:val="009D6BA7"/>
    <w:rsid w:val="009E02C0"/>
    <w:rsid w:val="009E033E"/>
    <w:rsid w:val="009E0691"/>
    <w:rsid w:val="009E08CE"/>
    <w:rsid w:val="009E09C3"/>
    <w:rsid w:val="009E134B"/>
    <w:rsid w:val="009E19F1"/>
    <w:rsid w:val="009E1E57"/>
    <w:rsid w:val="009E27BF"/>
    <w:rsid w:val="009E2EE2"/>
    <w:rsid w:val="009E340C"/>
    <w:rsid w:val="009E376D"/>
    <w:rsid w:val="009E3D1A"/>
    <w:rsid w:val="009E4182"/>
    <w:rsid w:val="009E41DD"/>
    <w:rsid w:val="009E4D43"/>
    <w:rsid w:val="009E4E5E"/>
    <w:rsid w:val="009E52D0"/>
    <w:rsid w:val="009E52F5"/>
    <w:rsid w:val="009E5729"/>
    <w:rsid w:val="009E5B05"/>
    <w:rsid w:val="009E6316"/>
    <w:rsid w:val="009E6559"/>
    <w:rsid w:val="009E6914"/>
    <w:rsid w:val="009E6D5D"/>
    <w:rsid w:val="009E70CA"/>
    <w:rsid w:val="009E75D2"/>
    <w:rsid w:val="009E7643"/>
    <w:rsid w:val="009F041E"/>
    <w:rsid w:val="009F07EE"/>
    <w:rsid w:val="009F0AA9"/>
    <w:rsid w:val="009F0F62"/>
    <w:rsid w:val="009F10BB"/>
    <w:rsid w:val="009F1884"/>
    <w:rsid w:val="009F1AEE"/>
    <w:rsid w:val="009F1AF8"/>
    <w:rsid w:val="009F1B27"/>
    <w:rsid w:val="009F1BCF"/>
    <w:rsid w:val="009F1C8E"/>
    <w:rsid w:val="009F27D1"/>
    <w:rsid w:val="009F2A90"/>
    <w:rsid w:val="009F2FEE"/>
    <w:rsid w:val="009F303F"/>
    <w:rsid w:val="009F34AA"/>
    <w:rsid w:val="009F4EF2"/>
    <w:rsid w:val="009F593B"/>
    <w:rsid w:val="009F5E90"/>
    <w:rsid w:val="009F6AAC"/>
    <w:rsid w:val="009F6EE4"/>
    <w:rsid w:val="009F7482"/>
    <w:rsid w:val="009F7AF4"/>
    <w:rsid w:val="009F7C86"/>
    <w:rsid w:val="009F7CC2"/>
    <w:rsid w:val="00A00152"/>
    <w:rsid w:val="00A0020F"/>
    <w:rsid w:val="00A004C3"/>
    <w:rsid w:val="00A017C5"/>
    <w:rsid w:val="00A0219C"/>
    <w:rsid w:val="00A02390"/>
    <w:rsid w:val="00A038CB"/>
    <w:rsid w:val="00A03B09"/>
    <w:rsid w:val="00A04B19"/>
    <w:rsid w:val="00A0512B"/>
    <w:rsid w:val="00A051D1"/>
    <w:rsid w:val="00A05200"/>
    <w:rsid w:val="00A053E6"/>
    <w:rsid w:val="00A058B5"/>
    <w:rsid w:val="00A05E9A"/>
    <w:rsid w:val="00A062D6"/>
    <w:rsid w:val="00A06C9F"/>
    <w:rsid w:val="00A06DA4"/>
    <w:rsid w:val="00A06E46"/>
    <w:rsid w:val="00A072E7"/>
    <w:rsid w:val="00A10065"/>
    <w:rsid w:val="00A1007C"/>
    <w:rsid w:val="00A101BD"/>
    <w:rsid w:val="00A10902"/>
    <w:rsid w:val="00A11DBB"/>
    <w:rsid w:val="00A11EB0"/>
    <w:rsid w:val="00A1244B"/>
    <w:rsid w:val="00A1297F"/>
    <w:rsid w:val="00A12BF2"/>
    <w:rsid w:val="00A132D6"/>
    <w:rsid w:val="00A138BD"/>
    <w:rsid w:val="00A13DCD"/>
    <w:rsid w:val="00A13E61"/>
    <w:rsid w:val="00A141CF"/>
    <w:rsid w:val="00A144AE"/>
    <w:rsid w:val="00A155E4"/>
    <w:rsid w:val="00A156B8"/>
    <w:rsid w:val="00A156F6"/>
    <w:rsid w:val="00A15C52"/>
    <w:rsid w:val="00A15D91"/>
    <w:rsid w:val="00A164E3"/>
    <w:rsid w:val="00A16780"/>
    <w:rsid w:val="00A16BA8"/>
    <w:rsid w:val="00A16BE3"/>
    <w:rsid w:val="00A16C49"/>
    <w:rsid w:val="00A17711"/>
    <w:rsid w:val="00A177FB"/>
    <w:rsid w:val="00A179F1"/>
    <w:rsid w:val="00A17C75"/>
    <w:rsid w:val="00A17CFB"/>
    <w:rsid w:val="00A17EB2"/>
    <w:rsid w:val="00A20216"/>
    <w:rsid w:val="00A2023E"/>
    <w:rsid w:val="00A20405"/>
    <w:rsid w:val="00A20531"/>
    <w:rsid w:val="00A21704"/>
    <w:rsid w:val="00A23347"/>
    <w:rsid w:val="00A23641"/>
    <w:rsid w:val="00A23746"/>
    <w:rsid w:val="00A23785"/>
    <w:rsid w:val="00A2431D"/>
    <w:rsid w:val="00A245CB"/>
    <w:rsid w:val="00A245FC"/>
    <w:rsid w:val="00A252BF"/>
    <w:rsid w:val="00A26833"/>
    <w:rsid w:val="00A26A03"/>
    <w:rsid w:val="00A26B05"/>
    <w:rsid w:val="00A26F05"/>
    <w:rsid w:val="00A27AC1"/>
    <w:rsid w:val="00A302F7"/>
    <w:rsid w:val="00A3046F"/>
    <w:rsid w:val="00A3088C"/>
    <w:rsid w:val="00A31561"/>
    <w:rsid w:val="00A31B96"/>
    <w:rsid w:val="00A32434"/>
    <w:rsid w:val="00A32A26"/>
    <w:rsid w:val="00A32EEA"/>
    <w:rsid w:val="00A32FAC"/>
    <w:rsid w:val="00A334FD"/>
    <w:rsid w:val="00A33993"/>
    <w:rsid w:val="00A33D2C"/>
    <w:rsid w:val="00A33D77"/>
    <w:rsid w:val="00A34179"/>
    <w:rsid w:val="00A34993"/>
    <w:rsid w:val="00A34CE6"/>
    <w:rsid w:val="00A34DB1"/>
    <w:rsid w:val="00A34ED4"/>
    <w:rsid w:val="00A357EF"/>
    <w:rsid w:val="00A359D5"/>
    <w:rsid w:val="00A36794"/>
    <w:rsid w:val="00A37C3F"/>
    <w:rsid w:val="00A37CB9"/>
    <w:rsid w:val="00A37CE2"/>
    <w:rsid w:val="00A37D68"/>
    <w:rsid w:val="00A37FF1"/>
    <w:rsid w:val="00A4039C"/>
    <w:rsid w:val="00A4040C"/>
    <w:rsid w:val="00A40643"/>
    <w:rsid w:val="00A407A5"/>
    <w:rsid w:val="00A408B4"/>
    <w:rsid w:val="00A40ACF"/>
    <w:rsid w:val="00A40AD2"/>
    <w:rsid w:val="00A40C38"/>
    <w:rsid w:val="00A40F42"/>
    <w:rsid w:val="00A4121B"/>
    <w:rsid w:val="00A413FC"/>
    <w:rsid w:val="00A41E68"/>
    <w:rsid w:val="00A420E5"/>
    <w:rsid w:val="00A4241B"/>
    <w:rsid w:val="00A42500"/>
    <w:rsid w:val="00A428FA"/>
    <w:rsid w:val="00A42DF5"/>
    <w:rsid w:val="00A42ECB"/>
    <w:rsid w:val="00A42F0C"/>
    <w:rsid w:val="00A4316E"/>
    <w:rsid w:val="00A434F5"/>
    <w:rsid w:val="00A43525"/>
    <w:rsid w:val="00A435B5"/>
    <w:rsid w:val="00A437BE"/>
    <w:rsid w:val="00A43C67"/>
    <w:rsid w:val="00A4415F"/>
    <w:rsid w:val="00A443A2"/>
    <w:rsid w:val="00A4450C"/>
    <w:rsid w:val="00A44778"/>
    <w:rsid w:val="00A44A28"/>
    <w:rsid w:val="00A44CB7"/>
    <w:rsid w:val="00A44DC5"/>
    <w:rsid w:val="00A44EE8"/>
    <w:rsid w:val="00A454A1"/>
    <w:rsid w:val="00A4637D"/>
    <w:rsid w:val="00A464AA"/>
    <w:rsid w:val="00A477DD"/>
    <w:rsid w:val="00A47ACF"/>
    <w:rsid w:val="00A50274"/>
    <w:rsid w:val="00A50533"/>
    <w:rsid w:val="00A50717"/>
    <w:rsid w:val="00A50CE3"/>
    <w:rsid w:val="00A51282"/>
    <w:rsid w:val="00A51AE1"/>
    <w:rsid w:val="00A52CDC"/>
    <w:rsid w:val="00A52D63"/>
    <w:rsid w:val="00A52F0B"/>
    <w:rsid w:val="00A530A9"/>
    <w:rsid w:val="00A53518"/>
    <w:rsid w:val="00A53824"/>
    <w:rsid w:val="00A53A6B"/>
    <w:rsid w:val="00A54314"/>
    <w:rsid w:val="00A54345"/>
    <w:rsid w:val="00A54AB0"/>
    <w:rsid w:val="00A54DC1"/>
    <w:rsid w:val="00A54EF2"/>
    <w:rsid w:val="00A54F9D"/>
    <w:rsid w:val="00A556BD"/>
    <w:rsid w:val="00A5571F"/>
    <w:rsid w:val="00A55831"/>
    <w:rsid w:val="00A55FD6"/>
    <w:rsid w:val="00A560CA"/>
    <w:rsid w:val="00A562A4"/>
    <w:rsid w:val="00A5644E"/>
    <w:rsid w:val="00A56777"/>
    <w:rsid w:val="00A568A1"/>
    <w:rsid w:val="00A5734D"/>
    <w:rsid w:val="00A57567"/>
    <w:rsid w:val="00A5771C"/>
    <w:rsid w:val="00A57CE8"/>
    <w:rsid w:val="00A57E8E"/>
    <w:rsid w:val="00A602C2"/>
    <w:rsid w:val="00A60594"/>
    <w:rsid w:val="00A60BC0"/>
    <w:rsid w:val="00A60C98"/>
    <w:rsid w:val="00A6138E"/>
    <w:rsid w:val="00A619D7"/>
    <w:rsid w:val="00A61B00"/>
    <w:rsid w:val="00A625EF"/>
    <w:rsid w:val="00A62879"/>
    <w:rsid w:val="00A629C4"/>
    <w:rsid w:val="00A62CDC"/>
    <w:rsid w:val="00A637C2"/>
    <w:rsid w:val="00A63EC2"/>
    <w:rsid w:val="00A6509B"/>
    <w:rsid w:val="00A65531"/>
    <w:rsid w:val="00A65D09"/>
    <w:rsid w:val="00A65E5C"/>
    <w:rsid w:val="00A670B6"/>
    <w:rsid w:val="00A704B9"/>
    <w:rsid w:val="00A706F1"/>
    <w:rsid w:val="00A708C3"/>
    <w:rsid w:val="00A7091D"/>
    <w:rsid w:val="00A709DE"/>
    <w:rsid w:val="00A70DE9"/>
    <w:rsid w:val="00A710BC"/>
    <w:rsid w:val="00A7140E"/>
    <w:rsid w:val="00A7176B"/>
    <w:rsid w:val="00A7176F"/>
    <w:rsid w:val="00A718C4"/>
    <w:rsid w:val="00A7201B"/>
    <w:rsid w:val="00A723ED"/>
    <w:rsid w:val="00A72853"/>
    <w:rsid w:val="00A72DE9"/>
    <w:rsid w:val="00A72F6A"/>
    <w:rsid w:val="00A738AA"/>
    <w:rsid w:val="00A7412E"/>
    <w:rsid w:val="00A74341"/>
    <w:rsid w:val="00A7459C"/>
    <w:rsid w:val="00A749E7"/>
    <w:rsid w:val="00A74B20"/>
    <w:rsid w:val="00A752FD"/>
    <w:rsid w:val="00A75E69"/>
    <w:rsid w:val="00A76373"/>
    <w:rsid w:val="00A7643D"/>
    <w:rsid w:val="00A76C8B"/>
    <w:rsid w:val="00A774A6"/>
    <w:rsid w:val="00A779AE"/>
    <w:rsid w:val="00A77EDA"/>
    <w:rsid w:val="00A802B4"/>
    <w:rsid w:val="00A80938"/>
    <w:rsid w:val="00A80E39"/>
    <w:rsid w:val="00A80F23"/>
    <w:rsid w:val="00A8134B"/>
    <w:rsid w:val="00A81541"/>
    <w:rsid w:val="00A824CA"/>
    <w:rsid w:val="00A83360"/>
    <w:rsid w:val="00A833F8"/>
    <w:rsid w:val="00A8362E"/>
    <w:rsid w:val="00A8379F"/>
    <w:rsid w:val="00A83E11"/>
    <w:rsid w:val="00A846BE"/>
    <w:rsid w:val="00A847CB"/>
    <w:rsid w:val="00A84926"/>
    <w:rsid w:val="00A8514B"/>
    <w:rsid w:val="00A85424"/>
    <w:rsid w:val="00A85FB5"/>
    <w:rsid w:val="00A85FF5"/>
    <w:rsid w:val="00A868BE"/>
    <w:rsid w:val="00A86ACD"/>
    <w:rsid w:val="00A86C5A"/>
    <w:rsid w:val="00A86E95"/>
    <w:rsid w:val="00A86F51"/>
    <w:rsid w:val="00A86F83"/>
    <w:rsid w:val="00A87203"/>
    <w:rsid w:val="00A873AC"/>
    <w:rsid w:val="00A876A3"/>
    <w:rsid w:val="00A87E43"/>
    <w:rsid w:val="00A907D9"/>
    <w:rsid w:val="00A9088C"/>
    <w:rsid w:val="00A90DF6"/>
    <w:rsid w:val="00A90F50"/>
    <w:rsid w:val="00A91315"/>
    <w:rsid w:val="00A9132C"/>
    <w:rsid w:val="00A9149A"/>
    <w:rsid w:val="00A914F9"/>
    <w:rsid w:val="00A91A4B"/>
    <w:rsid w:val="00A92BF3"/>
    <w:rsid w:val="00A92C51"/>
    <w:rsid w:val="00A92D10"/>
    <w:rsid w:val="00A92FDC"/>
    <w:rsid w:val="00A92FEE"/>
    <w:rsid w:val="00A9304C"/>
    <w:rsid w:val="00A931CD"/>
    <w:rsid w:val="00A93584"/>
    <w:rsid w:val="00A936A2"/>
    <w:rsid w:val="00A93C7C"/>
    <w:rsid w:val="00A93E11"/>
    <w:rsid w:val="00A94076"/>
    <w:rsid w:val="00A945F5"/>
    <w:rsid w:val="00A948F2"/>
    <w:rsid w:val="00A94B43"/>
    <w:rsid w:val="00A94DED"/>
    <w:rsid w:val="00A95587"/>
    <w:rsid w:val="00A9559B"/>
    <w:rsid w:val="00A9681F"/>
    <w:rsid w:val="00A96B22"/>
    <w:rsid w:val="00A9717A"/>
    <w:rsid w:val="00A9725B"/>
    <w:rsid w:val="00A972DD"/>
    <w:rsid w:val="00A97466"/>
    <w:rsid w:val="00AA00DE"/>
    <w:rsid w:val="00AA0328"/>
    <w:rsid w:val="00AA03EC"/>
    <w:rsid w:val="00AA08E8"/>
    <w:rsid w:val="00AA0983"/>
    <w:rsid w:val="00AA09F4"/>
    <w:rsid w:val="00AA0DED"/>
    <w:rsid w:val="00AA1355"/>
    <w:rsid w:val="00AA1D5B"/>
    <w:rsid w:val="00AA1E45"/>
    <w:rsid w:val="00AA2147"/>
    <w:rsid w:val="00AA2241"/>
    <w:rsid w:val="00AA28B9"/>
    <w:rsid w:val="00AA2942"/>
    <w:rsid w:val="00AA2980"/>
    <w:rsid w:val="00AA2F19"/>
    <w:rsid w:val="00AA35D1"/>
    <w:rsid w:val="00AA3E82"/>
    <w:rsid w:val="00AA3F75"/>
    <w:rsid w:val="00AA41D6"/>
    <w:rsid w:val="00AA4560"/>
    <w:rsid w:val="00AA457C"/>
    <w:rsid w:val="00AA462B"/>
    <w:rsid w:val="00AA46C1"/>
    <w:rsid w:val="00AA53FB"/>
    <w:rsid w:val="00AA5516"/>
    <w:rsid w:val="00AA5533"/>
    <w:rsid w:val="00AA56FF"/>
    <w:rsid w:val="00AA5826"/>
    <w:rsid w:val="00AA5C98"/>
    <w:rsid w:val="00AA6DC4"/>
    <w:rsid w:val="00AA6EB7"/>
    <w:rsid w:val="00AA737D"/>
    <w:rsid w:val="00AA73D7"/>
    <w:rsid w:val="00AA7913"/>
    <w:rsid w:val="00AA7987"/>
    <w:rsid w:val="00AB0160"/>
    <w:rsid w:val="00AB0ED3"/>
    <w:rsid w:val="00AB0F88"/>
    <w:rsid w:val="00AB1500"/>
    <w:rsid w:val="00AB19F5"/>
    <w:rsid w:val="00AB1BDD"/>
    <w:rsid w:val="00AB2B78"/>
    <w:rsid w:val="00AB33D3"/>
    <w:rsid w:val="00AB39E0"/>
    <w:rsid w:val="00AB446F"/>
    <w:rsid w:val="00AB5029"/>
    <w:rsid w:val="00AB5163"/>
    <w:rsid w:val="00AB5748"/>
    <w:rsid w:val="00AB5BB2"/>
    <w:rsid w:val="00AB6798"/>
    <w:rsid w:val="00AB6D13"/>
    <w:rsid w:val="00AB74F0"/>
    <w:rsid w:val="00AB7DDF"/>
    <w:rsid w:val="00AB7E72"/>
    <w:rsid w:val="00AC004A"/>
    <w:rsid w:val="00AC058F"/>
    <w:rsid w:val="00AC0673"/>
    <w:rsid w:val="00AC095A"/>
    <w:rsid w:val="00AC2292"/>
    <w:rsid w:val="00AC2574"/>
    <w:rsid w:val="00AC2784"/>
    <w:rsid w:val="00AC2C0A"/>
    <w:rsid w:val="00AC2D56"/>
    <w:rsid w:val="00AC324D"/>
    <w:rsid w:val="00AC34F7"/>
    <w:rsid w:val="00AC3509"/>
    <w:rsid w:val="00AC41FD"/>
    <w:rsid w:val="00AC43BA"/>
    <w:rsid w:val="00AC47BD"/>
    <w:rsid w:val="00AC4A18"/>
    <w:rsid w:val="00AC4F96"/>
    <w:rsid w:val="00AC5369"/>
    <w:rsid w:val="00AC63BD"/>
    <w:rsid w:val="00AC63F9"/>
    <w:rsid w:val="00AC642F"/>
    <w:rsid w:val="00AC66F2"/>
    <w:rsid w:val="00AC6C85"/>
    <w:rsid w:val="00AC6E5A"/>
    <w:rsid w:val="00AC6FAB"/>
    <w:rsid w:val="00AC74B6"/>
    <w:rsid w:val="00AC75DD"/>
    <w:rsid w:val="00AC76AE"/>
    <w:rsid w:val="00AC7720"/>
    <w:rsid w:val="00AC7B05"/>
    <w:rsid w:val="00AD016A"/>
    <w:rsid w:val="00AD0BAA"/>
    <w:rsid w:val="00AD15F8"/>
    <w:rsid w:val="00AD19CD"/>
    <w:rsid w:val="00AD1D6B"/>
    <w:rsid w:val="00AD1FAE"/>
    <w:rsid w:val="00AD26BF"/>
    <w:rsid w:val="00AD2EAF"/>
    <w:rsid w:val="00AD3148"/>
    <w:rsid w:val="00AD32B8"/>
    <w:rsid w:val="00AD3380"/>
    <w:rsid w:val="00AD33A4"/>
    <w:rsid w:val="00AD3931"/>
    <w:rsid w:val="00AD4268"/>
    <w:rsid w:val="00AD4808"/>
    <w:rsid w:val="00AD4F51"/>
    <w:rsid w:val="00AD51F8"/>
    <w:rsid w:val="00AD56A4"/>
    <w:rsid w:val="00AD5796"/>
    <w:rsid w:val="00AD5881"/>
    <w:rsid w:val="00AD5A2B"/>
    <w:rsid w:val="00AD5C27"/>
    <w:rsid w:val="00AD6FA6"/>
    <w:rsid w:val="00AD79FC"/>
    <w:rsid w:val="00AD7B97"/>
    <w:rsid w:val="00AD7F1B"/>
    <w:rsid w:val="00AE03C0"/>
    <w:rsid w:val="00AE081D"/>
    <w:rsid w:val="00AE0A21"/>
    <w:rsid w:val="00AE0B74"/>
    <w:rsid w:val="00AE1367"/>
    <w:rsid w:val="00AE156A"/>
    <w:rsid w:val="00AE15BF"/>
    <w:rsid w:val="00AE17C4"/>
    <w:rsid w:val="00AE1E80"/>
    <w:rsid w:val="00AE1FB1"/>
    <w:rsid w:val="00AE2213"/>
    <w:rsid w:val="00AE2281"/>
    <w:rsid w:val="00AE22FF"/>
    <w:rsid w:val="00AE2DC3"/>
    <w:rsid w:val="00AE38ED"/>
    <w:rsid w:val="00AE3A53"/>
    <w:rsid w:val="00AE3AD6"/>
    <w:rsid w:val="00AE41CA"/>
    <w:rsid w:val="00AE42DA"/>
    <w:rsid w:val="00AE47F6"/>
    <w:rsid w:val="00AE4E3D"/>
    <w:rsid w:val="00AE59C4"/>
    <w:rsid w:val="00AE5C15"/>
    <w:rsid w:val="00AE6BDD"/>
    <w:rsid w:val="00AE72F2"/>
    <w:rsid w:val="00AE7664"/>
    <w:rsid w:val="00AE7951"/>
    <w:rsid w:val="00AF0171"/>
    <w:rsid w:val="00AF07DF"/>
    <w:rsid w:val="00AF086B"/>
    <w:rsid w:val="00AF08FB"/>
    <w:rsid w:val="00AF0A3E"/>
    <w:rsid w:val="00AF0A93"/>
    <w:rsid w:val="00AF0E51"/>
    <w:rsid w:val="00AF1376"/>
    <w:rsid w:val="00AF19DE"/>
    <w:rsid w:val="00AF264F"/>
    <w:rsid w:val="00AF3370"/>
    <w:rsid w:val="00AF33F3"/>
    <w:rsid w:val="00AF34F2"/>
    <w:rsid w:val="00AF3588"/>
    <w:rsid w:val="00AF3D5E"/>
    <w:rsid w:val="00AF3E27"/>
    <w:rsid w:val="00AF561F"/>
    <w:rsid w:val="00AF5D6E"/>
    <w:rsid w:val="00AF7006"/>
    <w:rsid w:val="00AF71FD"/>
    <w:rsid w:val="00AF7C11"/>
    <w:rsid w:val="00B00157"/>
    <w:rsid w:val="00B0047D"/>
    <w:rsid w:val="00B00571"/>
    <w:rsid w:val="00B00CFA"/>
    <w:rsid w:val="00B016EA"/>
    <w:rsid w:val="00B017E0"/>
    <w:rsid w:val="00B01A9A"/>
    <w:rsid w:val="00B01C58"/>
    <w:rsid w:val="00B01D2C"/>
    <w:rsid w:val="00B01F6D"/>
    <w:rsid w:val="00B02166"/>
    <w:rsid w:val="00B02AAD"/>
    <w:rsid w:val="00B02BFD"/>
    <w:rsid w:val="00B034DA"/>
    <w:rsid w:val="00B0386A"/>
    <w:rsid w:val="00B03B7B"/>
    <w:rsid w:val="00B03E2E"/>
    <w:rsid w:val="00B04127"/>
    <w:rsid w:val="00B045B8"/>
    <w:rsid w:val="00B04AAB"/>
    <w:rsid w:val="00B056E2"/>
    <w:rsid w:val="00B05C4F"/>
    <w:rsid w:val="00B06955"/>
    <w:rsid w:val="00B06FA6"/>
    <w:rsid w:val="00B07016"/>
    <w:rsid w:val="00B0788C"/>
    <w:rsid w:val="00B0795C"/>
    <w:rsid w:val="00B10130"/>
    <w:rsid w:val="00B1048A"/>
    <w:rsid w:val="00B10761"/>
    <w:rsid w:val="00B10A16"/>
    <w:rsid w:val="00B11257"/>
    <w:rsid w:val="00B11DA6"/>
    <w:rsid w:val="00B11FD3"/>
    <w:rsid w:val="00B12376"/>
    <w:rsid w:val="00B128B9"/>
    <w:rsid w:val="00B12904"/>
    <w:rsid w:val="00B12AE1"/>
    <w:rsid w:val="00B13247"/>
    <w:rsid w:val="00B135B7"/>
    <w:rsid w:val="00B1422D"/>
    <w:rsid w:val="00B14686"/>
    <w:rsid w:val="00B14BFB"/>
    <w:rsid w:val="00B14EF4"/>
    <w:rsid w:val="00B154FC"/>
    <w:rsid w:val="00B158E1"/>
    <w:rsid w:val="00B15EF4"/>
    <w:rsid w:val="00B15F1D"/>
    <w:rsid w:val="00B15FC9"/>
    <w:rsid w:val="00B16082"/>
    <w:rsid w:val="00B1611C"/>
    <w:rsid w:val="00B163B0"/>
    <w:rsid w:val="00B16441"/>
    <w:rsid w:val="00B1668A"/>
    <w:rsid w:val="00B16751"/>
    <w:rsid w:val="00B168D9"/>
    <w:rsid w:val="00B168EA"/>
    <w:rsid w:val="00B168F1"/>
    <w:rsid w:val="00B16939"/>
    <w:rsid w:val="00B17348"/>
    <w:rsid w:val="00B17DA3"/>
    <w:rsid w:val="00B201F1"/>
    <w:rsid w:val="00B21550"/>
    <w:rsid w:val="00B217E5"/>
    <w:rsid w:val="00B21CDF"/>
    <w:rsid w:val="00B224EE"/>
    <w:rsid w:val="00B2274F"/>
    <w:rsid w:val="00B22F5A"/>
    <w:rsid w:val="00B2309D"/>
    <w:rsid w:val="00B23291"/>
    <w:rsid w:val="00B23341"/>
    <w:rsid w:val="00B235BF"/>
    <w:rsid w:val="00B23824"/>
    <w:rsid w:val="00B24226"/>
    <w:rsid w:val="00B24690"/>
    <w:rsid w:val="00B24D11"/>
    <w:rsid w:val="00B24D35"/>
    <w:rsid w:val="00B24D4B"/>
    <w:rsid w:val="00B24F5C"/>
    <w:rsid w:val="00B24FE6"/>
    <w:rsid w:val="00B25438"/>
    <w:rsid w:val="00B254AA"/>
    <w:rsid w:val="00B25735"/>
    <w:rsid w:val="00B25B25"/>
    <w:rsid w:val="00B25B6B"/>
    <w:rsid w:val="00B25CA9"/>
    <w:rsid w:val="00B25CC3"/>
    <w:rsid w:val="00B26E40"/>
    <w:rsid w:val="00B27017"/>
    <w:rsid w:val="00B27A31"/>
    <w:rsid w:val="00B27DD0"/>
    <w:rsid w:val="00B30A48"/>
    <w:rsid w:val="00B3134C"/>
    <w:rsid w:val="00B32281"/>
    <w:rsid w:val="00B326B5"/>
    <w:rsid w:val="00B33345"/>
    <w:rsid w:val="00B336E4"/>
    <w:rsid w:val="00B3470D"/>
    <w:rsid w:val="00B3508A"/>
    <w:rsid w:val="00B353FB"/>
    <w:rsid w:val="00B356D6"/>
    <w:rsid w:val="00B359E4"/>
    <w:rsid w:val="00B35DB6"/>
    <w:rsid w:val="00B35E0F"/>
    <w:rsid w:val="00B36191"/>
    <w:rsid w:val="00B366BC"/>
    <w:rsid w:val="00B3680D"/>
    <w:rsid w:val="00B37023"/>
    <w:rsid w:val="00B371A4"/>
    <w:rsid w:val="00B3740C"/>
    <w:rsid w:val="00B37C7E"/>
    <w:rsid w:val="00B4063B"/>
    <w:rsid w:val="00B408F6"/>
    <w:rsid w:val="00B40ADA"/>
    <w:rsid w:val="00B40FA4"/>
    <w:rsid w:val="00B41E9F"/>
    <w:rsid w:val="00B42DE8"/>
    <w:rsid w:val="00B438E8"/>
    <w:rsid w:val="00B43FAD"/>
    <w:rsid w:val="00B44700"/>
    <w:rsid w:val="00B44727"/>
    <w:rsid w:val="00B44944"/>
    <w:rsid w:val="00B44E27"/>
    <w:rsid w:val="00B45A7E"/>
    <w:rsid w:val="00B45AB6"/>
    <w:rsid w:val="00B463C3"/>
    <w:rsid w:val="00B4658B"/>
    <w:rsid w:val="00B46846"/>
    <w:rsid w:val="00B50700"/>
    <w:rsid w:val="00B5122C"/>
    <w:rsid w:val="00B5171C"/>
    <w:rsid w:val="00B51AC9"/>
    <w:rsid w:val="00B51F34"/>
    <w:rsid w:val="00B522F4"/>
    <w:rsid w:val="00B527BF"/>
    <w:rsid w:val="00B52E11"/>
    <w:rsid w:val="00B534C3"/>
    <w:rsid w:val="00B534D7"/>
    <w:rsid w:val="00B5489E"/>
    <w:rsid w:val="00B54DBD"/>
    <w:rsid w:val="00B54F0C"/>
    <w:rsid w:val="00B55B08"/>
    <w:rsid w:val="00B55C4D"/>
    <w:rsid w:val="00B561DB"/>
    <w:rsid w:val="00B5655D"/>
    <w:rsid w:val="00B5657E"/>
    <w:rsid w:val="00B56641"/>
    <w:rsid w:val="00B56669"/>
    <w:rsid w:val="00B56729"/>
    <w:rsid w:val="00B56914"/>
    <w:rsid w:val="00B5738C"/>
    <w:rsid w:val="00B57942"/>
    <w:rsid w:val="00B600AC"/>
    <w:rsid w:val="00B60C76"/>
    <w:rsid w:val="00B610D6"/>
    <w:rsid w:val="00B6153B"/>
    <w:rsid w:val="00B6177C"/>
    <w:rsid w:val="00B61D42"/>
    <w:rsid w:val="00B61E97"/>
    <w:rsid w:val="00B62075"/>
    <w:rsid w:val="00B6236D"/>
    <w:rsid w:val="00B6298B"/>
    <w:rsid w:val="00B62C30"/>
    <w:rsid w:val="00B63276"/>
    <w:rsid w:val="00B6328A"/>
    <w:rsid w:val="00B633B7"/>
    <w:rsid w:val="00B63B17"/>
    <w:rsid w:val="00B63D3E"/>
    <w:rsid w:val="00B63D90"/>
    <w:rsid w:val="00B63EDD"/>
    <w:rsid w:val="00B64172"/>
    <w:rsid w:val="00B6420C"/>
    <w:rsid w:val="00B646EF"/>
    <w:rsid w:val="00B65404"/>
    <w:rsid w:val="00B6660C"/>
    <w:rsid w:val="00B668C4"/>
    <w:rsid w:val="00B6691E"/>
    <w:rsid w:val="00B674BE"/>
    <w:rsid w:val="00B67AE4"/>
    <w:rsid w:val="00B67CCF"/>
    <w:rsid w:val="00B67CD0"/>
    <w:rsid w:val="00B701A1"/>
    <w:rsid w:val="00B70538"/>
    <w:rsid w:val="00B722BB"/>
    <w:rsid w:val="00B7239B"/>
    <w:rsid w:val="00B72570"/>
    <w:rsid w:val="00B72E67"/>
    <w:rsid w:val="00B72F1E"/>
    <w:rsid w:val="00B73294"/>
    <w:rsid w:val="00B73589"/>
    <w:rsid w:val="00B7365D"/>
    <w:rsid w:val="00B738E9"/>
    <w:rsid w:val="00B73B72"/>
    <w:rsid w:val="00B73DF4"/>
    <w:rsid w:val="00B74209"/>
    <w:rsid w:val="00B74214"/>
    <w:rsid w:val="00B749D0"/>
    <w:rsid w:val="00B74DD3"/>
    <w:rsid w:val="00B75135"/>
    <w:rsid w:val="00B75231"/>
    <w:rsid w:val="00B75387"/>
    <w:rsid w:val="00B7568F"/>
    <w:rsid w:val="00B758D8"/>
    <w:rsid w:val="00B75A83"/>
    <w:rsid w:val="00B76A51"/>
    <w:rsid w:val="00B76EB8"/>
    <w:rsid w:val="00B770CC"/>
    <w:rsid w:val="00B771E8"/>
    <w:rsid w:val="00B77977"/>
    <w:rsid w:val="00B77A7A"/>
    <w:rsid w:val="00B80038"/>
    <w:rsid w:val="00B801E9"/>
    <w:rsid w:val="00B80BF3"/>
    <w:rsid w:val="00B811B9"/>
    <w:rsid w:val="00B81320"/>
    <w:rsid w:val="00B81DE1"/>
    <w:rsid w:val="00B8356F"/>
    <w:rsid w:val="00B83677"/>
    <w:rsid w:val="00B836D0"/>
    <w:rsid w:val="00B844CE"/>
    <w:rsid w:val="00B84906"/>
    <w:rsid w:val="00B85E68"/>
    <w:rsid w:val="00B85FED"/>
    <w:rsid w:val="00B90891"/>
    <w:rsid w:val="00B90BD1"/>
    <w:rsid w:val="00B90C7B"/>
    <w:rsid w:val="00B90ED1"/>
    <w:rsid w:val="00B90EE6"/>
    <w:rsid w:val="00B9130D"/>
    <w:rsid w:val="00B91D36"/>
    <w:rsid w:val="00B91EA5"/>
    <w:rsid w:val="00B920A2"/>
    <w:rsid w:val="00B924AD"/>
    <w:rsid w:val="00B92B7E"/>
    <w:rsid w:val="00B92C9D"/>
    <w:rsid w:val="00B9312C"/>
    <w:rsid w:val="00B931D1"/>
    <w:rsid w:val="00B9334A"/>
    <w:rsid w:val="00B93500"/>
    <w:rsid w:val="00B93C43"/>
    <w:rsid w:val="00B944BF"/>
    <w:rsid w:val="00B945D3"/>
    <w:rsid w:val="00B94F0D"/>
    <w:rsid w:val="00B95835"/>
    <w:rsid w:val="00B95E00"/>
    <w:rsid w:val="00B96434"/>
    <w:rsid w:val="00B969C1"/>
    <w:rsid w:val="00B96CB6"/>
    <w:rsid w:val="00B97176"/>
    <w:rsid w:val="00B971E8"/>
    <w:rsid w:val="00B9763B"/>
    <w:rsid w:val="00B97B11"/>
    <w:rsid w:val="00B97B32"/>
    <w:rsid w:val="00B97E26"/>
    <w:rsid w:val="00BA00BF"/>
    <w:rsid w:val="00BA0DE5"/>
    <w:rsid w:val="00BA1AFA"/>
    <w:rsid w:val="00BA1C9B"/>
    <w:rsid w:val="00BA24B3"/>
    <w:rsid w:val="00BA2DBE"/>
    <w:rsid w:val="00BA2E57"/>
    <w:rsid w:val="00BA322B"/>
    <w:rsid w:val="00BA42F7"/>
    <w:rsid w:val="00BA4FE4"/>
    <w:rsid w:val="00BA5DBE"/>
    <w:rsid w:val="00BA61B9"/>
    <w:rsid w:val="00BA61C2"/>
    <w:rsid w:val="00BA637B"/>
    <w:rsid w:val="00BA6AB4"/>
    <w:rsid w:val="00BA6AD4"/>
    <w:rsid w:val="00BA7734"/>
    <w:rsid w:val="00BB003F"/>
    <w:rsid w:val="00BB13CC"/>
    <w:rsid w:val="00BB17EC"/>
    <w:rsid w:val="00BB18F1"/>
    <w:rsid w:val="00BB1BFC"/>
    <w:rsid w:val="00BB1D5A"/>
    <w:rsid w:val="00BB1E1B"/>
    <w:rsid w:val="00BB1FCA"/>
    <w:rsid w:val="00BB2488"/>
    <w:rsid w:val="00BB25AB"/>
    <w:rsid w:val="00BB25BB"/>
    <w:rsid w:val="00BB29C5"/>
    <w:rsid w:val="00BB2A76"/>
    <w:rsid w:val="00BB2B44"/>
    <w:rsid w:val="00BB3069"/>
    <w:rsid w:val="00BB335B"/>
    <w:rsid w:val="00BB386A"/>
    <w:rsid w:val="00BB48D9"/>
    <w:rsid w:val="00BB4CEE"/>
    <w:rsid w:val="00BB52B2"/>
    <w:rsid w:val="00BB5C01"/>
    <w:rsid w:val="00BB5D5C"/>
    <w:rsid w:val="00BB5DAE"/>
    <w:rsid w:val="00BB5E2B"/>
    <w:rsid w:val="00BB5F54"/>
    <w:rsid w:val="00BB63AE"/>
    <w:rsid w:val="00BB6A35"/>
    <w:rsid w:val="00BB73F5"/>
    <w:rsid w:val="00BB77F2"/>
    <w:rsid w:val="00BB7BAA"/>
    <w:rsid w:val="00BB7C65"/>
    <w:rsid w:val="00BB7D02"/>
    <w:rsid w:val="00BB7E5B"/>
    <w:rsid w:val="00BC0470"/>
    <w:rsid w:val="00BC077B"/>
    <w:rsid w:val="00BC0898"/>
    <w:rsid w:val="00BC0B29"/>
    <w:rsid w:val="00BC0E92"/>
    <w:rsid w:val="00BC1192"/>
    <w:rsid w:val="00BC184B"/>
    <w:rsid w:val="00BC1A39"/>
    <w:rsid w:val="00BC1ADD"/>
    <w:rsid w:val="00BC1C33"/>
    <w:rsid w:val="00BC2B6B"/>
    <w:rsid w:val="00BC2FA0"/>
    <w:rsid w:val="00BC3C7D"/>
    <w:rsid w:val="00BC3CD1"/>
    <w:rsid w:val="00BC3D78"/>
    <w:rsid w:val="00BC4532"/>
    <w:rsid w:val="00BC53DF"/>
    <w:rsid w:val="00BC5810"/>
    <w:rsid w:val="00BC58FA"/>
    <w:rsid w:val="00BC595A"/>
    <w:rsid w:val="00BC5C68"/>
    <w:rsid w:val="00BC6FA0"/>
    <w:rsid w:val="00BC7FD1"/>
    <w:rsid w:val="00BD0191"/>
    <w:rsid w:val="00BD03A4"/>
    <w:rsid w:val="00BD04BB"/>
    <w:rsid w:val="00BD0AB8"/>
    <w:rsid w:val="00BD0AD3"/>
    <w:rsid w:val="00BD0B25"/>
    <w:rsid w:val="00BD0C68"/>
    <w:rsid w:val="00BD0CC7"/>
    <w:rsid w:val="00BD12A8"/>
    <w:rsid w:val="00BD12CC"/>
    <w:rsid w:val="00BD1461"/>
    <w:rsid w:val="00BD1B29"/>
    <w:rsid w:val="00BD232B"/>
    <w:rsid w:val="00BD2394"/>
    <w:rsid w:val="00BD26B1"/>
    <w:rsid w:val="00BD2A05"/>
    <w:rsid w:val="00BD2C14"/>
    <w:rsid w:val="00BD2D15"/>
    <w:rsid w:val="00BD2EDB"/>
    <w:rsid w:val="00BD30AB"/>
    <w:rsid w:val="00BD394F"/>
    <w:rsid w:val="00BD3F71"/>
    <w:rsid w:val="00BD4DFC"/>
    <w:rsid w:val="00BD58C5"/>
    <w:rsid w:val="00BD5EE0"/>
    <w:rsid w:val="00BD5F16"/>
    <w:rsid w:val="00BD61A1"/>
    <w:rsid w:val="00BD623E"/>
    <w:rsid w:val="00BD6254"/>
    <w:rsid w:val="00BD658B"/>
    <w:rsid w:val="00BD65A6"/>
    <w:rsid w:val="00BD69C9"/>
    <w:rsid w:val="00BD759F"/>
    <w:rsid w:val="00BD7EFC"/>
    <w:rsid w:val="00BE0164"/>
    <w:rsid w:val="00BE086B"/>
    <w:rsid w:val="00BE1069"/>
    <w:rsid w:val="00BE10FE"/>
    <w:rsid w:val="00BE1426"/>
    <w:rsid w:val="00BE1952"/>
    <w:rsid w:val="00BE2600"/>
    <w:rsid w:val="00BE3321"/>
    <w:rsid w:val="00BE4025"/>
    <w:rsid w:val="00BE440E"/>
    <w:rsid w:val="00BE4796"/>
    <w:rsid w:val="00BE4A3F"/>
    <w:rsid w:val="00BE524C"/>
    <w:rsid w:val="00BE5639"/>
    <w:rsid w:val="00BE58D8"/>
    <w:rsid w:val="00BE5944"/>
    <w:rsid w:val="00BE59D3"/>
    <w:rsid w:val="00BE639E"/>
    <w:rsid w:val="00BE6B44"/>
    <w:rsid w:val="00BE7203"/>
    <w:rsid w:val="00BE7296"/>
    <w:rsid w:val="00BE791C"/>
    <w:rsid w:val="00BE79A1"/>
    <w:rsid w:val="00BE7A83"/>
    <w:rsid w:val="00BF03C3"/>
    <w:rsid w:val="00BF0991"/>
    <w:rsid w:val="00BF0D28"/>
    <w:rsid w:val="00BF1B8F"/>
    <w:rsid w:val="00BF1BA0"/>
    <w:rsid w:val="00BF1C91"/>
    <w:rsid w:val="00BF20A6"/>
    <w:rsid w:val="00BF24E1"/>
    <w:rsid w:val="00BF25A3"/>
    <w:rsid w:val="00BF2817"/>
    <w:rsid w:val="00BF3501"/>
    <w:rsid w:val="00BF38BD"/>
    <w:rsid w:val="00BF3969"/>
    <w:rsid w:val="00BF3A60"/>
    <w:rsid w:val="00BF429B"/>
    <w:rsid w:val="00BF4491"/>
    <w:rsid w:val="00BF480F"/>
    <w:rsid w:val="00BF48FE"/>
    <w:rsid w:val="00BF4AD0"/>
    <w:rsid w:val="00BF4C53"/>
    <w:rsid w:val="00BF4F1B"/>
    <w:rsid w:val="00BF4F90"/>
    <w:rsid w:val="00BF52E4"/>
    <w:rsid w:val="00BF5FA1"/>
    <w:rsid w:val="00BF604D"/>
    <w:rsid w:val="00BF620A"/>
    <w:rsid w:val="00BF69F4"/>
    <w:rsid w:val="00BF6C14"/>
    <w:rsid w:val="00BF70BC"/>
    <w:rsid w:val="00BF7996"/>
    <w:rsid w:val="00C00278"/>
    <w:rsid w:val="00C005FC"/>
    <w:rsid w:val="00C007D9"/>
    <w:rsid w:val="00C00AB7"/>
    <w:rsid w:val="00C01418"/>
    <w:rsid w:val="00C017C8"/>
    <w:rsid w:val="00C03064"/>
    <w:rsid w:val="00C030C2"/>
    <w:rsid w:val="00C033F9"/>
    <w:rsid w:val="00C0376E"/>
    <w:rsid w:val="00C03849"/>
    <w:rsid w:val="00C04BC5"/>
    <w:rsid w:val="00C04C9B"/>
    <w:rsid w:val="00C05611"/>
    <w:rsid w:val="00C06DE8"/>
    <w:rsid w:val="00C10161"/>
    <w:rsid w:val="00C10CF8"/>
    <w:rsid w:val="00C111D0"/>
    <w:rsid w:val="00C11698"/>
    <w:rsid w:val="00C117C4"/>
    <w:rsid w:val="00C11AE5"/>
    <w:rsid w:val="00C11F2F"/>
    <w:rsid w:val="00C1228F"/>
    <w:rsid w:val="00C122B1"/>
    <w:rsid w:val="00C1230D"/>
    <w:rsid w:val="00C12476"/>
    <w:rsid w:val="00C12EFF"/>
    <w:rsid w:val="00C1350E"/>
    <w:rsid w:val="00C13A7B"/>
    <w:rsid w:val="00C13FC7"/>
    <w:rsid w:val="00C1492D"/>
    <w:rsid w:val="00C14C9D"/>
    <w:rsid w:val="00C14D67"/>
    <w:rsid w:val="00C14D83"/>
    <w:rsid w:val="00C158A4"/>
    <w:rsid w:val="00C15909"/>
    <w:rsid w:val="00C15B4D"/>
    <w:rsid w:val="00C15B7E"/>
    <w:rsid w:val="00C160CC"/>
    <w:rsid w:val="00C1612E"/>
    <w:rsid w:val="00C16FD9"/>
    <w:rsid w:val="00C170E6"/>
    <w:rsid w:val="00C17116"/>
    <w:rsid w:val="00C17FA1"/>
    <w:rsid w:val="00C20A68"/>
    <w:rsid w:val="00C20C5A"/>
    <w:rsid w:val="00C20ECC"/>
    <w:rsid w:val="00C21616"/>
    <w:rsid w:val="00C21DF9"/>
    <w:rsid w:val="00C22361"/>
    <w:rsid w:val="00C2266A"/>
    <w:rsid w:val="00C22707"/>
    <w:rsid w:val="00C23542"/>
    <w:rsid w:val="00C2355B"/>
    <w:rsid w:val="00C23714"/>
    <w:rsid w:val="00C238DD"/>
    <w:rsid w:val="00C23915"/>
    <w:rsid w:val="00C23B82"/>
    <w:rsid w:val="00C240F9"/>
    <w:rsid w:val="00C243FB"/>
    <w:rsid w:val="00C24813"/>
    <w:rsid w:val="00C24A61"/>
    <w:rsid w:val="00C24BDA"/>
    <w:rsid w:val="00C24E29"/>
    <w:rsid w:val="00C25182"/>
    <w:rsid w:val="00C25303"/>
    <w:rsid w:val="00C255A9"/>
    <w:rsid w:val="00C2592C"/>
    <w:rsid w:val="00C26377"/>
    <w:rsid w:val="00C27308"/>
    <w:rsid w:val="00C27905"/>
    <w:rsid w:val="00C279D8"/>
    <w:rsid w:val="00C27E18"/>
    <w:rsid w:val="00C30598"/>
    <w:rsid w:val="00C3062B"/>
    <w:rsid w:val="00C3078B"/>
    <w:rsid w:val="00C31124"/>
    <w:rsid w:val="00C314A3"/>
    <w:rsid w:val="00C319C3"/>
    <w:rsid w:val="00C32758"/>
    <w:rsid w:val="00C32FC6"/>
    <w:rsid w:val="00C33344"/>
    <w:rsid w:val="00C33485"/>
    <w:rsid w:val="00C334AD"/>
    <w:rsid w:val="00C334F3"/>
    <w:rsid w:val="00C335A0"/>
    <w:rsid w:val="00C341FF"/>
    <w:rsid w:val="00C342DE"/>
    <w:rsid w:val="00C3477D"/>
    <w:rsid w:val="00C34ABA"/>
    <w:rsid w:val="00C35442"/>
    <w:rsid w:val="00C35EB8"/>
    <w:rsid w:val="00C35FF0"/>
    <w:rsid w:val="00C361EF"/>
    <w:rsid w:val="00C364A2"/>
    <w:rsid w:val="00C3658B"/>
    <w:rsid w:val="00C36C59"/>
    <w:rsid w:val="00C376FA"/>
    <w:rsid w:val="00C37812"/>
    <w:rsid w:val="00C37B52"/>
    <w:rsid w:val="00C404C7"/>
    <w:rsid w:val="00C40814"/>
    <w:rsid w:val="00C409EC"/>
    <w:rsid w:val="00C40BDA"/>
    <w:rsid w:val="00C40FDF"/>
    <w:rsid w:val="00C41138"/>
    <w:rsid w:val="00C41D04"/>
    <w:rsid w:val="00C41FF3"/>
    <w:rsid w:val="00C4241E"/>
    <w:rsid w:val="00C427D3"/>
    <w:rsid w:val="00C42A08"/>
    <w:rsid w:val="00C42B09"/>
    <w:rsid w:val="00C430FC"/>
    <w:rsid w:val="00C4319F"/>
    <w:rsid w:val="00C43604"/>
    <w:rsid w:val="00C4366C"/>
    <w:rsid w:val="00C43E58"/>
    <w:rsid w:val="00C44379"/>
    <w:rsid w:val="00C445F3"/>
    <w:rsid w:val="00C44E3E"/>
    <w:rsid w:val="00C450A2"/>
    <w:rsid w:val="00C453F3"/>
    <w:rsid w:val="00C46089"/>
    <w:rsid w:val="00C46207"/>
    <w:rsid w:val="00C462C1"/>
    <w:rsid w:val="00C464D9"/>
    <w:rsid w:val="00C4661D"/>
    <w:rsid w:val="00C46626"/>
    <w:rsid w:val="00C468F3"/>
    <w:rsid w:val="00C46EB9"/>
    <w:rsid w:val="00C47130"/>
    <w:rsid w:val="00C47555"/>
    <w:rsid w:val="00C4788B"/>
    <w:rsid w:val="00C47E09"/>
    <w:rsid w:val="00C500C2"/>
    <w:rsid w:val="00C508A8"/>
    <w:rsid w:val="00C50973"/>
    <w:rsid w:val="00C50A3A"/>
    <w:rsid w:val="00C51F76"/>
    <w:rsid w:val="00C524AA"/>
    <w:rsid w:val="00C52A5A"/>
    <w:rsid w:val="00C53362"/>
    <w:rsid w:val="00C53AE9"/>
    <w:rsid w:val="00C53C5B"/>
    <w:rsid w:val="00C53DD3"/>
    <w:rsid w:val="00C54566"/>
    <w:rsid w:val="00C5468A"/>
    <w:rsid w:val="00C551AF"/>
    <w:rsid w:val="00C55C69"/>
    <w:rsid w:val="00C55D48"/>
    <w:rsid w:val="00C563F1"/>
    <w:rsid w:val="00C56595"/>
    <w:rsid w:val="00C56BB8"/>
    <w:rsid w:val="00C56DE8"/>
    <w:rsid w:val="00C571B2"/>
    <w:rsid w:val="00C5728D"/>
    <w:rsid w:val="00C57640"/>
    <w:rsid w:val="00C57779"/>
    <w:rsid w:val="00C57BE1"/>
    <w:rsid w:val="00C602DF"/>
    <w:rsid w:val="00C61135"/>
    <w:rsid w:val="00C612B6"/>
    <w:rsid w:val="00C6167A"/>
    <w:rsid w:val="00C61E9C"/>
    <w:rsid w:val="00C62A0E"/>
    <w:rsid w:val="00C62C96"/>
    <w:rsid w:val="00C6358C"/>
    <w:rsid w:val="00C638A5"/>
    <w:rsid w:val="00C639B7"/>
    <w:rsid w:val="00C641CF"/>
    <w:rsid w:val="00C64294"/>
    <w:rsid w:val="00C64752"/>
    <w:rsid w:val="00C64958"/>
    <w:rsid w:val="00C64AD3"/>
    <w:rsid w:val="00C653E9"/>
    <w:rsid w:val="00C65FA0"/>
    <w:rsid w:val="00C662E3"/>
    <w:rsid w:val="00C6645C"/>
    <w:rsid w:val="00C666D5"/>
    <w:rsid w:val="00C66A05"/>
    <w:rsid w:val="00C66ACE"/>
    <w:rsid w:val="00C66C39"/>
    <w:rsid w:val="00C66D52"/>
    <w:rsid w:val="00C66E6F"/>
    <w:rsid w:val="00C6736C"/>
    <w:rsid w:val="00C67AD4"/>
    <w:rsid w:val="00C67AEB"/>
    <w:rsid w:val="00C67F37"/>
    <w:rsid w:val="00C71631"/>
    <w:rsid w:val="00C71EE0"/>
    <w:rsid w:val="00C72D20"/>
    <w:rsid w:val="00C73690"/>
    <w:rsid w:val="00C737DC"/>
    <w:rsid w:val="00C74AD7"/>
    <w:rsid w:val="00C74C7F"/>
    <w:rsid w:val="00C75A61"/>
    <w:rsid w:val="00C75A98"/>
    <w:rsid w:val="00C76085"/>
    <w:rsid w:val="00C76CFB"/>
    <w:rsid w:val="00C76E42"/>
    <w:rsid w:val="00C77979"/>
    <w:rsid w:val="00C77C46"/>
    <w:rsid w:val="00C77C78"/>
    <w:rsid w:val="00C77DB8"/>
    <w:rsid w:val="00C77E8C"/>
    <w:rsid w:val="00C8005C"/>
    <w:rsid w:val="00C801C8"/>
    <w:rsid w:val="00C80AAB"/>
    <w:rsid w:val="00C80FAB"/>
    <w:rsid w:val="00C818F2"/>
    <w:rsid w:val="00C818F7"/>
    <w:rsid w:val="00C81A20"/>
    <w:rsid w:val="00C81ECB"/>
    <w:rsid w:val="00C82044"/>
    <w:rsid w:val="00C822DB"/>
    <w:rsid w:val="00C8264B"/>
    <w:rsid w:val="00C8290A"/>
    <w:rsid w:val="00C83964"/>
    <w:rsid w:val="00C8463A"/>
    <w:rsid w:val="00C84D1B"/>
    <w:rsid w:val="00C84DF6"/>
    <w:rsid w:val="00C850CF"/>
    <w:rsid w:val="00C856A0"/>
    <w:rsid w:val="00C85E75"/>
    <w:rsid w:val="00C8624E"/>
    <w:rsid w:val="00C8648A"/>
    <w:rsid w:val="00C8666A"/>
    <w:rsid w:val="00C86829"/>
    <w:rsid w:val="00C86882"/>
    <w:rsid w:val="00C87111"/>
    <w:rsid w:val="00C87566"/>
    <w:rsid w:val="00C877DC"/>
    <w:rsid w:val="00C87BDA"/>
    <w:rsid w:val="00C90296"/>
    <w:rsid w:val="00C90DD4"/>
    <w:rsid w:val="00C91462"/>
    <w:rsid w:val="00C91811"/>
    <w:rsid w:val="00C91C89"/>
    <w:rsid w:val="00C91C96"/>
    <w:rsid w:val="00C920BA"/>
    <w:rsid w:val="00C92524"/>
    <w:rsid w:val="00C929EA"/>
    <w:rsid w:val="00C92CE5"/>
    <w:rsid w:val="00C92F9F"/>
    <w:rsid w:val="00C92FD3"/>
    <w:rsid w:val="00C9309B"/>
    <w:rsid w:val="00C93800"/>
    <w:rsid w:val="00C93A21"/>
    <w:rsid w:val="00C94B25"/>
    <w:rsid w:val="00C9548D"/>
    <w:rsid w:val="00C95823"/>
    <w:rsid w:val="00C95A2C"/>
    <w:rsid w:val="00C960EA"/>
    <w:rsid w:val="00C96630"/>
    <w:rsid w:val="00C96633"/>
    <w:rsid w:val="00C96E67"/>
    <w:rsid w:val="00C96F47"/>
    <w:rsid w:val="00C97438"/>
    <w:rsid w:val="00C977EE"/>
    <w:rsid w:val="00CA0052"/>
    <w:rsid w:val="00CA00F9"/>
    <w:rsid w:val="00CA059C"/>
    <w:rsid w:val="00CA067E"/>
    <w:rsid w:val="00CA06F0"/>
    <w:rsid w:val="00CA0D13"/>
    <w:rsid w:val="00CA0F99"/>
    <w:rsid w:val="00CA126D"/>
    <w:rsid w:val="00CA1456"/>
    <w:rsid w:val="00CA195B"/>
    <w:rsid w:val="00CA1ABC"/>
    <w:rsid w:val="00CA1E5C"/>
    <w:rsid w:val="00CA20F0"/>
    <w:rsid w:val="00CA2610"/>
    <w:rsid w:val="00CA2B50"/>
    <w:rsid w:val="00CA3925"/>
    <w:rsid w:val="00CA3ADA"/>
    <w:rsid w:val="00CA3B8D"/>
    <w:rsid w:val="00CA3E9A"/>
    <w:rsid w:val="00CA40AC"/>
    <w:rsid w:val="00CA4A62"/>
    <w:rsid w:val="00CA4D13"/>
    <w:rsid w:val="00CA530C"/>
    <w:rsid w:val="00CA539A"/>
    <w:rsid w:val="00CA54DE"/>
    <w:rsid w:val="00CA55A0"/>
    <w:rsid w:val="00CA5D60"/>
    <w:rsid w:val="00CA60FB"/>
    <w:rsid w:val="00CA614B"/>
    <w:rsid w:val="00CA6555"/>
    <w:rsid w:val="00CA68F5"/>
    <w:rsid w:val="00CA694C"/>
    <w:rsid w:val="00CA6CBF"/>
    <w:rsid w:val="00CA7144"/>
    <w:rsid w:val="00CA78A4"/>
    <w:rsid w:val="00CA7D45"/>
    <w:rsid w:val="00CB0076"/>
    <w:rsid w:val="00CB08A1"/>
    <w:rsid w:val="00CB0DB5"/>
    <w:rsid w:val="00CB1724"/>
    <w:rsid w:val="00CB1F1C"/>
    <w:rsid w:val="00CB2426"/>
    <w:rsid w:val="00CB244B"/>
    <w:rsid w:val="00CB2AF8"/>
    <w:rsid w:val="00CB30F9"/>
    <w:rsid w:val="00CB3624"/>
    <w:rsid w:val="00CB37C8"/>
    <w:rsid w:val="00CB403D"/>
    <w:rsid w:val="00CB43E3"/>
    <w:rsid w:val="00CB4423"/>
    <w:rsid w:val="00CB46DC"/>
    <w:rsid w:val="00CB4F08"/>
    <w:rsid w:val="00CB5061"/>
    <w:rsid w:val="00CB5154"/>
    <w:rsid w:val="00CB5319"/>
    <w:rsid w:val="00CB532A"/>
    <w:rsid w:val="00CB549D"/>
    <w:rsid w:val="00CB551F"/>
    <w:rsid w:val="00CB5F62"/>
    <w:rsid w:val="00CB62C3"/>
    <w:rsid w:val="00CB6831"/>
    <w:rsid w:val="00CB6C21"/>
    <w:rsid w:val="00CB6D74"/>
    <w:rsid w:val="00CB7029"/>
    <w:rsid w:val="00CB7BCF"/>
    <w:rsid w:val="00CC0031"/>
    <w:rsid w:val="00CC0153"/>
    <w:rsid w:val="00CC05F4"/>
    <w:rsid w:val="00CC07C2"/>
    <w:rsid w:val="00CC1D29"/>
    <w:rsid w:val="00CC1D50"/>
    <w:rsid w:val="00CC21E6"/>
    <w:rsid w:val="00CC25F0"/>
    <w:rsid w:val="00CC2F03"/>
    <w:rsid w:val="00CC31A6"/>
    <w:rsid w:val="00CC3475"/>
    <w:rsid w:val="00CC3EC8"/>
    <w:rsid w:val="00CC47F1"/>
    <w:rsid w:val="00CC4CC2"/>
    <w:rsid w:val="00CC4DDB"/>
    <w:rsid w:val="00CC50BE"/>
    <w:rsid w:val="00CC5855"/>
    <w:rsid w:val="00CC7E9C"/>
    <w:rsid w:val="00CD0095"/>
    <w:rsid w:val="00CD00E8"/>
    <w:rsid w:val="00CD01C8"/>
    <w:rsid w:val="00CD0518"/>
    <w:rsid w:val="00CD0528"/>
    <w:rsid w:val="00CD0794"/>
    <w:rsid w:val="00CD099F"/>
    <w:rsid w:val="00CD12AE"/>
    <w:rsid w:val="00CD1309"/>
    <w:rsid w:val="00CD1472"/>
    <w:rsid w:val="00CD14E0"/>
    <w:rsid w:val="00CD176C"/>
    <w:rsid w:val="00CD1A43"/>
    <w:rsid w:val="00CD24BA"/>
    <w:rsid w:val="00CD2C28"/>
    <w:rsid w:val="00CD2CA0"/>
    <w:rsid w:val="00CD3031"/>
    <w:rsid w:val="00CD327A"/>
    <w:rsid w:val="00CD3BB0"/>
    <w:rsid w:val="00CD3BE6"/>
    <w:rsid w:val="00CD4C8C"/>
    <w:rsid w:val="00CD56E5"/>
    <w:rsid w:val="00CD57C1"/>
    <w:rsid w:val="00CD57EC"/>
    <w:rsid w:val="00CD5B43"/>
    <w:rsid w:val="00CD5BB4"/>
    <w:rsid w:val="00CD676A"/>
    <w:rsid w:val="00CD6D90"/>
    <w:rsid w:val="00CD72AD"/>
    <w:rsid w:val="00CD72BD"/>
    <w:rsid w:val="00CD72C3"/>
    <w:rsid w:val="00CD777E"/>
    <w:rsid w:val="00CE06A3"/>
    <w:rsid w:val="00CE083B"/>
    <w:rsid w:val="00CE0C3B"/>
    <w:rsid w:val="00CE0F37"/>
    <w:rsid w:val="00CE0F4A"/>
    <w:rsid w:val="00CE1021"/>
    <w:rsid w:val="00CE13F6"/>
    <w:rsid w:val="00CE1922"/>
    <w:rsid w:val="00CE1E12"/>
    <w:rsid w:val="00CE206C"/>
    <w:rsid w:val="00CE2194"/>
    <w:rsid w:val="00CE24F1"/>
    <w:rsid w:val="00CE27F7"/>
    <w:rsid w:val="00CE3555"/>
    <w:rsid w:val="00CE365E"/>
    <w:rsid w:val="00CE374A"/>
    <w:rsid w:val="00CE38B6"/>
    <w:rsid w:val="00CE3A33"/>
    <w:rsid w:val="00CE3E06"/>
    <w:rsid w:val="00CE3E5F"/>
    <w:rsid w:val="00CE4269"/>
    <w:rsid w:val="00CE5923"/>
    <w:rsid w:val="00CE5D38"/>
    <w:rsid w:val="00CE5DA2"/>
    <w:rsid w:val="00CE5DAD"/>
    <w:rsid w:val="00CE6024"/>
    <w:rsid w:val="00CE645B"/>
    <w:rsid w:val="00CE7370"/>
    <w:rsid w:val="00CE75C1"/>
    <w:rsid w:val="00CF0526"/>
    <w:rsid w:val="00CF0644"/>
    <w:rsid w:val="00CF0B4B"/>
    <w:rsid w:val="00CF0DBE"/>
    <w:rsid w:val="00CF186B"/>
    <w:rsid w:val="00CF18C9"/>
    <w:rsid w:val="00CF1B3A"/>
    <w:rsid w:val="00CF28DA"/>
    <w:rsid w:val="00CF29F2"/>
    <w:rsid w:val="00CF3795"/>
    <w:rsid w:val="00CF38E8"/>
    <w:rsid w:val="00CF3948"/>
    <w:rsid w:val="00CF3B38"/>
    <w:rsid w:val="00CF3E85"/>
    <w:rsid w:val="00CF4AA4"/>
    <w:rsid w:val="00CF4BA1"/>
    <w:rsid w:val="00CF4C47"/>
    <w:rsid w:val="00CF4DC0"/>
    <w:rsid w:val="00CF4EB9"/>
    <w:rsid w:val="00CF5418"/>
    <w:rsid w:val="00CF57BC"/>
    <w:rsid w:val="00CF5B4E"/>
    <w:rsid w:val="00CF5E7E"/>
    <w:rsid w:val="00CF5FC4"/>
    <w:rsid w:val="00CF7069"/>
    <w:rsid w:val="00CF731B"/>
    <w:rsid w:val="00CF73E0"/>
    <w:rsid w:val="00CF74B6"/>
    <w:rsid w:val="00CF76BD"/>
    <w:rsid w:val="00CF7CF1"/>
    <w:rsid w:val="00CF7DEE"/>
    <w:rsid w:val="00CF7EB0"/>
    <w:rsid w:val="00D00804"/>
    <w:rsid w:val="00D009D0"/>
    <w:rsid w:val="00D00F29"/>
    <w:rsid w:val="00D0125A"/>
    <w:rsid w:val="00D01283"/>
    <w:rsid w:val="00D01511"/>
    <w:rsid w:val="00D01721"/>
    <w:rsid w:val="00D01A8D"/>
    <w:rsid w:val="00D01F30"/>
    <w:rsid w:val="00D02D28"/>
    <w:rsid w:val="00D031D3"/>
    <w:rsid w:val="00D03617"/>
    <w:rsid w:val="00D038D1"/>
    <w:rsid w:val="00D048BF"/>
    <w:rsid w:val="00D04DA7"/>
    <w:rsid w:val="00D04E63"/>
    <w:rsid w:val="00D0502B"/>
    <w:rsid w:val="00D05533"/>
    <w:rsid w:val="00D057B5"/>
    <w:rsid w:val="00D0588D"/>
    <w:rsid w:val="00D05926"/>
    <w:rsid w:val="00D05A0D"/>
    <w:rsid w:val="00D05B0F"/>
    <w:rsid w:val="00D068E7"/>
    <w:rsid w:val="00D06D5B"/>
    <w:rsid w:val="00D06E5E"/>
    <w:rsid w:val="00D07089"/>
    <w:rsid w:val="00D07375"/>
    <w:rsid w:val="00D07460"/>
    <w:rsid w:val="00D07D43"/>
    <w:rsid w:val="00D10974"/>
    <w:rsid w:val="00D10C98"/>
    <w:rsid w:val="00D10FB5"/>
    <w:rsid w:val="00D11FF7"/>
    <w:rsid w:val="00D126A4"/>
    <w:rsid w:val="00D12B88"/>
    <w:rsid w:val="00D1300C"/>
    <w:rsid w:val="00D1333C"/>
    <w:rsid w:val="00D135ED"/>
    <w:rsid w:val="00D13641"/>
    <w:rsid w:val="00D1389D"/>
    <w:rsid w:val="00D14488"/>
    <w:rsid w:val="00D1450C"/>
    <w:rsid w:val="00D1483B"/>
    <w:rsid w:val="00D14EBB"/>
    <w:rsid w:val="00D15265"/>
    <w:rsid w:val="00D15403"/>
    <w:rsid w:val="00D155E1"/>
    <w:rsid w:val="00D156A5"/>
    <w:rsid w:val="00D15D06"/>
    <w:rsid w:val="00D15D8A"/>
    <w:rsid w:val="00D15E74"/>
    <w:rsid w:val="00D1620E"/>
    <w:rsid w:val="00D1679A"/>
    <w:rsid w:val="00D168F0"/>
    <w:rsid w:val="00D16A76"/>
    <w:rsid w:val="00D16A85"/>
    <w:rsid w:val="00D1763F"/>
    <w:rsid w:val="00D17A46"/>
    <w:rsid w:val="00D17DFF"/>
    <w:rsid w:val="00D20683"/>
    <w:rsid w:val="00D21061"/>
    <w:rsid w:val="00D21449"/>
    <w:rsid w:val="00D21817"/>
    <w:rsid w:val="00D22A16"/>
    <w:rsid w:val="00D22B5A"/>
    <w:rsid w:val="00D22E40"/>
    <w:rsid w:val="00D237D1"/>
    <w:rsid w:val="00D23DCE"/>
    <w:rsid w:val="00D24096"/>
    <w:rsid w:val="00D240A3"/>
    <w:rsid w:val="00D243EF"/>
    <w:rsid w:val="00D24FEE"/>
    <w:rsid w:val="00D25D03"/>
    <w:rsid w:val="00D25E94"/>
    <w:rsid w:val="00D266C5"/>
    <w:rsid w:val="00D26F9E"/>
    <w:rsid w:val="00D27302"/>
    <w:rsid w:val="00D27545"/>
    <w:rsid w:val="00D27ABD"/>
    <w:rsid w:val="00D27C0A"/>
    <w:rsid w:val="00D27EC2"/>
    <w:rsid w:val="00D27F7C"/>
    <w:rsid w:val="00D300A8"/>
    <w:rsid w:val="00D305C8"/>
    <w:rsid w:val="00D30E64"/>
    <w:rsid w:val="00D30FD4"/>
    <w:rsid w:val="00D3134C"/>
    <w:rsid w:val="00D31DB9"/>
    <w:rsid w:val="00D32455"/>
    <w:rsid w:val="00D32510"/>
    <w:rsid w:val="00D32869"/>
    <w:rsid w:val="00D32F8A"/>
    <w:rsid w:val="00D3323D"/>
    <w:rsid w:val="00D33F7C"/>
    <w:rsid w:val="00D34006"/>
    <w:rsid w:val="00D34223"/>
    <w:rsid w:val="00D343D1"/>
    <w:rsid w:val="00D34554"/>
    <w:rsid w:val="00D3458B"/>
    <w:rsid w:val="00D34DC2"/>
    <w:rsid w:val="00D3568C"/>
    <w:rsid w:val="00D35807"/>
    <w:rsid w:val="00D35C75"/>
    <w:rsid w:val="00D36521"/>
    <w:rsid w:val="00D36734"/>
    <w:rsid w:val="00D36959"/>
    <w:rsid w:val="00D3696D"/>
    <w:rsid w:val="00D36C25"/>
    <w:rsid w:val="00D36D72"/>
    <w:rsid w:val="00D36E1E"/>
    <w:rsid w:val="00D3703D"/>
    <w:rsid w:val="00D37320"/>
    <w:rsid w:val="00D37376"/>
    <w:rsid w:val="00D3750A"/>
    <w:rsid w:val="00D37737"/>
    <w:rsid w:val="00D37E48"/>
    <w:rsid w:val="00D402BF"/>
    <w:rsid w:val="00D40469"/>
    <w:rsid w:val="00D418AF"/>
    <w:rsid w:val="00D41F58"/>
    <w:rsid w:val="00D41FF0"/>
    <w:rsid w:val="00D42205"/>
    <w:rsid w:val="00D426A3"/>
    <w:rsid w:val="00D429A1"/>
    <w:rsid w:val="00D42D68"/>
    <w:rsid w:val="00D44390"/>
    <w:rsid w:val="00D4447E"/>
    <w:rsid w:val="00D44B94"/>
    <w:rsid w:val="00D45281"/>
    <w:rsid w:val="00D4584C"/>
    <w:rsid w:val="00D46314"/>
    <w:rsid w:val="00D46A71"/>
    <w:rsid w:val="00D46B0D"/>
    <w:rsid w:val="00D46B35"/>
    <w:rsid w:val="00D46D9A"/>
    <w:rsid w:val="00D4701D"/>
    <w:rsid w:val="00D477B2"/>
    <w:rsid w:val="00D47DB4"/>
    <w:rsid w:val="00D501CD"/>
    <w:rsid w:val="00D51322"/>
    <w:rsid w:val="00D51483"/>
    <w:rsid w:val="00D51BC6"/>
    <w:rsid w:val="00D51CC8"/>
    <w:rsid w:val="00D51F74"/>
    <w:rsid w:val="00D51FCF"/>
    <w:rsid w:val="00D5264E"/>
    <w:rsid w:val="00D5286F"/>
    <w:rsid w:val="00D52A72"/>
    <w:rsid w:val="00D52E05"/>
    <w:rsid w:val="00D533FE"/>
    <w:rsid w:val="00D534D1"/>
    <w:rsid w:val="00D534E2"/>
    <w:rsid w:val="00D535A2"/>
    <w:rsid w:val="00D53940"/>
    <w:rsid w:val="00D546AA"/>
    <w:rsid w:val="00D5472C"/>
    <w:rsid w:val="00D5572D"/>
    <w:rsid w:val="00D55A6D"/>
    <w:rsid w:val="00D55AE1"/>
    <w:rsid w:val="00D55BC4"/>
    <w:rsid w:val="00D567C8"/>
    <w:rsid w:val="00D56D87"/>
    <w:rsid w:val="00D5749E"/>
    <w:rsid w:val="00D577EE"/>
    <w:rsid w:val="00D579AF"/>
    <w:rsid w:val="00D57F55"/>
    <w:rsid w:val="00D60033"/>
    <w:rsid w:val="00D603C1"/>
    <w:rsid w:val="00D6077F"/>
    <w:rsid w:val="00D60B41"/>
    <w:rsid w:val="00D60C0E"/>
    <w:rsid w:val="00D616E5"/>
    <w:rsid w:val="00D61E1F"/>
    <w:rsid w:val="00D620A1"/>
    <w:rsid w:val="00D625A0"/>
    <w:rsid w:val="00D628EA"/>
    <w:rsid w:val="00D635AC"/>
    <w:rsid w:val="00D63A1E"/>
    <w:rsid w:val="00D64288"/>
    <w:rsid w:val="00D6515B"/>
    <w:rsid w:val="00D6553D"/>
    <w:rsid w:val="00D6580C"/>
    <w:rsid w:val="00D65A65"/>
    <w:rsid w:val="00D67312"/>
    <w:rsid w:val="00D67B4A"/>
    <w:rsid w:val="00D67DB8"/>
    <w:rsid w:val="00D70146"/>
    <w:rsid w:val="00D70A88"/>
    <w:rsid w:val="00D70E74"/>
    <w:rsid w:val="00D70E7E"/>
    <w:rsid w:val="00D70ECD"/>
    <w:rsid w:val="00D71693"/>
    <w:rsid w:val="00D71877"/>
    <w:rsid w:val="00D72A3E"/>
    <w:rsid w:val="00D73950"/>
    <w:rsid w:val="00D73BE3"/>
    <w:rsid w:val="00D73FDB"/>
    <w:rsid w:val="00D74049"/>
    <w:rsid w:val="00D74441"/>
    <w:rsid w:val="00D745B2"/>
    <w:rsid w:val="00D74818"/>
    <w:rsid w:val="00D74AD0"/>
    <w:rsid w:val="00D74DBB"/>
    <w:rsid w:val="00D75252"/>
    <w:rsid w:val="00D753BA"/>
    <w:rsid w:val="00D755F4"/>
    <w:rsid w:val="00D75600"/>
    <w:rsid w:val="00D75694"/>
    <w:rsid w:val="00D75A3E"/>
    <w:rsid w:val="00D75B05"/>
    <w:rsid w:val="00D75E76"/>
    <w:rsid w:val="00D76019"/>
    <w:rsid w:val="00D76E41"/>
    <w:rsid w:val="00D773A4"/>
    <w:rsid w:val="00D778E7"/>
    <w:rsid w:val="00D81077"/>
    <w:rsid w:val="00D817DE"/>
    <w:rsid w:val="00D817DF"/>
    <w:rsid w:val="00D81C35"/>
    <w:rsid w:val="00D81DD0"/>
    <w:rsid w:val="00D81ED9"/>
    <w:rsid w:val="00D82907"/>
    <w:rsid w:val="00D82D2D"/>
    <w:rsid w:val="00D831FC"/>
    <w:rsid w:val="00D833CA"/>
    <w:rsid w:val="00D83B3C"/>
    <w:rsid w:val="00D83B67"/>
    <w:rsid w:val="00D84475"/>
    <w:rsid w:val="00D84FD5"/>
    <w:rsid w:val="00D850B5"/>
    <w:rsid w:val="00D8526B"/>
    <w:rsid w:val="00D85D02"/>
    <w:rsid w:val="00D86138"/>
    <w:rsid w:val="00D87E18"/>
    <w:rsid w:val="00D90227"/>
    <w:rsid w:val="00D90296"/>
    <w:rsid w:val="00D90A37"/>
    <w:rsid w:val="00D90B6A"/>
    <w:rsid w:val="00D90D19"/>
    <w:rsid w:val="00D914D9"/>
    <w:rsid w:val="00D9182C"/>
    <w:rsid w:val="00D91B7B"/>
    <w:rsid w:val="00D91D0C"/>
    <w:rsid w:val="00D91F14"/>
    <w:rsid w:val="00D92459"/>
    <w:rsid w:val="00D92474"/>
    <w:rsid w:val="00D927C2"/>
    <w:rsid w:val="00D93938"/>
    <w:rsid w:val="00D9457C"/>
    <w:rsid w:val="00D94C4F"/>
    <w:rsid w:val="00D95248"/>
    <w:rsid w:val="00D954FD"/>
    <w:rsid w:val="00D959A3"/>
    <w:rsid w:val="00D95AFA"/>
    <w:rsid w:val="00D9613B"/>
    <w:rsid w:val="00D96707"/>
    <w:rsid w:val="00D96897"/>
    <w:rsid w:val="00D9698D"/>
    <w:rsid w:val="00D96AE1"/>
    <w:rsid w:val="00D96C43"/>
    <w:rsid w:val="00D971A5"/>
    <w:rsid w:val="00D973CC"/>
    <w:rsid w:val="00D977A1"/>
    <w:rsid w:val="00DA02C7"/>
    <w:rsid w:val="00DA07C2"/>
    <w:rsid w:val="00DA0E4A"/>
    <w:rsid w:val="00DA1159"/>
    <w:rsid w:val="00DA1AE1"/>
    <w:rsid w:val="00DA1C1A"/>
    <w:rsid w:val="00DA1C71"/>
    <w:rsid w:val="00DA23C0"/>
    <w:rsid w:val="00DA262A"/>
    <w:rsid w:val="00DA27E2"/>
    <w:rsid w:val="00DA3429"/>
    <w:rsid w:val="00DA3676"/>
    <w:rsid w:val="00DA3F9E"/>
    <w:rsid w:val="00DA4A9A"/>
    <w:rsid w:val="00DA4BFE"/>
    <w:rsid w:val="00DA4E91"/>
    <w:rsid w:val="00DA5690"/>
    <w:rsid w:val="00DA5A55"/>
    <w:rsid w:val="00DA69B1"/>
    <w:rsid w:val="00DA6A7D"/>
    <w:rsid w:val="00DA6D5F"/>
    <w:rsid w:val="00DA72D7"/>
    <w:rsid w:val="00DB085F"/>
    <w:rsid w:val="00DB0973"/>
    <w:rsid w:val="00DB1127"/>
    <w:rsid w:val="00DB1523"/>
    <w:rsid w:val="00DB175A"/>
    <w:rsid w:val="00DB1AA8"/>
    <w:rsid w:val="00DB1AF4"/>
    <w:rsid w:val="00DB1CF3"/>
    <w:rsid w:val="00DB21FC"/>
    <w:rsid w:val="00DB2CDE"/>
    <w:rsid w:val="00DB2EBA"/>
    <w:rsid w:val="00DB34C4"/>
    <w:rsid w:val="00DB367E"/>
    <w:rsid w:val="00DB40BF"/>
    <w:rsid w:val="00DB4586"/>
    <w:rsid w:val="00DB4CA5"/>
    <w:rsid w:val="00DB4E14"/>
    <w:rsid w:val="00DB55B5"/>
    <w:rsid w:val="00DB58E1"/>
    <w:rsid w:val="00DB5E58"/>
    <w:rsid w:val="00DB5F90"/>
    <w:rsid w:val="00DB629C"/>
    <w:rsid w:val="00DB6498"/>
    <w:rsid w:val="00DB6564"/>
    <w:rsid w:val="00DB740B"/>
    <w:rsid w:val="00DB7674"/>
    <w:rsid w:val="00DB7CCD"/>
    <w:rsid w:val="00DB7DF1"/>
    <w:rsid w:val="00DC0344"/>
    <w:rsid w:val="00DC0499"/>
    <w:rsid w:val="00DC0D24"/>
    <w:rsid w:val="00DC0E09"/>
    <w:rsid w:val="00DC0FF0"/>
    <w:rsid w:val="00DC10B3"/>
    <w:rsid w:val="00DC1360"/>
    <w:rsid w:val="00DC17E6"/>
    <w:rsid w:val="00DC2993"/>
    <w:rsid w:val="00DC2FDF"/>
    <w:rsid w:val="00DC389C"/>
    <w:rsid w:val="00DC409A"/>
    <w:rsid w:val="00DC448B"/>
    <w:rsid w:val="00DC45E8"/>
    <w:rsid w:val="00DC5003"/>
    <w:rsid w:val="00DC5238"/>
    <w:rsid w:val="00DC53B3"/>
    <w:rsid w:val="00DC58C9"/>
    <w:rsid w:val="00DC5BFC"/>
    <w:rsid w:val="00DC5EBB"/>
    <w:rsid w:val="00DC6228"/>
    <w:rsid w:val="00DC6404"/>
    <w:rsid w:val="00DC6BA9"/>
    <w:rsid w:val="00DC7479"/>
    <w:rsid w:val="00DC761C"/>
    <w:rsid w:val="00DC77D9"/>
    <w:rsid w:val="00DC7A44"/>
    <w:rsid w:val="00DD0062"/>
    <w:rsid w:val="00DD0252"/>
    <w:rsid w:val="00DD0437"/>
    <w:rsid w:val="00DD0733"/>
    <w:rsid w:val="00DD0DA3"/>
    <w:rsid w:val="00DD1471"/>
    <w:rsid w:val="00DD1510"/>
    <w:rsid w:val="00DD164B"/>
    <w:rsid w:val="00DD1883"/>
    <w:rsid w:val="00DD1E2F"/>
    <w:rsid w:val="00DD2299"/>
    <w:rsid w:val="00DD2368"/>
    <w:rsid w:val="00DD2418"/>
    <w:rsid w:val="00DD2578"/>
    <w:rsid w:val="00DD270F"/>
    <w:rsid w:val="00DD2BA2"/>
    <w:rsid w:val="00DD32F2"/>
    <w:rsid w:val="00DD360B"/>
    <w:rsid w:val="00DD3DB2"/>
    <w:rsid w:val="00DD44DD"/>
    <w:rsid w:val="00DD4E28"/>
    <w:rsid w:val="00DD4F12"/>
    <w:rsid w:val="00DD51A2"/>
    <w:rsid w:val="00DD5B2E"/>
    <w:rsid w:val="00DD5F67"/>
    <w:rsid w:val="00DD605F"/>
    <w:rsid w:val="00DD6FF3"/>
    <w:rsid w:val="00DD76EA"/>
    <w:rsid w:val="00DD77AF"/>
    <w:rsid w:val="00DD7D4A"/>
    <w:rsid w:val="00DE078D"/>
    <w:rsid w:val="00DE14A4"/>
    <w:rsid w:val="00DE15A7"/>
    <w:rsid w:val="00DE1AF3"/>
    <w:rsid w:val="00DE1F54"/>
    <w:rsid w:val="00DE2967"/>
    <w:rsid w:val="00DE2AB9"/>
    <w:rsid w:val="00DE2C7D"/>
    <w:rsid w:val="00DE2EFA"/>
    <w:rsid w:val="00DE371F"/>
    <w:rsid w:val="00DE3810"/>
    <w:rsid w:val="00DE3963"/>
    <w:rsid w:val="00DE3B3E"/>
    <w:rsid w:val="00DE3E0A"/>
    <w:rsid w:val="00DE4A94"/>
    <w:rsid w:val="00DE4C2A"/>
    <w:rsid w:val="00DE5300"/>
    <w:rsid w:val="00DE5629"/>
    <w:rsid w:val="00DE6421"/>
    <w:rsid w:val="00DE7675"/>
    <w:rsid w:val="00DE795B"/>
    <w:rsid w:val="00DE7AEC"/>
    <w:rsid w:val="00DE7DFA"/>
    <w:rsid w:val="00DE7EAB"/>
    <w:rsid w:val="00DF0268"/>
    <w:rsid w:val="00DF057D"/>
    <w:rsid w:val="00DF0834"/>
    <w:rsid w:val="00DF0F7D"/>
    <w:rsid w:val="00DF17FC"/>
    <w:rsid w:val="00DF26AB"/>
    <w:rsid w:val="00DF2753"/>
    <w:rsid w:val="00DF2948"/>
    <w:rsid w:val="00DF2ECF"/>
    <w:rsid w:val="00DF2F7A"/>
    <w:rsid w:val="00DF30DD"/>
    <w:rsid w:val="00DF30F7"/>
    <w:rsid w:val="00DF3B42"/>
    <w:rsid w:val="00DF3E00"/>
    <w:rsid w:val="00DF426A"/>
    <w:rsid w:val="00DF4294"/>
    <w:rsid w:val="00DF4AF9"/>
    <w:rsid w:val="00DF4C69"/>
    <w:rsid w:val="00DF50EE"/>
    <w:rsid w:val="00DF576F"/>
    <w:rsid w:val="00DF5D8D"/>
    <w:rsid w:val="00DF6645"/>
    <w:rsid w:val="00DF6A04"/>
    <w:rsid w:val="00DF6D45"/>
    <w:rsid w:val="00DF7072"/>
    <w:rsid w:val="00DF732B"/>
    <w:rsid w:val="00DF7C2E"/>
    <w:rsid w:val="00E0009A"/>
    <w:rsid w:val="00E006D8"/>
    <w:rsid w:val="00E00784"/>
    <w:rsid w:val="00E00B94"/>
    <w:rsid w:val="00E00F07"/>
    <w:rsid w:val="00E010B2"/>
    <w:rsid w:val="00E011D7"/>
    <w:rsid w:val="00E01302"/>
    <w:rsid w:val="00E01BB4"/>
    <w:rsid w:val="00E0273D"/>
    <w:rsid w:val="00E02A16"/>
    <w:rsid w:val="00E02DA3"/>
    <w:rsid w:val="00E02E86"/>
    <w:rsid w:val="00E02F87"/>
    <w:rsid w:val="00E030DC"/>
    <w:rsid w:val="00E03324"/>
    <w:rsid w:val="00E04010"/>
    <w:rsid w:val="00E046E3"/>
    <w:rsid w:val="00E04C2B"/>
    <w:rsid w:val="00E05323"/>
    <w:rsid w:val="00E057BE"/>
    <w:rsid w:val="00E05C66"/>
    <w:rsid w:val="00E06328"/>
    <w:rsid w:val="00E0695D"/>
    <w:rsid w:val="00E071EF"/>
    <w:rsid w:val="00E0751C"/>
    <w:rsid w:val="00E07CFC"/>
    <w:rsid w:val="00E1082A"/>
    <w:rsid w:val="00E1087B"/>
    <w:rsid w:val="00E10A8C"/>
    <w:rsid w:val="00E10AF9"/>
    <w:rsid w:val="00E1190B"/>
    <w:rsid w:val="00E11DE4"/>
    <w:rsid w:val="00E12379"/>
    <w:rsid w:val="00E12587"/>
    <w:rsid w:val="00E1319F"/>
    <w:rsid w:val="00E1340C"/>
    <w:rsid w:val="00E13486"/>
    <w:rsid w:val="00E13866"/>
    <w:rsid w:val="00E141E0"/>
    <w:rsid w:val="00E14926"/>
    <w:rsid w:val="00E159D0"/>
    <w:rsid w:val="00E15BD8"/>
    <w:rsid w:val="00E1620F"/>
    <w:rsid w:val="00E1670A"/>
    <w:rsid w:val="00E168A5"/>
    <w:rsid w:val="00E16E2C"/>
    <w:rsid w:val="00E172FA"/>
    <w:rsid w:val="00E17FC1"/>
    <w:rsid w:val="00E200BC"/>
    <w:rsid w:val="00E21433"/>
    <w:rsid w:val="00E214C0"/>
    <w:rsid w:val="00E216DB"/>
    <w:rsid w:val="00E21A4E"/>
    <w:rsid w:val="00E21B0C"/>
    <w:rsid w:val="00E221DA"/>
    <w:rsid w:val="00E226F9"/>
    <w:rsid w:val="00E22B22"/>
    <w:rsid w:val="00E22BF1"/>
    <w:rsid w:val="00E22C47"/>
    <w:rsid w:val="00E2447F"/>
    <w:rsid w:val="00E2459B"/>
    <w:rsid w:val="00E24AB1"/>
    <w:rsid w:val="00E24E57"/>
    <w:rsid w:val="00E251E5"/>
    <w:rsid w:val="00E253EC"/>
    <w:rsid w:val="00E255CC"/>
    <w:rsid w:val="00E25A31"/>
    <w:rsid w:val="00E2659C"/>
    <w:rsid w:val="00E26677"/>
    <w:rsid w:val="00E267DB"/>
    <w:rsid w:val="00E2703B"/>
    <w:rsid w:val="00E27059"/>
    <w:rsid w:val="00E270C7"/>
    <w:rsid w:val="00E27B30"/>
    <w:rsid w:val="00E27ED8"/>
    <w:rsid w:val="00E27FDD"/>
    <w:rsid w:val="00E30345"/>
    <w:rsid w:val="00E319E7"/>
    <w:rsid w:val="00E31EB5"/>
    <w:rsid w:val="00E31F76"/>
    <w:rsid w:val="00E331A7"/>
    <w:rsid w:val="00E3325E"/>
    <w:rsid w:val="00E33691"/>
    <w:rsid w:val="00E3371B"/>
    <w:rsid w:val="00E3372B"/>
    <w:rsid w:val="00E338C8"/>
    <w:rsid w:val="00E3409C"/>
    <w:rsid w:val="00E3427A"/>
    <w:rsid w:val="00E3538A"/>
    <w:rsid w:val="00E355FE"/>
    <w:rsid w:val="00E3622F"/>
    <w:rsid w:val="00E37B70"/>
    <w:rsid w:val="00E40633"/>
    <w:rsid w:val="00E40700"/>
    <w:rsid w:val="00E4084F"/>
    <w:rsid w:val="00E40A0B"/>
    <w:rsid w:val="00E40C55"/>
    <w:rsid w:val="00E40DFC"/>
    <w:rsid w:val="00E41190"/>
    <w:rsid w:val="00E415A6"/>
    <w:rsid w:val="00E416FD"/>
    <w:rsid w:val="00E41DC3"/>
    <w:rsid w:val="00E41EB5"/>
    <w:rsid w:val="00E422D1"/>
    <w:rsid w:val="00E42701"/>
    <w:rsid w:val="00E42FCF"/>
    <w:rsid w:val="00E43638"/>
    <w:rsid w:val="00E43A42"/>
    <w:rsid w:val="00E43AFD"/>
    <w:rsid w:val="00E43B96"/>
    <w:rsid w:val="00E43EAC"/>
    <w:rsid w:val="00E44606"/>
    <w:rsid w:val="00E44AD6"/>
    <w:rsid w:val="00E453B3"/>
    <w:rsid w:val="00E4549C"/>
    <w:rsid w:val="00E4579D"/>
    <w:rsid w:val="00E45C9B"/>
    <w:rsid w:val="00E471DF"/>
    <w:rsid w:val="00E4739B"/>
    <w:rsid w:val="00E47468"/>
    <w:rsid w:val="00E47632"/>
    <w:rsid w:val="00E479CB"/>
    <w:rsid w:val="00E50694"/>
    <w:rsid w:val="00E5095E"/>
    <w:rsid w:val="00E5128E"/>
    <w:rsid w:val="00E515A3"/>
    <w:rsid w:val="00E516BB"/>
    <w:rsid w:val="00E51DA6"/>
    <w:rsid w:val="00E521C1"/>
    <w:rsid w:val="00E52424"/>
    <w:rsid w:val="00E52598"/>
    <w:rsid w:val="00E52A90"/>
    <w:rsid w:val="00E52DC9"/>
    <w:rsid w:val="00E52EA3"/>
    <w:rsid w:val="00E5334F"/>
    <w:rsid w:val="00E5381D"/>
    <w:rsid w:val="00E53954"/>
    <w:rsid w:val="00E539D8"/>
    <w:rsid w:val="00E54137"/>
    <w:rsid w:val="00E54249"/>
    <w:rsid w:val="00E548D3"/>
    <w:rsid w:val="00E54D53"/>
    <w:rsid w:val="00E54FD0"/>
    <w:rsid w:val="00E55272"/>
    <w:rsid w:val="00E554C2"/>
    <w:rsid w:val="00E554C8"/>
    <w:rsid w:val="00E557F9"/>
    <w:rsid w:val="00E55E91"/>
    <w:rsid w:val="00E56D0D"/>
    <w:rsid w:val="00E57496"/>
    <w:rsid w:val="00E5773A"/>
    <w:rsid w:val="00E57A65"/>
    <w:rsid w:val="00E57D67"/>
    <w:rsid w:val="00E57FEF"/>
    <w:rsid w:val="00E60B01"/>
    <w:rsid w:val="00E61423"/>
    <w:rsid w:val="00E615AE"/>
    <w:rsid w:val="00E615E0"/>
    <w:rsid w:val="00E62530"/>
    <w:rsid w:val="00E62CC5"/>
    <w:rsid w:val="00E6318A"/>
    <w:rsid w:val="00E63534"/>
    <w:rsid w:val="00E63875"/>
    <w:rsid w:val="00E63AF4"/>
    <w:rsid w:val="00E64A76"/>
    <w:rsid w:val="00E64B0E"/>
    <w:rsid w:val="00E65036"/>
    <w:rsid w:val="00E65294"/>
    <w:rsid w:val="00E65DE3"/>
    <w:rsid w:val="00E6615A"/>
    <w:rsid w:val="00E664B2"/>
    <w:rsid w:val="00E6655B"/>
    <w:rsid w:val="00E668CC"/>
    <w:rsid w:val="00E6768A"/>
    <w:rsid w:val="00E67C04"/>
    <w:rsid w:val="00E67C9E"/>
    <w:rsid w:val="00E67DFD"/>
    <w:rsid w:val="00E70291"/>
    <w:rsid w:val="00E709C0"/>
    <w:rsid w:val="00E70DA6"/>
    <w:rsid w:val="00E70E0A"/>
    <w:rsid w:val="00E719DB"/>
    <w:rsid w:val="00E71DA6"/>
    <w:rsid w:val="00E71EBE"/>
    <w:rsid w:val="00E726CA"/>
    <w:rsid w:val="00E726ED"/>
    <w:rsid w:val="00E7277B"/>
    <w:rsid w:val="00E72DDE"/>
    <w:rsid w:val="00E737D9"/>
    <w:rsid w:val="00E73C4B"/>
    <w:rsid w:val="00E73C4C"/>
    <w:rsid w:val="00E73E51"/>
    <w:rsid w:val="00E742F1"/>
    <w:rsid w:val="00E74389"/>
    <w:rsid w:val="00E746D2"/>
    <w:rsid w:val="00E74857"/>
    <w:rsid w:val="00E748B7"/>
    <w:rsid w:val="00E74BC2"/>
    <w:rsid w:val="00E75A06"/>
    <w:rsid w:val="00E75C6F"/>
    <w:rsid w:val="00E7679A"/>
    <w:rsid w:val="00E76DE6"/>
    <w:rsid w:val="00E77423"/>
    <w:rsid w:val="00E774A7"/>
    <w:rsid w:val="00E77C70"/>
    <w:rsid w:val="00E77E17"/>
    <w:rsid w:val="00E77E2F"/>
    <w:rsid w:val="00E80A65"/>
    <w:rsid w:val="00E80A88"/>
    <w:rsid w:val="00E80CB9"/>
    <w:rsid w:val="00E81433"/>
    <w:rsid w:val="00E82A52"/>
    <w:rsid w:val="00E82AD7"/>
    <w:rsid w:val="00E82DA4"/>
    <w:rsid w:val="00E83121"/>
    <w:rsid w:val="00E83222"/>
    <w:rsid w:val="00E83563"/>
    <w:rsid w:val="00E83CF3"/>
    <w:rsid w:val="00E83EB0"/>
    <w:rsid w:val="00E8434C"/>
    <w:rsid w:val="00E84495"/>
    <w:rsid w:val="00E84B0A"/>
    <w:rsid w:val="00E84BC5"/>
    <w:rsid w:val="00E85152"/>
    <w:rsid w:val="00E85299"/>
    <w:rsid w:val="00E8534E"/>
    <w:rsid w:val="00E85CC1"/>
    <w:rsid w:val="00E85F75"/>
    <w:rsid w:val="00E86658"/>
    <w:rsid w:val="00E868D9"/>
    <w:rsid w:val="00E876A2"/>
    <w:rsid w:val="00E90448"/>
    <w:rsid w:val="00E906DA"/>
    <w:rsid w:val="00E90981"/>
    <w:rsid w:val="00E90D6F"/>
    <w:rsid w:val="00E91468"/>
    <w:rsid w:val="00E91469"/>
    <w:rsid w:val="00E926F9"/>
    <w:rsid w:val="00E928E3"/>
    <w:rsid w:val="00E929CF"/>
    <w:rsid w:val="00E92DE7"/>
    <w:rsid w:val="00E930D3"/>
    <w:rsid w:val="00E93413"/>
    <w:rsid w:val="00E9345B"/>
    <w:rsid w:val="00E938E7"/>
    <w:rsid w:val="00E93E35"/>
    <w:rsid w:val="00E93FA9"/>
    <w:rsid w:val="00E94252"/>
    <w:rsid w:val="00E943F1"/>
    <w:rsid w:val="00E94721"/>
    <w:rsid w:val="00E94979"/>
    <w:rsid w:val="00E961AB"/>
    <w:rsid w:val="00E964AF"/>
    <w:rsid w:val="00E96B83"/>
    <w:rsid w:val="00E97EFE"/>
    <w:rsid w:val="00EA002B"/>
    <w:rsid w:val="00EA058E"/>
    <w:rsid w:val="00EA066A"/>
    <w:rsid w:val="00EA0FE9"/>
    <w:rsid w:val="00EA1428"/>
    <w:rsid w:val="00EA14B2"/>
    <w:rsid w:val="00EA161C"/>
    <w:rsid w:val="00EA1883"/>
    <w:rsid w:val="00EA22BC"/>
    <w:rsid w:val="00EA3054"/>
    <w:rsid w:val="00EA3C99"/>
    <w:rsid w:val="00EA43D5"/>
    <w:rsid w:val="00EA47AF"/>
    <w:rsid w:val="00EA4EAD"/>
    <w:rsid w:val="00EA5457"/>
    <w:rsid w:val="00EA560E"/>
    <w:rsid w:val="00EA5BA0"/>
    <w:rsid w:val="00EA5D02"/>
    <w:rsid w:val="00EA6B25"/>
    <w:rsid w:val="00EA6B66"/>
    <w:rsid w:val="00EA7000"/>
    <w:rsid w:val="00EA7B9D"/>
    <w:rsid w:val="00EA7CB7"/>
    <w:rsid w:val="00EA7E48"/>
    <w:rsid w:val="00EB0394"/>
    <w:rsid w:val="00EB05CC"/>
    <w:rsid w:val="00EB0BA5"/>
    <w:rsid w:val="00EB11C2"/>
    <w:rsid w:val="00EB12CA"/>
    <w:rsid w:val="00EB138A"/>
    <w:rsid w:val="00EB2536"/>
    <w:rsid w:val="00EB266C"/>
    <w:rsid w:val="00EB2E68"/>
    <w:rsid w:val="00EB398C"/>
    <w:rsid w:val="00EB3F8C"/>
    <w:rsid w:val="00EB4482"/>
    <w:rsid w:val="00EB4A71"/>
    <w:rsid w:val="00EB53AE"/>
    <w:rsid w:val="00EB56C7"/>
    <w:rsid w:val="00EB5C40"/>
    <w:rsid w:val="00EB63F9"/>
    <w:rsid w:val="00EB6670"/>
    <w:rsid w:val="00EB722C"/>
    <w:rsid w:val="00EB7CFA"/>
    <w:rsid w:val="00EB7E46"/>
    <w:rsid w:val="00EC015C"/>
    <w:rsid w:val="00EC0277"/>
    <w:rsid w:val="00EC0639"/>
    <w:rsid w:val="00EC07D4"/>
    <w:rsid w:val="00EC0A57"/>
    <w:rsid w:val="00EC1803"/>
    <w:rsid w:val="00EC19DA"/>
    <w:rsid w:val="00EC2E5B"/>
    <w:rsid w:val="00EC3C4F"/>
    <w:rsid w:val="00EC3C80"/>
    <w:rsid w:val="00EC4352"/>
    <w:rsid w:val="00EC4DBA"/>
    <w:rsid w:val="00EC4E79"/>
    <w:rsid w:val="00EC53DB"/>
    <w:rsid w:val="00EC54D4"/>
    <w:rsid w:val="00EC6004"/>
    <w:rsid w:val="00EC6461"/>
    <w:rsid w:val="00EC6DA0"/>
    <w:rsid w:val="00EC6F69"/>
    <w:rsid w:val="00EC71CB"/>
    <w:rsid w:val="00EC730B"/>
    <w:rsid w:val="00EC7C4E"/>
    <w:rsid w:val="00ED0588"/>
    <w:rsid w:val="00ED089F"/>
    <w:rsid w:val="00ED110E"/>
    <w:rsid w:val="00ED1182"/>
    <w:rsid w:val="00ED15D5"/>
    <w:rsid w:val="00ED1CB9"/>
    <w:rsid w:val="00ED221A"/>
    <w:rsid w:val="00ED2910"/>
    <w:rsid w:val="00ED2EE8"/>
    <w:rsid w:val="00ED37E6"/>
    <w:rsid w:val="00ED40A8"/>
    <w:rsid w:val="00ED4A9E"/>
    <w:rsid w:val="00ED4B7D"/>
    <w:rsid w:val="00ED500D"/>
    <w:rsid w:val="00ED55C1"/>
    <w:rsid w:val="00ED5767"/>
    <w:rsid w:val="00ED5D04"/>
    <w:rsid w:val="00ED5E97"/>
    <w:rsid w:val="00ED61B0"/>
    <w:rsid w:val="00ED6650"/>
    <w:rsid w:val="00ED7529"/>
    <w:rsid w:val="00ED75CF"/>
    <w:rsid w:val="00ED7A47"/>
    <w:rsid w:val="00EE013F"/>
    <w:rsid w:val="00EE0343"/>
    <w:rsid w:val="00EE042F"/>
    <w:rsid w:val="00EE04FC"/>
    <w:rsid w:val="00EE0FE4"/>
    <w:rsid w:val="00EE1005"/>
    <w:rsid w:val="00EE1763"/>
    <w:rsid w:val="00EE1C3D"/>
    <w:rsid w:val="00EE2284"/>
    <w:rsid w:val="00EE24A3"/>
    <w:rsid w:val="00EE24F8"/>
    <w:rsid w:val="00EE265A"/>
    <w:rsid w:val="00EE2820"/>
    <w:rsid w:val="00EE2E18"/>
    <w:rsid w:val="00EE2F87"/>
    <w:rsid w:val="00EE3410"/>
    <w:rsid w:val="00EE38E8"/>
    <w:rsid w:val="00EE38FA"/>
    <w:rsid w:val="00EE3A1B"/>
    <w:rsid w:val="00EE3B0D"/>
    <w:rsid w:val="00EE48C6"/>
    <w:rsid w:val="00EE4A46"/>
    <w:rsid w:val="00EE5329"/>
    <w:rsid w:val="00EE684D"/>
    <w:rsid w:val="00EE6B4F"/>
    <w:rsid w:val="00EE7DED"/>
    <w:rsid w:val="00EE7F33"/>
    <w:rsid w:val="00EF025B"/>
    <w:rsid w:val="00EF0E64"/>
    <w:rsid w:val="00EF0EB9"/>
    <w:rsid w:val="00EF136E"/>
    <w:rsid w:val="00EF1579"/>
    <w:rsid w:val="00EF17A2"/>
    <w:rsid w:val="00EF1D07"/>
    <w:rsid w:val="00EF21FB"/>
    <w:rsid w:val="00EF2602"/>
    <w:rsid w:val="00EF3542"/>
    <w:rsid w:val="00EF36EE"/>
    <w:rsid w:val="00EF4CB3"/>
    <w:rsid w:val="00EF544C"/>
    <w:rsid w:val="00EF61BD"/>
    <w:rsid w:val="00EF686D"/>
    <w:rsid w:val="00EF6A8B"/>
    <w:rsid w:val="00F00164"/>
    <w:rsid w:val="00F0063B"/>
    <w:rsid w:val="00F00676"/>
    <w:rsid w:val="00F0088B"/>
    <w:rsid w:val="00F00F4F"/>
    <w:rsid w:val="00F01272"/>
    <w:rsid w:val="00F0139B"/>
    <w:rsid w:val="00F01400"/>
    <w:rsid w:val="00F0147C"/>
    <w:rsid w:val="00F016B4"/>
    <w:rsid w:val="00F0178D"/>
    <w:rsid w:val="00F01B50"/>
    <w:rsid w:val="00F01B5E"/>
    <w:rsid w:val="00F01BEF"/>
    <w:rsid w:val="00F02E31"/>
    <w:rsid w:val="00F03085"/>
    <w:rsid w:val="00F03156"/>
    <w:rsid w:val="00F0355B"/>
    <w:rsid w:val="00F03732"/>
    <w:rsid w:val="00F0383A"/>
    <w:rsid w:val="00F038CE"/>
    <w:rsid w:val="00F039CE"/>
    <w:rsid w:val="00F03F73"/>
    <w:rsid w:val="00F049C3"/>
    <w:rsid w:val="00F04D0B"/>
    <w:rsid w:val="00F04D45"/>
    <w:rsid w:val="00F04DAE"/>
    <w:rsid w:val="00F05353"/>
    <w:rsid w:val="00F05E49"/>
    <w:rsid w:val="00F05F05"/>
    <w:rsid w:val="00F05FC4"/>
    <w:rsid w:val="00F05FF5"/>
    <w:rsid w:val="00F06615"/>
    <w:rsid w:val="00F06D2E"/>
    <w:rsid w:val="00F06D30"/>
    <w:rsid w:val="00F07E25"/>
    <w:rsid w:val="00F1062C"/>
    <w:rsid w:val="00F108A0"/>
    <w:rsid w:val="00F10A5C"/>
    <w:rsid w:val="00F10B81"/>
    <w:rsid w:val="00F10BAD"/>
    <w:rsid w:val="00F10C1A"/>
    <w:rsid w:val="00F10FB1"/>
    <w:rsid w:val="00F11236"/>
    <w:rsid w:val="00F11737"/>
    <w:rsid w:val="00F117DE"/>
    <w:rsid w:val="00F11B3B"/>
    <w:rsid w:val="00F12081"/>
    <w:rsid w:val="00F1336F"/>
    <w:rsid w:val="00F133FE"/>
    <w:rsid w:val="00F138EA"/>
    <w:rsid w:val="00F13F61"/>
    <w:rsid w:val="00F147B6"/>
    <w:rsid w:val="00F147BE"/>
    <w:rsid w:val="00F14908"/>
    <w:rsid w:val="00F14CFA"/>
    <w:rsid w:val="00F14FE8"/>
    <w:rsid w:val="00F15966"/>
    <w:rsid w:val="00F1596F"/>
    <w:rsid w:val="00F16765"/>
    <w:rsid w:val="00F16938"/>
    <w:rsid w:val="00F16D1D"/>
    <w:rsid w:val="00F16DBF"/>
    <w:rsid w:val="00F16F6C"/>
    <w:rsid w:val="00F17453"/>
    <w:rsid w:val="00F1797B"/>
    <w:rsid w:val="00F201D0"/>
    <w:rsid w:val="00F2047D"/>
    <w:rsid w:val="00F2072E"/>
    <w:rsid w:val="00F20905"/>
    <w:rsid w:val="00F20D04"/>
    <w:rsid w:val="00F21493"/>
    <w:rsid w:val="00F21A48"/>
    <w:rsid w:val="00F21F7A"/>
    <w:rsid w:val="00F22226"/>
    <w:rsid w:val="00F223E2"/>
    <w:rsid w:val="00F2262C"/>
    <w:rsid w:val="00F22A48"/>
    <w:rsid w:val="00F22A5B"/>
    <w:rsid w:val="00F22B5B"/>
    <w:rsid w:val="00F237EE"/>
    <w:rsid w:val="00F23C14"/>
    <w:rsid w:val="00F23E33"/>
    <w:rsid w:val="00F23EF9"/>
    <w:rsid w:val="00F2406F"/>
    <w:rsid w:val="00F241FB"/>
    <w:rsid w:val="00F24450"/>
    <w:rsid w:val="00F2469E"/>
    <w:rsid w:val="00F24738"/>
    <w:rsid w:val="00F24D6B"/>
    <w:rsid w:val="00F24DD7"/>
    <w:rsid w:val="00F250CB"/>
    <w:rsid w:val="00F254D7"/>
    <w:rsid w:val="00F255D4"/>
    <w:rsid w:val="00F2586B"/>
    <w:rsid w:val="00F25A89"/>
    <w:rsid w:val="00F25AB8"/>
    <w:rsid w:val="00F25BF8"/>
    <w:rsid w:val="00F26152"/>
    <w:rsid w:val="00F2615A"/>
    <w:rsid w:val="00F2677B"/>
    <w:rsid w:val="00F26E91"/>
    <w:rsid w:val="00F26F38"/>
    <w:rsid w:val="00F26F67"/>
    <w:rsid w:val="00F26FCC"/>
    <w:rsid w:val="00F27454"/>
    <w:rsid w:val="00F2751C"/>
    <w:rsid w:val="00F3041E"/>
    <w:rsid w:val="00F30601"/>
    <w:rsid w:val="00F30AE4"/>
    <w:rsid w:val="00F30EB3"/>
    <w:rsid w:val="00F31052"/>
    <w:rsid w:val="00F310C7"/>
    <w:rsid w:val="00F31285"/>
    <w:rsid w:val="00F31358"/>
    <w:rsid w:val="00F3179F"/>
    <w:rsid w:val="00F31844"/>
    <w:rsid w:val="00F318B7"/>
    <w:rsid w:val="00F32238"/>
    <w:rsid w:val="00F32310"/>
    <w:rsid w:val="00F32521"/>
    <w:rsid w:val="00F328D2"/>
    <w:rsid w:val="00F32FFD"/>
    <w:rsid w:val="00F332DF"/>
    <w:rsid w:val="00F332FB"/>
    <w:rsid w:val="00F3371B"/>
    <w:rsid w:val="00F33C1E"/>
    <w:rsid w:val="00F33C92"/>
    <w:rsid w:val="00F3411F"/>
    <w:rsid w:val="00F348BD"/>
    <w:rsid w:val="00F3561B"/>
    <w:rsid w:val="00F356B3"/>
    <w:rsid w:val="00F36142"/>
    <w:rsid w:val="00F36479"/>
    <w:rsid w:val="00F365A3"/>
    <w:rsid w:val="00F3672F"/>
    <w:rsid w:val="00F37FF6"/>
    <w:rsid w:val="00F41864"/>
    <w:rsid w:val="00F42622"/>
    <w:rsid w:val="00F429F1"/>
    <w:rsid w:val="00F42A0E"/>
    <w:rsid w:val="00F42B78"/>
    <w:rsid w:val="00F432EE"/>
    <w:rsid w:val="00F43F53"/>
    <w:rsid w:val="00F4420D"/>
    <w:rsid w:val="00F4457F"/>
    <w:rsid w:val="00F44ACA"/>
    <w:rsid w:val="00F45DCA"/>
    <w:rsid w:val="00F4650B"/>
    <w:rsid w:val="00F4661F"/>
    <w:rsid w:val="00F46BE5"/>
    <w:rsid w:val="00F46ED1"/>
    <w:rsid w:val="00F47172"/>
    <w:rsid w:val="00F471F3"/>
    <w:rsid w:val="00F474FD"/>
    <w:rsid w:val="00F47CCD"/>
    <w:rsid w:val="00F507B8"/>
    <w:rsid w:val="00F50C1B"/>
    <w:rsid w:val="00F50E33"/>
    <w:rsid w:val="00F512AB"/>
    <w:rsid w:val="00F51589"/>
    <w:rsid w:val="00F515DC"/>
    <w:rsid w:val="00F51BCC"/>
    <w:rsid w:val="00F5201F"/>
    <w:rsid w:val="00F52058"/>
    <w:rsid w:val="00F527F2"/>
    <w:rsid w:val="00F528AC"/>
    <w:rsid w:val="00F529C5"/>
    <w:rsid w:val="00F53172"/>
    <w:rsid w:val="00F538FC"/>
    <w:rsid w:val="00F53E05"/>
    <w:rsid w:val="00F53F4D"/>
    <w:rsid w:val="00F547FD"/>
    <w:rsid w:val="00F54E0F"/>
    <w:rsid w:val="00F54EEF"/>
    <w:rsid w:val="00F55BF1"/>
    <w:rsid w:val="00F56841"/>
    <w:rsid w:val="00F579CC"/>
    <w:rsid w:val="00F57C28"/>
    <w:rsid w:val="00F60479"/>
    <w:rsid w:val="00F608D6"/>
    <w:rsid w:val="00F6098C"/>
    <w:rsid w:val="00F60A13"/>
    <w:rsid w:val="00F610F5"/>
    <w:rsid w:val="00F61245"/>
    <w:rsid w:val="00F619E4"/>
    <w:rsid w:val="00F619FC"/>
    <w:rsid w:val="00F621CA"/>
    <w:rsid w:val="00F62643"/>
    <w:rsid w:val="00F62734"/>
    <w:rsid w:val="00F62EDF"/>
    <w:rsid w:val="00F62F6F"/>
    <w:rsid w:val="00F638B8"/>
    <w:rsid w:val="00F63CEA"/>
    <w:rsid w:val="00F63E14"/>
    <w:rsid w:val="00F63E3C"/>
    <w:rsid w:val="00F6451B"/>
    <w:rsid w:val="00F6483B"/>
    <w:rsid w:val="00F64E96"/>
    <w:rsid w:val="00F6541A"/>
    <w:rsid w:val="00F65B7F"/>
    <w:rsid w:val="00F66059"/>
    <w:rsid w:val="00F664A2"/>
    <w:rsid w:val="00F66BFE"/>
    <w:rsid w:val="00F66E87"/>
    <w:rsid w:val="00F66FAD"/>
    <w:rsid w:val="00F67115"/>
    <w:rsid w:val="00F6748D"/>
    <w:rsid w:val="00F675BC"/>
    <w:rsid w:val="00F67FAC"/>
    <w:rsid w:val="00F7021F"/>
    <w:rsid w:val="00F70521"/>
    <w:rsid w:val="00F70682"/>
    <w:rsid w:val="00F71195"/>
    <w:rsid w:val="00F7147D"/>
    <w:rsid w:val="00F71DD9"/>
    <w:rsid w:val="00F72992"/>
    <w:rsid w:val="00F73145"/>
    <w:rsid w:val="00F736F6"/>
    <w:rsid w:val="00F7373F"/>
    <w:rsid w:val="00F738BE"/>
    <w:rsid w:val="00F73ABF"/>
    <w:rsid w:val="00F73B27"/>
    <w:rsid w:val="00F73F96"/>
    <w:rsid w:val="00F7411B"/>
    <w:rsid w:val="00F74A79"/>
    <w:rsid w:val="00F74F3E"/>
    <w:rsid w:val="00F75040"/>
    <w:rsid w:val="00F750D6"/>
    <w:rsid w:val="00F75852"/>
    <w:rsid w:val="00F75A34"/>
    <w:rsid w:val="00F75FE1"/>
    <w:rsid w:val="00F76158"/>
    <w:rsid w:val="00F7618C"/>
    <w:rsid w:val="00F762D8"/>
    <w:rsid w:val="00F7686A"/>
    <w:rsid w:val="00F76FC1"/>
    <w:rsid w:val="00F77186"/>
    <w:rsid w:val="00F77862"/>
    <w:rsid w:val="00F77F21"/>
    <w:rsid w:val="00F801F7"/>
    <w:rsid w:val="00F80201"/>
    <w:rsid w:val="00F80205"/>
    <w:rsid w:val="00F8037D"/>
    <w:rsid w:val="00F805D6"/>
    <w:rsid w:val="00F80749"/>
    <w:rsid w:val="00F80946"/>
    <w:rsid w:val="00F80A4F"/>
    <w:rsid w:val="00F81067"/>
    <w:rsid w:val="00F81AF3"/>
    <w:rsid w:val="00F8223F"/>
    <w:rsid w:val="00F829FB"/>
    <w:rsid w:val="00F82F65"/>
    <w:rsid w:val="00F832C2"/>
    <w:rsid w:val="00F834BB"/>
    <w:rsid w:val="00F84458"/>
    <w:rsid w:val="00F84577"/>
    <w:rsid w:val="00F84DAB"/>
    <w:rsid w:val="00F8622E"/>
    <w:rsid w:val="00F8625F"/>
    <w:rsid w:val="00F8634E"/>
    <w:rsid w:val="00F86449"/>
    <w:rsid w:val="00F8674B"/>
    <w:rsid w:val="00F86926"/>
    <w:rsid w:val="00F86BDF"/>
    <w:rsid w:val="00F86DBB"/>
    <w:rsid w:val="00F86F6C"/>
    <w:rsid w:val="00F8700F"/>
    <w:rsid w:val="00F874CC"/>
    <w:rsid w:val="00F87CA0"/>
    <w:rsid w:val="00F87EB5"/>
    <w:rsid w:val="00F90123"/>
    <w:rsid w:val="00F90226"/>
    <w:rsid w:val="00F90B0D"/>
    <w:rsid w:val="00F90D80"/>
    <w:rsid w:val="00F90F07"/>
    <w:rsid w:val="00F912DA"/>
    <w:rsid w:val="00F918D4"/>
    <w:rsid w:val="00F91A50"/>
    <w:rsid w:val="00F91C30"/>
    <w:rsid w:val="00F91DFD"/>
    <w:rsid w:val="00F9241C"/>
    <w:rsid w:val="00F92F8F"/>
    <w:rsid w:val="00F93D06"/>
    <w:rsid w:val="00F945FC"/>
    <w:rsid w:val="00F94689"/>
    <w:rsid w:val="00F949C8"/>
    <w:rsid w:val="00F94CC1"/>
    <w:rsid w:val="00F94E15"/>
    <w:rsid w:val="00F95CB3"/>
    <w:rsid w:val="00F95EA6"/>
    <w:rsid w:val="00F95F82"/>
    <w:rsid w:val="00F960D3"/>
    <w:rsid w:val="00F961D0"/>
    <w:rsid w:val="00F96462"/>
    <w:rsid w:val="00F9662F"/>
    <w:rsid w:val="00F969A1"/>
    <w:rsid w:val="00F96CDD"/>
    <w:rsid w:val="00F96E6C"/>
    <w:rsid w:val="00F96F93"/>
    <w:rsid w:val="00F9728E"/>
    <w:rsid w:val="00F9796D"/>
    <w:rsid w:val="00F97B17"/>
    <w:rsid w:val="00FA0410"/>
    <w:rsid w:val="00FA0860"/>
    <w:rsid w:val="00FA0897"/>
    <w:rsid w:val="00FA12B6"/>
    <w:rsid w:val="00FA167E"/>
    <w:rsid w:val="00FA16DF"/>
    <w:rsid w:val="00FA1875"/>
    <w:rsid w:val="00FA1877"/>
    <w:rsid w:val="00FA18FF"/>
    <w:rsid w:val="00FA1BD9"/>
    <w:rsid w:val="00FA2554"/>
    <w:rsid w:val="00FA2777"/>
    <w:rsid w:val="00FA2AFE"/>
    <w:rsid w:val="00FA2BD8"/>
    <w:rsid w:val="00FA2DB7"/>
    <w:rsid w:val="00FA2EEF"/>
    <w:rsid w:val="00FA321D"/>
    <w:rsid w:val="00FA4285"/>
    <w:rsid w:val="00FA5107"/>
    <w:rsid w:val="00FA5969"/>
    <w:rsid w:val="00FA5C22"/>
    <w:rsid w:val="00FA6006"/>
    <w:rsid w:val="00FA617D"/>
    <w:rsid w:val="00FA679D"/>
    <w:rsid w:val="00FA6BE5"/>
    <w:rsid w:val="00FA6E96"/>
    <w:rsid w:val="00FA7CBD"/>
    <w:rsid w:val="00FB00BB"/>
    <w:rsid w:val="00FB0E0A"/>
    <w:rsid w:val="00FB17AF"/>
    <w:rsid w:val="00FB17E2"/>
    <w:rsid w:val="00FB19B0"/>
    <w:rsid w:val="00FB2831"/>
    <w:rsid w:val="00FB2C78"/>
    <w:rsid w:val="00FB303C"/>
    <w:rsid w:val="00FB3328"/>
    <w:rsid w:val="00FB3812"/>
    <w:rsid w:val="00FB3DB8"/>
    <w:rsid w:val="00FB41A8"/>
    <w:rsid w:val="00FB433B"/>
    <w:rsid w:val="00FB475A"/>
    <w:rsid w:val="00FB500B"/>
    <w:rsid w:val="00FB5080"/>
    <w:rsid w:val="00FB54BA"/>
    <w:rsid w:val="00FB65AE"/>
    <w:rsid w:val="00FB6B96"/>
    <w:rsid w:val="00FB7EC3"/>
    <w:rsid w:val="00FB7F20"/>
    <w:rsid w:val="00FC03F7"/>
    <w:rsid w:val="00FC05B4"/>
    <w:rsid w:val="00FC0838"/>
    <w:rsid w:val="00FC1583"/>
    <w:rsid w:val="00FC184D"/>
    <w:rsid w:val="00FC1919"/>
    <w:rsid w:val="00FC245D"/>
    <w:rsid w:val="00FC2A23"/>
    <w:rsid w:val="00FC3176"/>
    <w:rsid w:val="00FC378C"/>
    <w:rsid w:val="00FC3DD9"/>
    <w:rsid w:val="00FC4400"/>
    <w:rsid w:val="00FC4A62"/>
    <w:rsid w:val="00FC59A4"/>
    <w:rsid w:val="00FC5EC0"/>
    <w:rsid w:val="00FC5EFB"/>
    <w:rsid w:val="00FC62DB"/>
    <w:rsid w:val="00FC6726"/>
    <w:rsid w:val="00FC69C9"/>
    <w:rsid w:val="00FC6D21"/>
    <w:rsid w:val="00FC78C5"/>
    <w:rsid w:val="00FC7969"/>
    <w:rsid w:val="00FC7CF2"/>
    <w:rsid w:val="00FC7E7E"/>
    <w:rsid w:val="00FD0274"/>
    <w:rsid w:val="00FD07E6"/>
    <w:rsid w:val="00FD271B"/>
    <w:rsid w:val="00FD29FC"/>
    <w:rsid w:val="00FD3485"/>
    <w:rsid w:val="00FD3B22"/>
    <w:rsid w:val="00FD4309"/>
    <w:rsid w:val="00FD47F6"/>
    <w:rsid w:val="00FD4AB9"/>
    <w:rsid w:val="00FD6157"/>
    <w:rsid w:val="00FD68D1"/>
    <w:rsid w:val="00FD69FB"/>
    <w:rsid w:val="00FD6C03"/>
    <w:rsid w:val="00FD6F9B"/>
    <w:rsid w:val="00FD714E"/>
    <w:rsid w:val="00FD733C"/>
    <w:rsid w:val="00FD74CB"/>
    <w:rsid w:val="00FD792D"/>
    <w:rsid w:val="00FE01D7"/>
    <w:rsid w:val="00FE05EF"/>
    <w:rsid w:val="00FE21C4"/>
    <w:rsid w:val="00FE2C6C"/>
    <w:rsid w:val="00FE323D"/>
    <w:rsid w:val="00FE329F"/>
    <w:rsid w:val="00FE3438"/>
    <w:rsid w:val="00FE3509"/>
    <w:rsid w:val="00FE350B"/>
    <w:rsid w:val="00FE3C37"/>
    <w:rsid w:val="00FE4009"/>
    <w:rsid w:val="00FE4282"/>
    <w:rsid w:val="00FE4616"/>
    <w:rsid w:val="00FE4647"/>
    <w:rsid w:val="00FE498C"/>
    <w:rsid w:val="00FE49F2"/>
    <w:rsid w:val="00FE4C12"/>
    <w:rsid w:val="00FE4F87"/>
    <w:rsid w:val="00FE54F9"/>
    <w:rsid w:val="00FE5D67"/>
    <w:rsid w:val="00FE5E7A"/>
    <w:rsid w:val="00FE60EC"/>
    <w:rsid w:val="00FE6564"/>
    <w:rsid w:val="00FE6B68"/>
    <w:rsid w:val="00FE6BAE"/>
    <w:rsid w:val="00FE6C11"/>
    <w:rsid w:val="00FE7531"/>
    <w:rsid w:val="00FE762A"/>
    <w:rsid w:val="00FF14B5"/>
    <w:rsid w:val="00FF1A01"/>
    <w:rsid w:val="00FF2410"/>
    <w:rsid w:val="00FF24CE"/>
    <w:rsid w:val="00FF2891"/>
    <w:rsid w:val="00FF2C5B"/>
    <w:rsid w:val="00FF2D4F"/>
    <w:rsid w:val="00FF2E82"/>
    <w:rsid w:val="00FF31DD"/>
    <w:rsid w:val="00FF39D3"/>
    <w:rsid w:val="00FF3E21"/>
    <w:rsid w:val="00FF448F"/>
    <w:rsid w:val="00FF456A"/>
    <w:rsid w:val="00FF4585"/>
    <w:rsid w:val="00FF4B37"/>
    <w:rsid w:val="00FF5001"/>
    <w:rsid w:val="00FF50E7"/>
    <w:rsid w:val="00FF5689"/>
    <w:rsid w:val="00FF57A1"/>
    <w:rsid w:val="00FF5AB9"/>
    <w:rsid w:val="00FF5E30"/>
    <w:rsid w:val="00FF63CF"/>
    <w:rsid w:val="00FF6BDD"/>
    <w:rsid w:val="00FF6D73"/>
    <w:rsid w:val="00FF6DBE"/>
    <w:rsid w:val="00FF6E3A"/>
    <w:rsid w:val="00FF7398"/>
    <w:rsid w:val="00FF7A1E"/>
    <w:rsid w:val="00FF7A73"/>
    <w:rsid w:val="00FF7A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758C88"/>
  <w15:chartTrackingRefBased/>
  <w15:docId w15:val="{D969AAE2-CF52-445A-AA3A-486A895E4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1601"/>
    <w:pPr>
      <w:ind w:firstLine="720"/>
    </w:pPr>
  </w:style>
  <w:style w:type="paragraph" w:styleId="Heading1">
    <w:name w:val="heading 1"/>
    <w:basedOn w:val="Normal"/>
    <w:next w:val="Normal"/>
    <w:link w:val="Heading1Char"/>
    <w:uiPriority w:val="9"/>
    <w:qFormat/>
    <w:rsid w:val="00975931"/>
    <w:pPr>
      <w:keepNext/>
      <w:keepLines/>
      <w:spacing w:before="480" w:after="240"/>
      <w:outlineLvl w:val="0"/>
    </w:pPr>
    <w:rPr>
      <w:rFonts w:ascii="Verdana" w:eastAsiaTheme="majorEastAsia" w:hAnsi="Verdana" w:cstheme="majorBidi"/>
      <w:sz w:val="56"/>
      <w:szCs w:val="32"/>
    </w:rPr>
  </w:style>
  <w:style w:type="paragraph" w:styleId="Heading2">
    <w:name w:val="heading 2"/>
    <w:basedOn w:val="Normal"/>
    <w:next w:val="Normal"/>
    <w:link w:val="Heading2Char"/>
    <w:uiPriority w:val="9"/>
    <w:unhideWhenUsed/>
    <w:qFormat/>
    <w:rsid w:val="007A09C9"/>
    <w:pPr>
      <w:keepNext/>
      <w:keepLines/>
      <w:spacing w:before="160" w:after="120"/>
      <w:outlineLvl w:val="1"/>
    </w:pPr>
    <w:rPr>
      <w:rFonts w:ascii="Verdana" w:eastAsiaTheme="majorEastAsia" w:hAnsi="Verdana" w:cstheme="majorBidi"/>
      <w:b/>
      <w:sz w:val="24"/>
      <w:szCs w:val="26"/>
    </w:rPr>
  </w:style>
  <w:style w:type="paragraph" w:styleId="Heading3">
    <w:name w:val="heading 3"/>
    <w:basedOn w:val="Normal"/>
    <w:next w:val="Normal"/>
    <w:link w:val="Heading3Char"/>
    <w:autoRedefine/>
    <w:uiPriority w:val="9"/>
    <w:unhideWhenUsed/>
    <w:qFormat/>
    <w:rsid w:val="00767F9D"/>
    <w:pPr>
      <w:keepNext/>
      <w:keepLines/>
      <w:spacing w:before="160" w:after="120" w:line="360" w:lineRule="auto"/>
      <w:jc w:val="both"/>
      <w:outlineLvl w:val="2"/>
    </w:pPr>
    <w:rPr>
      <w:rFonts w:ascii="Verdana" w:eastAsiaTheme="majorEastAsia" w:hAnsi="Verdana" w:cstheme="majorBidi"/>
      <w:b/>
      <w:szCs w:val="24"/>
    </w:rPr>
  </w:style>
  <w:style w:type="paragraph" w:styleId="Heading4">
    <w:name w:val="heading 4"/>
    <w:basedOn w:val="Normal"/>
    <w:next w:val="Normal"/>
    <w:link w:val="Heading4Char"/>
    <w:uiPriority w:val="9"/>
    <w:unhideWhenUsed/>
    <w:qFormat/>
    <w:rsid w:val="00D535A2"/>
    <w:pPr>
      <w:keepNext/>
      <w:keepLines/>
      <w:spacing w:before="160" w:after="120"/>
      <w:outlineLvl w:val="3"/>
    </w:pPr>
    <w:rPr>
      <w:rFonts w:ascii="Verdana" w:eastAsiaTheme="majorEastAsia" w:hAnsi="Verdana" w:cstheme="majorBidi"/>
      <w:b/>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672F"/>
    <w:pPr>
      <w:ind w:left="720"/>
      <w:contextualSpacing/>
    </w:pPr>
  </w:style>
  <w:style w:type="paragraph" w:styleId="NormalWeb">
    <w:name w:val="Normal (Web)"/>
    <w:basedOn w:val="Normal"/>
    <w:uiPriority w:val="99"/>
    <w:semiHidden/>
    <w:unhideWhenUsed/>
    <w:rsid w:val="00CD303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E66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615A"/>
  </w:style>
  <w:style w:type="paragraph" w:styleId="Footer">
    <w:name w:val="footer"/>
    <w:basedOn w:val="Normal"/>
    <w:link w:val="FooterChar"/>
    <w:uiPriority w:val="99"/>
    <w:unhideWhenUsed/>
    <w:rsid w:val="00E66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615A"/>
  </w:style>
  <w:style w:type="character" w:styleId="PlaceholderText">
    <w:name w:val="Placeholder Text"/>
    <w:basedOn w:val="DefaultParagraphFont"/>
    <w:uiPriority w:val="99"/>
    <w:semiHidden/>
    <w:rsid w:val="00DD76EA"/>
    <w:rPr>
      <w:color w:val="808080"/>
    </w:rPr>
  </w:style>
  <w:style w:type="paragraph" w:styleId="NoSpacing">
    <w:name w:val="No Spacing"/>
    <w:uiPriority w:val="1"/>
    <w:qFormat/>
    <w:rsid w:val="00647BE3"/>
    <w:pPr>
      <w:spacing w:after="0" w:line="240" w:lineRule="auto"/>
    </w:pPr>
    <w:rPr>
      <w:color w:val="44546A" w:themeColor="text2"/>
      <w:sz w:val="20"/>
      <w:szCs w:val="20"/>
    </w:rPr>
  </w:style>
  <w:style w:type="paragraph" w:styleId="IntenseQuote">
    <w:name w:val="Intense Quote"/>
    <w:basedOn w:val="Normal"/>
    <w:next w:val="Normal"/>
    <w:link w:val="IntenseQuoteChar"/>
    <w:uiPriority w:val="30"/>
    <w:qFormat/>
    <w:rsid w:val="00676CE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76CED"/>
    <w:rPr>
      <w:i/>
      <w:iCs/>
      <w:color w:val="4472C4" w:themeColor="accent1"/>
    </w:rPr>
  </w:style>
  <w:style w:type="character" w:customStyle="1" w:styleId="Heading1Char">
    <w:name w:val="Heading 1 Char"/>
    <w:basedOn w:val="DefaultParagraphFont"/>
    <w:link w:val="Heading1"/>
    <w:uiPriority w:val="9"/>
    <w:rsid w:val="00975931"/>
    <w:rPr>
      <w:rFonts w:ascii="Verdana" w:eastAsiaTheme="majorEastAsia" w:hAnsi="Verdana" w:cstheme="majorBidi"/>
      <w:sz w:val="56"/>
      <w:szCs w:val="32"/>
    </w:rPr>
  </w:style>
  <w:style w:type="paragraph" w:styleId="Title">
    <w:name w:val="Title"/>
    <w:basedOn w:val="Normal"/>
    <w:next w:val="Normal"/>
    <w:link w:val="TitleChar"/>
    <w:uiPriority w:val="10"/>
    <w:qFormat/>
    <w:rsid w:val="001442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42E5"/>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176469"/>
    <w:pPr>
      <w:spacing w:after="200" w:line="240" w:lineRule="auto"/>
    </w:pPr>
    <w:rPr>
      <w:i/>
      <w:iCs/>
      <w:color w:val="44546A" w:themeColor="text2"/>
      <w:sz w:val="18"/>
      <w:szCs w:val="18"/>
    </w:rPr>
  </w:style>
  <w:style w:type="character" w:styleId="Hyperlink">
    <w:name w:val="Hyperlink"/>
    <w:basedOn w:val="DefaultParagraphFont"/>
    <w:uiPriority w:val="99"/>
    <w:unhideWhenUsed/>
    <w:rsid w:val="004F5917"/>
    <w:rPr>
      <w:color w:val="0000FF"/>
      <w:u w:val="single"/>
    </w:rPr>
  </w:style>
  <w:style w:type="character" w:styleId="UnresolvedMention">
    <w:name w:val="Unresolved Mention"/>
    <w:basedOn w:val="DefaultParagraphFont"/>
    <w:uiPriority w:val="99"/>
    <w:semiHidden/>
    <w:unhideWhenUsed/>
    <w:rsid w:val="004967D6"/>
    <w:rPr>
      <w:color w:val="605E5C"/>
      <w:shd w:val="clear" w:color="auto" w:fill="E1DFDD"/>
    </w:rPr>
  </w:style>
  <w:style w:type="paragraph" w:customStyle="1" w:styleId="Default">
    <w:name w:val="Default"/>
    <w:rsid w:val="00C8648A"/>
    <w:pPr>
      <w:autoSpaceDE w:val="0"/>
      <w:autoSpaceDN w:val="0"/>
      <w:adjustRightInd w:val="0"/>
      <w:spacing w:after="0" w:line="240" w:lineRule="auto"/>
    </w:pPr>
    <w:rPr>
      <w:rFonts w:ascii="Calibri" w:hAnsi="Calibri" w:cs="Calibri"/>
      <w:color w:val="000000"/>
      <w:sz w:val="24"/>
      <w:szCs w:val="24"/>
      <w:lang w:val="en-GB"/>
    </w:rPr>
  </w:style>
  <w:style w:type="character" w:customStyle="1" w:styleId="identifier">
    <w:name w:val="identifier"/>
    <w:basedOn w:val="DefaultParagraphFont"/>
    <w:rsid w:val="00874132"/>
  </w:style>
  <w:style w:type="character" w:styleId="CommentReference">
    <w:name w:val="annotation reference"/>
    <w:basedOn w:val="DefaultParagraphFont"/>
    <w:uiPriority w:val="99"/>
    <w:semiHidden/>
    <w:unhideWhenUsed/>
    <w:rsid w:val="008F05FA"/>
    <w:rPr>
      <w:sz w:val="16"/>
      <w:szCs w:val="16"/>
    </w:rPr>
  </w:style>
  <w:style w:type="paragraph" w:styleId="CommentText">
    <w:name w:val="annotation text"/>
    <w:basedOn w:val="Normal"/>
    <w:link w:val="CommentTextChar"/>
    <w:uiPriority w:val="99"/>
    <w:unhideWhenUsed/>
    <w:rsid w:val="008F05FA"/>
    <w:pPr>
      <w:spacing w:line="240" w:lineRule="auto"/>
    </w:pPr>
    <w:rPr>
      <w:sz w:val="20"/>
      <w:szCs w:val="20"/>
    </w:rPr>
  </w:style>
  <w:style w:type="character" w:customStyle="1" w:styleId="CommentTextChar">
    <w:name w:val="Comment Text Char"/>
    <w:basedOn w:val="DefaultParagraphFont"/>
    <w:link w:val="CommentText"/>
    <w:uiPriority w:val="99"/>
    <w:rsid w:val="008F05FA"/>
    <w:rPr>
      <w:sz w:val="20"/>
      <w:szCs w:val="20"/>
    </w:rPr>
  </w:style>
  <w:style w:type="paragraph" w:styleId="CommentSubject">
    <w:name w:val="annotation subject"/>
    <w:basedOn w:val="CommentText"/>
    <w:next w:val="CommentText"/>
    <w:link w:val="CommentSubjectChar"/>
    <w:uiPriority w:val="99"/>
    <w:semiHidden/>
    <w:unhideWhenUsed/>
    <w:rsid w:val="008F05FA"/>
    <w:rPr>
      <w:b/>
      <w:bCs/>
    </w:rPr>
  </w:style>
  <w:style w:type="character" w:customStyle="1" w:styleId="CommentSubjectChar">
    <w:name w:val="Comment Subject Char"/>
    <w:basedOn w:val="CommentTextChar"/>
    <w:link w:val="CommentSubject"/>
    <w:uiPriority w:val="99"/>
    <w:semiHidden/>
    <w:rsid w:val="008F05FA"/>
    <w:rPr>
      <w:b/>
      <w:bCs/>
      <w:sz w:val="20"/>
      <w:szCs w:val="20"/>
    </w:rPr>
  </w:style>
  <w:style w:type="paragraph" w:styleId="Revision">
    <w:name w:val="Revision"/>
    <w:hidden/>
    <w:uiPriority w:val="99"/>
    <w:semiHidden/>
    <w:rsid w:val="008F05FA"/>
    <w:pPr>
      <w:spacing w:after="0" w:line="240" w:lineRule="auto"/>
    </w:pPr>
  </w:style>
  <w:style w:type="character" w:customStyle="1" w:styleId="Heading2Char">
    <w:name w:val="Heading 2 Char"/>
    <w:basedOn w:val="DefaultParagraphFont"/>
    <w:link w:val="Heading2"/>
    <w:uiPriority w:val="9"/>
    <w:rsid w:val="007A09C9"/>
    <w:rPr>
      <w:rFonts w:ascii="Verdana" w:eastAsiaTheme="majorEastAsia" w:hAnsi="Verdana" w:cstheme="majorBidi"/>
      <w:b/>
      <w:sz w:val="24"/>
      <w:szCs w:val="26"/>
    </w:rPr>
  </w:style>
  <w:style w:type="paragraph" w:styleId="FootnoteText">
    <w:name w:val="footnote text"/>
    <w:basedOn w:val="Normal"/>
    <w:link w:val="FootnoteTextChar"/>
    <w:rsid w:val="00B920A2"/>
    <w:pPr>
      <w:spacing w:after="0" w:line="240" w:lineRule="auto"/>
      <w:ind w:firstLine="0"/>
    </w:pPr>
    <w:rPr>
      <w:rFonts w:ascii="Times New Roman" w:eastAsia="Times New Roman" w:hAnsi="Times New Roman" w:cs="Times New Roman"/>
      <w:sz w:val="20"/>
      <w:szCs w:val="20"/>
      <w:lang w:val="de-DE" w:eastAsia="de-DE"/>
    </w:rPr>
  </w:style>
  <w:style w:type="character" w:customStyle="1" w:styleId="FootnoteTextChar">
    <w:name w:val="Footnote Text Char"/>
    <w:basedOn w:val="DefaultParagraphFont"/>
    <w:link w:val="FootnoteText"/>
    <w:rsid w:val="00B920A2"/>
    <w:rPr>
      <w:rFonts w:ascii="Times New Roman" w:eastAsia="Times New Roman" w:hAnsi="Times New Roman" w:cs="Times New Roman"/>
      <w:sz w:val="20"/>
      <w:szCs w:val="20"/>
      <w:lang w:val="de-DE" w:eastAsia="de-DE"/>
    </w:rPr>
  </w:style>
  <w:style w:type="character" w:styleId="FootnoteReference">
    <w:name w:val="footnote reference"/>
    <w:rsid w:val="00B920A2"/>
    <w:rPr>
      <w:vertAlign w:val="superscript"/>
    </w:rPr>
  </w:style>
  <w:style w:type="paragraph" w:styleId="TOCHeading">
    <w:name w:val="TOC Heading"/>
    <w:basedOn w:val="Heading1"/>
    <w:next w:val="Normal"/>
    <w:uiPriority w:val="39"/>
    <w:unhideWhenUsed/>
    <w:qFormat/>
    <w:rsid w:val="00712399"/>
    <w:pPr>
      <w:ind w:firstLine="0"/>
      <w:outlineLvl w:val="9"/>
    </w:pPr>
  </w:style>
  <w:style w:type="character" w:customStyle="1" w:styleId="Heading3Char">
    <w:name w:val="Heading 3 Char"/>
    <w:basedOn w:val="DefaultParagraphFont"/>
    <w:link w:val="Heading3"/>
    <w:uiPriority w:val="9"/>
    <w:rsid w:val="00767F9D"/>
    <w:rPr>
      <w:rFonts w:ascii="Verdana" w:eastAsiaTheme="majorEastAsia" w:hAnsi="Verdana" w:cstheme="majorBidi"/>
      <w:b/>
      <w:szCs w:val="24"/>
    </w:rPr>
  </w:style>
  <w:style w:type="paragraph" w:customStyle="1" w:styleId="Style1">
    <w:name w:val="Style1"/>
    <w:basedOn w:val="Heading3"/>
    <w:qFormat/>
    <w:rsid w:val="009C4CDA"/>
    <w:pPr>
      <w:spacing w:before="240" w:after="240"/>
    </w:pPr>
    <w:rPr>
      <w:b w:val="0"/>
      <w:lang w:val="en-GB"/>
    </w:rPr>
  </w:style>
  <w:style w:type="paragraph" w:styleId="TOC1">
    <w:name w:val="toc 1"/>
    <w:basedOn w:val="Normal"/>
    <w:next w:val="Normal"/>
    <w:autoRedefine/>
    <w:uiPriority w:val="39"/>
    <w:unhideWhenUsed/>
    <w:rsid w:val="00AC5369"/>
    <w:pPr>
      <w:tabs>
        <w:tab w:val="left" w:pos="1100"/>
        <w:tab w:val="right" w:leader="dot" w:pos="8778"/>
      </w:tabs>
      <w:spacing w:after="100"/>
      <w:jc w:val="both"/>
    </w:pPr>
    <w:rPr>
      <w:rFonts w:ascii="Verdana" w:hAnsi="Verdana"/>
      <w:noProof/>
      <w:sz w:val="28"/>
      <w:szCs w:val="28"/>
      <w:lang w:val="en-GB"/>
    </w:rPr>
  </w:style>
  <w:style w:type="paragraph" w:styleId="TOC2">
    <w:name w:val="toc 2"/>
    <w:basedOn w:val="Normal"/>
    <w:next w:val="Normal"/>
    <w:autoRedefine/>
    <w:uiPriority w:val="39"/>
    <w:unhideWhenUsed/>
    <w:rsid w:val="00972A89"/>
    <w:pPr>
      <w:spacing w:after="100"/>
      <w:ind w:left="220"/>
    </w:pPr>
  </w:style>
  <w:style w:type="paragraph" w:styleId="TOC3">
    <w:name w:val="toc 3"/>
    <w:basedOn w:val="Normal"/>
    <w:next w:val="Normal"/>
    <w:autoRedefine/>
    <w:uiPriority w:val="39"/>
    <w:unhideWhenUsed/>
    <w:rsid w:val="00B63D3E"/>
    <w:pPr>
      <w:tabs>
        <w:tab w:val="left" w:pos="1832"/>
        <w:tab w:val="right" w:leader="dot" w:pos="8778"/>
      </w:tabs>
      <w:spacing w:after="100"/>
      <w:ind w:left="440"/>
    </w:pPr>
    <w:rPr>
      <w:noProof/>
    </w:rPr>
  </w:style>
  <w:style w:type="character" w:customStyle="1" w:styleId="Heading4Char">
    <w:name w:val="Heading 4 Char"/>
    <w:basedOn w:val="DefaultParagraphFont"/>
    <w:link w:val="Heading4"/>
    <w:uiPriority w:val="9"/>
    <w:rsid w:val="00D535A2"/>
    <w:rPr>
      <w:rFonts w:ascii="Verdana" w:eastAsiaTheme="majorEastAsia" w:hAnsi="Verdana" w:cstheme="majorBidi"/>
      <w:b/>
      <w:i/>
      <w:iCs/>
    </w:rPr>
  </w:style>
  <w:style w:type="paragraph" w:styleId="TOC4">
    <w:name w:val="toc 4"/>
    <w:basedOn w:val="Normal"/>
    <w:next w:val="Normal"/>
    <w:autoRedefine/>
    <w:uiPriority w:val="39"/>
    <w:unhideWhenUsed/>
    <w:rsid w:val="009C607E"/>
    <w:pPr>
      <w:spacing w:after="100"/>
      <w:ind w:left="660" w:firstLine="0"/>
    </w:pPr>
    <w:rPr>
      <w:rFonts w:eastAsiaTheme="minorEastAsia"/>
      <w:lang w:val="en-GB" w:eastAsia="en-GB"/>
    </w:rPr>
  </w:style>
  <w:style w:type="paragraph" w:styleId="TOC5">
    <w:name w:val="toc 5"/>
    <w:basedOn w:val="Normal"/>
    <w:next w:val="Normal"/>
    <w:autoRedefine/>
    <w:uiPriority w:val="39"/>
    <w:unhideWhenUsed/>
    <w:rsid w:val="009C607E"/>
    <w:pPr>
      <w:spacing w:after="100"/>
      <w:ind w:left="880" w:firstLine="0"/>
    </w:pPr>
    <w:rPr>
      <w:rFonts w:eastAsiaTheme="minorEastAsia"/>
      <w:lang w:val="en-GB" w:eastAsia="en-GB"/>
    </w:rPr>
  </w:style>
  <w:style w:type="paragraph" w:styleId="TOC6">
    <w:name w:val="toc 6"/>
    <w:basedOn w:val="Normal"/>
    <w:next w:val="Normal"/>
    <w:autoRedefine/>
    <w:uiPriority w:val="39"/>
    <w:unhideWhenUsed/>
    <w:rsid w:val="009C607E"/>
    <w:pPr>
      <w:spacing w:after="100"/>
      <w:ind w:left="1100" w:firstLine="0"/>
    </w:pPr>
    <w:rPr>
      <w:rFonts w:eastAsiaTheme="minorEastAsia"/>
      <w:lang w:val="en-GB" w:eastAsia="en-GB"/>
    </w:rPr>
  </w:style>
  <w:style w:type="paragraph" w:styleId="TOC7">
    <w:name w:val="toc 7"/>
    <w:basedOn w:val="Normal"/>
    <w:next w:val="Normal"/>
    <w:autoRedefine/>
    <w:uiPriority w:val="39"/>
    <w:unhideWhenUsed/>
    <w:rsid w:val="009C607E"/>
    <w:pPr>
      <w:spacing w:after="100"/>
      <w:ind w:left="1320" w:firstLine="0"/>
    </w:pPr>
    <w:rPr>
      <w:rFonts w:eastAsiaTheme="minorEastAsia"/>
      <w:lang w:val="en-GB" w:eastAsia="en-GB"/>
    </w:rPr>
  </w:style>
  <w:style w:type="paragraph" w:styleId="TOC8">
    <w:name w:val="toc 8"/>
    <w:basedOn w:val="Normal"/>
    <w:next w:val="Normal"/>
    <w:autoRedefine/>
    <w:uiPriority w:val="39"/>
    <w:unhideWhenUsed/>
    <w:rsid w:val="009C607E"/>
    <w:pPr>
      <w:spacing w:after="100"/>
      <w:ind w:left="1540" w:firstLine="0"/>
    </w:pPr>
    <w:rPr>
      <w:rFonts w:eastAsiaTheme="minorEastAsia"/>
      <w:lang w:val="en-GB" w:eastAsia="en-GB"/>
    </w:rPr>
  </w:style>
  <w:style w:type="paragraph" w:styleId="TOC9">
    <w:name w:val="toc 9"/>
    <w:basedOn w:val="Normal"/>
    <w:next w:val="Normal"/>
    <w:autoRedefine/>
    <w:uiPriority w:val="39"/>
    <w:unhideWhenUsed/>
    <w:rsid w:val="009C607E"/>
    <w:pPr>
      <w:spacing w:after="100"/>
      <w:ind w:left="1760" w:firstLine="0"/>
    </w:pPr>
    <w:rPr>
      <w:rFonts w:eastAsiaTheme="minorEastAsia"/>
      <w:lang w:val="en-GB" w:eastAsia="en-GB"/>
    </w:rPr>
  </w:style>
  <w:style w:type="paragraph" w:styleId="TableofFigures">
    <w:name w:val="table of figures"/>
    <w:basedOn w:val="Normal"/>
    <w:next w:val="Normal"/>
    <w:uiPriority w:val="99"/>
    <w:unhideWhenUsed/>
    <w:rsid w:val="009D1403"/>
    <w:pPr>
      <w:spacing w:after="0"/>
    </w:pPr>
  </w:style>
  <w:style w:type="character" w:styleId="Emphasis">
    <w:name w:val="Emphasis"/>
    <w:basedOn w:val="DefaultParagraphFont"/>
    <w:uiPriority w:val="20"/>
    <w:qFormat/>
    <w:rsid w:val="000E1722"/>
    <w:rPr>
      <w:i/>
      <w:iCs/>
    </w:rPr>
  </w:style>
  <w:style w:type="paragraph" w:styleId="Bibliography">
    <w:name w:val="Bibliography"/>
    <w:basedOn w:val="Normal"/>
    <w:next w:val="Normal"/>
    <w:uiPriority w:val="37"/>
    <w:unhideWhenUsed/>
    <w:rsid w:val="00391A26"/>
    <w:pPr>
      <w:spacing w:after="240" w:line="240" w:lineRule="auto"/>
      <w:ind w:left="720" w:hanging="720"/>
    </w:pPr>
  </w:style>
  <w:style w:type="paragraph" w:customStyle="1" w:styleId="EndNoteBibliography">
    <w:name w:val="EndNote Bibliography"/>
    <w:basedOn w:val="Normal"/>
    <w:link w:val="EndNoteBibliographyChar"/>
    <w:rsid w:val="00923B04"/>
    <w:pPr>
      <w:spacing w:after="120" w:line="240" w:lineRule="auto"/>
      <w:ind w:firstLine="0"/>
    </w:pPr>
    <w:rPr>
      <w:rFonts w:ascii="Garamond" w:hAnsi="Garamond"/>
      <w:sz w:val="24"/>
      <w:szCs w:val="24"/>
    </w:rPr>
  </w:style>
  <w:style w:type="character" w:customStyle="1" w:styleId="EndNoteBibliographyChar">
    <w:name w:val="EndNote Bibliography Char"/>
    <w:basedOn w:val="DefaultParagraphFont"/>
    <w:link w:val="EndNoteBibliography"/>
    <w:rsid w:val="00923B04"/>
    <w:rPr>
      <w:rFonts w:ascii="Garamond" w:hAnsi="Garamon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1636">
      <w:bodyDiv w:val="1"/>
      <w:marLeft w:val="0"/>
      <w:marRight w:val="0"/>
      <w:marTop w:val="0"/>
      <w:marBottom w:val="0"/>
      <w:divBdr>
        <w:top w:val="none" w:sz="0" w:space="0" w:color="auto"/>
        <w:left w:val="none" w:sz="0" w:space="0" w:color="auto"/>
        <w:bottom w:val="none" w:sz="0" w:space="0" w:color="auto"/>
        <w:right w:val="none" w:sz="0" w:space="0" w:color="auto"/>
      </w:divBdr>
    </w:div>
    <w:div w:id="35738265">
      <w:bodyDiv w:val="1"/>
      <w:marLeft w:val="0"/>
      <w:marRight w:val="0"/>
      <w:marTop w:val="0"/>
      <w:marBottom w:val="0"/>
      <w:divBdr>
        <w:top w:val="none" w:sz="0" w:space="0" w:color="auto"/>
        <w:left w:val="none" w:sz="0" w:space="0" w:color="auto"/>
        <w:bottom w:val="none" w:sz="0" w:space="0" w:color="auto"/>
        <w:right w:val="none" w:sz="0" w:space="0" w:color="auto"/>
      </w:divBdr>
    </w:div>
    <w:div w:id="147984396">
      <w:bodyDiv w:val="1"/>
      <w:marLeft w:val="0"/>
      <w:marRight w:val="0"/>
      <w:marTop w:val="0"/>
      <w:marBottom w:val="0"/>
      <w:divBdr>
        <w:top w:val="none" w:sz="0" w:space="0" w:color="auto"/>
        <w:left w:val="none" w:sz="0" w:space="0" w:color="auto"/>
        <w:bottom w:val="none" w:sz="0" w:space="0" w:color="auto"/>
        <w:right w:val="none" w:sz="0" w:space="0" w:color="auto"/>
      </w:divBdr>
    </w:div>
    <w:div w:id="155846958">
      <w:bodyDiv w:val="1"/>
      <w:marLeft w:val="0"/>
      <w:marRight w:val="0"/>
      <w:marTop w:val="0"/>
      <w:marBottom w:val="0"/>
      <w:divBdr>
        <w:top w:val="none" w:sz="0" w:space="0" w:color="auto"/>
        <w:left w:val="none" w:sz="0" w:space="0" w:color="auto"/>
        <w:bottom w:val="none" w:sz="0" w:space="0" w:color="auto"/>
        <w:right w:val="none" w:sz="0" w:space="0" w:color="auto"/>
      </w:divBdr>
    </w:div>
    <w:div w:id="301665512">
      <w:bodyDiv w:val="1"/>
      <w:marLeft w:val="0"/>
      <w:marRight w:val="0"/>
      <w:marTop w:val="0"/>
      <w:marBottom w:val="0"/>
      <w:divBdr>
        <w:top w:val="none" w:sz="0" w:space="0" w:color="auto"/>
        <w:left w:val="none" w:sz="0" w:space="0" w:color="auto"/>
        <w:bottom w:val="none" w:sz="0" w:space="0" w:color="auto"/>
        <w:right w:val="none" w:sz="0" w:space="0" w:color="auto"/>
      </w:divBdr>
    </w:div>
    <w:div w:id="398409619">
      <w:bodyDiv w:val="1"/>
      <w:marLeft w:val="0"/>
      <w:marRight w:val="0"/>
      <w:marTop w:val="0"/>
      <w:marBottom w:val="0"/>
      <w:divBdr>
        <w:top w:val="none" w:sz="0" w:space="0" w:color="auto"/>
        <w:left w:val="none" w:sz="0" w:space="0" w:color="auto"/>
        <w:bottom w:val="none" w:sz="0" w:space="0" w:color="auto"/>
        <w:right w:val="none" w:sz="0" w:space="0" w:color="auto"/>
      </w:divBdr>
    </w:div>
    <w:div w:id="465050005">
      <w:bodyDiv w:val="1"/>
      <w:marLeft w:val="0"/>
      <w:marRight w:val="0"/>
      <w:marTop w:val="0"/>
      <w:marBottom w:val="0"/>
      <w:divBdr>
        <w:top w:val="none" w:sz="0" w:space="0" w:color="auto"/>
        <w:left w:val="none" w:sz="0" w:space="0" w:color="auto"/>
        <w:bottom w:val="none" w:sz="0" w:space="0" w:color="auto"/>
        <w:right w:val="none" w:sz="0" w:space="0" w:color="auto"/>
      </w:divBdr>
    </w:div>
    <w:div w:id="480080827">
      <w:bodyDiv w:val="1"/>
      <w:marLeft w:val="0"/>
      <w:marRight w:val="0"/>
      <w:marTop w:val="0"/>
      <w:marBottom w:val="0"/>
      <w:divBdr>
        <w:top w:val="none" w:sz="0" w:space="0" w:color="auto"/>
        <w:left w:val="none" w:sz="0" w:space="0" w:color="auto"/>
        <w:bottom w:val="none" w:sz="0" w:space="0" w:color="auto"/>
        <w:right w:val="none" w:sz="0" w:space="0" w:color="auto"/>
      </w:divBdr>
    </w:div>
    <w:div w:id="1058744056">
      <w:bodyDiv w:val="1"/>
      <w:marLeft w:val="0"/>
      <w:marRight w:val="0"/>
      <w:marTop w:val="0"/>
      <w:marBottom w:val="0"/>
      <w:divBdr>
        <w:top w:val="none" w:sz="0" w:space="0" w:color="auto"/>
        <w:left w:val="none" w:sz="0" w:space="0" w:color="auto"/>
        <w:bottom w:val="none" w:sz="0" w:space="0" w:color="auto"/>
        <w:right w:val="none" w:sz="0" w:space="0" w:color="auto"/>
      </w:divBdr>
    </w:div>
    <w:div w:id="1247231818">
      <w:bodyDiv w:val="1"/>
      <w:marLeft w:val="0"/>
      <w:marRight w:val="0"/>
      <w:marTop w:val="0"/>
      <w:marBottom w:val="0"/>
      <w:divBdr>
        <w:top w:val="none" w:sz="0" w:space="0" w:color="auto"/>
        <w:left w:val="none" w:sz="0" w:space="0" w:color="auto"/>
        <w:bottom w:val="none" w:sz="0" w:space="0" w:color="auto"/>
        <w:right w:val="none" w:sz="0" w:space="0" w:color="auto"/>
      </w:divBdr>
    </w:div>
    <w:div w:id="1428430947">
      <w:bodyDiv w:val="1"/>
      <w:marLeft w:val="0"/>
      <w:marRight w:val="0"/>
      <w:marTop w:val="0"/>
      <w:marBottom w:val="0"/>
      <w:divBdr>
        <w:top w:val="none" w:sz="0" w:space="0" w:color="auto"/>
        <w:left w:val="none" w:sz="0" w:space="0" w:color="auto"/>
        <w:bottom w:val="none" w:sz="0" w:space="0" w:color="auto"/>
        <w:right w:val="none" w:sz="0" w:space="0" w:color="auto"/>
      </w:divBdr>
    </w:div>
    <w:div w:id="1540556951">
      <w:bodyDiv w:val="1"/>
      <w:marLeft w:val="0"/>
      <w:marRight w:val="0"/>
      <w:marTop w:val="0"/>
      <w:marBottom w:val="0"/>
      <w:divBdr>
        <w:top w:val="none" w:sz="0" w:space="0" w:color="auto"/>
        <w:left w:val="none" w:sz="0" w:space="0" w:color="auto"/>
        <w:bottom w:val="none" w:sz="0" w:space="0" w:color="auto"/>
        <w:right w:val="none" w:sz="0" w:space="0" w:color="auto"/>
      </w:divBdr>
      <w:divsChild>
        <w:div w:id="573243651">
          <w:marLeft w:val="0"/>
          <w:marRight w:val="0"/>
          <w:marTop w:val="0"/>
          <w:marBottom w:val="0"/>
          <w:divBdr>
            <w:top w:val="none" w:sz="0" w:space="0" w:color="auto"/>
            <w:left w:val="none" w:sz="0" w:space="0" w:color="auto"/>
            <w:bottom w:val="none" w:sz="0" w:space="0" w:color="auto"/>
            <w:right w:val="none" w:sz="0" w:space="0" w:color="auto"/>
          </w:divBdr>
          <w:divsChild>
            <w:div w:id="5407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417805">
      <w:bodyDiv w:val="1"/>
      <w:marLeft w:val="0"/>
      <w:marRight w:val="0"/>
      <w:marTop w:val="0"/>
      <w:marBottom w:val="0"/>
      <w:divBdr>
        <w:top w:val="none" w:sz="0" w:space="0" w:color="auto"/>
        <w:left w:val="none" w:sz="0" w:space="0" w:color="auto"/>
        <w:bottom w:val="none" w:sz="0" w:space="0" w:color="auto"/>
        <w:right w:val="none" w:sz="0" w:space="0" w:color="auto"/>
      </w:divBdr>
      <w:divsChild>
        <w:div w:id="837230203">
          <w:marLeft w:val="0"/>
          <w:marRight w:val="0"/>
          <w:marTop w:val="0"/>
          <w:marBottom w:val="0"/>
          <w:divBdr>
            <w:top w:val="single" w:sz="2" w:space="0" w:color="E5E7EB"/>
            <w:left w:val="single" w:sz="2" w:space="0" w:color="E5E7EB"/>
            <w:bottom w:val="single" w:sz="2" w:space="0" w:color="E5E7EB"/>
            <w:right w:val="single" w:sz="2" w:space="0" w:color="E5E7EB"/>
          </w:divBdr>
        </w:div>
        <w:div w:id="1620138290">
          <w:marLeft w:val="0"/>
          <w:marRight w:val="0"/>
          <w:marTop w:val="0"/>
          <w:marBottom w:val="0"/>
          <w:divBdr>
            <w:top w:val="single" w:sz="2" w:space="0" w:color="E5E7EB"/>
            <w:left w:val="single" w:sz="2" w:space="0" w:color="E5E7EB"/>
            <w:bottom w:val="single" w:sz="2" w:space="0" w:color="E5E7EB"/>
            <w:right w:val="single" w:sz="2" w:space="0" w:color="E5E7EB"/>
          </w:divBdr>
        </w:div>
        <w:div w:id="1805199508">
          <w:marLeft w:val="0"/>
          <w:marRight w:val="0"/>
          <w:marTop w:val="0"/>
          <w:marBottom w:val="0"/>
          <w:divBdr>
            <w:top w:val="single" w:sz="2" w:space="0" w:color="E5E7EB"/>
            <w:left w:val="single" w:sz="2" w:space="0" w:color="E5E7EB"/>
            <w:bottom w:val="single" w:sz="2" w:space="0" w:color="E5E7EB"/>
            <w:right w:val="single" w:sz="2" w:space="0" w:color="E5E7EB"/>
          </w:divBdr>
        </w:div>
        <w:div w:id="1183863827">
          <w:marLeft w:val="0"/>
          <w:marRight w:val="0"/>
          <w:marTop w:val="0"/>
          <w:marBottom w:val="0"/>
          <w:divBdr>
            <w:top w:val="single" w:sz="2" w:space="0" w:color="E5E7EB"/>
            <w:left w:val="single" w:sz="2" w:space="0" w:color="E5E7EB"/>
            <w:bottom w:val="single" w:sz="2" w:space="0" w:color="E5E7EB"/>
            <w:right w:val="single" w:sz="2" w:space="0" w:color="E5E7EB"/>
          </w:divBdr>
        </w:div>
        <w:div w:id="2101877069">
          <w:marLeft w:val="0"/>
          <w:marRight w:val="0"/>
          <w:marTop w:val="0"/>
          <w:marBottom w:val="0"/>
          <w:divBdr>
            <w:top w:val="single" w:sz="2" w:space="0" w:color="E5E7EB"/>
            <w:left w:val="single" w:sz="2" w:space="0" w:color="E5E7EB"/>
            <w:bottom w:val="single" w:sz="2" w:space="0" w:color="E5E7EB"/>
            <w:right w:val="single" w:sz="2" w:space="0" w:color="E5E7EB"/>
          </w:divBdr>
        </w:div>
        <w:div w:id="958488219">
          <w:marLeft w:val="0"/>
          <w:marRight w:val="0"/>
          <w:marTop w:val="0"/>
          <w:marBottom w:val="0"/>
          <w:divBdr>
            <w:top w:val="single" w:sz="2" w:space="0" w:color="E5E7EB"/>
            <w:left w:val="single" w:sz="2" w:space="0" w:color="E5E7EB"/>
            <w:bottom w:val="single" w:sz="2" w:space="0" w:color="E5E7EB"/>
            <w:right w:val="single" w:sz="2" w:space="0" w:color="E5E7EB"/>
          </w:divBdr>
        </w:div>
        <w:div w:id="2121411580">
          <w:marLeft w:val="0"/>
          <w:marRight w:val="0"/>
          <w:marTop w:val="0"/>
          <w:marBottom w:val="0"/>
          <w:divBdr>
            <w:top w:val="single" w:sz="2" w:space="0" w:color="E5E7EB"/>
            <w:left w:val="single" w:sz="2" w:space="0" w:color="E5E7EB"/>
            <w:bottom w:val="single" w:sz="2" w:space="0" w:color="E5E7EB"/>
            <w:right w:val="single" w:sz="2" w:space="0" w:color="E5E7EB"/>
          </w:divBdr>
        </w:div>
        <w:div w:id="2054771397">
          <w:marLeft w:val="0"/>
          <w:marRight w:val="0"/>
          <w:marTop w:val="0"/>
          <w:marBottom w:val="0"/>
          <w:divBdr>
            <w:top w:val="single" w:sz="2" w:space="0" w:color="E5E7EB"/>
            <w:left w:val="single" w:sz="2" w:space="0" w:color="E5E7EB"/>
            <w:bottom w:val="single" w:sz="2" w:space="0" w:color="E5E7EB"/>
            <w:right w:val="single" w:sz="2" w:space="0" w:color="E5E7EB"/>
          </w:divBdr>
        </w:div>
        <w:div w:id="2020622299">
          <w:marLeft w:val="0"/>
          <w:marRight w:val="0"/>
          <w:marTop w:val="0"/>
          <w:marBottom w:val="0"/>
          <w:divBdr>
            <w:top w:val="single" w:sz="2" w:space="0" w:color="E5E7EB"/>
            <w:left w:val="single" w:sz="2" w:space="0" w:color="E5E7EB"/>
            <w:bottom w:val="single" w:sz="2" w:space="0" w:color="E5E7EB"/>
            <w:right w:val="single" w:sz="2" w:space="0" w:color="E5E7EB"/>
          </w:divBdr>
        </w:div>
        <w:div w:id="1642418166">
          <w:marLeft w:val="0"/>
          <w:marRight w:val="0"/>
          <w:marTop w:val="0"/>
          <w:marBottom w:val="0"/>
          <w:divBdr>
            <w:top w:val="single" w:sz="2" w:space="0" w:color="E5E7EB"/>
            <w:left w:val="single" w:sz="2" w:space="0" w:color="E5E7EB"/>
            <w:bottom w:val="single" w:sz="2" w:space="0" w:color="E5E7EB"/>
            <w:right w:val="single" w:sz="2" w:space="0" w:color="E5E7EB"/>
          </w:divBdr>
        </w:div>
        <w:div w:id="1041637415">
          <w:marLeft w:val="0"/>
          <w:marRight w:val="0"/>
          <w:marTop w:val="0"/>
          <w:marBottom w:val="0"/>
          <w:divBdr>
            <w:top w:val="single" w:sz="2" w:space="0" w:color="E5E7EB"/>
            <w:left w:val="single" w:sz="2" w:space="0" w:color="E5E7EB"/>
            <w:bottom w:val="single" w:sz="2" w:space="0" w:color="E5E7EB"/>
            <w:right w:val="single" w:sz="2" w:space="0" w:color="E5E7EB"/>
          </w:divBdr>
        </w:div>
        <w:div w:id="21134725">
          <w:marLeft w:val="0"/>
          <w:marRight w:val="0"/>
          <w:marTop w:val="0"/>
          <w:marBottom w:val="0"/>
          <w:divBdr>
            <w:top w:val="single" w:sz="2" w:space="0" w:color="E5E7EB"/>
            <w:left w:val="single" w:sz="2" w:space="0" w:color="E5E7EB"/>
            <w:bottom w:val="single" w:sz="2" w:space="0" w:color="E5E7EB"/>
            <w:right w:val="single" w:sz="2" w:space="0" w:color="E5E7EB"/>
          </w:divBdr>
        </w:div>
        <w:div w:id="242646585">
          <w:marLeft w:val="0"/>
          <w:marRight w:val="0"/>
          <w:marTop w:val="0"/>
          <w:marBottom w:val="0"/>
          <w:divBdr>
            <w:top w:val="single" w:sz="2" w:space="0" w:color="E5E7EB"/>
            <w:left w:val="single" w:sz="2" w:space="0" w:color="E5E7EB"/>
            <w:bottom w:val="single" w:sz="2" w:space="0" w:color="E5E7EB"/>
            <w:right w:val="single" w:sz="2" w:space="0" w:color="E5E7EB"/>
          </w:divBdr>
        </w:div>
        <w:div w:id="1927807903">
          <w:marLeft w:val="0"/>
          <w:marRight w:val="0"/>
          <w:marTop w:val="0"/>
          <w:marBottom w:val="0"/>
          <w:divBdr>
            <w:top w:val="single" w:sz="2" w:space="0" w:color="E5E7EB"/>
            <w:left w:val="single" w:sz="2" w:space="0" w:color="E5E7EB"/>
            <w:bottom w:val="single" w:sz="2" w:space="0" w:color="E5E7EB"/>
            <w:right w:val="single" w:sz="2" w:space="0" w:color="E5E7EB"/>
          </w:divBdr>
        </w:div>
        <w:div w:id="195188806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01600092">
      <w:bodyDiv w:val="1"/>
      <w:marLeft w:val="0"/>
      <w:marRight w:val="0"/>
      <w:marTop w:val="0"/>
      <w:marBottom w:val="0"/>
      <w:divBdr>
        <w:top w:val="none" w:sz="0" w:space="0" w:color="auto"/>
        <w:left w:val="none" w:sz="0" w:space="0" w:color="auto"/>
        <w:bottom w:val="none" w:sz="0" w:space="0" w:color="auto"/>
        <w:right w:val="none" w:sz="0" w:space="0" w:color="auto"/>
      </w:divBdr>
    </w:div>
    <w:div w:id="198916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niluxembourg-my.sharepoint.com/personal/alessia_sciortino_uni_lu/Documents/Documents/PHD_THESIS/Thesis%20Text/PHD-THESIS.docx" TargetMode="External"/><Relationship Id="rId21" Type="http://schemas.openxmlformats.org/officeDocument/2006/relationships/hyperlink" Target="https://uniluxembourg-my.sharepoint.com/personal/alessia_sciortino_uni_lu/Documents/Documents/PHD_THESIS/Thesis%20Text/PHD-THESIS.docx" TargetMode="External"/><Relationship Id="rId42" Type="http://schemas.openxmlformats.org/officeDocument/2006/relationships/hyperlink" Target="https://uniluxembourg-my.sharepoint.com/personal/alessia_sciortino_uni_lu/Documents/Documents/PHD_THESIS/Thesis%20Text/PHD-THESIS.docx" TargetMode="External"/><Relationship Id="rId47" Type="http://schemas.openxmlformats.org/officeDocument/2006/relationships/hyperlink" Target="https://uniluxembourg-my.sharepoint.com/personal/alessia_sciortino_uni_lu/Documents/Documents/PHD_THESIS/Thesis%20Text/PHD-THESIS.docx" TargetMode="External"/><Relationship Id="rId63" Type="http://schemas.openxmlformats.org/officeDocument/2006/relationships/image" Target="media/image15.png"/><Relationship Id="rId68" Type="http://schemas.openxmlformats.org/officeDocument/2006/relationships/image" Target="media/image20.png"/><Relationship Id="rId84" Type="http://schemas.openxmlformats.org/officeDocument/2006/relationships/image" Target="media/image36.jpg"/><Relationship Id="rId89" Type="http://schemas.openxmlformats.org/officeDocument/2006/relationships/image" Target="media/image41.png"/><Relationship Id="rId16" Type="http://schemas.openxmlformats.org/officeDocument/2006/relationships/hyperlink" Target="https://uniluxembourg-my.sharepoint.com/personal/alessia_sciortino_uni_lu/Documents/Documents/PHD_THESIS/Thesis%20Text/PHD-THESIS.docx" TargetMode="External"/><Relationship Id="rId11" Type="http://schemas.openxmlformats.org/officeDocument/2006/relationships/image" Target="media/image4.png"/><Relationship Id="rId32" Type="http://schemas.openxmlformats.org/officeDocument/2006/relationships/hyperlink" Target="https://uniluxembourg-my.sharepoint.com/personal/alessia_sciortino_uni_lu/Documents/Documents/PHD_THESIS/Thesis%20Text/PHD-THESIS.docx" TargetMode="External"/><Relationship Id="rId37" Type="http://schemas.openxmlformats.org/officeDocument/2006/relationships/hyperlink" Target="https://uniluxembourg-my.sharepoint.com/personal/alessia_sciortino_uni_lu/Documents/Documents/PHD_THESIS/Thesis%20Text/PHD-THESIS.docx" TargetMode="External"/><Relationship Id="rId53" Type="http://schemas.openxmlformats.org/officeDocument/2006/relationships/footer" Target="footer4.xml"/><Relationship Id="rId58" Type="http://schemas.openxmlformats.org/officeDocument/2006/relationships/image" Target="media/image10.jpeg"/><Relationship Id="rId74" Type="http://schemas.openxmlformats.org/officeDocument/2006/relationships/image" Target="media/image26.png"/><Relationship Id="rId79"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image" Target="media/image42.png"/><Relationship Id="rId22" Type="http://schemas.openxmlformats.org/officeDocument/2006/relationships/hyperlink" Target="https://uniluxembourg-my.sharepoint.com/personal/alessia_sciortino_uni_lu/Documents/Documents/PHD_THESIS/Thesis%20Text/PHD-THESIS.docx" TargetMode="External"/><Relationship Id="rId27" Type="http://schemas.openxmlformats.org/officeDocument/2006/relationships/hyperlink" Target="https://uniluxembourg-my.sharepoint.com/personal/alessia_sciortino_uni_lu/Documents/Documents/PHD_THESIS/Thesis%20Text/PHD-THESIS.docx" TargetMode="External"/><Relationship Id="rId43" Type="http://schemas.openxmlformats.org/officeDocument/2006/relationships/hyperlink" Target="https://uniluxembourg-my.sharepoint.com/personal/alessia_sciortino_uni_lu/Documents/Documents/PHD_THESIS/Thesis%20Text/PHD-THESIS.docx" TargetMode="External"/><Relationship Id="rId48" Type="http://schemas.openxmlformats.org/officeDocument/2006/relationships/hyperlink" Target="https://uniluxembourg-my.sharepoint.com/personal/alessia_sciortino_uni_lu/Documents/Documents/PHD_THESIS/PHD-THESIS.docx" TargetMode="External"/><Relationship Id="rId64" Type="http://schemas.openxmlformats.org/officeDocument/2006/relationships/image" Target="media/image16.png"/><Relationship Id="rId69" Type="http://schemas.openxmlformats.org/officeDocument/2006/relationships/image" Target="media/image21.png"/><Relationship Id="rId8" Type="http://schemas.openxmlformats.org/officeDocument/2006/relationships/image" Target="media/image1.jpeg"/><Relationship Id="rId51" Type="http://schemas.openxmlformats.org/officeDocument/2006/relationships/footer" Target="footer2.xml"/><Relationship Id="rId72" Type="http://schemas.openxmlformats.org/officeDocument/2006/relationships/image" Target="media/image24.png"/><Relationship Id="rId80" Type="http://schemas.openxmlformats.org/officeDocument/2006/relationships/image" Target="media/image32.png"/><Relationship Id="rId85" Type="http://schemas.openxmlformats.org/officeDocument/2006/relationships/image" Target="media/image3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uniluxembourg-my.sharepoint.com/personal/alessia_sciortino_uni_lu/Documents/Documents/PHD_THESIS/Thesis%20Text/PHD-THESIS.docx" TargetMode="External"/><Relationship Id="rId25" Type="http://schemas.openxmlformats.org/officeDocument/2006/relationships/hyperlink" Target="https://uniluxembourg-my.sharepoint.com/personal/alessia_sciortino_uni_lu/Documents/Documents/PHD_THESIS/Thesis%20Text/PHD-THESIS.docx" TargetMode="External"/><Relationship Id="rId33" Type="http://schemas.openxmlformats.org/officeDocument/2006/relationships/hyperlink" Target="https://uniluxembourg-my.sharepoint.com/personal/alessia_sciortino_uni_lu/Documents/Documents/PHD_THESIS/Thesis%20Text/PHD-THESIS.docx" TargetMode="External"/><Relationship Id="rId38" Type="http://schemas.openxmlformats.org/officeDocument/2006/relationships/hyperlink" Target="https://uniluxembourg-my.sharepoint.com/personal/alessia_sciortino_uni_lu/Documents/Documents/PHD_THESIS/Thesis%20Text/PHD-THESIS.docx" TargetMode="External"/><Relationship Id="rId46" Type="http://schemas.openxmlformats.org/officeDocument/2006/relationships/hyperlink" Target="https://uniluxembourg-my.sharepoint.com/personal/alessia_sciortino_uni_lu/Documents/Documents/PHD_THESIS/Thesis%20Text/PHD-THESIS.docx" TargetMode="External"/><Relationship Id="rId59" Type="http://schemas.openxmlformats.org/officeDocument/2006/relationships/image" Target="media/image11.png"/><Relationship Id="rId67" Type="http://schemas.openxmlformats.org/officeDocument/2006/relationships/image" Target="media/image19.png"/><Relationship Id="rId20" Type="http://schemas.openxmlformats.org/officeDocument/2006/relationships/hyperlink" Target="https://uniluxembourg-my.sharepoint.com/personal/alessia_sciortino_uni_lu/Documents/Documents/PHD_THESIS/Thesis%20Text/PHD-THESIS.docx" TargetMode="External"/><Relationship Id="rId41" Type="http://schemas.openxmlformats.org/officeDocument/2006/relationships/hyperlink" Target="https://uniluxembourg-my.sharepoint.com/personal/alessia_sciortino_uni_lu/Documents/Documents/PHD_THESIS/Thesis%20Text/PHD-THESIS.docx" TargetMode="External"/><Relationship Id="rId54" Type="http://schemas.openxmlformats.org/officeDocument/2006/relationships/footer" Target="footer5.xml"/><Relationship Id="rId62" Type="http://schemas.openxmlformats.org/officeDocument/2006/relationships/image" Target="media/image14.png"/><Relationship Id="rId70" Type="http://schemas.openxmlformats.org/officeDocument/2006/relationships/image" Target="media/image22.png"/><Relationship Id="rId75" Type="http://schemas.openxmlformats.org/officeDocument/2006/relationships/image" Target="media/image27.png"/><Relationship Id="rId83" Type="http://schemas.openxmlformats.org/officeDocument/2006/relationships/image" Target="media/image35.jpg"/><Relationship Id="rId88" Type="http://schemas.openxmlformats.org/officeDocument/2006/relationships/image" Target="media/image40.png"/><Relationship Id="rId91"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niluxembourg-my.sharepoint.com/personal/alessia_sciortino_uni_lu/Documents/Documents/PHD_THESIS/Thesis%20Text/PHD-THESIS.docx" TargetMode="External"/><Relationship Id="rId23" Type="http://schemas.openxmlformats.org/officeDocument/2006/relationships/hyperlink" Target="https://uniluxembourg-my.sharepoint.com/personal/alessia_sciortino_uni_lu/Documents/Documents/PHD_THESIS/Thesis%20Text/PHD-THESIS.docx" TargetMode="External"/><Relationship Id="rId28" Type="http://schemas.openxmlformats.org/officeDocument/2006/relationships/hyperlink" Target="https://uniluxembourg-my.sharepoint.com/personal/alessia_sciortino_uni_lu/Documents/Documents/PHD_THESIS/Thesis%20Text/PHD-THESIS.docx" TargetMode="External"/><Relationship Id="rId36" Type="http://schemas.openxmlformats.org/officeDocument/2006/relationships/hyperlink" Target="https://uniluxembourg-my.sharepoint.com/personal/alessia_sciortino_uni_lu/Documents/Documents/PHD_THESIS/Thesis%20Text/PHD-THESIS.docx" TargetMode="External"/><Relationship Id="rId49" Type="http://schemas.openxmlformats.org/officeDocument/2006/relationships/hyperlink" Target="https://uniluxembourg-my.sharepoint.com/personal/alessia_sciortino_uni_lu/Documents/Documents/PHD_THESIS/PHD-THESIS.docx" TargetMode="External"/><Relationship Id="rId57" Type="http://schemas.openxmlformats.org/officeDocument/2006/relationships/image" Target="media/image9.jpeg"/><Relationship Id="rId10" Type="http://schemas.openxmlformats.org/officeDocument/2006/relationships/image" Target="media/image3.png"/><Relationship Id="rId31" Type="http://schemas.openxmlformats.org/officeDocument/2006/relationships/hyperlink" Target="https://uniluxembourg-my.sharepoint.com/personal/alessia_sciortino_uni_lu/Documents/Documents/PHD_THESIS/Thesis%20Text/PHD-THESIS.docx" TargetMode="External"/><Relationship Id="rId44" Type="http://schemas.openxmlformats.org/officeDocument/2006/relationships/hyperlink" Target="https://uniluxembourg-my.sharepoint.com/personal/alessia_sciortino_uni_lu/Documents/Documents/PHD_THESIS/Thesis%20Text/PHD-THESIS.docx" TargetMode="External"/><Relationship Id="rId52" Type="http://schemas.openxmlformats.org/officeDocument/2006/relationships/footer" Target="footer3.xml"/><Relationship Id="rId60" Type="http://schemas.openxmlformats.org/officeDocument/2006/relationships/image" Target="media/image12.jpe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hyperlink" Target="https://uniluxembourg-my.sharepoint.com/personal/alessia_sciortino_uni_lu/Documents/Documents/PHD_THESIS/Thesis%20Text/PHD-THESIS.docx" TargetMode="External"/><Relationship Id="rId39" Type="http://schemas.openxmlformats.org/officeDocument/2006/relationships/hyperlink" Target="https://uniluxembourg-my.sharepoint.com/personal/alessia_sciortino_uni_lu/Documents/Documents/PHD_THESIS/Thesis%20Text/PHD-THESIS.docx" TargetMode="External"/><Relationship Id="rId34" Type="http://schemas.openxmlformats.org/officeDocument/2006/relationships/hyperlink" Target="https://uniluxembourg-my.sharepoint.com/personal/alessia_sciortino_uni_lu/Documents/Documents/PHD_THESIS/Thesis%20Text/PHD-THESIS.docx" TargetMode="External"/><Relationship Id="rId50" Type="http://schemas.openxmlformats.org/officeDocument/2006/relationships/footer" Target="footer1.xml"/><Relationship Id="rId55" Type="http://schemas.openxmlformats.org/officeDocument/2006/relationships/image" Target="media/image7.tif"/><Relationship Id="rId76"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uniluxembourg-my.sharepoint.com/personal/alessia_sciortino_uni_lu/Documents/Documents/PHD_THESIS/Thesis%20Text/PHD-THESIS.docx" TargetMode="External"/><Relationship Id="rId24" Type="http://schemas.openxmlformats.org/officeDocument/2006/relationships/hyperlink" Target="https://uniluxembourg-my.sharepoint.com/personal/alessia_sciortino_uni_lu/Documents/Documents/PHD_THESIS/Thesis%20Text/PHD-THESIS.docx" TargetMode="External"/><Relationship Id="rId40" Type="http://schemas.openxmlformats.org/officeDocument/2006/relationships/hyperlink" Target="https://uniluxembourg-my.sharepoint.com/personal/alessia_sciortino_uni_lu/Documents/Documents/PHD_THESIS/Thesis%20Text/PHD-THESIS.docx" TargetMode="External"/><Relationship Id="rId45" Type="http://schemas.openxmlformats.org/officeDocument/2006/relationships/hyperlink" Target="https://uniluxembourg-my.sharepoint.com/personal/alessia_sciortino_uni_lu/Documents/Documents/PHD_THESIS/Thesis%20Text/PHD-THESIS.docx" TargetMode="External"/><Relationship Id="rId66" Type="http://schemas.openxmlformats.org/officeDocument/2006/relationships/image" Target="media/image18.png"/><Relationship Id="rId87" Type="http://schemas.openxmlformats.org/officeDocument/2006/relationships/image" Target="media/image39.jpg"/><Relationship Id="rId61" Type="http://schemas.openxmlformats.org/officeDocument/2006/relationships/image" Target="media/image13.png"/><Relationship Id="rId82" Type="http://schemas.openxmlformats.org/officeDocument/2006/relationships/image" Target="media/image34.jpg"/><Relationship Id="rId19" Type="http://schemas.openxmlformats.org/officeDocument/2006/relationships/hyperlink" Target="https://uniluxembourg-my.sharepoint.com/personal/alessia_sciortino_uni_lu/Documents/Documents/PHD_THESIS/Thesis%20Text/PHD-THESIS.docx" TargetMode="External"/><Relationship Id="rId14" Type="http://schemas.openxmlformats.org/officeDocument/2006/relationships/hyperlink" Target="https://uniluxembourg-my.sharepoint.com/personal/alessia_sciortino_uni_lu/Documents/Documents/PHD_THESIS/Thesis%20Text/PHD-THESIS.docx" TargetMode="External"/><Relationship Id="rId30" Type="http://schemas.openxmlformats.org/officeDocument/2006/relationships/hyperlink" Target="https://uniluxembourg-my.sharepoint.com/personal/alessia_sciortino_uni_lu/Documents/Documents/PHD_THESIS/Thesis%20Text/PHD-THESIS.docx" TargetMode="External"/><Relationship Id="rId35" Type="http://schemas.openxmlformats.org/officeDocument/2006/relationships/hyperlink" Target="https://uniluxembourg-my.sharepoint.com/personal/alessia_sciortino_uni_lu/Documents/Documents/PHD_THESIS/Thesis%20Text/PHD-THESIS.docx" TargetMode="External"/><Relationship Id="rId56" Type="http://schemas.openxmlformats.org/officeDocument/2006/relationships/image" Target="media/image8.tiff"/><Relationship Id="rId77"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F68426-E844-4460-8B49-AEE163973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40331</TotalTime>
  <Pages>194</Pages>
  <Words>96031</Words>
  <Characters>547383</Characters>
  <Application>Microsoft Office Word</Application>
  <DocSecurity>0</DocSecurity>
  <Lines>4561</Lines>
  <Paragraphs>1284</Paragraphs>
  <ScaleCrop>false</ScaleCrop>
  <HeadingPairs>
    <vt:vector size="2" baseType="variant">
      <vt:variant>
        <vt:lpstr>Title</vt:lpstr>
      </vt:variant>
      <vt:variant>
        <vt:i4>1</vt:i4>
      </vt:variant>
    </vt:vector>
  </HeadingPairs>
  <TitlesOfParts>
    <vt:vector size="1" baseType="lpstr">
      <vt:lpstr/>
    </vt:vector>
  </TitlesOfParts>
  <Company>University of Luxembourg</Company>
  <LinksUpToDate>false</LinksUpToDate>
  <CharactersWithSpaces>642130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Alessia SCIORTINO</dc:creator>
  <cp:keywords/>
  <dc:description/>
  <cp:lastModifiedBy>Alessia SCIORTINO</cp:lastModifiedBy>
  <cp:revision>6701</cp:revision>
  <cp:lastPrinted>2023-04-03T09:13:00Z</cp:lastPrinted>
  <dcterms:created xsi:type="dcterms:W3CDTF">2022-11-10T11:55:00Z</dcterms:created>
  <dcterms:modified xsi:type="dcterms:W3CDTF">2023-06-05T15:43:00Z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zotero-version="6.0.23"&gt;&lt;session id="OvN2OE19"/&gt;&lt;style id="http://www.zotero.org/styles/american-political-science-association" locale="en-US" hasBibliography="1" bibliographyStyleHasBeenSet="1"/&gt;&lt;prefs&gt;&lt;pref name="fieldType" value=</vt:lpwstr>
  </property>
  <property fmtid="{D5CDD505-2E9C-101B-9397-08002B2CF9AE}" pid="3" name="ZOTERO_PREF_2">
    <vt:lpwstr>"Field"/&gt;&lt;pref name="dontAskDelayCitationUpdates" value="true"/&gt;&lt;/prefs&gt;&lt;/data&gt;</vt:lpwstr>
  </property>
</Properties>
</file>